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2"/>
        <w:rPr>
          <w:rFonts w:ascii="Times New Roman"/>
          <w:sz w:val="9"/>
        </w:rPr>
      </w:pPr>
    </w:p>
    <w:p>
      <w:pPr>
        <w:pStyle w:val="Heading1"/>
        <w:spacing w:line="242" w:lineRule="auto"/>
        <w:ind w:left="2540" w:right="2443"/>
      </w:pPr>
      <w:r>
        <w:rPr/>
        <w:drawing>
          <wp:anchor distT="0" distB="0" distL="0" distR="0" allowOverlap="1" layoutInCell="1" locked="0" behindDoc="0" simplePos="0" relativeHeight="1144">
            <wp:simplePos x="0" y="0"/>
            <wp:positionH relativeFrom="page">
              <wp:posOffset>772794</wp:posOffset>
            </wp:positionH>
            <wp:positionV relativeFrom="paragraph">
              <wp:posOffset>-62079</wp:posOffset>
            </wp:positionV>
            <wp:extent cx="914400" cy="9144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914400" cy="914400"/>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6299834</wp:posOffset>
            </wp:positionH>
            <wp:positionV relativeFrom="paragraph">
              <wp:posOffset>92225</wp:posOffset>
            </wp:positionV>
            <wp:extent cx="1036319" cy="1068704"/>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1036319" cy="1068704"/>
                    </a:xfrm>
                    <a:prstGeom prst="rect">
                      <a:avLst/>
                    </a:prstGeom>
                  </pic:spPr>
                </pic:pic>
              </a:graphicData>
            </a:graphic>
          </wp:anchor>
        </w:drawing>
      </w:r>
      <w:r>
        <w:rPr>
          <w:color w:val="4F6128"/>
        </w:rPr>
        <w:t>UNIVERSIDAD AUTÓNOMA DEL ESTADO MÉXICO</w:t>
      </w:r>
    </w:p>
    <w:p>
      <w:pPr>
        <w:spacing w:line="315" w:lineRule="exact" w:before="0"/>
        <w:ind w:left="2536" w:right="2443" w:firstLine="0"/>
        <w:jc w:val="center"/>
        <w:rPr>
          <w:b/>
          <w:sz w:val="28"/>
        </w:rPr>
      </w:pPr>
      <w:r>
        <w:rPr>
          <w:b/>
          <w:color w:val="4F6128"/>
          <w:sz w:val="28"/>
        </w:rPr>
        <w:t>FACULTAD DE HUMANIDADES</w:t>
      </w:r>
    </w:p>
    <w:p>
      <w:pPr>
        <w:spacing w:line="248" w:lineRule="exact" w:before="4"/>
        <w:ind w:left="3237" w:right="2846" w:firstLine="376"/>
        <w:jc w:val="left"/>
        <w:rPr>
          <w:rFonts w:ascii="Times New Roman" w:hAnsi="Times New Roman"/>
          <w:b/>
          <w:sz w:val="22"/>
        </w:rPr>
      </w:pPr>
      <w:r>
        <w:rPr>
          <w:rFonts w:ascii="Times New Roman" w:hAnsi="Times New Roman"/>
          <w:b/>
          <w:color w:val="4F6128"/>
          <w:sz w:val="22"/>
        </w:rPr>
        <w:t>COORDINACIÓN DE POSGRADO </w:t>
      </w:r>
      <w:r>
        <w:rPr>
          <w:rFonts w:ascii="Times New Roman" w:hAnsi="Times New Roman"/>
          <w:b/>
          <w:color w:val="4F6128"/>
          <w:w w:val="95"/>
          <w:sz w:val="22"/>
        </w:rPr>
        <w:t>ÁREA:  ESTUDIOS LATINOAMERICANOS</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spacing w:before="209"/>
        <w:ind w:left="1961" w:right="0" w:firstLine="0"/>
        <w:jc w:val="left"/>
        <w:rPr>
          <w:rFonts w:ascii="Times New Roman"/>
          <w:b/>
          <w:i/>
          <w:sz w:val="28"/>
        </w:rPr>
      </w:pPr>
      <w:r>
        <w:rPr>
          <w:rFonts w:ascii="Times New Roman"/>
          <w:b/>
          <w:i/>
          <w:w w:val="110"/>
          <w:sz w:val="28"/>
        </w:rPr>
        <w:t>EL CONDICIONAMIENTO DE LA LIBERTAD ANTE LA</w:t>
      </w:r>
    </w:p>
    <w:p>
      <w:pPr>
        <w:spacing w:line="372" w:lineRule="auto" w:before="182"/>
        <w:ind w:left="3189" w:right="1119" w:firstLine="1444"/>
        <w:jc w:val="left"/>
        <w:rPr>
          <w:rFonts w:ascii="Times New Roman" w:hAnsi="Times New Roman"/>
          <w:b/>
          <w:i/>
          <w:sz w:val="28"/>
        </w:rPr>
      </w:pPr>
      <w:r>
        <w:rPr>
          <w:rFonts w:ascii="Times New Roman" w:hAnsi="Times New Roman"/>
          <w:b/>
          <w:i/>
          <w:w w:val="105"/>
          <w:sz w:val="28"/>
        </w:rPr>
        <w:t>INFLUENCIA DE LA TELEVISIÓN; </w:t>
      </w:r>
      <w:r>
        <w:rPr>
          <w:rFonts w:ascii="Times New Roman" w:hAnsi="Times New Roman"/>
          <w:b/>
          <w:i/>
          <w:w w:val="105"/>
          <w:sz w:val="28"/>
        </w:rPr>
        <w:t>ESTUDIO: HONDURAS </w:t>
      </w:r>
      <w:r>
        <w:rPr>
          <w:rFonts w:ascii="Calibri" w:hAnsi="Calibri"/>
          <w:b/>
          <w:i/>
          <w:w w:val="105"/>
          <w:sz w:val="28"/>
        </w:rPr>
        <w:t>– </w:t>
      </w:r>
      <w:r>
        <w:rPr>
          <w:rFonts w:ascii="Times New Roman" w:hAnsi="Times New Roman"/>
          <w:b/>
          <w:i/>
          <w:w w:val="105"/>
          <w:sz w:val="28"/>
        </w:rPr>
        <w:t>MÉXICO, 1980 </w:t>
      </w:r>
      <w:r>
        <w:rPr>
          <w:rFonts w:ascii="Calibri" w:hAnsi="Calibri"/>
          <w:b/>
          <w:i/>
          <w:w w:val="105"/>
          <w:sz w:val="28"/>
        </w:rPr>
        <w:t>–</w:t>
      </w:r>
      <w:r>
        <w:rPr>
          <w:rFonts w:ascii="Calibri" w:hAnsi="Calibri"/>
          <w:b/>
          <w:i/>
          <w:spacing w:val="64"/>
          <w:w w:val="105"/>
          <w:sz w:val="28"/>
        </w:rPr>
        <w:t> </w:t>
      </w:r>
      <w:r>
        <w:rPr>
          <w:rFonts w:ascii="Times New Roman" w:hAnsi="Times New Roman"/>
          <w:b/>
          <w:i/>
          <w:w w:val="105"/>
          <w:sz w:val="28"/>
        </w:rPr>
        <w:t>2008</w:t>
      </w: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spacing w:before="8"/>
        <w:rPr>
          <w:rFonts w:ascii="Times New Roman"/>
          <w:b/>
          <w:i/>
          <w:sz w:val="21"/>
        </w:rPr>
      </w:pPr>
      <w:r>
        <w:rPr/>
        <w:pict>
          <v:group style="position:absolute;margin-left:78.550003pt;margin-top:14.433767pt;width:481.55pt;height:205.7pt;mso-position-horizontal-relative:page;mso-position-vertical-relative:paragraph;z-index:1120;mso-wrap-distance-left:0;mso-wrap-distance-right:0" coordorigin="1571,289" coordsize="9631,4114">
            <v:shape style="position:absolute;left:1571;top:289;width:9631;height:4114" type="#_x0000_t75" stroked="false">
              <v:imagedata r:id="rId8" o:title=""/>
            </v:shape>
            <v:shape style="position:absolute;left:5722;top:458;width:796;height:280" type="#_x0000_t202" filled="false" stroked="false">
              <v:textbox inset="0,0,0,0">
                <w:txbxContent>
                  <w:p>
                    <w:pPr>
                      <w:spacing w:line="280" w:lineRule="exact" w:before="0"/>
                      <w:ind w:left="0" w:right="-18" w:firstLine="0"/>
                      <w:jc w:val="left"/>
                      <w:rPr>
                        <w:rFonts w:ascii="Times New Roman"/>
                        <w:b/>
                        <w:sz w:val="28"/>
                      </w:rPr>
                    </w:pPr>
                    <w:r>
                      <w:rPr>
                        <w:rFonts w:ascii="Times New Roman"/>
                        <w:b/>
                        <w:color w:val="403052"/>
                        <w:sz w:val="28"/>
                      </w:rPr>
                      <w:t>TESIS</w:t>
                    </w:r>
                  </w:p>
                </w:txbxContent>
              </v:textbox>
              <w10:wrap type="none"/>
            </v:shape>
            <v:shape style="position:absolute;left:4102;top:1214;width:4032;height:599" type="#_x0000_t202" filled="false" stroked="false">
              <v:textbox inset="0,0,0,0">
                <w:txbxContent>
                  <w:p>
                    <w:pPr>
                      <w:spacing w:line="286" w:lineRule="exact" w:before="0"/>
                      <w:ind w:left="0" w:right="0" w:firstLine="0"/>
                      <w:jc w:val="center"/>
                      <w:rPr>
                        <w:rFonts w:ascii="Courier New"/>
                        <w:b/>
                        <w:sz w:val="28"/>
                      </w:rPr>
                    </w:pPr>
                    <w:r>
                      <w:rPr>
                        <w:rFonts w:ascii="Courier New"/>
                        <w:b/>
                        <w:color w:val="403052"/>
                        <w:sz w:val="28"/>
                      </w:rPr>
                      <w:t>Para obtener el grado</w:t>
                    </w:r>
                    <w:r>
                      <w:rPr>
                        <w:rFonts w:ascii="Courier New"/>
                        <w:b/>
                        <w:color w:val="403052"/>
                        <w:spacing w:val="-17"/>
                        <w:sz w:val="28"/>
                      </w:rPr>
                      <w:t> </w:t>
                    </w:r>
                    <w:r>
                      <w:rPr>
                        <w:rFonts w:ascii="Courier New"/>
                        <w:b/>
                        <w:color w:val="403052"/>
                        <w:sz w:val="28"/>
                      </w:rPr>
                      <w:t>de</w:t>
                    </w:r>
                  </w:p>
                  <w:p>
                    <w:pPr>
                      <w:spacing w:line="312" w:lineRule="exact" w:before="0"/>
                      <w:ind w:left="0" w:right="0" w:firstLine="0"/>
                      <w:jc w:val="center"/>
                      <w:rPr>
                        <w:b/>
                        <w:sz w:val="28"/>
                      </w:rPr>
                    </w:pPr>
                    <w:r>
                      <w:rPr>
                        <w:b/>
                        <w:color w:val="403052"/>
                        <w:sz w:val="28"/>
                      </w:rPr>
                      <w:t>Doctora en Humanidades</w:t>
                    </w:r>
                  </w:p>
                </w:txbxContent>
              </v:textbox>
              <w10:wrap type="none"/>
            </v:shape>
            <v:shape style="position:absolute;left:5245;top:2269;width:1743;height:280" type="#_x0000_t202" filled="false" stroked="false">
              <v:textbox inset="0,0,0,0">
                <w:txbxContent>
                  <w:p>
                    <w:pPr>
                      <w:spacing w:line="271" w:lineRule="exact" w:before="0"/>
                      <w:ind w:left="0" w:right="-6" w:firstLine="0"/>
                      <w:jc w:val="left"/>
                      <w:rPr>
                        <w:rFonts w:ascii="Times New Roman"/>
                        <w:b/>
                        <w:sz w:val="28"/>
                      </w:rPr>
                    </w:pPr>
                    <w:r>
                      <w:rPr>
                        <w:rFonts w:ascii="Times New Roman"/>
                        <w:b/>
                        <w:color w:val="403052"/>
                        <w:w w:val="90"/>
                        <w:sz w:val="28"/>
                      </w:rPr>
                      <w:t>Presentada por:</w:t>
                    </w:r>
                  </w:p>
                </w:txbxContent>
              </v:textbox>
              <w10:wrap type="none"/>
            </v:shape>
            <v:shape style="position:absolute;left:3077;top:3376;width:6565;height:320" type="#_x0000_t202" filled="false" stroked="false">
              <v:textbox inset="0,0,0,0">
                <w:txbxContent>
                  <w:p>
                    <w:pPr>
                      <w:spacing w:line="318" w:lineRule="exact" w:before="0"/>
                      <w:ind w:left="0" w:right="-6" w:firstLine="0"/>
                      <w:jc w:val="left"/>
                      <w:rPr>
                        <w:rFonts w:ascii="Candara" w:hAnsi="Candara"/>
                        <w:b/>
                        <w:sz w:val="32"/>
                      </w:rPr>
                    </w:pPr>
                    <w:r>
                      <w:rPr>
                        <w:rFonts w:ascii="Candara" w:hAnsi="Candara"/>
                        <w:b/>
                        <w:color w:val="403052"/>
                        <w:sz w:val="32"/>
                      </w:rPr>
                      <w:t>MARÍA DEL ROSÍO ISABEL GARDEAZÁBAL</w:t>
                    </w:r>
                    <w:r>
                      <w:rPr>
                        <w:rFonts w:ascii="Candara" w:hAnsi="Candara"/>
                        <w:b/>
                        <w:color w:val="403052"/>
                        <w:spacing w:val="-16"/>
                        <w:sz w:val="32"/>
                      </w:rPr>
                      <w:t> </w:t>
                    </w:r>
                    <w:r>
                      <w:rPr>
                        <w:rFonts w:ascii="Candara" w:hAnsi="Candara"/>
                        <w:b/>
                        <w:color w:val="403052"/>
                        <w:sz w:val="32"/>
                      </w:rPr>
                      <w:t>ISLAS</w:t>
                    </w:r>
                  </w:p>
                </w:txbxContent>
              </v:textbox>
              <w10:wrap type="none"/>
            </v:shape>
            <w10:wrap type="topAndBottom"/>
          </v:group>
        </w:pict>
      </w:r>
    </w:p>
    <w:p>
      <w:pPr>
        <w:pStyle w:val="BodyText"/>
        <w:spacing w:before="5"/>
        <w:rPr>
          <w:rFonts w:ascii="Times New Roman"/>
          <w:b/>
          <w:i/>
          <w:sz w:val="27"/>
        </w:rPr>
      </w:pPr>
    </w:p>
    <w:p>
      <w:pPr>
        <w:spacing w:before="74"/>
        <w:ind w:left="0" w:right="1121" w:firstLine="0"/>
        <w:jc w:val="right"/>
        <w:rPr>
          <w:rFonts w:ascii="Georgia"/>
          <w:b/>
          <w:sz w:val="20"/>
        </w:rPr>
      </w:pPr>
      <w:r>
        <w:rPr>
          <w:rFonts w:ascii="Georgia"/>
          <w:b/>
          <w:sz w:val="20"/>
        </w:rPr>
        <w:t>Director de tesis:</w:t>
      </w:r>
    </w:p>
    <w:p>
      <w:pPr>
        <w:pStyle w:val="BodyText"/>
        <w:spacing w:before="10"/>
        <w:rPr>
          <w:rFonts w:ascii="Georgia"/>
          <w:b/>
          <w:sz w:val="20"/>
        </w:rPr>
      </w:pPr>
    </w:p>
    <w:p>
      <w:pPr>
        <w:spacing w:before="0"/>
        <w:ind w:left="0" w:right="1120" w:firstLine="0"/>
        <w:jc w:val="right"/>
        <w:rPr>
          <w:rFonts w:ascii="Courier New" w:hAnsi="Courier New"/>
          <w:b/>
          <w:sz w:val="32"/>
        </w:rPr>
      </w:pPr>
      <w:r>
        <w:rPr>
          <w:rFonts w:ascii="Courier New" w:hAnsi="Courier New"/>
          <w:b/>
          <w:sz w:val="32"/>
        </w:rPr>
        <w:t>DR. MIGUEL ÁNGEL SOBRINO ORDÓÑEZ</w:t>
      </w:r>
    </w:p>
    <w:p>
      <w:pPr>
        <w:pStyle w:val="BodyText"/>
        <w:rPr>
          <w:rFonts w:ascii="Courier New"/>
          <w:b/>
          <w:sz w:val="32"/>
        </w:rPr>
      </w:pPr>
    </w:p>
    <w:p>
      <w:pPr>
        <w:pStyle w:val="BodyText"/>
        <w:rPr>
          <w:rFonts w:ascii="Courier New"/>
          <w:b/>
          <w:sz w:val="32"/>
        </w:rPr>
      </w:pPr>
    </w:p>
    <w:p>
      <w:pPr>
        <w:pStyle w:val="BodyText"/>
        <w:rPr>
          <w:rFonts w:ascii="Courier New"/>
          <w:b/>
          <w:sz w:val="32"/>
        </w:rPr>
      </w:pPr>
    </w:p>
    <w:p>
      <w:pPr>
        <w:pStyle w:val="BodyText"/>
        <w:spacing w:before="7"/>
        <w:rPr>
          <w:rFonts w:ascii="Courier New"/>
          <w:b/>
          <w:sz w:val="25"/>
        </w:rPr>
      </w:pPr>
    </w:p>
    <w:p>
      <w:pPr>
        <w:spacing w:before="0"/>
        <w:ind w:left="0" w:right="1119" w:firstLine="0"/>
        <w:jc w:val="right"/>
        <w:rPr>
          <w:sz w:val="22"/>
        </w:rPr>
      </w:pPr>
      <w:r>
        <w:rPr>
          <w:w w:val="90"/>
          <w:sz w:val="22"/>
        </w:rPr>
        <w:t>Toluca, Méx., diciembre de 2012</w:t>
      </w:r>
    </w:p>
    <w:p>
      <w:pPr>
        <w:spacing w:after="0"/>
        <w:jc w:val="right"/>
        <w:rPr>
          <w:sz w:val="22"/>
        </w:rPr>
        <w:sectPr>
          <w:footerReference w:type="default" r:id="rId5"/>
          <w:type w:val="continuous"/>
          <w:pgSz w:w="12240" w:h="15840"/>
          <w:pgMar w:footer="938" w:top="1240" w:bottom="1120" w:left="1100" w:right="580"/>
          <w:pgNumType w:start="1"/>
        </w:sectPr>
      </w:pPr>
    </w:p>
    <w:p>
      <w:pPr>
        <w:pStyle w:val="BodyText"/>
        <w:spacing w:before="4"/>
        <w:rPr>
          <w:rFonts w:ascii="Times New Roman"/>
          <w:sz w:val="17"/>
        </w:rPr>
      </w:pPr>
    </w:p>
    <w:p>
      <w:pPr>
        <w:spacing w:after="0"/>
        <w:rPr>
          <w:rFonts w:ascii="Times New Roman"/>
          <w:sz w:val="17"/>
        </w:rPr>
        <w:sectPr>
          <w:pgSz w:w="12240" w:h="15840"/>
          <w:pgMar w:header="0" w:footer="938" w:top="1500" w:bottom="112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spacing w:before="54"/>
        <w:ind w:left="3769" w:right="3769" w:firstLine="0"/>
        <w:jc w:val="center"/>
        <w:rPr>
          <w:b/>
          <w:sz w:val="36"/>
        </w:rPr>
      </w:pPr>
      <w:r>
        <w:rPr>
          <w:b/>
          <w:sz w:val="36"/>
        </w:rPr>
        <w:t>ÍNDICE</w:t>
      </w:r>
    </w:p>
    <w:p>
      <w:pPr>
        <w:spacing w:after="0"/>
        <w:jc w:val="center"/>
        <w:rPr>
          <w:sz w:val="36"/>
        </w:rPr>
        <w:sectPr>
          <w:footerReference w:type="default" r:id="rId9"/>
          <w:pgSz w:w="12240" w:h="15840"/>
          <w:pgMar w:footer="938" w:header="0" w:top="1500" w:bottom="1120" w:left="1720" w:right="1720"/>
          <w:pgNumType w:start="3"/>
        </w:sectPr>
      </w:pPr>
    </w:p>
    <w:p>
      <w:pPr>
        <w:pStyle w:val="BodyText"/>
        <w:spacing w:before="55"/>
        <w:ind w:left="478" w:right="579"/>
        <w:jc w:val="center"/>
      </w:pPr>
      <w:r>
        <w:rPr/>
        <w:t>ÍNDICE</w:t>
      </w:r>
    </w:p>
    <w:p>
      <w:pPr>
        <w:pStyle w:val="BodyText"/>
        <w:rPr>
          <w:sz w:val="20"/>
        </w:rPr>
      </w:pPr>
    </w:p>
    <w:p>
      <w:pPr>
        <w:pStyle w:val="BodyText"/>
        <w:rPr>
          <w:sz w:val="20"/>
        </w:rPr>
      </w:pPr>
    </w:p>
    <w:p>
      <w:pPr>
        <w:pStyle w:val="BodyText"/>
        <w:spacing w:before="4"/>
        <w:rPr>
          <w:sz w:val="19"/>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36"/>
        <w:gridCol w:w="569"/>
      </w:tblGrid>
      <w:tr>
        <w:trPr>
          <w:trHeight w:val="841" w:hRule="exact"/>
        </w:trPr>
        <w:tc>
          <w:tcPr>
            <w:tcW w:w="8436" w:type="dxa"/>
          </w:tcPr>
          <w:p>
            <w:pPr>
              <w:pStyle w:val="TableParagraph"/>
              <w:spacing w:line="360" w:lineRule="auto" w:before="69"/>
              <w:ind w:right="6154"/>
              <w:rPr>
                <w:sz w:val="24"/>
              </w:rPr>
            </w:pPr>
            <w:r>
              <w:rPr>
                <w:sz w:val="24"/>
              </w:rPr>
              <w:t>DEDICATORIA RECONOCIMIENTO</w:t>
            </w:r>
          </w:p>
        </w:tc>
        <w:tc>
          <w:tcPr>
            <w:tcW w:w="569" w:type="dxa"/>
          </w:tcPr>
          <w:p>
            <w:pPr>
              <w:pStyle w:val="TableParagraph"/>
              <w:spacing w:line="360" w:lineRule="auto" w:before="69"/>
              <w:ind w:left="138"/>
              <w:rPr>
                <w:sz w:val="24"/>
              </w:rPr>
            </w:pPr>
            <w:r>
              <w:rPr>
                <w:sz w:val="24"/>
              </w:rPr>
              <w:t>VII IX</w:t>
            </w:r>
          </w:p>
        </w:tc>
      </w:tr>
      <w:tr>
        <w:trPr>
          <w:trHeight w:val="622" w:hRule="exact"/>
        </w:trPr>
        <w:tc>
          <w:tcPr>
            <w:tcW w:w="8436" w:type="dxa"/>
          </w:tcPr>
          <w:p>
            <w:pPr>
              <w:pStyle w:val="TableParagraph"/>
              <w:ind w:right="6154"/>
              <w:rPr>
                <w:sz w:val="24"/>
              </w:rPr>
            </w:pPr>
            <w:r>
              <w:rPr>
                <w:sz w:val="24"/>
              </w:rPr>
              <w:t>AGRADECIMIENTO</w:t>
            </w:r>
          </w:p>
        </w:tc>
        <w:tc>
          <w:tcPr>
            <w:tcW w:w="569" w:type="dxa"/>
          </w:tcPr>
          <w:p>
            <w:pPr>
              <w:pStyle w:val="TableParagraph"/>
              <w:ind w:left="138"/>
              <w:rPr>
                <w:sz w:val="24"/>
              </w:rPr>
            </w:pPr>
            <w:r>
              <w:rPr>
                <w:sz w:val="24"/>
              </w:rPr>
              <w:t>XI</w:t>
            </w:r>
          </w:p>
        </w:tc>
      </w:tr>
      <w:tr>
        <w:trPr>
          <w:trHeight w:val="828" w:hRule="exact"/>
        </w:trPr>
        <w:tc>
          <w:tcPr>
            <w:tcW w:w="8436" w:type="dxa"/>
          </w:tcPr>
          <w:p>
            <w:pPr>
              <w:pStyle w:val="TableParagraph"/>
              <w:spacing w:before="10"/>
              <w:ind w:left="0"/>
              <w:rPr>
                <w:sz w:val="22"/>
              </w:rPr>
            </w:pPr>
          </w:p>
          <w:p>
            <w:pPr>
              <w:pStyle w:val="TableParagraph"/>
              <w:spacing w:before="0"/>
              <w:ind w:right="6154"/>
              <w:rPr>
                <w:sz w:val="24"/>
              </w:rPr>
            </w:pPr>
            <w:r>
              <w:rPr>
                <w:sz w:val="24"/>
              </w:rPr>
              <w:t>INTRODUCCIÓN</w:t>
            </w:r>
          </w:p>
        </w:tc>
        <w:tc>
          <w:tcPr>
            <w:tcW w:w="569" w:type="dxa"/>
          </w:tcPr>
          <w:p>
            <w:pPr>
              <w:pStyle w:val="TableParagraph"/>
              <w:spacing w:before="10"/>
              <w:ind w:left="0"/>
              <w:rPr>
                <w:sz w:val="22"/>
              </w:rPr>
            </w:pPr>
          </w:p>
          <w:p>
            <w:pPr>
              <w:pStyle w:val="TableParagraph"/>
              <w:spacing w:before="0"/>
              <w:ind w:left="138"/>
              <w:rPr>
                <w:sz w:val="24"/>
              </w:rPr>
            </w:pPr>
            <w:r>
              <w:rPr>
                <w:w w:val="99"/>
                <w:sz w:val="24"/>
              </w:rPr>
              <w:t>1</w:t>
            </w:r>
          </w:p>
        </w:tc>
      </w:tr>
      <w:tr>
        <w:trPr>
          <w:trHeight w:val="1034" w:hRule="exact"/>
        </w:trPr>
        <w:tc>
          <w:tcPr>
            <w:tcW w:w="8436" w:type="dxa"/>
          </w:tcPr>
          <w:p>
            <w:pPr>
              <w:pStyle w:val="TableParagraph"/>
              <w:spacing w:before="10"/>
              <w:ind w:left="0"/>
              <w:rPr>
                <w:sz w:val="22"/>
              </w:rPr>
            </w:pPr>
          </w:p>
          <w:p>
            <w:pPr>
              <w:pStyle w:val="TableParagraph"/>
              <w:spacing w:before="0"/>
              <w:ind w:right="86"/>
              <w:rPr>
                <w:sz w:val="24"/>
              </w:rPr>
            </w:pPr>
            <w:r>
              <w:rPr>
                <w:sz w:val="24"/>
              </w:rPr>
              <w:t>CAPÍTULO PRIMERO HONDURAS, MÉXICO Y LA TELEVISIÓN:</w:t>
            </w:r>
          </w:p>
          <w:p>
            <w:pPr>
              <w:pStyle w:val="TableParagraph"/>
              <w:spacing w:before="136"/>
              <w:ind w:right="86"/>
              <w:rPr>
                <w:sz w:val="24"/>
              </w:rPr>
            </w:pPr>
            <w:r>
              <w:rPr>
                <w:sz w:val="24"/>
              </w:rPr>
              <w:t>CONTEXTO HISTÓRICO-SOCIAL………………………………………………..</w:t>
            </w:r>
          </w:p>
        </w:tc>
        <w:tc>
          <w:tcPr>
            <w:tcW w:w="569" w:type="dxa"/>
          </w:tcPr>
          <w:p>
            <w:pPr>
              <w:pStyle w:val="TableParagraph"/>
              <w:spacing w:before="0"/>
              <w:ind w:left="0"/>
              <w:rPr>
                <w:sz w:val="24"/>
              </w:rPr>
            </w:pPr>
          </w:p>
          <w:p>
            <w:pPr>
              <w:pStyle w:val="TableParagraph"/>
              <w:spacing w:before="8"/>
              <w:ind w:left="0"/>
              <w:rPr>
                <w:sz w:val="34"/>
              </w:rPr>
            </w:pPr>
          </w:p>
          <w:p>
            <w:pPr>
              <w:pStyle w:val="TableParagraph"/>
              <w:spacing w:before="1"/>
              <w:ind w:left="138"/>
              <w:rPr>
                <w:sz w:val="24"/>
              </w:rPr>
            </w:pPr>
            <w:r>
              <w:rPr>
                <w:sz w:val="24"/>
              </w:rPr>
              <w:t>25</w:t>
            </w:r>
          </w:p>
        </w:tc>
      </w:tr>
      <w:tr>
        <w:trPr>
          <w:trHeight w:val="414" w:hRule="exact"/>
        </w:trPr>
        <w:tc>
          <w:tcPr>
            <w:tcW w:w="8436" w:type="dxa"/>
          </w:tcPr>
          <w:p>
            <w:pPr>
              <w:pStyle w:val="TableParagraph"/>
              <w:ind w:right="86"/>
              <w:rPr>
                <w:sz w:val="24"/>
              </w:rPr>
            </w:pPr>
            <w:r>
              <w:rPr>
                <w:sz w:val="24"/>
              </w:rPr>
              <w:t>1. Contexto Histórico – Social….........................................................................</w:t>
            </w:r>
          </w:p>
        </w:tc>
        <w:tc>
          <w:tcPr>
            <w:tcW w:w="569" w:type="dxa"/>
          </w:tcPr>
          <w:p>
            <w:pPr>
              <w:pStyle w:val="TableParagraph"/>
              <w:ind w:left="138"/>
              <w:rPr>
                <w:sz w:val="24"/>
              </w:rPr>
            </w:pPr>
            <w:r>
              <w:rPr>
                <w:sz w:val="24"/>
              </w:rPr>
              <w:t>26</w:t>
            </w:r>
          </w:p>
        </w:tc>
      </w:tr>
      <w:tr>
        <w:trPr>
          <w:trHeight w:val="414" w:hRule="exact"/>
        </w:trPr>
        <w:tc>
          <w:tcPr>
            <w:tcW w:w="8436" w:type="dxa"/>
          </w:tcPr>
          <w:p>
            <w:pPr>
              <w:pStyle w:val="TableParagraph"/>
              <w:spacing w:before="55"/>
              <w:ind w:right="86"/>
              <w:rPr>
                <w:sz w:val="24"/>
              </w:rPr>
            </w:pPr>
            <w:r>
              <w:rPr>
                <w:sz w:val="24"/>
              </w:rPr>
              <w:t>a. Aspectos histórico-sociales y económicos de México del  Siglo XX………..</w:t>
            </w:r>
          </w:p>
        </w:tc>
        <w:tc>
          <w:tcPr>
            <w:tcW w:w="569" w:type="dxa"/>
          </w:tcPr>
          <w:p>
            <w:pPr>
              <w:pStyle w:val="TableParagraph"/>
              <w:spacing w:before="55"/>
              <w:ind w:left="138"/>
              <w:rPr>
                <w:sz w:val="24"/>
              </w:rPr>
            </w:pPr>
            <w:r>
              <w:rPr>
                <w:sz w:val="24"/>
              </w:rPr>
              <w:t>26</w:t>
            </w:r>
          </w:p>
        </w:tc>
      </w:tr>
      <w:tr>
        <w:trPr>
          <w:trHeight w:val="828" w:hRule="exact"/>
        </w:trPr>
        <w:tc>
          <w:tcPr>
            <w:tcW w:w="8436" w:type="dxa"/>
          </w:tcPr>
          <w:p>
            <w:pPr>
              <w:pStyle w:val="TableParagraph"/>
              <w:spacing w:line="357" w:lineRule="auto"/>
              <w:ind w:left="238" w:right="137" w:hanging="204"/>
              <w:rPr>
                <w:sz w:val="24"/>
              </w:rPr>
            </w:pPr>
            <w:r>
              <w:rPr>
                <w:sz w:val="24"/>
              </w:rPr>
              <w:t>b. Aspectos histórico-sociales y económicos de Honduras: Análisis geográfico, político y demográfico..................................................................</w:t>
            </w:r>
          </w:p>
        </w:tc>
        <w:tc>
          <w:tcPr>
            <w:tcW w:w="569" w:type="dxa"/>
          </w:tcPr>
          <w:p>
            <w:pPr>
              <w:pStyle w:val="TableParagraph"/>
              <w:spacing w:before="0"/>
              <w:ind w:left="0"/>
              <w:rPr>
                <w:sz w:val="24"/>
              </w:rPr>
            </w:pPr>
          </w:p>
          <w:p>
            <w:pPr>
              <w:pStyle w:val="TableParagraph"/>
              <w:spacing w:before="194"/>
              <w:ind w:left="138"/>
              <w:rPr>
                <w:sz w:val="24"/>
              </w:rPr>
            </w:pPr>
            <w:r>
              <w:rPr>
                <w:sz w:val="24"/>
              </w:rPr>
              <w:t>52</w:t>
            </w:r>
          </w:p>
        </w:tc>
      </w:tr>
      <w:tr>
        <w:trPr>
          <w:trHeight w:val="414" w:hRule="exact"/>
        </w:trPr>
        <w:tc>
          <w:tcPr>
            <w:tcW w:w="8436" w:type="dxa"/>
          </w:tcPr>
          <w:p>
            <w:pPr>
              <w:pStyle w:val="TableParagraph"/>
              <w:ind w:right="86"/>
              <w:rPr>
                <w:sz w:val="24"/>
              </w:rPr>
            </w:pPr>
            <w:r>
              <w:rPr>
                <w:sz w:val="24"/>
              </w:rPr>
              <w:t>2. Desarrollo de la televisión en México y Honduras........................................</w:t>
            </w:r>
          </w:p>
        </w:tc>
        <w:tc>
          <w:tcPr>
            <w:tcW w:w="569" w:type="dxa"/>
          </w:tcPr>
          <w:p>
            <w:pPr>
              <w:pStyle w:val="TableParagraph"/>
              <w:ind w:left="138"/>
              <w:rPr>
                <w:sz w:val="24"/>
              </w:rPr>
            </w:pPr>
            <w:r>
              <w:rPr>
                <w:sz w:val="24"/>
              </w:rPr>
              <w:t>68</w:t>
            </w:r>
          </w:p>
        </w:tc>
      </w:tr>
      <w:tr>
        <w:trPr>
          <w:trHeight w:val="414" w:hRule="exact"/>
        </w:trPr>
        <w:tc>
          <w:tcPr>
            <w:tcW w:w="8436" w:type="dxa"/>
          </w:tcPr>
          <w:p>
            <w:pPr>
              <w:pStyle w:val="TableParagraph"/>
              <w:spacing w:before="55"/>
              <w:ind w:right="86"/>
              <w:rPr>
                <w:sz w:val="24"/>
              </w:rPr>
            </w:pPr>
            <w:r>
              <w:rPr>
                <w:sz w:val="24"/>
              </w:rPr>
              <w:t>a. Uso de los medios de comunicación en México y Honduras........................</w:t>
            </w:r>
          </w:p>
        </w:tc>
        <w:tc>
          <w:tcPr>
            <w:tcW w:w="569" w:type="dxa"/>
          </w:tcPr>
          <w:p>
            <w:pPr>
              <w:pStyle w:val="TableParagraph"/>
              <w:spacing w:before="55"/>
              <w:ind w:left="138"/>
              <w:rPr>
                <w:sz w:val="24"/>
              </w:rPr>
            </w:pPr>
            <w:r>
              <w:rPr>
                <w:sz w:val="24"/>
              </w:rPr>
              <w:t>69</w:t>
            </w:r>
          </w:p>
        </w:tc>
      </w:tr>
      <w:tr>
        <w:trPr>
          <w:trHeight w:val="414" w:hRule="exact"/>
        </w:trPr>
        <w:tc>
          <w:tcPr>
            <w:tcW w:w="8436" w:type="dxa"/>
          </w:tcPr>
          <w:p>
            <w:pPr>
              <w:pStyle w:val="TableParagraph"/>
              <w:ind w:right="86"/>
              <w:rPr>
                <w:sz w:val="24"/>
              </w:rPr>
            </w:pPr>
            <w:r>
              <w:rPr>
                <w:sz w:val="24"/>
              </w:rPr>
              <w:t>b. La televisión en Honduras…..........................................................................</w:t>
            </w:r>
          </w:p>
        </w:tc>
        <w:tc>
          <w:tcPr>
            <w:tcW w:w="569" w:type="dxa"/>
          </w:tcPr>
          <w:p>
            <w:pPr>
              <w:pStyle w:val="TableParagraph"/>
              <w:ind w:left="138"/>
              <w:rPr>
                <w:sz w:val="24"/>
              </w:rPr>
            </w:pPr>
            <w:r>
              <w:rPr>
                <w:sz w:val="24"/>
              </w:rPr>
              <w:t>72</w:t>
            </w:r>
          </w:p>
        </w:tc>
      </w:tr>
      <w:tr>
        <w:trPr>
          <w:trHeight w:val="414" w:hRule="exact"/>
        </w:trPr>
        <w:tc>
          <w:tcPr>
            <w:tcW w:w="8436" w:type="dxa"/>
          </w:tcPr>
          <w:p>
            <w:pPr>
              <w:pStyle w:val="TableParagraph"/>
              <w:spacing w:before="55"/>
              <w:ind w:right="86"/>
              <w:rPr>
                <w:sz w:val="24"/>
              </w:rPr>
            </w:pPr>
            <w:r>
              <w:rPr>
                <w:sz w:val="24"/>
              </w:rPr>
              <w:t>c. La televisión en México..................................................................................</w:t>
            </w:r>
          </w:p>
        </w:tc>
        <w:tc>
          <w:tcPr>
            <w:tcW w:w="569" w:type="dxa"/>
          </w:tcPr>
          <w:p>
            <w:pPr>
              <w:pStyle w:val="TableParagraph"/>
              <w:spacing w:before="55"/>
              <w:ind w:left="138"/>
              <w:rPr>
                <w:sz w:val="24"/>
              </w:rPr>
            </w:pPr>
            <w:r>
              <w:rPr>
                <w:sz w:val="24"/>
              </w:rPr>
              <w:t>75</w:t>
            </w:r>
          </w:p>
        </w:tc>
      </w:tr>
      <w:tr>
        <w:trPr>
          <w:trHeight w:val="414" w:hRule="exact"/>
        </w:trPr>
        <w:tc>
          <w:tcPr>
            <w:tcW w:w="8436" w:type="dxa"/>
          </w:tcPr>
          <w:p>
            <w:pPr>
              <w:pStyle w:val="TableParagraph"/>
              <w:ind w:right="86"/>
              <w:rPr>
                <w:sz w:val="24"/>
              </w:rPr>
            </w:pPr>
            <w:r>
              <w:rPr>
                <w:sz w:val="24"/>
              </w:rPr>
              <w:t>d. Contenidos de la programación abierta de la televisión...............................</w:t>
            </w:r>
          </w:p>
        </w:tc>
        <w:tc>
          <w:tcPr>
            <w:tcW w:w="569" w:type="dxa"/>
          </w:tcPr>
          <w:p>
            <w:pPr>
              <w:pStyle w:val="TableParagraph"/>
              <w:ind w:left="138"/>
              <w:rPr>
                <w:sz w:val="24"/>
              </w:rPr>
            </w:pPr>
            <w:r>
              <w:rPr>
                <w:sz w:val="24"/>
              </w:rPr>
              <w:t>81</w:t>
            </w:r>
          </w:p>
        </w:tc>
      </w:tr>
      <w:tr>
        <w:trPr>
          <w:trHeight w:val="414" w:hRule="exact"/>
        </w:trPr>
        <w:tc>
          <w:tcPr>
            <w:tcW w:w="8436" w:type="dxa"/>
          </w:tcPr>
          <w:p>
            <w:pPr>
              <w:pStyle w:val="TableParagraph"/>
              <w:spacing w:before="55"/>
              <w:ind w:right="86"/>
              <w:rPr>
                <w:sz w:val="24"/>
              </w:rPr>
            </w:pPr>
            <w:r>
              <w:rPr>
                <w:sz w:val="24"/>
              </w:rPr>
              <w:t>e. Programación de más aceptación en México y Honduras.............................</w:t>
            </w:r>
          </w:p>
        </w:tc>
        <w:tc>
          <w:tcPr>
            <w:tcW w:w="569" w:type="dxa"/>
          </w:tcPr>
          <w:p>
            <w:pPr>
              <w:pStyle w:val="TableParagraph"/>
              <w:spacing w:before="55"/>
              <w:ind w:left="138"/>
              <w:rPr>
                <w:sz w:val="24"/>
              </w:rPr>
            </w:pPr>
            <w:r>
              <w:rPr>
                <w:sz w:val="24"/>
              </w:rPr>
              <w:t>84</w:t>
            </w:r>
          </w:p>
        </w:tc>
      </w:tr>
      <w:tr>
        <w:trPr>
          <w:trHeight w:val="622" w:hRule="exact"/>
        </w:trPr>
        <w:tc>
          <w:tcPr>
            <w:tcW w:w="8436" w:type="dxa"/>
          </w:tcPr>
          <w:p>
            <w:pPr>
              <w:pStyle w:val="TableParagraph"/>
              <w:ind w:right="86"/>
              <w:rPr>
                <w:sz w:val="24"/>
              </w:rPr>
            </w:pPr>
            <w:r>
              <w:rPr>
                <w:sz w:val="24"/>
              </w:rPr>
              <w:t>f. Uso social de la televisión…...........................................................................</w:t>
            </w:r>
          </w:p>
        </w:tc>
        <w:tc>
          <w:tcPr>
            <w:tcW w:w="569" w:type="dxa"/>
          </w:tcPr>
          <w:p>
            <w:pPr>
              <w:pStyle w:val="TableParagraph"/>
              <w:ind w:left="138"/>
              <w:rPr>
                <w:sz w:val="24"/>
              </w:rPr>
            </w:pPr>
            <w:r>
              <w:rPr>
                <w:sz w:val="24"/>
              </w:rPr>
              <w:t>86</w:t>
            </w:r>
          </w:p>
        </w:tc>
      </w:tr>
      <w:tr>
        <w:trPr>
          <w:trHeight w:val="1035" w:hRule="exact"/>
        </w:trPr>
        <w:tc>
          <w:tcPr>
            <w:tcW w:w="8436" w:type="dxa"/>
          </w:tcPr>
          <w:p>
            <w:pPr>
              <w:pStyle w:val="TableParagraph"/>
              <w:spacing w:before="10"/>
              <w:ind w:left="0"/>
              <w:rPr>
                <w:sz w:val="22"/>
              </w:rPr>
            </w:pPr>
          </w:p>
          <w:p>
            <w:pPr>
              <w:pStyle w:val="TableParagraph"/>
              <w:spacing w:line="357" w:lineRule="auto" w:before="0"/>
              <w:ind w:right="86"/>
              <w:rPr>
                <w:sz w:val="24"/>
              </w:rPr>
            </w:pPr>
            <w:r>
              <w:rPr>
                <w:sz w:val="24"/>
              </w:rPr>
              <w:t>CAPÍTULO SEGUNDO: HONDURAS Y MÉXICO ANTE EL IMPACTO SOCIAL DE LA TELEVISIÓN............................................................................</w:t>
            </w:r>
          </w:p>
        </w:tc>
        <w:tc>
          <w:tcPr>
            <w:tcW w:w="569" w:type="dxa"/>
          </w:tcPr>
          <w:p>
            <w:pPr>
              <w:pStyle w:val="TableParagraph"/>
              <w:spacing w:before="0"/>
              <w:ind w:left="0"/>
              <w:rPr>
                <w:sz w:val="24"/>
              </w:rPr>
            </w:pPr>
          </w:p>
          <w:p>
            <w:pPr>
              <w:pStyle w:val="TableParagraph"/>
              <w:spacing w:before="8"/>
              <w:ind w:left="0"/>
              <w:rPr>
                <w:sz w:val="34"/>
              </w:rPr>
            </w:pPr>
          </w:p>
          <w:p>
            <w:pPr>
              <w:pStyle w:val="TableParagraph"/>
              <w:spacing w:before="1"/>
              <w:ind w:left="138"/>
              <w:rPr>
                <w:sz w:val="24"/>
              </w:rPr>
            </w:pPr>
            <w:r>
              <w:rPr>
                <w:sz w:val="24"/>
              </w:rPr>
              <w:t>91</w:t>
            </w:r>
          </w:p>
        </w:tc>
      </w:tr>
      <w:tr>
        <w:trPr>
          <w:trHeight w:val="414" w:hRule="exact"/>
        </w:trPr>
        <w:tc>
          <w:tcPr>
            <w:tcW w:w="8436" w:type="dxa"/>
          </w:tcPr>
          <w:p>
            <w:pPr>
              <w:pStyle w:val="TableParagraph"/>
              <w:ind w:right="86"/>
              <w:rPr>
                <w:sz w:val="24"/>
              </w:rPr>
            </w:pPr>
            <w:r>
              <w:rPr>
                <w:sz w:val="24"/>
              </w:rPr>
              <w:t>1. La comunicación............................................................................................</w:t>
            </w:r>
          </w:p>
        </w:tc>
        <w:tc>
          <w:tcPr>
            <w:tcW w:w="569" w:type="dxa"/>
          </w:tcPr>
          <w:p>
            <w:pPr>
              <w:pStyle w:val="TableParagraph"/>
              <w:ind w:left="138"/>
              <w:rPr>
                <w:sz w:val="24"/>
              </w:rPr>
            </w:pPr>
            <w:r>
              <w:rPr>
                <w:sz w:val="24"/>
              </w:rPr>
              <w:t>92</w:t>
            </w:r>
          </w:p>
        </w:tc>
      </w:tr>
      <w:tr>
        <w:trPr>
          <w:trHeight w:val="414" w:hRule="exact"/>
        </w:trPr>
        <w:tc>
          <w:tcPr>
            <w:tcW w:w="8436" w:type="dxa"/>
          </w:tcPr>
          <w:p>
            <w:pPr>
              <w:pStyle w:val="TableParagraph"/>
              <w:spacing w:before="55"/>
              <w:ind w:right="86"/>
              <w:rPr>
                <w:sz w:val="24"/>
              </w:rPr>
            </w:pPr>
            <w:r>
              <w:rPr>
                <w:sz w:val="24"/>
              </w:rPr>
              <w:t>a. Historia de los medios de comunicación social………………………………...</w:t>
            </w:r>
          </w:p>
        </w:tc>
        <w:tc>
          <w:tcPr>
            <w:tcW w:w="569" w:type="dxa"/>
          </w:tcPr>
          <w:p>
            <w:pPr>
              <w:pStyle w:val="TableParagraph"/>
              <w:spacing w:before="55"/>
              <w:ind w:left="138"/>
              <w:rPr>
                <w:sz w:val="24"/>
              </w:rPr>
            </w:pPr>
            <w:r>
              <w:rPr>
                <w:sz w:val="24"/>
              </w:rPr>
              <w:t>93</w:t>
            </w:r>
          </w:p>
        </w:tc>
      </w:tr>
      <w:tr>
        <w:trPr>
          <w:trHeight w:val="414" w:hRule="exact"/>
        </w:trPr>
        <w:tc>
          <w:tcPr>
            <w:tcW w:w="8436" w:type="dxa"/>
          </w:tcPr>
          <w:p>
            <w:pPr>
              <w:pStyle w:val="TableParagraph"/>
              <w:ind w:right="86"/>
              <w:rPr>
                <w:sz w:val="24"/>
              </w:rPr>
            </w:pPr>
            <w:r>
              <w:rPr>
                <w:sz w:val="24"/>
              </w:rPr>
              <w:t>b. Desarrollo de los medios de comunicación ……………………………………</w:t>
            </w:r>
          </w:p>
        </w:tc>
        <w:tc>
          <w:tcPr>
            <w:tcW w:w="569" w:type="dxa"/>
          </w:tcPr>
          <w:p>
            <w:pPr>
              <w:pStyle w:val="TableParagraph"/>
              <w:ind w:left="138"/>
              <w:rPr>
                <w:sz w:val="24"/>
              </w:rPr>
            </w:pPr>
            <w:r>
              <w:rPr>
                <w:sz w:val="24"/>
              </w:rPr>
              <w:t>101</w:t>
            </w:r>
          </w:p>
        </w:tc>
      </w:tr>
      <w:tr>
        <w:trPr>
          <w:trHeight w:val="414" w:hRule="exact"/>
        </w:trPr>
        <w:tc>
          <w:tcPr>
            <w:tcW w:w="8436" w:type="dxa"/>
          </w:tcPr>
          <w:p>
            <w:pPr>
              <w:pStyle w:val="TableParagraph"/>
              <w:spacing w:before="55"/>
              <w:ind w:right="86"/>
              <w:rPr>
                <w:sz w:val="24"/>
              </w:rPr>
            </w:pPr>
            <w:r>
              <w:rPr>
                <w:sz w:val="24"/>
              </w:rPr>
              <w:t>2. Comunicación, poder y dominación en América Latina................................</w:t>
            </w:r>
          </w:p>
        </w:tc>
        <w:tc>
          <w:tcPr>
            <w:tcW w:w="569" w:type="dxa"/>
          </w:tcPr>
          <w:p>
            <w:pPr>
              <w:pStyle w:val="TableParagraph"/>
              <w:spacing w:before="55"/>
              <w:ind w:left="138"/>
              <w:rPr>
                <w:sz w:val="24"/>
              </w:rPr>
            </w:pPr>
            <w:r>
              <w:rPr>
                <w:sz w:val="24"/>
              </w:rPr>
              <w:t>104</w:t>
            </w:r>
          </w:p>
        </w:tc>
      </w:tr>
      <w:tr>
        <w:trPr>
          <w:trHeight w:val="414" w:hRule="exact"/>
        </w:trPr>
        <w:tc>
          <w:tcPr>
            <w:tcW w:w="8436" w:type="dxa"/>
          </w:tcPr>
          <w:p>
            <w:pPr>
              <w:pStyle w:val="TableParagraph"/>
              <w:ind w:right="86"/>
              <w:rPr>
                <w:sz w:val="24"/>
              </w:rPr>
            </w:pPr>
            <w:r>
              <w:rPr>
                <w:sz w:val="24"/>
              </w:rPr>
              <w:t>3. Educación e ideología....................................................................................</w:t>
            </w:r>
          </w:p>
        </w:tc>
        <w:tc>
          <w:tcPr>
            <w:tcW w:w="569" w:type="dxa"/>
          </w:tcPr>
          <w:p>
            <w:pPr>
              <w:pStyle w:val="TableParagraph"/>
              <w:ind w:left="138"/>
              <w:rPr>
                <w:sz w:val="24"/>
              </w:rPr>
            </w:pPr>
            <w:r>
              <w:rPr>
                <w:sz w:val="24"/>
              </w:rPr>
              <w:t>108</w:t>
            </w:r>
          </w:p>
        </w:tc>
      </w:tr>
      <w:tr>
        <w:trPr>
          <w:trHeight w:val="426" w:hRule="exact"/>
        </w:trPr>
        <w:tc>
          <w:tcPr>
            <w:tcW w:w="8436" w:type="dxa"/>
          </w:tcPr>
          <w:p>
            <w:pPr>
              <w:pStyle w:val="TableParagraph"/>
              <w:spacing w:before="55"/>
              <w:ind w:right="86"/>
              <w:rPr>
                <w:sz w:val="24"/>
              </w:rPr>
            </w:pPr>
            <w:r>
              <w:rPr>
                <w:sz w:val="24"/>
              </w:rPr>
              <w:t>a. Educación.......................................................................................................</w:t>
            </w:r>
          </w:p>
        </w:tc>
        <w:tc>
          <w:tcPr>
            <w:tcW w:w="569" w:type="dxa"/>
          </w:tcPr>
          <w:p>
            <w:pPr>
              <w:pStyle w:val="TableParagraph"/>
              <w:spacing w:before="55"/>
              <w:ind w:left="138"/>
              <w:rPr>
                <w:sz w:val="24"/>
              </w:rPr>
            </w:pPr>
            <w:r>
              <w:rPr>
                <w:sz w:val="24"/>
              </w:rPr>
              <w:t>108</w:t>
            </w:r>
          </w:p>
        </w:tc>
      </w:tr>
    </w:tbl>
    <w:p>
      <w:pPr>
        <w:spacing w:after="0"/>
        <w:rPr>
          <w:sz w:val="24"/>
        </w:rPr>
        <w:sectPr>
          <w:pgSz w:w="12240" w:h="15840"/>
          <w:pgMar w:header="0" w:footer="938" w:top="1360" w:bottom="1180" w:left="1560" w:right="1460"/>
        </w:sectPr>
      </w:pPr>
    </w:p>
    <w:sdt>
      <w:sdtPr>
        <w:docPartObj>
          <w:docPartGallery w:val="Table of Contents"/>
          <w:docPartUnique/>
        </w:docPartObj>
      </w:sdtPr>
      <w:sdtEndPr/>
      <w:sdtContent>
        <w:p>
          <w:pPr>
            <w:pStyle w:val="TOC1"/>
            <w:numPr>
              <w:ilvl w:val="0"/>
              <w:numId w:val="1"/>
            </w:numPr>
            <w:tabs>
              <w:tab w:pos="368" w:val="left" w:leader="none"/>
              <w:tab w:pos="9035" w:val="right" w:leader="dot"/>
            </w:tabs>
            <w:spacing w:line="240" w:lineRule="auto" w:before="55" w:after="0"/>
            <w:ind w:left="367" w:right="0" w:hanging="267"/>
            <w:jc w:val="left"/>
          </w:pPr>
          <w:hyperlink w:history="true" w:anchor="_TOC_250023">
            <w:r>
              <w:rPr/>
              <w:t>Ideología</w:t>
              <w:tab/>
            </w:r>
            <w:r>
              <w:rPr>
                <w:spacing w:val="-2"/>
              </w:rPr>
              <w:t>115</w:t>
            </w:r>
          </w:hyperlink>
        </w:p>
        <w:p>
          <w:pPr>
            <w:pStyle w:val="TOC1"/>
            <w:numPr>
              <w:ilvl w:val="0"/>
              <w:numId w:val="1"/>
            </w:numPr>
            <w:tabs>
              <w:tab w:pos="356" w:val="left" w:leader="none"/>
              <w:tab w:pos="9035" w:val="right" w:leader="dot"/>
            </w:tabs>
            <w:spacing w:line="240" w:lineRule="auto" w:before="140" w:after="0"/>
            <w:ind w:left="355" w:right="0" w:hanging="255"/>
            <w:jc w:val="left"/>
          </w:pPr>
          <w:hyperlink w:history="true" w:anchor="_TOC_250022">
            <w:r>
              <w:rPr/>
              <w:t>Ideología</w:t>
            </w:r>
            <w:r>
              <w:rPr>
                <w:spacing w:val="2"/>
              </w:rPr>
              <w:t> </w:t>
            </w:r>
            <w:r>
              <w:rPr/>
              <w:t>y medios.</w:t>
              <w:tab/>
            </w:r>
            <w:r>
              <w:rPr>
                <w:spacing w:val="-2"/>
              </w:rPr>
              <w:t>118</w:t>
            </w:r>
          </w:hyperlink>
        </w:p>
        <w:p>
          <w:pPr>
            <w:pStyle w:val="TOC1"/>
            <w:numPr>
              <w:ilvl w:val="0"/>
              <w:numId w:val="1"/>
            </w:numPr>
            <w:tabs>
              <w:tab w:pos="368" w:val="left" w:leader="none"/>
              <w:tab w:pos="9035" w:val="right" w:leader="dot"/>
            </w:tabs>
            <w:spacing w:line="240" w:lineRule="auto" w:before="136" w:after="0"/>
            <w:ind w:left="367" w:right="0" w:hanging="267"/>
            <w:jc w:val="left"/>
          </w:pPr>
          <w:hyperlink w:history="true" w:anchor="_TOC_250021">
            <w:r>
              <w:rPr/>
              <w:t>El hombre de la era de la</w:t>
            </w:r>
            <w:r>
              <w:rPr>
                <w:spacing w:val="-10"/>
              </w:rPr>
              <w:t> </w:t>
            </w:r>
            <w:r>
              <w:rPr/>
              <w:t>comunicación</w:t>
            </w:r>
            <w:r>
              <w:rPr>
                <w:spacing w:val="-2"/>
              </w:rPr>
              <w:t> </w:t>
            </w:r>
            <w:r>
              <w:rPr/>
              <w:t>televisiva</w:t>
              <w:tab/>
            </w:r>
            <w:r>
              <w:rPr>
                <w:spacing w:val="-2"/>
              </w:rPr>
              <w:t>121</w:t>
            </w:r>
          </w:hyperlink>
        </w:p>
        <w:p>
          <w:pPr>
            <w:pStyle w:val="TOC1"/>
            <w:numPr>
              <w:ilvl w:val="0"/>
              <w:numId w:val="2"/>
            </w:numPr>
            <w:tabs>
              <w:tab w:pos="368" w:val="left" w:leader="none"/>
              <w:tab w:pos="9035" w:val="right" w:leader="dot"/>
            </w:tabs>
            <w:spacing w:line="240" w:lineRule="auto" w:before="140" w:after="0"/>
            <w:ind w:left="367" w:right="0" w:hanging="267"/>
            <w:jc w:val="left"/>
          </w:pPr>
          <w:hyperlink w:history="true" w:anchor="_TOC_250020">
            <w:r>
              <w:rPr/>
              <w:t>La mercadotecnia  en la prefabricación de</w:t>
            </w:r>
            <w:r>
              <w:rPr>
                <w:spacing w:val="-9"/>
              </w:rPr>
              <w:t> </w:t>
            </w:r>
            <w:r>
              <w:rPr/>
              <w:t>la</w:t>
            </w:r>
            <w:r>
              <w:rPr>
                <w:spacing w:val="-2"/>
              </w:rPr>
              <w:t> </w:t>
            </w:r>
            <w:r>
              <w:rPr/>
              <w:t>conciencia</w:t>
              <w:tab/>
            </w:r>
            <w:r>
              <w:rPr>
                <w:spacing w:val="-2"/>
              </w:rPr>
              <w:t>126</w:t>
            </w:r>
          </w:hyperlink>
        </w:p>
        <w:p>
          <w:pPr>
            <w:pStyle w:val="TOC1"/>
            <w:numPr>
              <w:ilvl w:val="1"/>
              <w:numId w:val="2"/>
            </w:numPr>
            <w:tabs>
              <w:tab w:pos="368" w:val="left" w:leader="none"/>
              <w:tab w:pos="9035" w:val="right" w:leader="dot"/>
            </w:tabs>
            <w:spacing w:line="240" w:lineRule="auto" w:before="136" w:after="0"/>
            <w:ind w:left="367" w:right="0" w:hanging="267"/>
            <w:jc w:val="left"/>
          </w:pPr>
          <w:hyperlink w:history="true" w:anchor="_TOC_250019">
            <w:r>
              <w:rPr/>
              <w:t>Objetos y</w:t>
            </w:r>
            <w:r>
              <w:rPr>
                <w:spacing w:val="-5"/>
              </w:rPr>
              <w:t> </w:t>
            </w:r>
            <w:r>
              <w:rPr/>
              <w:t>felicidad</w:t>
              <w:tab/>
            </w:r>
            <w:r>
              <w:rPr>
                <w:spacing w:val="-2"/>
              </w:rPr>
              <w:t>129</w:t>
            </w:r>
          </w:hyperlink>
        </w:p>
        <w:p>
          <w:pPr>
            <w:pStyle w:val="TOC1"/>
            <w:numPr>
              <w:ilvl w:val="0"/>
              <w:numId w:val="2"/>
            </w:numPr>
            <w:tabs>
              <w:tab w:pos="365" w:val="left" w:leader="none"/>
              <w:tab w:pos="9035" w:val="right" w:leader="dot"/>
            </w:tabs>
            <w:spacing w:line="240" w:lineRule="auto" w:before="140" w:after="0"/>
            <w:ind w:left="364" w:right="0" w:hanging="264"/>
            <w:jc w:val="left"/>
          </w:pPr>
          <w:hyperlink w:history="true" w:anchor="_TOC_250018">
            <w:r>
              <w:rPr/>
              <w:t>Televisión: Realidad</w:t>
            </w:r>
            <w:r>
              <w:rPr>
                <w:spacing w:val="3"/>
              </w:rPr>
              <w:t> </w:t>
            </w:r>
            <w:r>
              <w:rPr/>
              <w:t>y</w:t>
            </w:r>
            <w:r>
              <w:rPr>
                <w:spacing w:val="-5"/>
              </w:rPr>
              <w:t> </w:t>
            </w:r>
            <w:r>
              <w:rPr/>
              <w:t>apariencia</w:t>
              <w:tab/>
            </w:r>
            <w:r>
              <w:rPr>
                <w:spacing w:val="-2"/>
              </w:rPr>
              <w:t>133</w:t>
            </w:r>
          </w:hyperlink>
        </w:p>
        <w:p>
          <w:pPr>
            <w:pStyle w:val="TOC1"/>
            <w:numPr>
              <w:ilvl w:val="1"/>
              <w:numId w:val="2"/>
            </w:numPr>
            <w:tabs>
              <w:tab w:pos="368" w:val="left" w:leader="none"/>
              <w:tab w:pos="9035" w:val="right" w:leader="dot"/>
            </w:tabs>
            <w:spacing w:line="240" w:lineRule="auto" w:before="136" w:after="0"/>
            <w:ind w:left="367" w:right="0" w:hanging="267"/>
            <w:jc w:val="left"/>
          </w:pPr>
          <w:hyperlink w:history="true" w:anchor="_TOC_250017">
            <w:r>
              <w:rPr/>
              <w:t>Construcción de</w:t>
            </w:r>
            <w:r>
              <w:rPr>
                <w:spacing w:val="-3"/>
              </w:rPr>
              <w:t> </w:t>
            </w:r>
            <w:r>
              <w:rPr/>
              <w:t>la</w:t>
            </w:r>
            <w:r>
              <w:rPr>
                <w:spacing w:val="-2"/>
              </w:rPr>
              <w:t> </w:t>
            </w:r>
            <w:r>
              <w:rPr/>
              <w:t>opinión</w:t>
              <w:tab/>
            </w:r>
            <w:r>
              <w:rPr>
                <w:spacing w:val="-2"/>
              </w:rPr>
              <w:t>141</w:t>
            </w:r>
          </w:hyperlink>
        </w:p>
        <w:p>
          <w:pPr>
            <w:pStyle w:val="TOC1"/>
            <w:numPr>
              <w:ilvl w:val="1"/>
              <w:numId w:val="2"/>
            </w:numPr>
            <w:tabs>
              <w:tab w:pos="365" w:val="left" w:leader="none"/>
              <w:tab w:pos="9035" w:val="right" w:leader="dot"/>
            </w:tabs>
            <w:spacing w:line="240" w:lineRule="auto" w:before="140" w:after="0"/>
            <w:ind w:left="364" w:right="0" w:hanging="264"/>
            <w:jc w:val="left"/>
          </w:pPr>
          <w:hyperlink w:history="true" w:anchor="_TOC_250016">
            <w:r>
              <w:rPr/>
              <w:t>Televisión que forma y</w:t>
            </w:r>
            <w:r>
              <w:rPr>
                <w:spacing w:val="-9"/>
              </w:rPr>
              <w:t> </w:t>
            </w:r>
            <w:r>
              <w:rPr/>
              <w:t>conforma</w:t>
            </w:r>
            <w:r>
              <w:rPr>
                <w:spacing w:val="-2"/>
              </w:rPr>
              <w:t> </w:t>
            </w:r>
            <w:r>
              <w:rPr/>
              <w:t>conciencias…</w:t>
              <w:tab/>
            </w:r>
            <w:r>
              <w:rPr>
                <w:spacing w:val="-2"/>
              </w:rPr>
              <w:t>149</w:t>
            </w:r>
          </w:hyperlink>
        </w:p>
        <w:p>
          <w:pPr>
            <w:pStyle w:val="TOC1"/>
            <w:numPr>
              <w:ilvl w:val="0"/>
              <w:numId w:val="2"/>
            </w:numPr>
            <w:tabs>
              <w:tab w:pos="368" w:val="left" w:leader="none"/>
              <w:tab w:pos="9035" w:val="right" w:leader="dot"/>
            </w:tabs>
            <w:spacing w:line="240" w:lineRule="auto" w:before="136" w:after="0"/>
            <w:ind w:left="367" w:right="0" w:hanging="267"/>
            <w:jc w:val="left"/>
          </w:pPr>
          <w:hyperlink w:history="true" w:anchor="_TOC_250015">
            <w:r>
              <w:rPr/>
              <w:t>Crítica a la cultura</w:t>
            </w:r>
            <w:r>
              <w:rPr>
                <w:spacing w:val="-5"/>
              </w:rPr>
              <w:t> </w:t>
            </w:r>
            <w:r>
              <w:rPr/>
              <w:t>de</w:t>
            </w:r>
            <w:r>
              <w:rPr>
                <w:spacing w:val="2"/>
              </w:rPr>
              <w:t> </w:t>
            </w:r>
            <w:r>
              <w:rPr/>
              <w:t>masas.</w:t>
              <w:tab/>
            </w:r>
            <w:r>
              <w:rPr>
                <w:spacing w:val="-2"/>
              </w:rPr>
              <w:t>154</w:t>
            </w:r>
          </w:hyperlink>
        </w:p>
        <w:p>
          <w:pPr>
            <w:pStyle w:val="TOC1"/>
            <w:numPr>
              <w:ilvl w:val="1"/>
              <w:numId w:val="2"/>
            </w:numPr>
            <w:tabs>
              <w:tab w:pos="365" w:val="left" w:leader="none"/>
              <w:tab w:pos="9035" w:val="right" w:leader="none"/>
            </w:tabs>
            <w:spacing w:line="240" w:lineRule="auto" w:before="140" w:after="0"/>
            <w:ind w:left="364" w:right="0" w:hanging="264"/>
            <w:jc w:val="left"/>
          </w:pPr>
          <w:r>
            <w:rPr/>
            <w:t>Transculturación</w:t>
          </w:r>
          <w:r>
            <w:rPr>
              <w:spacing w:val="-3"/>
            </w:rPr>
            <w:t> </w:t>
          </w:r>
          <w:r>
            <w:rPr/>
            <w:t>electrónica…………………………………………………….</w:t>
            <w:tab/>
          </w:r>
          <w:r>
            <w:rPr>
              <w:spacing w:val="-2"/>
            </w:rPr>
            <w:t>160</w:t>
          </w:r>
        </w:p>
        <w:p>
          <w:pPr>
            <w:pStyle w:val="TOC1"/>
            <w:spacing w:before="552"/>
            <w:ind w:left="100" w:firstLine="0"/>
          </w:pPr>
          <w:r>
            <w:rPr/>
            <w:t>CAPÍTULO TERCERO: LIBERTAD  Y PODER DESDE EL MENSAJE</w:t>
          </w:r>
        </w:p>
        <w:p>
          <w:pPr>
            <w:pStyle w:val="TOC1"/>
            <w:tabs>
              <w:tab w:pos="9035" w:val="right" w:leader="dot"/>
            </w:tabs>
            <w:spacing w:before="136"/>
            <w:ind w:left="100" w:firstLine="0"/>
          </w:pPr>
          <w:r>
            <w:rPr/>
            <w:t>TELEVISIVO</w:t>
            <w:tab/>
          </w:r>
          <w:r>
            <w:rPr>
              <w:spacing w:val="-2"/>
            </w:rPr>
            <w:t>167</w:t>
          </w:r>
        </w:p>
        <w:p>
          <w:pPr>
            <w:pStyle w:val="TOC1"/>
            <w:numPr>
              <w:ilvl w:val="2"/>
              <w:numId w:val="2"/>
            </w:numPr>
            <w:tabs>
              <w:tab w:pos="368" w:val="left" w:leader="none"/>
              <w:tab w:pos="9035" w:val="right" w:leader="dot"/>
            </w:tabs>
            <w:spacing w:line="240" w:lineRule="auto" w:before="140" w:after="0"/>
            <w:ind w:left="367" w:right="0" w:hanging="267"/>
            <w:jc w:val="left"/>
          </w:pPr>
          <w:hyperlink w:history="true" w:anchor="_TOC_250014">
            <w:r>
              <w:rPr/>
              <w:t>El ser humano desde el poder de la</w:t>
            </w:r>
            <w:r>
              <w:rPr>
                <w:spacing w:val="-4"/>
              </w:rPr>
              <w:t> </w:t>
            </w:r>
            <w:r>
              <w:rPr/>
              <w:t>influencia</w:t>
            </w:r>
            <w:r>
              <w:rPr>
                <w:spacing w:val="-2"/>
              </w:rPr>
              <w:t> </w:t>
            </w:r>
            <w:r>
              <w:rPr/>
              <w:t>televisiva</w:t>
              <w:tab/>
            </w:r>
            <w:r>
              <w:rPr>
                <w:spacing w:val="-2"/>
              </w:rPr>
              <w:t>170</w:t>
            </w:r>
          </w:hyperlink>
        </w:p>
        <w:p>
          <w:pPr>
            <w:pStyle w:val="TOC1"/>
            <w:numPr>
              <w:ilvl w:val="3"/>
              <w:numId w:val="2"/>
            </w:numPr>
            <w:tabs>
              <w:tab w:pos="368" w:val="left" w:leader="none"/>
              <w:tab w:pos="9035" w:val="right" w:leader="dot"/>
            </w:tabs>
            <w:spacing w:line="240" w:lineRule="auto" w:before="136" w:after="0"/>
            <w:ind w:left="367" w:right="0" w:hanging="267"/>
            <w:jc w:val="left"/>
          </w:pPr>
          <w:hyperlink w:history="true" w:anchor="_TOC_250013">
            <w:r>
              <w:rPr/>
              <w:t>Libertad</w:t>
            </w:r>
            <w:r>
              <w:rPr>
                <w:spacing w:val="-2"/>
              </w:rPr>
              <w:t> </w:t>
            </w:r>
            <w:r>
              <w:rPr/>
              <w:t>versus </w:t>
            </w:r>
            <w:r>
              <w:rPr>
                <w:spacing w:val="1"/>
              </w:rPr>
              <w:t> </w:t>
            </w:r>
            <w:r>
              <w:rPr/>
              <w:t>necesidad</w:t>
              <w:tab/>
            </w:r>
            <w:r>
              <w:rPr>
                <w:spacing w:val="-2"/>
              </w:rPr>
              <w:t>173</w:t>
            </w:r>
          </w:hyperlink>
        </w:p>
        <w:p>
          <w:pPr>
            <w:pStyle w:val="TOC1"/>
            <w:numPr>
              <w:ilvl w:val="3"/>
              <w:numId w:val="2"/>
            </w:numPr>
            <w:tabs>
              <w:tab w:pos="368" w:val="left" w:leader="none"/>
              <w:tab w:pos="9035" w:val="right" w:leader="none"/>
            </w:tabs>
            <w:spacing w:line="240" w:lineRule="auto" w:before="140" w:after="0"/>
            <w:ind w:left="367" w:right="0" w:hanging="267"/>
            <w:jc w:val="left"/>
          </w:pPr>
          <w:hyperlink w:history="true" w:anchor="_TOC_250012">
            <w:r>
              <w:rPr/>
              <w:t>La necesidad de ser y la idea</w:t>
            </w:r>
            <w:r>
              <w:rPr>
                <w:spacing w:val="-12"/>
              </w:rPr>
              <w:t> </w:t>
            </w:r>
            <w:r>
              <w:rPr/>
              <w:t>de</w:t>
            </w:r>
            <w:r>
              <w:rPr>
                <w:spacing w:val="-3"/>
              </w:rPr>
              <w:t> </w:t>
            </w:r>
            <w:r>
              <w:rPr/>
              <w:t>tener…………………………………..........</w:t>
              <w:tab/>
            </w:r>
            <w:r>
              <w:rPr>
                <w:spacing w:val="-2"/>
              </w:rPr>
              <w:t>176</w:t>
            </w:r>
          </w:hyperlink>
        </w:p>
        <w:p>
          <w:pPr>
            <w:pStyle w:val="TOC1"/>
            <w:numPr>
              <w:ilvl w:val="2"/>
              <w:numId w:val="2"/>
            </w:numPr>
            <w:tabs>
              <w:tab w:pos="368" w:val="left" w:leader="none"/>
              <w:tab w:pos="9035" w:val="right" w:leader="dot"/>
            </w:tabs>
            <w:spacing w:line="240" w:lineRule="auto" w:before="136" w:after="0"/>
            <w:ind w:left="367" w:right="0" w:hanging="267"/>
            <w:jc w:val="left"/>
          </w:pPr>
          <w:hyperlink w:history="true" w:anchor="_TOC_250011">
            <w:r>
              <w:rPr/>
              <w:t>El valor de ser humano  ante  las necesidades creadas por</w:t>
            </w:r>
            <w:r>
              <w:rPr>
                <w:spacing w:val="-12"/>
              </w:rPr>
              <w:t> </w:t>
            </w:r>
            <w:r>
              <w:rPr/>
              <w:t>la</w:t>
            </w:r>
            <w:r>
              <w:rPr>
                <w:spacing w:val="-3"/>
              </w:rPr>
              <w:t> </w:t>
            </w:r>
            <w:r>
              <w:rPr/>
              <w:t>cultura</w:t>
              <w:tab/>
            </w:r>
            <w:r>
              <w:rPr>
                <w:spacing w:val="-2"/>
              </w:rPr>
              <w:t>179</w:t>
            </w:r>
          </w:hyperlink>
        </w:p>
        <w:p>
          <w:pPr>
            <w:pStyle w:val="TOC1"/>
            <w:numPr>
              <w:ilvl w:val="3"/>
              <w:numId w:val="2"/>
            </w:numPr>
            <w:tabs>
              <w:tab w:pos="368" w:val="left" w:leader="none"/>
              <w:tab w:pos="9035" w:val="right" w:leader="dot"/>
            </w:tabs>
            <w:spacing w:line="240" w:lineRule="auto" w:before="140" w:after="0"/>
            <w:ind w:left="367" w:right="0" w:hanging="267"/>
            <w:jc w:val="left"/>
          </w:pPr>
          <w:hyperlink w:history="true" w:anchor="_TOC_250010">
            <w:r>
              <w:rPr/>
              <w:t>Reconocimiento del malestar que somete el</w:t>
            </w:r>
            <w:r>
              <w:rPr>
                <w:spacing w:val="-9"/>
              </w:rPr>
              <w:t> </w:t>
            </w:r>
            <w:r>
              <w:rPr/>
              <w:t>carácter social</w:t>
              <w:tab/>
            </w:r>
            <w:r>
              <w:rPr>
                <w:spacing w:val="-2"/>
              </w:rPr>
              <w:t>184</w:t>
            </w:r>
          </w:hyperlink>
        </w:p>
        <w:p>
          <w:pPr>
            <w:pStyle w:val="TOC1"/>
            <w:numPr>
              <w:ilvl w:val="2"/>
              <w:numId w:val="2"/>
            </w:numPr>
            <w:tabs>
              <w:tab w:pos="368" w:val="left" w:leader="none"/>
              <w:tab w:pos="9035" w:val="right" w:leader="dot"/>
            </w:tabs>
            <w:spacing w:line="240" w:lineRule="auto" w:before="136" w:after="0"/>
            <w:ind w:left="367" w:right="0" w:hanging="267"/>
            <w:jc w:val="left"/>
          </w:pPr>
          <w:hyperlink w:history="true" w:anchor="_TOC_250009">
            <w:r>
              <w:rPr/>
              <w:t>Modificación de conductas a partir de la</w:t>
            </w:r>
            <w:r>
              <w:rPr>
                <w:spacing w:val="-6"/>
              </w:rPr>
              <w:t> </w:t>
            </w:r>
            <w:r>
              <w:rPr/>
              <w:t>programación</w:t>
            </w:r>
            <w:r>
              <w:rPr>
                <w:spacing w:val="4"/>
              </w:rPr>
              <w:t> </w:t>
            </w:r>
            <w:r>
              <w:rPr/>
              <w:t>televisiva</w:t>
              <w:tab/>
            </w:r>
            <w:r>
              <w:rPr>
                <w:spacing w:val="-2"/>
              </w:rPr>
              <w:t>189</w:t>
            </w:r>
          </w:hyperlink>
        </w:p>
        <w:p>
          <w:pPr>
            <w:pStyle w:val="TOC1"/>
            <w:numPr>
              <w:ilvl w:val="2"/>
              <w:numId w:val="2"/>
            </w:numPr>
            <w:tabs>
              <w:tab w:pos="368" w:val="left" w:leader="none"/>
              <w:tab w:pos="9035" w:val="right" w:leader="dot"/>
            </w:tabs>
            <w:spacing w:line="240" w:lineRule="auto" w:before="140" w:after="0"/>
            <w:ind w:left="367" w:right="0" w:hanging="267"/>
            <w:jc w:val="left"/>
          </w:pPr>
          <w:hyperlink w:history="true" w:anchor="_TOC_250008">
            <w:r>
              <w:rPr/>
              <w:t>Variaciones de una perspectiva de ser y la</w:t>
            </w:r>
            <w:r>
              <w:rPr>
                <w:spacing w:val="-12"/>
              </w:rPr>
              <w:t> </w:t>
            </w:r>
            <w:r>
              <w:rPr/>
              <w:t>estructura</w:t>
            </w:r>
            <w:r>
              <w:rPr>
                <w:spacing w:val="65"/>
              </w:rPr>
              <w:t> </w:t>
            </w:r>
            <w:r>
              <w:rPr/>
              <w:t>social</w:t>
              <w:tab/>
            </w:r>
            <w:r>
              <w:rPr>
                <w:spacing w:val="-2"/>
              </w:rPr>
              <w:t>193</w:t>
            </w:r>
          </w:hyperlink>
        </w:p>
        <w:p>
          <w:pPr>
            <w:pStyle w:val="TOC1"/>
            <w:numPr>
              <w:ilvl w:val="2"/>
              <w:numId w:val="2"/>
            </w:numPr>
            <w:tabs>
              <w:tab w:pos="368" w:val="left" w:leader="none"/>
              <w:tab w:pos="9035" w:val="right" w:leader="dot"/>
            </w:tabs>
            <w:spacing w:line="240" w:lineRule="auto" w:before="136" w:after="0"/>
            <w:ind w:left="367" w:right="0" w:hanging="267"/>
            <w:jc w:val="left"/>
          </w:pPr>
          <w:hyperlink w:history="true" w:anchor="_TOC_250007">
            <w:r>
              <w:rPr/>
              <w:t>Sociedad, participación</w:t>
            </w:r>
            <w:r>
              <w:rPr>
                <w:spacing w:val="3"/>
              </w:rPr>
              <w:t> </w:t>
            </w:r>
            <w:r>
              <w:rPr/>
              <w:t>y</w:t>
            </w:r>
            <w:r>
              <w:rPr>
                <w:spacing w:val="-5"/>
              </w:rPr>
              <w:t> </w:t>
            </w:r>
            <w:r>
              <w:rPr/>
              <w:t>colaboración</w:t>
              <w:tab/>
            </w:r>
            <w:r>
              <w:rPr>
                <w:spacing w:val="-2"/>
              </w:rPr>
              <w:t>196</w:t>
            </w:r>
          </w:hyperlink>
        </w:p>
        <w:p>
          <w:pPr>
            <w:pStyle w:val="TOC1"/>
            <w:numPr>
              <w:ilvl w:val="2"/>
              <w:numId w:val="2"/>
            </w:numPr>
            <w:tabs>
              <w:tab w:pos="368" w:val="left" w:leader="none"/>
              <w:tab w:pos="9035" w:val="right" w:leader="dot"/>
            </w:tabs>
            <w:spacing w:line="240" w:lineRule="auto" w:before="140" w:after="0"/>
            <w:ind w:left="367" w:right="0" w:hanging="267"/>
            <w:jc w:val="left"/>
          </w:pPr>
          <w:hyperlink w:history="true" w:anchor="_TOC_250006">
            <w:r>
              <w:rPr/>
              <w:t>Recreación, educación y formación  en los</w:t>
            </w:r>
            <w:r>
              <w:rPr>
                <w:spacing w:val="1"/>
              </w:rPr>
              <w:t> </w:t>
            </w:r>
            <w:r>
              <w:rPr/>
              <w:t>medios</w:t>
            </w:r>
            <w:r>
              <w:rPr>
                <w:spacing w:val="3"/>
              </w:rPr>
              <w:t> </w:t>
            </w:r>
            <w:r>
              <w:rPr/>
              <w:t>masivos.</w:t>
              <w:tab/>
            </w:r>
            <w:r>
              <w:rPr>
                <w:spacing w:val="-2"/>
              </w:rPr>
              <w:t>200</w:t>
            </w:r>
          </w:hyperlink>
        </w:p>
        <w:p>
          <w:pPr>
            <w:pStyle w:val="TOC1"/>
            <w:numPr>
              <w:ilvl w:val="3"/>
              <w:numId w:val="2"/>
            </w:numPr>
            <w:tabs>
              <w:tab w:pos="368" w:val="left" w:leader="none"/>
              <w:tab w:pos="9035" w:val="right" w:leader="dot"/>
            </w:tabs>
            <w:spacing w:line="240" w:lineRule="auto" w:before="136" w:after="0"/>
            <w:ind w:left="367" w:right="0" w:hanging="267"/>
            <w:jc w:val="left"/>
          </w:pPr>
          <w:hyperlink w:history="true" w:anchor="_TOC_250005">
            <w:r>
              <w:rPr/>
              <w:t>Educación</w:t>
            </w:r>
            <w:r>
              <w:rPr>
                <w:spacing w:val="2"/>
              </w:rPr>
              <w:t> </w:t>
            </w:r>
            <w:r>
              <w:rPr/>
              <w:t>y</w:t>
            </w:r>
            <w:r>
              <w:rPr>
                <w:spacing w:val="-5"/>
              </w:rPr>
              <w:t> </w:t>
            </w:r>
            <w:r>
              <w:rPr/>
              <w:t>televisión</w:t>
              <w:tab/>
            </w:r>
            <w:r>
              <w:rPr>
                <w:spacing w:val="-2"/>
              </w:rPr>
              <w:t>204</w:t>
            </w:r>
          </w:hyperlink>
        </w:p>
        <w:p>
          <w:pPr>
            <w:pStyle w:val="TOC1"/>
            <w:tabs>
              <w:tab w:pos="9035" w:val="right" w:leader="dot"/>
            </w:tabs>
            <w:ind w:left="100" w:firstLine="0"/>
          </w:pPr>
          <w:hyperlink w:history="true" w:anchor="_TOC_250004">
            <w:r>
              <w:rPr/>
              <w:t>7 La existencia humana y la necesidad de trans</w:t>
            </w:r>
            <w:r>
              <w:rPr>
                <w:spacing w:val="-9"/>
              </w:rPr>
              <w:t> </w:t>
            </w:r>
            <w:r>
              <w:rPr/>
              <w:t>–</w:t>
            </w:r>
            <w:r>
              <w:rPr>
                <w:spacing w:val="-1"/>
              </w:rPr>
              <w:t> </w:t>
            </w:r>
            <w:r>
              <w:rPr/>
              <w:t>sobrevivencia</w:t>
              <w:tab/>
            </w:r>
            <w:r>
              <w:rPr>
                <w:spacing w:val="-2"/>
              </w:rPr>
              <w:t>207</w:t>
            </w:r>
          </w:hyperlink>
        </w:p>
        <w:p>
          <w:pPr>
            <w:pStyle w:val="TOC1"/>
            <w:tabs>
              <w:tab w:pos="9035" w:val="right" w:leader="dot"/>
            </w:tabs>
            <w:spacing w:before="136"/>
            <w:ind w:left="100" w:firstLine="0"/>
          </w:pPr>
          <w:hyperlink w:history="true" w:anchor="_TOC_250003">
            <w:r>
              <w:rPr/>
              <w:t>CONCLUSIONES.</w:t>
              <w:tab/>
            </w:r>
            <w:r>
              <w:rPr>
                <w:spacing w:val="-2"/>
              </w:rPr>
              <w:t>213</w:t>
            </w:r>
          </w:hyperlink>
        </w:p>
        <w:p>
          <w:pPr>
            <w:pStyle w:val="TOC1"/>
            <w:tabs>
              <w:tab w:pos="9035" w:val="right" w:leader="dot"/>
            </w:tabs>
            <w:ind w:left="100" w:firstLine="0"/>
          </w:pPr>
          <w:hyperlink w:history="true" w:anchor="_TOC_250002">
            <w:r>
              <w:rPr/>
              <w:t>BIBLIOGRAFÍA.</w:t>
              <w:tab/>
            </w:r>
            <w:r>
              <w:rPr>
                <w:spacing w:val="-2"/>
              </w:rPr>
              <w:t>221</w:t>
            </w:r>
          </w:hyperlink>
        </w:p>
        <w:p>
          <w:pPr>
            <w:pStyle w:val="TOC1"/>
            <w:tabs>
              <w:tab w:pos="9035" w:val="right" w:leader="dot"/>
            </w:tabs>
            <w:spacing w:before="136"/>
            <w:ind w:left="100" w:firstLine="0"/>
          </w:pPr>
          <w:hyperlink w:history="true" w:anchor="_TOC_250001">
            <w:r>
              <w:rPr/>
              <w:t>BIBLIOGRAFÍA VIRTUAL</w:t>
              <w:tab/>
            </w:r>
            <w:r>
              <w:rPr>
                <w:spacing w:val="-2"/>
              </w:rPr>
              <w:t>226</w:t>
            </w:r>
          </w:hyperlink>
        </w:p>
        <w:p>
          <w:pPr>
            <w:pStyle w:val="TOC1"/>
            <w:tabs>
              <w:tab w:pos="9035" w:val="right" w:leader="dot"/>
            </w:tabs>
            <w:ind w:left="100" w:firstLine="0"/>
          </w:pPr>
          <w:hyperlink w:history="true" w:anchor="_TOC_250000">
            <w:r>
              <w:rPr/>
              <w:t>ANEXO</w:t>
              <w:tab/>
            </w:r>
            <w:r>
              <w:rPr>
                <w:spacing w:val="-2"/>
              </w:rPr>
              <w:t>239</w:t>
            </w:r>
          </w:hyperlink>
        </w:p>
      </w:sdtContent>
    </w:sdt>
    <w:p>
      <w:pPr>
        <w:spacing w:after="0"/>
        <w:sectPr>
          <w:pgSz w:w="12240" w:h="15840"/>
          <w:pgMar w:header="0" w:footer="938" w:top="1360" w:bottom="1180" w:left="1600" w:right="1500"/>
        </w:sectPr>
      </w:pPr>
    </w:p>
    <w:p>
      <w:pPr>
        <w:pStyle w:val="BodyText"/>
        <w:spacing w:before="4"/>
        <w:rPr>
          <w:rFonts w:ascii="Times New Roman"/>
          <w:sz w:val="17"/>
        </w:rPr>
      </w:pPr>
    </w:p>
    <w:p>
      <w:pPr>
        <w:spacing w:after="0"/>
        <w:rPr>
          <w:rFonts w:ascii="Times New Roman"/>
          <w:sz w:val="17"/>
        </w:rPr>
        <w:sectPr>
          <w:pgSz w:w="12240" w:h="15840"/>
          <w:pgMar w:header="0" w:footer="938" w:top="1500" w:bottom="1120" w:left="1720" w:right="1720"/>
        </w:sectPr>
      </w:pPr>
    </w:p>
    <w:p>
      <w:pPr>
        <w:pStyle w:val="BodyText"/>
        <w:spacing w:before="7"/>
        <w:rPr>
          <w:rFonts w:ascii="Times New Roman"/>
          <w:sz w:val="35"/>
        </w:rPr>
      </w:pPr>
    </w:p>
    <w:p>
      <w:pPr>
        <w:spacing w:before="1"/>
        <w:ind w:left="3388" w:right="3394" w:firstLine="0"/>
        <w:jc w:val="center"/>
        <w:rPr>
          <w:rFonts w:ascii="Cambria"/>
          <w:b/>
          <w:i/>
          <w:sz w:val="44"/>
        </w:rPr>
      </w:pPr>
      <w:r>
        <w:rPr>
          <w:rFonts w:ascii="Cambria"/>
          <w:b/>
          <w:i/>
          <w:w w:val="95"/>
          <w:sz w:val="44"/>
        </w:rPr>
        <w:t>Dedicatoria</w:t>
      </w:r>
    </w:p>
    <w:p>
      <w:pPr>
        <w:pStyle w:val="BodyText"/>
        <w:rPr>
          <w:rFonts w:ascii="Cambria"/>
          <w:b/>
          <w:i/>
          <w:sz w:val="44"/>
        </w:rPr>
      </w:pPr>
    </w:p>
    <w:p>
      <w:pPr>
        <w:pStyle w:val="BodyText"/>
        <w:spacing w:before="8"/>
        <w:rPr>
          <w:rFonts w:ascii="Cambria"/>
          <w:b/>
          <w:i/>
          <w:sz w:val="40"/>
        </w:rPr>
      </w:pPr>
    </w:p>
    <w:p>
      <w:pPr>
        <w:spacing w:before="0"/>
        <w:ind w:left="100" w:right="2729" w:firstLine="0"/>
        <w:jc w:val="left"/>
        <w:rPr>
          <w:rFonts w:ascii="Cambria" w:hAnsi="Cambria"/>
          <w:b/>
          <w:i/>
          <w:sz w:val="36"/>
        </w:rPr>
      </w:pPr>
      <w:r>
        <w:rPr>
          <w:rFonts w:ascii="Cambria" w:hAnsi="Cambria"/>
          <w:b/>
          <w:i/>
          <w:w w:val="90"/>
          <w:sz w:val="36"/>
        </w:rPr>
        <w:t>Con cariño y mucho amor para:</w:t>
      </w:r>
    </w:p>
    <w:p>
      <w:pPr>
        <w:pStyle w:val="BodyText"/>
        <w:rPr>
          <w:rFonts w:ascii="Cambria"/>
          <w:b/>
          <w:i/>
          <w:sz w:val="36"/>
        </w:rPr>
      </w:pPr>
    </w:p>
    <w:p>
      <w:pPr>
        <w:pStyle w:val="BodyText"/>
        <w:rPr>
          <w:rFonts w:ascii="Cambria"/>
          <w:b/>
          <w:i/>
          <w:sz w:val="42"/>
        </w:rPr>
      </w:pPr>
    </w:p>
    <w:p>
      <w:pPr>
        <w:spacing w:line="429" w:lineRule="auto" w:before="0"/>
        <w:ind w:left="2225" w:right="2729" w:firstLine="0"/>
        <w:jc w:val="left"/>
        <w:rPr>
          <w:rFonts w:ascii="Cambria" w:hAnsi="Cambria"/>
          <w:b/>
          <w:i/>
          <w:sz w:val="28"/>
        </w:rPr>
      </w:pPr>
      <w:r>
        <w:rPr>
          <w:rFonts w:ascii="Cambria" w:hAnsi="Cambria"/>
          <w:b/>
          <w:i/>
          <w:w w:val="156"/>
          <w:sz w:val="28"/>
        </w:rPr>
        <w:t>J</w:t>
      </w:r>
      <w:r>
        <w:rPr>
          <w:rFonts w:ascii="Cambria" w:hAnsi="Cambria"/>
          <w:b/>
          <w:i/>
          <w:w w:val="73"/>
          <w:sz w:val="28"/>
        </w:rPr>
        <w:t>e</w:t>
      </w:r>
      <w:r>
        <w:rPr>
          <w:rFonts w:ascii="Cambria" w:hAnsi="Cambria"/>
          <w:b/>
          <w:i/>
          <w:w w:val="91"/>
          <w:sz w:val="28"/>
        </w:rPr>
        <w:t>s</w:t>
      </w:r>
      <w:r>
        <w:rPr>
          <w:rFonts w:ascii="Cambria" w:hAnsi="Cambria"/>
          <w:b/>
          <w:i/>
          <w:w w:val="89"/>
          <w:sz w:val="28"/>
        </w:rPr>
        <w:t>ú</w:t>
      </w:r>
      <w:r>
        <w:rPr>
          <w:rFonts w:ascii="Cambria" w:hAnsi="Cambria"/>
          <w:b/>
          <w:i/>
          <w:w w:val="91"/>
          <w:sz w:val="28"/>
        </w:rPr>
        <w:t>s</w:t>
      </w:r>
      <w:r>
        <w:rPr>
          <w:rFonts w:ascii="Cambria" w:hAnsi="Cambria"/>
          <w:b/>
          <w:i/>
          <w:sz w:val="28"/>
        </w:rPr>
        <w:t> </w:t>
      </w:r>
      <w:r>
        <w:rPr>
          <w:rFonts w:ascii="Cambria" w:hAnsi="Cambria"/>
          <w:b/>
          <w:i/>
          <w:w w:val="102"/>
          <w:sz w:val="28"/>
        </w:rPr>
        <w:t>G</w:t>
      </w:r>
      <w:r>
        <w:rPr>
          <w:rFonts w:ascii="Cambria" w:hAnsi="Cambria"/>
          <w:b/>
          <w:i/>
          <w:w w:val="91"/>
          <w:sz w:val="28"/>
        </w:rPr>
        <w:t>a</w:t>
      </w:r>
      <w:r>
        <w:rPr>
          <w:rFonts w:ascii="Cambria" w:hAnsi="Cambria"/>
          <w:b/>
          <w:i/>
          <w:w w:val="80"/>
          <w:sz w:val="28"/>
        </w:rPr>
        <w:t>r</w:t>
      </w:r>
      <w:r>
        <w:rPr>
          <w:rFonts w:ascii="Cambria" w:hAnsi="Cambria"/>
          <w:b/>
          <w:i/>
          <w:w w:val="91"/>
          <w:sz w:val="28"/>
        </w:rPr>
        <w:t>d</w:t>
      </w:r>
      <w:r>
        <w:rPr>
          <w:rFonts w:ascii="Cambria" w:hAnsi="Cambria"/>
          <w:b/>
          <w:i/>
          <w:w w:val="73"/>
          <w:sz w:val="28"/>
        </w:rPr>
        <w:t>e</w:t>
      </w:r>
      <w:r>
        <w:rPr>
          <w:rFonts w:ascii="Cambria" w:hAnsi="Cambria"/>
          <w:b/>
          <w:i/>
          <w:w w:val="91"/>
          <w:sz w:val="28"/>
        </w:rPr>
        <w:t>a</w:t>
      </w:r>
      <w:r>
        <w:rPr>
          <w:rFonts w:ascii="Cambria" w:hAnsi="Cambria"/>
          <w:b/>
          <w:i/>
          <w:w w:val="101"/>
          <w:sz w:val="28"/>
        </w:rPr>
        <w:t>z</w:t>
      </w:r>
      <w:r>
        <w:rPr>
          <w:rFonts w:ascii="Cambria" w:hAnsi="Cambria"/>
          <w:b/>
          <w:i/>
          <w:w w:val="91"/>
          <w:sz w:val="28"/>
        </w:rPr>
        <w:t>á</w:t>
      </w:r>
      <w:r>
        <w:rPr>
          <w:rFonts w:ascii="Cambria" w:hAnsi="Cambria"/>
          <w:b/>
          <w:i/>
          <w:w w:val="77"/>
          <w:sz w:val="28"/>
        </w:rPr>
        <w:t>b</w:t>
      </w:r>
      <w:r>
        <w:rPr>
          <w:rFonts w:ascii="Cambria" w:hAnsi="Cambria"/>
          <w:b/>
          <w:i/>
          <w:w w:val="91"/>
          <w:sz w:val="28"/>
        </w:rPr>
        <w:t>a</w:t>
      </w:r>
      <w:r>
        <w:rPr>
          <w:rFonts w:ascii="Cambria" w:hAnsi="Cambria"/>
          <w:b/>
          <w:i/>
          <w:w w:val="108"/>
          <w:sz w:val="28"/>
        </w:rPr>
        <w:t>l</w:t>
      </w:r>
      <w:r>
        <w:rPr>
          <w:rFonts w:ascii="Cambria" w:hAnsi="Cambria"/>
          <w:b/>
          <w:i/>
          <w:sz w:val="28"/>
        </w:rPr>
        <w:t> </w:t>
      </w:r>
      <w:r>
        <w:rPr>
          <w:rFonts w:ascii="Cambria" w:hAnsi="Cambria"/>
          <w:b/>
          <w:i/>
          <w:w w:val="156"/>
          <w:sz w:val="28"/>
        </w:rPr>
        <w:t>J</w:t>
      </w:r>
      <w:r>
        <w:rPr>
          <w:rFonts w:ascii="Cambria" w:hAnsi="Cambria"/>
          <w:b/>
          <w:i/>
          <w:w w:val="91"/>
          <w:sz w:val="28"/>
        </w:rPr>
        <w:t>a</w:t>
      </w:r>
      <w:r>
        <w:rPr>
          <w:rFonts w:ascii="Cambria" w:hAnsi="Cambria"/>
          <w:b/>
          <w:i/>
          <w:w w:val="81"/>
          <w:sz w:val="28"/>
        </w:rPr>
        <w:t>ín</w:t>
      </w:r>
      <w:r>
        <w:rPr>
          <w:rFonts w:ascii="Cambria" w:hAnsi="Cambria"/>
          <w:b/>
          <w:i/>
          <w:w w:val="106"/>
          <w:sz w:val="28"/>
        </w:rPr>
        <w:t>,</w:t>
      </w:r>
      <w:r>
        <w:rPr>
          <w:rFonts w:ascii="Cambria" w:hAnsi="Cambria"/>
          <w:b/>
          <w:i/>
          <w:w w:val="106"/>
          <w:sz w:val="28"/>
        </w:rPr>
        <w:t> </w:t>
      </w:r>
      <w:r>
        <w:rPr>
          <w:rFonts w:ascii="Cambria" w:hAnsi="Cambria"/>
          <w:b/>
          <w:i/>
          <w:w w:val="95"/>
          <w:sz w:val="28"/>
        </w:rPr>
        <w:t>Magdalena Islas González,</w:t>
      </w:r>
    </w:p>
    <w:p>
      <w:pPr>
        <w:pStyle w:val="BodyText"/>
        <w:rPr>
          <w:rFonts w:ascii="Cambria"/>
          <w:b/>
          <w:i/>
          <w:sz w:val="28"/>
        </w:rPr>
      </w:pPr>
    </w:p>
    <w:p>
      <w:pPr>
        <w:pStyle w:val="BodyText"/>
        <w:spacing w:before="2"/>
        <w:rPr>
          <w:rFonts w:ascii="Cambria"/>
          <w:b/>
          <w:i/>
          <w:sz w:val="22"/>
        </w:rPr>
      </w:pPr>
    </w:p>
    <w:p>
      <w:pPr>
        <w:spacing w:line="283" w:lineRule="auto" w:before="0"/>
        <w:ind w:left="3641" w:right="294" w:firstLine="0"/>
        <w:jc w:val="left"/>
        <w:rPr>
          <w:rFonts w:ascii="Cambria" w:hAnsi="Cambria"/>
          <w:b/>
          <w:i/>
          <w:sz w:val="28"/>
        </w:rPr>
      </w:pPr>
      <w:r>
        <w:rPr>
          <w:rFonts w:ascii="Cambria" w:hAnsi="Cambria"/>
          <w:b/>
          <w:i/>
          <w:sz w:val="28"/>
        </w:rPr>
        <w:t>Para</w:t>
      </w:r>
      <w:r>
        <w:rPr>
          <w:rFonts w:ascii="Cambria" w:hAnsi="Cambria"/>
          <w:b/>
          <w:i/>
          <w:spacing w:val="-38"/>
          <w:sz w:val="28"/>
        </w:rPr>
        <w:t> </w:t>
      </w:r>
      <w:r>
        <w:rPr>
          <w:rFonts w:ascii="Cambria" w:hAnsi="Cambria"/>
          <w:b/>
          <w:i/>
          <w:sz w:val="28"/>
        </w:rPr>
        <w:t>la</w:t>
      </w:r>
      <w:r>
        <w:rPr>
          <w:rFonts w:ascii="Cambria" w:hAnsi="Cambria"/>
          <w:b/>
          <w:i/>
          <w:spacing w:val="-38"/>
          <w:sz w:val="28"/>
        </w:rPr>
        <w:t> </w:t>
      </w:r>
      <w:r>
        <w:rPr>
          <w:rFonts w:ascii="Cambria" w:hAnsi="Cambria"/>
          <w:b/>
          <w:i/>
          <w:sz w:val="28"/>
        </w:rPr>
        <w:t>familia</w:t>
      </w:r>
      <w:r>
        <w:rPr>
          <w:rFonts w:ascii="Cambria" w:hAnsi="Cambria"/>
          <w:b/>
          <w:i/>
          <w:spacing w:val="-38"/>
          <w:sz w:val="28"/>
        </w:rPr>
        <w:t> </w:t>
      </w:r>
      <w:r>
        <w:rPr>
          <w:rFonts w:ascii="Cambria" w:hAnsi="Cambria"/>
          <w:b/>
          <w:i/>
          <w:sz w:val="28"/>
        </w:rPr>
        <w:t>Gardeazábal</w:t>
      </w:r>
      <w:r>
        <w:rPr>
          <w:rFonts w:ascii="Cambria" w:hAnsi="Cambria"/>
          <w:b/>
          <w:i/>
          <w:spacing w:val="-37"/>
          <w:sz w:val="28"/>
        </w:rPr>
        <w:t> </w:t>
      </w:r>
      <w:r>
        <w:rPr>
          <w:rFonts w:ascii="Cambria" w:hAnsi="Cambria"/>
          <w:b/>
          <w:i/>
          <w:sz w:val="28"/>
        </w:rPr>
        <w:t>Islas:</w:t>
      </w:r>
      <w:r>
        <w:rPr>
          <w:rFonts w:ascii="Cambria" w:hAnsi="Cambria"/>
          <w:b/>
          <w:i/>
          <w:spacing w:val="-36"/>
          <w:sz w:val="28"/>
        </w:rPr>
        <w:t> </w:t>
      </w:r>
      <w:r>
        <w:rPr>
          <w:rFonts w:ascii="Cambria" w:hAnsi="Cambria"/>
          <w:b/>
          <w:i/>
          <w:sz w:val="28"/>
        </w:rPr>
        <w:t>Magda, </w:t>
      </w:r>
      <w:r>
        <w:rPr>
          <w:rFonts w:ascii="Cambria" w:hAnsi="Cambria"/>
          <w:b/>
          <w:i/>
          <w:spacing w:val="-2"/>
          <w:w w:val="119"/>
          <w:sz w:val="28"/>
        </w:rPr>
        <w:t>L</w:t>
      </w:r>
      <w:r>
        <w:rPr>
          <w:rFonts w:ascii="Cambria" w:hAnsi="Cambria"/>
          <w:b/>
          <w:i/>
          <w:spacing w:val="-2"/>
          <w:w w:val="91"/>
          <w:sz w:val="28"/>
        </w:rPr>
        <w:t>a</w:t>
      </w:r>
      <w:r>
        <w:rPr>
          <w:rFonts w:ascii="Cambria" w:hAnsi="Cambria"/>
          <w:b/>
          <w:i/>
          <w:spacing w:val="-2"/>
          <w:w w:val="89"/>
          <w:sz w:val="28"/>
        </w:rPr>
        <w:t>u</w:t>
      </w:r>
      <w:r>
        <w:rPr>
          <w:rFonts w:ascii="Cambria" w:hAnsi="Cambria"/>
          <w:b/>
          <w:i/>
          <w:spacing w:val="1"/>
          <w:w w:val="80"/>
          <w:sz w:val="28"/>
        </w:rPr>
        <w:t>r</w:t>
      </w:r>
      <w:r>
        <w:rPr>
          <w:rFonts w:ascii="Cambria" w:hAnsi="Cambria"/>
          <w:b/>
          <w:i/>
          <w:spacing w:val="-2"/>
          <w:w w:val="91"/>
          <w:sz w:val="28"/>
        </w:rPr>
        <w:t>a</w:t>
      </w:r>
      <w:r>
        <w:rPr>
          <w:rFonts w:ascii="Cambria" w:hAnsi="Cambria"/>
          <w:b/>
          <w:i/>
          <w:w w:val="106"/>
          <w:sz w:val="28"/>
        </w:rPr>
        <w:t>,</w:t>
      </w:r>
      <w:r>
        <w:rPr>
          <w:rFonts w:ascii="Cambria" w:hAnsi="Cambria"/>
          <w:b/>
          <w:i/>
          <w:sz w:val="28"/>
        </w:rPr>
        <w:t> </w:t>
      </w:r>
      <w:r>
        <w:rPr>
          <w:rFonts w:ascii="Cambria" w:hAnsi="Cambria"/>
          <w:b/>
          <w:i/>
          <w:spacing w:val="13"/>
          <w:sz w:val="28"/>
        </w:rPr>
        <w:t> </w:t>
      </w:r>
      <w:r>
        <w:rPr>
          <w:rFonts w:ascii="Cambria" w:hAnsi="Cambria"/>
          <w:b/>
          <w:i/>
          <w:spacing w:val="-2"/>
          <w:w w:val="156"/>
          <w:sz w:val="28"/>
        </w:rPr>
        <w:t>J</w:t>
      </w:r>
      <w:r>
        <w:rPr>
          <w:rFonts w:ascii="Cambria" w:hAnsi="Cambria"/>
          <w:b/>
          <w:i/>
          <w:spacing w:val="1"/>
          <w:w w:val="73"/>
          <w:sz w:val="28"/>
        </w:rPr>
        <w:t>e</w:t>
      </w:r>
      <w:r>
        <w:rPr>
          <w:rFonts w:ascii="Cambria" w:hAnsi="Cambria"/>
          <w:b/>
          <w:i/>
          <w:spacing w:val="-2"/>
          <w:w w:val="91"/>
          <w:sz w:val="28"/>
        </w:rPr>
        <w:t>s</w:t>
      </w:r>
      <w:r>
        <w:rPr>
          <w:rFonts w:ascii="Cambria" w:hAnsi="Cambria"/>
          <w:b/>
          <w:i/>
          <w:spacing w:val="1"/>
          <w:w w:val="89"/>
          <w:sz w:val="28"/>
        </w:rPr>
        <w:t>ú</w:t>
      </w:r>
      <w:r>
        <w:rPr>
          <w:rFonts w:ascii="Cambria" w:hAnsi="Cambria"/>
          <w:b/>
          <w:i/>
          <w:w w:val="91"/>
          <w:sz w:val="28"/>
        </w:rPr>
        <w:t>s</w:t>
      </w:r>
      <w:r>
        <w:rPr>
          <w:rFonts w:ascii="Cambria" w:hAnsi="Cambria"/>
          <w:b/>
          <w:i/>
          <w:spacing w:val="8"/>
          <w:sz w:val="28"/>
        </w:rPr>
        <w:t> </w:t>
      </w:r>
      <w:r>
        <w:rPr>
          <w:rFonts w:ascii="Cambria" w:hAnsi="Cambria"/>
          <w:b/>
          <w:i/>
          <w:w w:val="104"/>
          <w:sz w:val="28"/>
        </w:rPr>
        <w:t>y</w:t>
      </w:r>
      <w:r>
        <w:rPr>
          <w:rFonts w:ascii="Cambria" w:hAnsi="Cambria"/>
          <w:b/>
          <w:i/>
          <w:spacing w:val="10"/>
          <w:sz w:val="28"/>
        </w:rPr>
        <w:t> </w:t>
      </w:r>
      <w:r>
        <w:rPr>
          <w:rFonts w:ascii="Cambria" w:hAnsi="Cambria"/>
          <w:b/>
          <w:i/>
          <w:spacing w:val="-2"/>
          <w:w w:val="156"/>
          <w:sz w:val="28"/>
        </w:rPr>
        <w:t>J</w:t>
      </w:r>
      <w:r>
        <w:rPr>
          <w:rFonts w:ascii="Cambria" w:hAnsi="Cambria"/>
          <w:b/>
          <w:i/>
          <w:spacing w:val="1"/>
          <w:w w:val="81"/>
          <w:sz w:val="28"/>
        </w:rPr>
        <w:t>o</w:t>
      </w:r>
      <w:r>
        <w:rPr>
          <w:rFonts w:ascii="Cambria" w:hAnsi="Cambria"/>
          <w:b/>
          <w:i/>
          <w:spacing w:val="-2"/>
          <w:w w:val="91"/>
          <w:sz w:val="28"/>
        </w:rPr>
        <w:t>s</w:t>
      </w:r>
      <w:r>
        <w:rPr>
          <w:rFonts w:ascii="Cambria" w:hAnsi="Cambria"/>
          <w:b/>
          <w:i/>
          <w:w w:val="73"/>
          <w:sz w:val="28"/>
        </w:rPr>
        <w:t>é</w:t>
      </w:r>
      <w:r>
        <w:rPr>
          <w:rFonts w:ascii="Cambria" w:hAnsi="Cambria"/>
          <w:b/>
          <w:i/>
          <w:spacing w:val="11"/>
          <w:sz w:val="28"/>
        </w:rPr>
        <w:t> </w:t>
      </w:r>
      <w:r>
        <w:rPr>
          <w:rFonts w:ascii="Cambria" w:hAnsi="Cambria"/>
          <w:b/>
          <w:i/>
          <w:spacing w:val="-2"/>
          <w:w w:val="119"/>
          <w:sz w:val="28"/>
        </w:rPr>
        <w:t>L</w:t>
      </w:r>
      <w:r>
        <w:rPr>
          <w:rFonts w:ascii="Cambria" w:hAnsi="Cambria"/>
          <w:b/>
          <w:i/>
          <w:spacing w:val="-2"/>
          <w:w w:val="89"/>
          <w:sz w:val="28"/>
        </w:rPr>
        <w:t>u</w:t>
      </w:r>
      <w:r>
        <w:rPr>
          <w:rFonts w:ascii="Cambria" w:hAnsi="Cambria"/>
          <w:b/>
          <w:i/>
          <w:spacing w:val="-1"/>
          <w:w w:val="86"/>
          <w:sz w:val="28"/>
        </w:rPr>
        <w:t>i</w:t>
      </w:r>
      <w:r>
        <w:rPr>
          <w:rFonts w:ascii="Cambria" w:hAnsi="Cambria"/>
          <w:b/>
          <w:i/>
          <w:w w:val="86"/>
          <w:sz w:val="28"/>
        </w:rPr>
        <w:t>s</w:t>
      </w:r>
      <w:r>
        <w:rPr>
          <w:rFonts w:ascii="Cambria" w:hAnsi="Cambria"/>
          <w:b/>
          <w:i/>
          <w:w w:val="88"/>
          <w:sz w:val="28"/>
        </w:rPr>
        <w:t>.</w:t>
      </w:r>
    </w:p>
    <w:p>
      <w:pPr>
        <w:pStyle w:val="BodyText"/>
        <w:rPr>
          <w:rFonts w:ascii="Cambria"/>
          <w:b/>
          <w:i/>
          <w:sz w:val="28"/>
        </w:rPr>
      </w:pPr>
    </w:p>
    <w:p>
      <w:pPr>
        <w:pStyle w:val="BodyText"/>
        <w:spacing w:before="3"/>
        <w:rPr>
          <w:rFonts w:ascii="Cambria"/>
          <w:b/>
          <w:i/>
          <w:sz w:val="39"/>
        </w:rPr>
      </w:pPr>
    </w:p>
    <w:p>
      <w:pPr>
        <w:spacing w:line="427" w:lineRule="auto" w:before="0"/>
        <w:ind w:left="4350" w:right="2339" w:firstLine="708"/>
        <w:jc w:val="left"/>
        <w:rPr>
          <w:rFonts w:ascii="Cambria" w:hAnsi="Cambria"/>
          <w:b/>
          <w:i/>
          <w:sz w:val="28"/>
        </w:rPr>
      </w:pPr>
      <w:r>
        <w:rPr>
          <w:rFonts w:ascii="Cambria" w:hAnsi="Cambria"/>
          <w:b/>
          <w:i/>
          <w:w w:val="105"/>
          <w:sz w:val="28"/>
        </w:rPr>
        <w:t>Y </w:t>
      </w:r>
      <w:r>
        <w:rPr>
          <w:rFonts w:ascii="Cambria" w:hAnsi="Cambria"/>
          <w:b/>
          <w:i/>
          <w:sz w:val="28"/>
        </w:rPr>
        <w:t>para: </w:t>
      </w:r>
      <w:r>
        <w:rPr>
          <w:rFonts w:ascii="Cambria" w:hAnsi="Cambria"/>
          <w:b/>
          <w:i/>
          <w:w w:val="95"/>
          <w:sz w:val="28"/>
        </w:rPr>
        <w:t>Tomás Laurel  Ríos,</w:t>
      </w:r>
    </w:p>
    <w:p>
      <w:pPr>
        <w:spacing w:line="429" w:lineRule="auto" w:before="4"/>
        <w:ind w:left="4350" w:right="599" w:firstLine="0"/>
        <w:jc w:val="left"/>
        <w:rPr>
          <w:rFonts w:ascii="Cambria" w:hAnsi="Cambria"/>
          <w:b/>
          <w:i/>
          <w:sz w:val="28"/>
        </w:rPr>
      </w:pPr>
      <w:r>
        <w:rPr>
          <w:rFonts w:ascii="Cambria" w:hAnsi="Cambria"/>
          <w:b/>
          <w:i/>
          <w:sz w:val="28"/>
        </w:rPr>
        <w:t>Pável Laurel Gardeazábal e </w:t>
      </w:r>
      <w:r>
        <w:rPr>
          <w:rFonts w:ascii="Cambria" w:hAnsi="Cambria"/>
          <w:b/>
          <w:i/>
          <w:w w:val="176"/>
          <w:sz w:val="28"/>
        </w:rPr>
        <w:t>I</w:t>
      </w:r>
      <w:r>
        <w:rPr>
          <w:rFonts w:ascii="Cambria" w:hAnsi="Cambria"/>
          <w:b/>
          <w:i/>
          <w:w w:val="77"/>
          <w:sz w:val="28"/>
        </w:rPr>
        <w:t>t</w:t>
      </w:r>
      <w:r>
        <w:rPr>
          <w:rFonts w:ascii="Cambria" w:hAnsi="Cambria"/>
          <w:b/>
          <w:i/>
          <w:w w:val="101"/>
          <w:sz w:val="28"/>
        </w:rPr>
        <w:t>z</w:t>
      </w:r>
      <w:r>
        <w:rPr>
          <w:rFonts w:ascii="Cambria" w:hAnsi="Cambria"/>
          <w:b/>
          <w:i/>
          <w:w w:val="81"/>
          <w:sz w:val="28"/>
        </w:rPr>
        <w:t>n</w:t>
      </w:r>
      <w:r>
        <w:rPr>
          <w:rFonts w:ascii="Cambria" w:hAnsi="Cambria"/>
          <w:b/>
          <w:i/>
          <w:w w:val="91"/>
          <w:sz w:val="28"/>
        </w:rPr>
        <w:t>a</w:t>
      </w:r>
      <w:r>
        <w:rPr>
          <w:rFonts w:ascii="Cambria" w:hAnsi="Cambria"/>
          <w:b/>
          <w:i/>
          <w:sz w:val="28"/>
        </w:rPr>
        <w:t> </w:t>
      </w:r>
      <w:r>
        <w:rPr>
          <w:rFonts w:ascii="Cambria" w:hAnsi="Cambria"/>
          <w:b/>
          <w:i/>
          <w:w w:val="92"/>
          <w:sz w:val="28"/>
        </w:rPr>
        <w:t>E</w:t>
      </w:r>
      <w:r>
        <w:rPr>
          <w:rFonts w:ascii="Cambria" w:hAnsi="Cambria"/>
          <w:b/>
          <w:i/>
          <w:w w:val="108"/>
          <w:sz w:val="28"/>
        </w:rPr>
        <w:t>l</w:t>
      </w:r>
      <w:r>
        <w:rPr>
          <w:rFonts w:ascii="Cambria" w:hAnsi="Cambria"/>
          <w:b/>
          <w:i/>
          <w:w w:val="81"/>
          <w:sz w:val="28"/>
        </w:rPr>
        <w:t>o</w:t>
      </w:r>
      <w:r>
        <w:rPr>
          <w:rFonts w:ascii="Cambria" w:hAnsi="Cambria"/>
          <w:b/>
          <w:i/>
          <w:w w:val="86"/>
          <w:sz w:val="28"/>
        </w:rPr>
        <w:t>ís</w:t>
      </w:r>
      <w:r>
        <w:rPr>
          <w:rFonts w:ascii="Cambria" w:hAnsi="Cambria"/>
          <w:b/>
          <w:i/>
          <w:w w:val="91"/>
          <w:sz w:val="28"/>
        </w:rPr>
        <w:t>a</w:t>
      </w:r>
      <w:r>
        <w:rPr>
          <w:rFonts w:ascii="Cambria" w:hAnsi="Cambria"/>
          <w:b/>
          <w:i/>
          <w:sz w:val="28"/>
        </w:rPr>
        <w:t> </w:t>
      </w:r>
      <w:r>
        <w:rPr>
          <w:rFonts w:ascii="Cambria" w:hAnsi="Cambria"/>
          <w:b/>
          <w:i/>
          <w:w w:val="119"/>
          <w:sz w:val="28"/>
        </w:rPr>
        <w:t>L</w:t>
      </w:r>
      <w:r>
        <w:rPr>
          <w:rFonts w:ascii="Cambria" w:hAnsi="Cambria"/>
          <w:b/>
          <w:i/>
          <w:w w:val="91"/>
          <w:sz w:val="28"/>
        </w:rPr>
        <w:t>a</w:t>
      </w:r>
      <w:r>
        <w:rPr>
          <w:rFonts w:ascii="Cambria" w:hAnsi="Cambria"/>
          <w:b/>
          <w:i/>
          <w:w w:val="89"/>
          <w:sz w:val="28"/>
        </w:rPr>
        <w:t>u</w:t>
      </w:r>
      <w:r>
        <w:rPr>
          <w:rFonts w:ascii="Cambria" w:hAnsi="Cambria"/>
          <w:b/>
          <w:i/>
          <w:w w:val="80"/>
          <w:sz w:val="28"/>
        </w:rPr>
        <w:t>r</w:t>
      </w:r>
      <w:r>
        <w:rPr>
          <w:rFonts w:ascii="Cambria" w:hAnsi="Cambria"/>
          <w:b/>
          <w:i/>
          <w:w w:val="73"/>
          <w:sz w:val="28"/>
        </w:rPr>
        <w:t>e</w:t>
      </w:r>
      <w:r>
        <w:rPr>
          <w:rFonts w:ascii="Cambria" w:hAnsi="Cambria"/>
          <w:b/>
          <w:i/>
          <w:w w:val="108"/>
          <w:sz w:val="28"/>
        </w:rPr>
        <w:t>l</w:t>
      </w:r>
      <w:r>
        <w:rPr>
          <w:rFonts w:ascii="Cambria" w:hAnsi="Cambria"/>
          <w:b/>
          <w:i/>
          <w:sz w:val="28"/>
        </w:rPr>
        <w:t> </w:t>
      </w:r>
      <w:r>
        <w:rPr>
          <w:rFonts w:ascii="Cambria" w:hAnsi="Cambria"/>
          <w:b/>
          <w:i/>
          <w:w w:val="102"/>
          <w:sz w:val="28"/>
        </w:rPr>
        <w:t>G</w:t>
      </w:r>
      <w:r>
        <w:rPr>
          <w:rFonts w:ascii="Cambria" w:hAnsi="Cambria"/>
          <w:b/>
          <w:i/>
          <w:w w:val="91"/>
          <w:sz w:val="28"/>
        </w:rPr>
        <w:t>a</w:t>
      </w:r>
      <w:r>
        <w:rPr>
          <w:rFonts w:ascii="Cambria" w:hAnsi="Cambria"/>
          <w:b/>
          <w:i/>
          <w:w w:val="80"/>
          <w:sz w:val="28"/>
        </w:rPr>
        <w:t>r</w:t>
      </w:r>
      <w:r>
        <w:rPr>
          <w:rFonts w:ascii="Cambria" w:hAnsi="Cambria"/>
          <w:b/>
          <w:i/>
          <w:w w:val="91"/>
          <w:sz w:val="28"/>
        </w:rPr>
        <w:t>d</w:t>
      </w:r>
      <w:r>
        <w:rPr>
          <w:rFonts w:ascii="Cambria" w:hAnsi="Cambria"/>
          <w:b/>
          <w:i/>
          <w:w w:val="73"/>
          <w:sz w:val="28"/>
        </w:rPr>
        <w:t>e</w:t>
      </w:r>
      <w:r>
        <w:rPr>
          <w:rFonts w:ascii="Cambria" w:hAnsi="Cambria"/>
          <w:b/>
          <w:i/>
          <w:w w:val="91"/>
          <w:sz w:val="28"/>
        </w:rPr>
        <w:t>a</w:t>
      </w:r>
      <w:r>
        <w:rPr>
          <w:rFonts w:ascii="Cambria" w:hAnsi="Cambria"/>
          <w:b/>
          <w:i/>
          <w:w w:val="101"/>
          <w:sz w:val="28"/>
        </w:rPr>
        <w:t>z</w:t>
      </w:r>
      <w:r>
        <w:rPr>
          <w:rFonts w:ascii="Cambria" w:hAnsi="Cambria"/>
          <w:b/>
          <w:i/>
          <w:w w:val="91"/>
          <w:sz w:val="28"/>
        </w:rPr>
        <w:t>á</w:t>
      </w:r>
      <w:r>
        <w:rPr>
          <w:rFonts w:ascii="Cambria" w:hAnsi="Cambria"/>
          <w:b/>
          <w:i/>
          <w:w w:val="77"/>
          <w:sz w:val="28"/>
        </w:rPr>
        <w:t>b</w:t>
      </w:r>
      <w:r>
        <w:rPr>
          <w:rFonts w:ascii="Cambria" w:hAnsi="Cambria"/>
          <w:b/>
          <w:i/>
          <w:w w:val="91"/>
          <w:sz w:val="28"/>
        </w:rPr>
        <w:t>a</w:t>
      </w:r>
      <w:r>
        <w:rPr>
          <w:rFonts w:ascii="Cambria" w:hAnsi="Cambria"/>
          <w:b/>
          <w:i/>
          <w:w w:val="108"/>
          <w:sz w:val="28"/>
        </w:rPr>
        <w:t>l</w:t>
      </w:r>
      <w:r>
        <w:rPr>
          <w:rFonts w:ascii="Cambria" w:hAnsi="Cambria"/>
          <w:b/>
          <w:i/>
          <w:w w:val="88"/>
          <w:sz w:val="28"/>
        </w:rPr>
        <w:t>.</w:t>
      </w:r>
    </w:p>
    <w:p>
      <w:pPr>
        <w:pStyle w:val="BodyText"/>
        <w:rPr>
          <w:rFonts w:ascii="Cambria"/>
          <w:b/>
          <w:i/>
          <w:sz w:val="28"/>
        </w:rPr>
      </w:pPr>
    </w:p>
    <w:p>
      <w:pPr>
        <w:pStyle w:val="BodyText"/>
        <w:spacing w:before="6"/>
        <w:rPr>
          <w:rFonts w:ascii="Cambria"/>
          <w:b/>
          <w:i/>
          <w:sz w:val="27"/>
        </w:rPr>
      </w:pPr>
    </w:p>
    <w:p>
      <w:pPr>
        <w:spacing w:line="283" w:lineRule="auto" w:before="0"/>
        <w:ind w:left="809" w:right="99" w:firstLine="400"/>
        <w:jc w:val="both"/>
        <w:rPr>
          <w:rFonts w:ascii="Cambria" w:hAnsi="Cambria"/>
          <w:b/>
          <w:i/>
          <w:sz w:val="32"/>
        </w:rPr>
      </w:pPr>
      <w:r>
        <w:rPr>
          <w:rFonts w:ascii="Cambria" w:hAnsi="Cambria"/>
          <w:b/>
          <w:i/>
          <w:sz w:val="32"/>
        </w:rPr>
        <w:t>Porque en el amor, el ser humano es, y en el cuidado y </w:t>
      </w:r>
      <w:r>
        <w:rPr>
          <w:rFonts w:ascii="Cambria" w:hAnsi="Cambria"/>
          <w:b/>
          <w:i/>
          <w:w w:val="90"/>
          <w:sz w:val="32"/>
        </w:rPr>
        <w:t>compañía</w:t>
      </w:r>
      <w:r>
        <w:rPr>
          <w:rFonts w:ascii="Cambria" w:hAnsi="Cambria"/>
          <w:b/>
          <w:i/>
          <w:spacing w:val="-10"/>
          <w:w w:val="90"/>
          <w:sz w:val="32"/>
        </w:rPr>
        <w:t> </w:t>
      </w:r>
      <w:r>
        <w:rPr>
          <w:rFonts w:ascii="Cambria" w:hAnsi="Cambria"/>
          <w:b/>
          <w:i/>
          <w:w w:val="90"/>
          <w:sz w:val="32"/>
        </w:rPr>
        <w:t>de</w:t>
      </w:r>
      <w:r>
        <w:rPr>
          <w:rFonts w:ascii="Cambria" w:hAnsi="Cambria"/>
          <w:b/>
          <w:i/>
          <w:spacing w:val="-10"/>
          <w:w w:val="90"/>
          <w:sz w:val="32"/>
        </w:rPr>
        <w:t> </w:t>
      </w:r>
      <w:r>
        <w:rPr>
          <w:rFonts w:ascii="Cambria" w:hAnsi="Cambria"/>
          <w:b/>
          <w:i/>
          <w:w w:val="90"/>
          <w:sz w:val="32"/>
        </w:rPr>
        <w:t>los</w:t>
      </w:r>
      <w:r>
        <w:rPr>
          <w:rFonts w:ascii="Cambria" w:hAnsi="Cambria"/>
          <w:b/>
          <w:i/>
          <w:spacing w:val="-11"/>
          <w:w w:val="90"/>
          <w:sz w:val="32"/>
        </w:rPr>
        <w:t> </w:t>
      </w:r>
      <w:r>
        <w:rPr>
          <w:rFonts w:ascii="Cambria" w:hAnsi="Cambria"/>
          <w:b/>
          <w:i/>
          <w:w w:val="90"/>
          <w:sz w:val="32"/>
        </w:rPr>
        <w:t>seres</w:t>
      </w:r>
      <w:r>
        <w:rPr>
          <w:rFonts w:ascii="Cambria" w:hAnsi="Cambria"/>
          <w:b/>
          <w:i/>
          <w:spacing w:val="-11"/>
          <w:w w:val="90"/>
          <w:sz w:val="32"/>
        </w:rPr>
        <w:t> </w:t>
      </w:r>
      <w:r>
        <w:rPr>
          <w:rFonts w:ascii="Cambria" w:hAnsi="Cambria"/>
          <w:b/>
          <w:i/>
          <w:w w:val="90"/>
          <w:sz w:val="32"/>
        </w:rPr>
        <w:t>queridos</w:t>
      </w:r>
      <w:r>
        <w:rPr>
          <w:rFonts w:ascii="Cambria" w:hAnsi="Cambria"/>
          <w:b/>
          <w:i/>
          <w:spacing w:val="-9"/>
          <w:w w:val="90"/>
          <w:sz w:val="32"/>
        </w:rPr>
        <w:t> </w:t>
      </w:r>
      <w:r>
        <w:rPr>
          <w:rFonts w:ascii="Cambria" w:hAnsi="Cambria"/>
          <w:b/>
          <w:i/>
          <w:w w:val="90"/>
          <w:sz w:val="32"/>
        </w:rPr>
        <w:t>se</w:t>
      </w:r>
      <w:r>
        <w:rPr>
          <w:rFonts w:ascii="Cambria" w:hAnsi="Cambria"/>
          <w:b/>
          <w:i/>
          <w:spacing w:val="-10"/>
          <w:w w:val="90"/>
          <w:sz w:val="32"/>
        </w:rPr>
        <w:t> </w:t>
      </w:r>
      <w:r>
        <w:rPr>
          <w:rFonts w:ascii="Cambria" w:hAnsi="Cambria"/>
          <w:b/>
          <w:i/>
          <w:w w:val="90"/>
          <w:sz w:val="32"/>
        </w:rPr>
        <w:t>encuentra</w:t>
      </w:r>
      <w:r>
        <w:rPr>
          <w:rFonts w:ascii="Cambria" w:hAnsi="Cambria"/>
          <w:b/>
          <w:i/>
          <w:spacing w:val="-10"/>
          <w:w w:val="90"/>
          <w:sz w:val="32"/>
        </w:rPr>
        <w:t> </w:t>
      </w:r>
      <w:r>
        <w:rPr>
          <w:rFonts w:ascii="Cambria" w:hAnsi="Cambria"/>
          <w:b/>
          <w:i/>
          <w:w w:val="90"/>
          <w:sz w:val="32"/>
        </w:rPr>
        <w:t>la</w:t>
      </w:r>
      <w:r>
        <w:rPr>
          <w:rFonts w:ascii="Cambria" w:hAnsi="Cambria"/>
          <w:b/>
          <w:i/>
          <w:spacing w:val="-9"/>
          <w:w w:val="90"/>
          <w:sz w:val="32"/>
        </w:rPr>
        <w:t> </w:t>
      </w:r>
      <w:r>
        <w:rPr>
          <w:rFonts w:ascii="Cambria" w:hAnsi="Cambria"/>
          <w:b/>
          <w:i/>
          <w:w w:val="90"/>
          <w:sz w:val="32"/>
        </w:rPr>
        <w:t>razón</w:t>
      </w:r>
      <w:r>
        <w:rPr>
          <w:rFonts w:ascii="Cambria" w:hAnsi="Cambria"/>
          <w:b/>
          <w:i/>
          <w:spacing w:val="-11"/>
          <w:w w:val="90"/>
          <w:sz w:val="32"/>
        </w:rPr>
        <w:t> </w:t>
      </w:r>
      <w:r>
        <w:rPr>
          <w:rFonts w:ascii="Cambria" w:hAnsi="Cambria"/>
          <w:b/>
          <w:i/>
          <w:w w:val="90"/>
          <w:sz w:val="32"/>
        </w:rPr>
        <w:t>de</w:t>
      </w:r>
      <w:r>
        <w:rPr>
          <w:rFonts w:ascii="Cambria" w:hAnsi="Cambria"/>
          <w:b/>
          <w:i/>
          <w:spacing w:val="-8"/>
          <w:w w:val="90"/>
          <w:sz w:val="32"/>
        </w:rPr>
        <w:t> </w:t>
      </w:r>
      <w:r>
        <w:rPr>
          <w:rFonts w:ascii="Cambria" w:hAnsi="Cambria"/>
          <w:b/>
          <w:i/>
          <w:w w:val="90"/>
          <w:sz w:val="32"/>
        </w:rPr>
        <w:t>ser</w:t>
      </w:r>
      <w:r>
        <w:rPr>
          <w:rFonts w:ascii="Cambria" w:hAnsi="Cambria"/>
          <w:b/>
          <w:i/>
          <w:spacing w:val="-10"/>
          <w:w w:val="90"/>
          <w:sz w:val="32"/>
        </w:rPr>
        <w:t> </w:t>
      </w:r>
      <w:r>
        <w:rPr>
          <w:rFonts w:ascii="Cambria" w:hAnsi="Cambria"/>
          <w:b/>
          <w:i/>
          <w:w w:val="90"/>
          <w:sz w:val="32"/>
        </w:rPr>
        <w:t>y</w:t>
      </w:r>
      <w:r>
        <w:rPr>
          <w:rFonts w:ascii="Cambria" w:hAnsi="Cambria"/>
          <w:b/>
          <w:i/>
          <w:spacing w:val="-9"/>
          <w:w w:val="90"/>
          <w:sz w:val="32"/>
        </w:rPr>
        <w:t> </w:t>
      </w:r>
      <w:r>
        <w:rPr>
          <w:rFonts w:ascii="Cambria" w:hAnsi="Cambria"/>
          <w:b/>
          <w:i/>
          <w:w w:val="90"/>
          <w:sz w:val="32"/>
        </w:rPr>
        <w:t>el sentido</w:t>
      </w:r>
      <w:r>
        <w:rPr>
          <w:rFonts w:ascii="Cambria" w:hAnsi="Cambria"/>
          <w:b/>
          <w:i/>
          <w:spacing w:val="-20"/>
          <w:w w:val="90"/>
          <w:sz w:val="32"/>
        </w:rPr>
        <w:t> </w:t>
      </w:r>
      <w:r>
        <w:rPr>
          <w:rFonts w:ascii="Cambria" w:hAnsi="Cambria"/>
          <w:b/>
          <w:i/>
          <w:w w:val="90"/>
          <w:sz w:val="32"/>
        </w:rPr>
        <w:t>a</w:t>
      </w:r>
      <w:r>
        <w:rPr>
          <w:rFonts w:ascii="Cambria" w:hAnsi="Cambria"/>
          <w:b/>
          <w:i/>
          <w:spacing w:val="-19"/>
          <w:w w:val="90"/>
          <w:sz w:val="32"/>
        </w:rPr>
        <w:t> </w:t>
      </w:r>
      <w:r>
        <w:rPr>
          <w:rFonts w:ascii="Cambria" w:hAnsi="Cambria"/>
          <w:b/>
          <w:i/>
          <w:w w:val="90"/>
          <w:sz w:val="32"/>
        </w:rPr>
        <w:t>la</w:t>
      </w:r>
      <w:r>
        <w:rPr>
          <w:rFonts w:ascii="Cambria" w:hAnsi="Cambria"/>
          <w:b/>
          <w:i/>
          <w:spacing w:val="-19"/>
          <w:w w:val="90"/>
          <w:sz w:val="32"/>
        </w:rPr>
        <w:t> </w:t>
      </w:r>
      <w:r>
        <w:rPr>
          <w:rFonts w:ascii="Cambria" w:hAnsi="Cambria"/>
          <w:b/>
          <w:i/>
          <w:w w:val="90"/>
          <w:sz w:val="32"/>
        </w:rPr>
        <w:t>existencia…</w:t>
      </w:r>
      <w:r>
        <w:rPr>
          <w:rFonts w:ascii="Cambria" w:hAnsi="Cambria"/>
          <w:b/>
          <w:i/>
          <w:spacing w:val="-19"/>
          <w:w w:val="90"/>
          <w:sz w:val="32"/>
        </w:rPr>
        <w:t> </w:t>
      </w:r>
      <w:r>
        <w:rPr>
          <w:rFonts w:ascii="Cambria" w:hAnsi="Cambria"/>
          <w:b/>
          <w:i/>
          <w:w w:val="90"/>
          <w:sz w:val="32"/>
        </w:rPr>
        <w:t>gracias</w:t>
      </w:r>
      <w:r>
        <w:rPr>
          <w:rFonts w:ascii="Cambria" w:hAnsi="Cambria"/>
          <w:b/>
          <w:i/>
          <w:spacing w:val="-21"/>
          <w:w w:val="90"/>
          <w:sz w:val="32"/>
        </w:rPr>
        <w:t> </w:t>
      </w:r>
      <w:r>
        <w:rPr>
          <w:rFonts w:ascii="Cambria" w:hAnsi="Cambria"/>
          <w:b/>
          <w:i/>
          <w:w w:val="90"/>
          <w:sz w:val="32"/>
        </w:rPr>
        <w:t>por</w:t>
      </w:r>
      <w:r>
        <w:rPr>
          <w:rFonts w:ascii="Cambria" w:hAnsi="Cambria"/>
          <w:b/>
          <w:i/>
          <w:spacing w:val="-20"/>
          <w:w w:val="90"/>
          <w:sz w:val="32"/>
        </w:rPr>
        <w:t> </w:t>
      </w:r>
      <w:r>
        <w:rPr>
          <w:rFonts w:ascii="Cambria" w:hAnsi="Cambria"/>
          <w:b/>
          <w:i/>
          <w:w w:val="90"/>
          <w:sz w:val="32"/>
        </w:rPr>
        <w:t>estar</w:t>
      </w:r>
      <w:r>
        <w:rPr>
          <w:rFonts w:ascii="Cambria" w:hAnsi="Cambria"/>
          <w:b/>
          <w:i/>
          <w:spacing w:val="-20"/>
          <w:w w:val="90"/>
          <w:sz w:val="32"/>
        </w:rPr>
        <w:t> </w:t>
      </w:r>
      <w:r>
        <w:rPr>
          <w:rFonts w:ascii="Cambria" w:hAnsi="Cambria"/>
          <w:b/>
          <w:i/>
          <w:w w:val="90"/>
          <w:sz w:val="32"/>
        </w:rPr>
        <w:t>conmigo.</w:t>
      </w:r>
    </w:p>
    <w:p>
      <w:pPr>
        <w:spacing w:before="197"/>
        <w:ind w:left="5838" w:right="0" w:firstLine="0"/>
        <w:jc w:val="left"/>
        <w:rPr>
          <w:rFonts w:ascii="Cambria" w:hAnsi="Cambria"/>
          <w:b/>
          <w:i/>
          <w:sz w:val="24"/>
        </w:rPr>
      </w:pPr>
      <w:r>
        <w:rPr>
          <w:rFonts w:ascii="Cambria" w:hAnsi="Cambria"/>
          <w:b/>
          <w:i/>
          <w:w w:val="90"/>
          <w:sz w:val="24"/>
        </w:rPr>
        <w:t>Toluca, Méx., diciembre de 2012</w:t>
      </w:r>
    </w:p>
    <w:p>
      <w:pPr>
        <w:spacing w:after="0"/>
        <w:jc w:val="left"/>
        <w:rPr>
          <w:rFonts w:ascii="Cambria" w:hAnsi="Cambria"/>
          <w:sz w:val="24"/>
        </w:rPr>
        <w:sectPr>
          <w:pgSz w:w="12240" w:h="15840"/>
          <w:pgMar w:header="0" w:footer="938" w:top="1500" w:bottom="1120" w:left="1600" w:right="1600"/>
        </w:sectPr>
      </w:pPr>
    </w:p>
    <w:p>
      <w:pPr>
        <w:pStyle w:val="BodyText"/>
        <w:spacing w:before="4"/>
        <w:rPr>
          <w:rFonts w:ascii="Times New Roman"/>
          <w:sz w:val="17"/>
        </w:rPr>
      </w:pPr>
    </w:p>
    <w:p>
      <w:pPr>
        <w:spacing w:after="0"/>
        <w:rPr>
          <w:rFonts w:ascii="Times New Roman"/>
          <w:sz w:val="17"/>
        </w:rPr>
        <w:sectPr>
          <w:pgSz w:w="12240" w:h="15840"/>
          <w:pgMar w:header="0" w:footer="938" w:top="1500" w:bottom="1120" w:left="1720" w:right="1720"/>
        </w:sectPr>
      </w:pPr>
    </w:p>
    <w:p>
      <w:pPr>
        <w:pStyle w:val="BodyText"/>
        <w:rPr>
          <w:rFonts w:ascii="Times New Roman"/>
          <w:sz w:val="20"/>
        </w:rPr>
      </w:pPr>
    </w:p>
    <w:p>
      <w:pPr>
        <w:pStyle w:val="BodyText"/>
        <w:spacing w:before="11"/>
        <w:rPr>
          <w:rFonts w:ascii="Times New Roman"/>
          <w:sz w:val="18"/>
        </w:rPr>
      </w:pPr>
    </w:p>
    <w:p>
      <w:pPr>
        <w:spacing w:before="56"/>
        <w:ind w:left="2905" w:right="0" w:firstLine="0"/>
        <w:jc w:val="left"/>
        <w:rPr>
          <w:b/>
          <w:sz w:val="32"/>
        </w:rPr>
      </w:pPr>
      <w:r>
        <w:rPr>
          <w:b/>
          <w:w w:val="110"/>
          <w:sz w:val="32"/>
        </w:rPr>
        <w:t>RECONOCIMIENTO</w:t>
      </w:r>
    </w:p>
    <w:p>
      <w:pPr>
        <w:pStyle w:val="BodyText"/>
        <w:rPr>
          <w:b/>
          <w:sz w:val="32"/>
        </w:rPr>
      </w:pPr>
    </w:p>
    <w:p>
      <w:pPr>
        <w:pStyle w:val="BodyText"/>
        <w:rPr>
          <w:b/>
          <w:sz w:val="32"/>
        </w:rPr>
      </w:pPr>
    </w:p>
    <w:p>
      <w:pPr>
        <w:pStyle w:val="BodyText"/>
        <w:rPr>
          <w:b/>
          <w:sz w:val="32"/>
        </w:rPr>
      </w:pPr>
    </w:p>
    <w:p>
      <w:pPr>
        <w:spacing w:before="202"/>
        <w:ind w:left="100" w:right="0" w:firstLine="0"/>
        <w:jc w:val="left"/>
        <w:rPr>
          <w:rFonts w:ascii="Trebuchet MS" w:hAnsi="Trebuchet MS"/>
          <w:sz w:val="28"/>
        </w:rPr>
      </w:pPr>
      <w:r>
        <w:rPr>
          <w:rFonts w:ascii="Trebuchet MS" w:hAnsi="Trebuchet MS"/>
          <w:w w:val="95"/>
          <w:sz w:val="28"/>
        </w:rPr>
        <w:t>Reconocimiento a</w:t>
      </w:r>
      <w:r>
        <w:rPr>
          <w:rFonts w:ascii="Trebuchet MS" w:hAnsi="Trebuchet MS"/>
          <w:spacing w:val="-50"/>
          <w:w w:val="95"/>
          <w:sz w:val="28"/>
        </w:rPr>
        <w:t> </w:t>
      </w:r>
      <w:r>
        <w:rPr>
          <w:rFonts w:ascii="Trebuchet MS" w:hAnsi="Trebuchet MS"/>
          <w:w w:val="95"/>
          <w:sz w:val="28"/>
        </w:rPr>
        <w:t>mi</w:t>
      </w:r>
      <w:r>
        <w:rPr>
          <w:rFonts w:ascii="Trebuchet MS" w:hAnsi="Trebuchet MS"/>
          <w:spacing w:val="-51"/>
          <w:w w:val="95"/>
          <w:sz w:val="28"/>
        </w:rPr>
        <w:t> </w:t>
      </w:r>
      <w:r>
        <w:rPr>
          <w:rFonts w:ascii="Trebuchet MS" w:hAnsi="Trebuchet MS"/>
          <w:w w:val="95"/>
          <w:sz w:val="28"/>
        </w:rPr>
        <w:t>comité tutorial:</w:t>
      </w:r>
    </w:p>
    <w:p>
      <w:pPr>
        <w:pStyle w:val="BodyText"/>
        <w:rPr>
          <w:rFonts w:ascii="Trebuchet MS"/>
          <w:sz w:val="28"/>
        </w:rPr>
      </w:pPr>
    </w:p>
    <w:p>
      <w:pPr>
        <w:pStyle w:val="BodyText"/>
        <w:rPr>
          <w:rFonts w:ascii="Trebuchet MS"/>
          <w:sz w:val="38"/>
        </w:rPr>
      </w:pPr>
    </w:p>
    <w:p>
      <w:pPr>
        <w:spacing w:line="422" w:lineRule="auto" w:before="1"/>
        <w:ind w:left="100" w:right="4962" w:firstLine="0"/>
        <w:jc w:val="left"/>
        <w:rPr>
          <w:rFonts w:ascii="Trebuchet MS" w:hAnsi="Trebuchet MS"/>
          <w:sz w:val="28"/>
        </w:rPr>
      </w:pPr>
      <w:r>
        <w:rPr>
          <w:rFonts w:ascii="Trebuchet MS" w:hAnsi="Trebuchet MS"/>
          <w:spacing w:val="1"/>
          <w:w w:val="122"/>
          <w:sz w:val="28"/>
        </w:rPr>
        <w:t>D</w:t>
      </w:r>
      <w:r>
        <w:rPr>
          <w:rFonts w:ascii="Trebuchet MS" w:hAnsi="Trebuchet MS"/>
          <w:w w:val="101"/>
          <w:sz w:val="28"/>
        </w:rPr>
        <w:t>r</w:t>
      </w:r>
      <w:r>
        <w:rPr>
          <w:rFonts w:ascii="Trebuchet MS" w:hAnsi="Trebuchet MS"/>
          <w:w w:val="59"/>
          <w:sz w:val="28"/>
        </w:rPr>
        <w:t>.</w:t>
      </w:r>
      <w:r>
        <w:rPr>
          <w:rFonts w:ascii="Trebuchet MS" w:hAnsi="Trebuchet MS"/>
          <w:spacing w:val="-10"/>
          <w:sz w:val="28"/>
        </w:rPr>
        <w:t> </w:t>
      </w:r>
      <w:r>
        <w:rPr>
          <w:rFonts w:ascii="Trebuchet MS" w:hAnsi="Trebuchet MS"/>
          <w:spacing w:val="1"/>
          <w:w w:val="110"/>
          <w:sz w:val="28"/>
        </w:rPr>
        <w:t>M</w:t>
      </w:r>
      <w:r>
        <w:rPr>
          <w:rFonts w:ascii="Trebuchet MS" w:hAnsi="Trebuchet MS"/>
          <w:spacing w:val="-2"/>
          <w:w w:val="76"/>
          <w:sz w:val="28"/>
        </w:rPr>
        <w:t>i</w:t>
      </w:r>
      <w:r>
        <w:rPr>
          <w:rFonts w:ascii="Trebuchet MS" w:hAnsi="Trebuchet MS"/>
          <w:w w:val="88"/>
          <w:sz w:val="28"/>
        </w:rPr>
        <w:t>gu</w:t>
      </w:r>
      <w:r>
        <w:rPr>
          <w:rFonts w:ascii="Trebuchet MS" w:hAnsi="Trebuchet MS"/>
          <w:spacing w:val="1"/>
          <w:w w:val="88"/>
          <w:sz w:val="28"/>
        </w:rPr>
        <w:t>e</w:t>
      </w:r>
      <w:r>
        <w:rPr>
          <w:rFonts w:ascii="Trebuchet MS" w:hAnsi="Trebuchet MS"/>
          <w:w w:val="74"/>
          <w:sz w:val="28"/>
        </w:rPr>
        <w:t>l</w:t>
      </w:r>
      <w:r>
        <w:rPr>
          <w:rFonts w:ascii="Trebuchet MS" w:hAnsi="Trebuchet MS"/>
          <w:spacing w:val="-10"/>
          <w:sz w:val="28"/>
        </w:rPr>
        <w:t> </w:t>
      </w:r>
      <w:r>
        <w:rPr>
          <w:rFonts w:ascii="Trebuchet MS" w:hAnsi="Trebuchet MS"/>
          <w:w w:val="113"/>
          <w:sz w:val="28"/>
        </w:rPr>
        <w:t>Á</w:t>
      </w:r>
      <w:r>
        <w:rPr>
          <w:rFonts w:ascii="Trebuchet MS" w:hAnsi="Trebuchet MS"/>
          <w:w w:val="88"/>
          <w:sz w:val="28"/>
        </w:rPr>
        <w:t>ng</w:t>
      </w:r>
      <w:r>
        <w:rPr>
          <w:rFonts w:ascii="Trebuchet MS" w:hAnsi="Trebuchet MS"/>
          <w:spacing w:val="2"/>
          <w:w w:val="88"/>
          <w:sz w:val="28"/>
        </w:rPr>
        <w:t>e</w:t>
      </w:r>
      <w:r>
        <w:rPr>
          <w:rFonts w:ascii="Trebuchet MS" w:hAnsi="Trebuchet MS"/>
          <w:w w:val="74"/>
          <w:sz w:val="28"/>
        </w:rPr>
        <w:t>l</w:t>
      </w:r>
      <w:r>
        <w:rPr>
          <w:rFonts w:ascii="Trebuchet MS" w:hAnsi="Trebuchet MS"/>
          <w:spacing w:val="-10"/>
          <w:sz w:val="28"/>
        </w:rPr>
        <w:t> </w:t>
      </w:r>
      <w:r>
        <w:rPr>
          <w:rFonts w:ascii="Trebuchet MS" w:hAnsi="Trebuchet MS"/>
          <w:w w:val="99"/>
          <w:sz w:val="28"/>
        </w:rPr>
        <w:t>So</w:t>
      </w:r>
      <w:r>
        <w:rPr>
          <w:rFonts w:ascii="Trebuchet MS" w:hAnsi="Trebuchet MS"/>
          <w:w w:val="94"/>
          <w:sz w:val="28"/>
        </w:rPr>
        <w:t>br</w:t>
      </w:r>
      <w:r>
        <w:rPr>
          <w:rFonts w:ascii="Trebuchet MS" w:hAnsi="Trebuchet MS"/>
          <w:spacing w:val="-2"/>
          <w:w w:val="76"/>
          <w:sz w:val="28"/>
        </w:rPr>
        <w:t>i</w:t>
      </w:r>
      <w:r>
        <w:rPr>
          <w:rFonts w:ascii="Trebuchet MS" w:hAnsi="Trebuchet MS"/>
          <w:w w:val="97"/>
          <w:sz w:val="28"/>
        </w:rPr>
        <w:t>no</w:t>
      </w:r>
      <w:r>
        <w:rPr>
          <w:rFonts w:ascii="Trebuchet MS" w:hAnsi="Trebuchet MS"/>
          <w:spacing w:val="-8"/>
          <w:sz w:val="28"/>
        </w:rPr>
        <w:t> </w:t>
      </w:r>
      <w:r>
        <w:rPr>
          <w:rFonts w:ascii="Trebuchet MS" w:hAnsi="Trebuchet MS"/>
          <w:spacing w:val="1"/>
          <w:w w:val="122"/>
          <w:sz w:val="28"/>
        </w:rPr>
        <w:t>O</w:t>
      </w:r>
      <w:r>
        <w:rPr>
          <w:rFonts w:ascii="Trebuchet MS" w:hAnsi="Trebuchet MS"/>
          <w:w w:val="101"/>
          <w:sz w:val="28"/>
        </w:rPr>
        <w:t>r</w:t>
      </w:r>
      <w:r>
        <w:rPr>
          <w:rFonts w:ascii="Trebuchet MS" w:hAnsi="Trebuchet MS"/>
          <w:w w:val="91"/>
          <w:sz w:val="28"/>
        </w:rPr>
        <w:t>d</w:t>
      </w:r>
      <w:r>
        <w:rPr>
          <w:rFonts w:ascii="Trebuchet MS" w:hAnsi="Trebuchet MS"/>
          <w:spacing w:val="1"/>
          <w:w w:val="102"/>
          <w:sz w:val="28"/>
        </w:rPr>
        <w:t>ó</w:t>
      </w:r>
      <w:r>
        <w:rPr>
          <w:rFonts w:ascii="Trebuchet MS" w:hAnsi="Trebuchet MS"/>
          <w:spacing w:val="-4"/>
          <w:w w:val="91"/>
          <w:sz w:val="28"/>
        </w:rPr>
        <w:t>ñ</w:t>
      </w:r>
      <w:r>
        <w:rPr>
          <w:rFonts w:ascii="Trebuchet MS" w:hAnsi="Trebuchet MS"/>
          <w:spacing w:val="1"/>
          <w:w w:val="87"/>
          <w:sz w:val="28"/>
        </w:rPr>
        <w:t>e</w:t>
      </w:r>
      <w:r>
        <w:rPr>
          <w:rFonts w:ascii="Trebuchet MS" w:hAnsi="Trebuchet MS"/>
          <w:w w:val="87"/>
          <w:sz w:val="28"/>
        </w:rPr>
        <w:t>z </w:t>
      </w:r>
      <w:r>
        <w:rPr>
          <w:rFonts w:ascii="Trebuchet MS" w:hAnsi="Trebuchet MS"/>
          <w:spacing w:val="1"/>
          <w:w w:val="122"/>
          <w:sz w:val="28"/>
        </w:rPr>
        <w:t>D</w:t>
      </w:r>
      <w:r>
        <w:rPr>
          <w:rFonts w:ascii="Trebuchet MS" w:hAnsi="Trebuchet MS"/>
          <w:w w:val="101"/>
          <w:sz w:val="28"/>
        </w:rPr>
        <w:t>r</w:t>
      </w:r>
      <w:r>
        <w:rPr>
          <w:rFonts w:ascii="Trebuchet MS" w:hAnsi="Trebuchet MS"/>
          <w:w w:val="59"/>
          <w:sz w:val="28"/>
        </w:rPr>
        <w:t>.</w:t>
      </w:r>
      <w:r>
        <w:rPr>
          <w:rFonts w:ascii="Trebuchet MS" w:hAnsi="Trebuchet MS"/>
          <w:spacing w:val="-10"/>
          <w:sz w:val="28"/>
        </w:rPr>
        <w:t> </w:t>
      </w:r>
      <w:r>
        <w:rPr>
          <w:rFonts w:ascii="Trebuchet MS" w:hAnsi="Trebuchet MS"/>
          <w:spacing w:val="1"/>
          <w:w w:val="110"/>
          <w:sz w:val="28"/>
        </w:rPr>
        <w:t>M</w:t>
      </w:r>
      <w:r>
        <w:rPr>
          <w:rFonts w:ascii="Trebuchet MS" w:hAnsi="Trebuchet MS"/>
          <w:w w:val="90"/>
          <w:sz w:val="28"/>
        </w:rPr>
        <w:t>a</w:t>
      </w:r>
      <w:r>
        <w:rPr>
          <w:rFonts w:ascii="Trebuchet MS" w:hAnsi="Trebuchet MS"/>
          <w:spacing w:val="1"/>
          <w:w w:val="90"/>
          <w:sz w:val="28"/>
        </w:rPr>
        <w:t>r</w:t>
      </w:r>
      <w:r>
        <w:rPr>
          <w:rFonts w:ascii="Trebuchet MS" w:hAnsi="Trebuchet MS"/>
          <w:spacing w:val="-2"/>
          <w:w w:val="76"/>
          <w:sz w:val="28"/>
        </w:rPr>
        <w:t>i</w:t>
      </w:r>
      <w:r>
        <w:rPr>
          <w:rFonts w:ascii="Trebuchet MS" w:hAnsi="Trebuchet MS"/>
          <w:w w:val="102"/>
          <w:sz w:val="28"/>
        </w:rPr>
        <w:t>o</w:t>
      </w:r>
      <w:r>
        <w:rPr>
          <w:rFonts w:ascii="Trebuchet MS" w:hAnsi="Trebuchet MS"/>
          <w:spacing w:val="-8"/>
          <w:sz w:val="28"/>
        </w:rPr>
        <w:t> </w:t>
      </w:r>
      <w:r>
        <w:rPr>
          <w:rFonts w:ascii="Trebuchet MS" w:hAnsi="Trebuchet MS"/>
          <w:spacing w:val="1"/>
          <w:w w:val="110"/>
          <w:sz w:val="28"/>
        </w:rPr>
        <w:t>M</w:t>
      </w:r>
      <w:r>
        <w:rPr>
          <w:rFonts w:ascii="Trebuchet MS" w:hAnsi="Trebuchet MS"/>
          <w:w w:val="83"/>
          <w:sz w:val="28"/>
        </w:rPr>
        <w:t>ag</w:t>
      </w:r>
      <w:r>
        <w:rPr>
          <w:rFonts w:ascii="Trebuchet MS" w:hAnsi="Trebuchet MS"/>
          <w:w w:val="78"/>
          <w:sz w:val="28"/>
        </w:rPr>
        <w:t>a</w:t>
      </w:r>
      <w:r>
        <w:rPr>
          <w:rFonts w:ascii="Trebuchet MS" w:hAnsi="Trebuchet MS"/>
          <w:spacing w:val="-1"/>
          <w:w w:val="78"/>
          <w:sz w:val="28"/>
        </w:rPr>
        <w:t>l</w:t>
      </w:r>
      <w:r>
        <w:rPr>
          <w:rFonts w:ascii="Trebuchet MS" w:hAnsi="Trebuchet MS"/>
          <w:spacing w:val="-2"/>
          <w:w w:val="74"/>
          <w:sz w:val="28"/>
        </w:rPr>
        <w:t>l</w:t>
      </w:r>
      <w:r>
        <w:rPr>
          <w:rFonts w:ascii="Trebuchet MS" w:hAnsi="Trebuchet MS"/>
          <w:spacing w:val="1"/>
          <w:w w:val="102"/>
          <w:sz w:val="28"/>
        </w:rPr>
        <w:t>ó</w:t>
      </w:r>
      <w:r>
        <w:rPr>
          <w:rFonts w:ascii="Trebuchet MS" w:hAnsi="Trebuchet MS"/>
          <w:w w:val="91"/>
          <w:sz w:val="28"/>
        </w:rPr>
        <w:t>n</w:t>
      </w:r>
      <w:r>
        <w:rPr>
          <w:rFonts w:ascii="Trebuchet MS" w:hAnsi="Trebuchet MS"/>
          <w:spacing w:val="-9"/>
          <w:sz w:val="28"/>
        </w:rPr>
        <w:t> </w:t>
      </w:r>
      <w:r>
        <w:rPr>
          <w:rFonts w:ascii="Trebuchet MS" w:hAnsi="Trebuchet MS"/>
          <w:w w:val="113"/>
          <w:sz w:val="28"/>
        </w:rPr>
        <w:t>A</w:t>
      </w:r>
      <w:r>
        <w:rPr>
          <w:rFonts w:ascii="Trebuchet MS" w:hAnsi="Trebuchet MS"/>
          <w:w w:val="87"/>
          <w:sz w:val="28"/>
        </w:rPr>
        <w:t>na</w:t>
      </w:r>
      <w:r>
        <w:rPr>
          <w:rFonts w:ascii="Trebuchet MS" w:hAnsi="Trebuchet MS"/>
          <w:spacing w:val="1"/>
          <w:w w:val="87"/>
          <w:sz w:val="28"/>
        </w:rPr>
        <w:t>y</w:t>
      </w:r>
      <w:r>
        <w:rPr>
          <w:rFonts w:ascii="Trebuchet MS" w:hAnsi="Trebuchet MS"/>
          <w:w w:val="81"/>
          <w:sz w:val="28"/>
        </w:rPr>
        <w:t>a</w:t>
      </w:r>
    </w:p>
    <w:p>
      <w:pPr>
        <w:spacing w:before="4"/>
        <w:ind w:left="100" w:right="0" w:firstLine="0"/>
        <w:jc w:val="left"/>
        <w:rPr>
          <w:rFonts w:ascii="Trebuchet MS" w:hAnsi="Trebuchet MS"/>
          <w:sz w:val="28"/>
        </w:rPr>
      </w:pPr>
      <w:r>
        <w:rPr>
          <w:rFonts w:ascii="Trebuchet MS" w:hAnsi="Trebuchet MS"/>
          <w:spacing w:val="1"/>
          <w:w w:val="122"/>
          <w:sz w:val="28"/>
        </w:rPr>
        <w:t>D</w:t>
      </w:r>
      <w:r>
        <w:rPr>
          <w:rFonts w:ascii="Trebuchet MS" w:hAnsi="Trebuchet MS"/>
          <w:w w:val="101"/>
          <w:sz w:val="28"/>
        </w:rPr>
        <w:t>r</w:t>
      </w:r>
      <w:r>
        <w:rPr>
          <w:rFonts w:ascii="Trebuchet MS" w:hAnsi="Trebuchet MS"/>
          <w:w w:val="59"/>
          <w:sz w:val="28"/>
        </w:rPr>
        <w:t>.</w:t>
      </w:r>
      <w:r>
        <w:rPr>
          <w:rFonts w:ascii="Trebuchet MS" w:hAnsi="Trebuchet MS"/>
          <w:spacing w:val="-10"/>
          <w:sz w:val="28"/>
        </w:rPr>
        <w:t> </w:t>
      </w:r>
      <w:r>
        <w:rPr>
          <w:rFonts w:ascii="Trebuchet MS" w:hAnsi="Trebuchet MS"/>
          <w:spacing w:val="1"/>
          <w:w w:val="52"/>
          <w:sz w:val="28"/>
        </w:rPr>
        <w:t>J</w:t>
      </w:r>
      <w:r>
        <w:rPr>
          <w:rFonts w:ascii="Trebuchet MS" w:hAnsi="Trebuchet MS"/>
          <w:w w:val="88"/>
          <w:sz w:val="28"/>
        </w:rPr>
        <w:t>uan</w:t>
      </w:r>
      <w:r>
        <w:rPr>
          <w:rFonts w:ascii="Trebuchet MS" w:hAnsi="Trebuchet MS"/>
          <w:spacing w:val="-8"/>
          <w:sz w:val="28"/>
        </w:rPr>
        <w:t> </w:t>
      </w:r>
      <w:r>
        <w:rPr>
          <w:rFonts w:ascii="Trebuchet MS" w:hAnsi="Trebuchet MS"/>
          <w:spacing w:val="1"/>
          <w:w w:val="52"/>
          <w:sz w:val="28"/>
        </w:rPr>
        <w:t>J</w:t>
      </w:r>
      <w:r>
        <w:rPr>
          <w:rFonts w:ascii="Trebuchet MS" w:hAnsi="Trebuchet MS"/>
          <w:spacing w:val="1"/>
          <w:w w:val="102"/>
          <w:sz w:val="28"/>
        </w:rPr>
        <w:t>o</w:t>
      </w:r>
      <w:r>
        <w:rPr>
          <w:rFonts w:ascii="Trebuchet MS" w:hAnsi="Trebuchet MS"/>
          <w:spacing w:val="-4"/>
          <w:w w:val="95"/>
          <w:sz w:val="28"/>
        </w:rPr>
        <w:t>s</w:t>
      </w:r>
      <w:r>
        <w:rPr>
          <w:rFonts w:ascii="Trebuchet MS" w:hAnsi="Trebuchet MS"/>
          <w:w w:val="87"/>
          <w:sz w:val="28"/>
        </w:rPr>
        <w:t>é</w:t>
      </w:r>
      <w:r>
        <w:rPr>
          <w:rFonts w:ascii="Trebuchet MS" w:hAnsi="Trebuchet MS"/>
          <w:spacing w:val="-7"/>
          <w:sz w:val="28"/>
        </w:rPr>
        <w:t> </w:t>
      </w:r>
      <w:r>
        <w:rPr>
          <w:rFonts w:ascii="Trebuchet MS" w:hAnsi="Trebuchet MS"/>
          <w:spacing w:val="1"/>
          <w:w w:val="110"/>
          <w:sz w:val="28"/>
        </w:rPr>
        <w:t>M</w:t>
      </w:r>
      <w:r>
        <w:rPr>
          <w:rFonts w:ascii="Trebuchet MS" w:hAnsi="Trebuchet MS"/>
          <w:spacing w:val="1"/>
          <w:w w:val="102"/>
          <w:sz w:val="28"/>
        </w:rPr>
        <w:t>o</w:t>
      </w:r>
      <w:r>
        <w:rPr>
          <w:rFonts w:ascii="Trebuchet MS" w:hAnsi="Trebuchet MS"/>
          <w:w w:val="95"/>
          <w:sz w:val="28"/>
        </w:rPr>
        <w:t>n</w:t>
      </w:r>
      <w:r>
        <w:rPr>
          <w:rFonts w:ascii="Trebuchet MS" w:hAnsi="Trebuchet MS"/>
          <w:spacing w:val="-3"/>
          <w:w w:val="95"/>
          <w:sz w:val="28"/>
        </w:rPr>
        <w:t>r</w:t>
      </w:r>
      <w:r>
        <w:rPr>
          <w:rFonts w:ascii="Trebuchet MS" w:hAnsi="Trebuchet MS"/>
          <w:spacing w:val="1"/>
          <w:w w:val="102"/>
          <w:sz w:val="28"/>
        </w:rPr>
        <w:t>o</w:t>
      </w:r>
      <w:r>
        <w:rPr>
          <w:rFonts w:ascii="Trebuchet MS" w:hAnsi="Trebuchet MS"/>
          <w:w w:val="88"/>
          <w:sz w:val="28"/>
        </w:rPr>
        <w:t>y</w:t>
      </w:r>
    </w:p>
    <w:p>
      <w:pPr>
        <w:pStyle w:val="BodyText"/>
        <w:rPr>
          <w:rFonts w:ascii="Trebuchet MS"/>
          <w:sz w:val="28"/>
        </w:rPr>
      </w:pPr>
    </w:p>
    <w:p>
      <w:pPr>
        <w:pStyle w:val="BodyText"/>
        <w:spacing w:before="8"/>
        <w:rPr>
          <w:rFonts w:ascii="Trebuchet MS"/>
          <w:sz w:val="37"/>
        </w:rPr>
      </w:pPr>
    </w:p>
    <w:p>
      <w:pPr>
        <w:spacing w:line="360" w:lineRule="auto" w:before="0"/>
        <w:ind w:left="100" w:right="115" w:firstLine="383"/>
        <w:jc w:val="both"/>
        <w:rPr>
          <w:rFonts w:ascii="Trebuchet MS" w:hAnsi="Trebuchet MS"/>
          <w:sz w:val="28"/>
        </w:rPr>
      </w:pPr>
      <w:r>
        <w:rPr>
          <w:rFonts w:ascii="Trebuchet MS" w:hAnsi="Trebuchet MS"/>
          <w:w w:val="95"/>
          <w:sz w:val="28"/>
        </w:rPr>
        <w:t>Por</w:t>
      </w:r>
      <w:r>
        <w:rPr>
          <w:rFonts w:ascii="Trebuchet MS" w:hAnsi="Trebuchet MS"/>
          <w:spacing w:val="-16"/>
          <w:w w:val="95"/>
          <w:sz w:val="28"/>
        </w:rPr>
        <w:t> </w:t>
      </w:r>
      <w:r>
        <w:rPr>
          <w:rFonts w:ascii="Trebuchet MS" w:hAnsi="Trebuchet MS"/>
          <w:w w:val="95"/>
          <w:sz w:val="28"/>
        </w:rPr>
        <w:t>sus</w:t>
      </w:r>
      <w:r>
        <w:rPr>
          <w:rFonts w:ascii="Trebuchet MS" w:hAnsi="Trebuchet MS"/>
          <w:spacing w:val="-17"/>
          <w:w w:val="95"/>
          <w:sz w:val="28"/>
        </w:rPr>
        <w:t> </w:t>
      </w:r>
      <w:r>
        <w:rPr>
          <w:rFonts w:ascii="Trebuchet MS" w:hAnsi="Trebuchet MS"/>
          <w:w w:val="95"/>
          <w:sz w:val="28"/>
        </w:rPr>
        <w:t>aportes,</w:t>
      </w:r>
      <w:r>
        <w:rPr>
          <w:rFonts w:ascii="Trebuchet MS" w:hAnsi="Trebuchet MS"/>
          <w:spacing w:val="-17"/>
          <w:w w:val="95"/>
          <w:sz w:val="28"/>
        </w:rPr>
        <w:t> </w:t>
      </w:r>
      <w:r>
        <w:rPr>
          <w:rFonts w:ascii="Trebuchet MS" w:hAnsi="Trebuchet MS"/>
          <w:w w:val="95"/>
          <w:sz w:val="28"/>
        </w:rPr>
        <w:t>apoyo,</w:t>
      </w:r>
      <w:r>
        <w:rPr>
          <w:rFonts w:ascii="Trebuchet MS" w:hAnsi="Trebuchet MS"/>
          <w:spacing w:val="-18"/>
          <w:w w:val="95"/>
          <w:sz w:val="28"/>
        </w:rPr>
        <w:t> </w:t>
      </w:r>
      <w:r>
        <w:rPr>
          <w:rFonts w:ascii="Trebuchet MS" w:hAnsi="Trebuchet MS"/>
          <w:w w:val="95"/>
          <w:sz w:val="28"/>
        </w:rPr>
        <w:t>orientación</w:t>
      </w:r>
      <w:r>
        <w:rPr>
          <w:rFonts w:ascii="Trebuchet MS" w:hAnsi="Trebuchet MS"/>
          <w:spacing w:val="-16"/>
          <w:w w:val="95"/>
          <w:sz w:val="28"/>
        </w:rPr>
        <w:t> </w:t>
      </w:r>
      <w:r>
        <w:rPr>
          <w:rFonts w:ascii="Trebuchet MS" w:hAnsi="Trebuchet MS"/>
          <w:w w:val="95"/>
          <w:sz w:val="28"/>
        </w:rPr>
        <w:t>y</w:t>
      </w:r>
      <w:r>
        <w:rPr>
          <w:rFonts w:ascii="Trebuchet MS" w:hAnsi="Trebuchet MS"/>
          <w:spacing w:val="-16"/>
          <w:w w:val="95"/>
          <w:sz w:val="28"/>
        </w:rPr>
        <w:t> </w:t>
      </w:r>
      <w:r>
        <w:rPr>
          <w:rFonts w:ascii="Trebuchet MS" w:hAnsi="Trebuchet MS"/>
          <w:w w:val="95"/>
          <w:sz w:val="28"/>
        </w:rPr>
        <w:t>respaldo</w:t>
      </w:r>
      <w:r>
        <w:rPr>
          <w:rFonts w:ascii="Trebuchet MS" w:hAnsi="Trebuchet MS"/>
          <w:spacing w:val="-15"/>
          <w:w w:val="95"/>
          <w:sz w:val="28"/>
        </w:rPr>
        <w:t> </w:t>
      </w:r>
      <w:r>
        <w:rPr>
          <w:rFonts w:ascii="Trebuchet MS" w:hAnsi="Trebuchet MS"/>
          <w:w w:val="95"/>
          <w:sz w:val="28"/>
        </w:rPr>
        <w:t>académico;</w:t>
      </w:r>
      <w:r>
        <w:rPr>
          <w:rFonts w:ascii="Trebuchet MS" w:hAnsi="Trebuchet MS"/>
          <w:spacing w:val="-17"/>
          <w:w w:val="95"/>
          <w:sz w:val="28"/>
        </w:rPr>
        <w:t> </w:t>
      </w:r>
      <w:r>
        <w:rPr>
          <w:rFonts w:ascii="Trebuchet MS" w:hAnsi="Trebuchet MS"/>
          <w:w w:val="95"/>
          <w:sz w:val="28"/>
        </w:rPr>
        <w:t>en</w:t>
      </w:r>
      <w:r>
        <w:rPr>
          <w:rFonts w:ascii="Trebuchet MS" w:hAnsi="Trebuchet MS"/>
          <w:spacing w:val="-17"/>
          <w:w w:val="95"/>
          <w:sz w:val="28"/>
        </w:rPr>
        <w:t> </w:t>
      </w:r>
      <w:r>
        <w:rPr>
          <w:rFonts w:ascii="Trebuchet MS" w:hAnsi="Trebuchet MS"/>
          <w:w w:val="95"/>
          <w:sz w:val="28"/>
        </w:rPr>
        <w:t>su</w:t>
      </w:r>
      <w:r>
        <w:rPr>
          <w:rFonts w:ascii="Trebuchet MS" w:hAnsi="Trebuchet MS"/>
          <w:spacing w:val="-17"/>
          <w:w w:val="95"/>
          <w:sz w:val="28"/>
        </w:rPr>
        <w:t> </w:t>
      </w:r>
      <w:r>
        <w:rPr>
          <w:rFonts w:ascii="Trebuchet MS" w:hAnsi="Trebuchet MS"/>
          <w:w w:val="95"/>
          <w:sz w:val="28"/>
        </w:rPr>
        <w:t>saber</w:t>
      </w:r>
      <w:r>
        <w:rPr>
          <w:rFonts w:ascii="Trebuchet MS" w:hAnsi="Trebuchet MS"/>
          <w:spacing w:val="-16"/>
          <w:w w:val="95"/>
          <w:sz w:val="28"/>
        </w:rPr>
        <w:t> </w:t>
      </w:r>
      <w:r>
        <w:rPr>
          <w:rFonts w:ascii="Trebuchet MS" w:hAnsi="Trebuchet MS"/>
          <w:w w:val="95"/>
          <w:sz w:val="28"/>
        </w:rPr>
        <w:t>y </w:t>
      </w:r>
      <w:r>
        <w:rPr>
          <w:rFonts w:ascii="Trebuchet MS" w:hAnsi="Trebuchet MS"/>
          <w:sz w:val="28"/>
        </w:rPr>
        <w:t>erudición he sustentado mi formación de postgrado. Y han dado a mi experiencia en la filosofía un enfoque de respeto y solidaridad en el conocimiento.</w:t>
      </w:r>
    </w:p>
    <w:p>
      <w:pPr>
        <w:pStyle w:val="BodyText"/>
        <w:rPr>
          <w:rFonts w:ascii="Trebuchet MS"/>
          <w:sz w:val="28"/>
        </w:rPr>
      </w:pPr>
    </w:p>
    <w:p>
      <w:pPr>
        <w:pStyle w:val="BodyText"/>
        <w:rPr>
          <w:rFonts w:ascii="Trebuchet MS"/>
          <w:sz w:val="28"/>
        </w:rPr>
      </w:pPr>
    </w:p>
    <w:p>
      <w:pPr>
        <w:pStyle w:val="BodyText"/>
        <w:rPr>
          <w:rFonts w:ascii="Trebuchet MS"/>
          <w:sz w:val="28"/>
        </w:rPr>
      </w:pPr>
    </w:p>
    <w:p>
      <w:pPr>
        <w:pStyle w:val="BodyText"/>
        <w:rPr>
          <w:rFonts w:ascii="Trebuchet MS"/>
          <w:sz w:val="28"/>
        </w:rPr>
      </w:pPr>
    </w:p>
    <w:p>
      <w:pPr>
        <w:pStyle w:val="BodyText"/>
        <w:spacing w:before="6"/>
        <w:rPr>
          <w:rFonts w:ascii="Trebuchet MS"/>
          <w:sz w:val="23"/>
        </w:rPr>
      </w:pPr>
    </w:p>
    <w:p>
      <w:pPr>
        <w:pStyle w:val="BodyText"/>
        <w:ind w:left="5057"/>
        <w:rPr>
          <w:rFonts w:ascii="Trebuchet MS" w:hAnsi="Trebuchet MS"/>
        </w:rPr>
      </w:pPr>
      <w:r>
        <w:rPr>
          <w:rFonts w:ascii="Trebuchet MS" w:hAnsi="Trebuchet MS"/>
          <w:w w:val="95"/>
        </w:rPr>
        <w:t>Toluca, Méx., diciembre de 2012</w:t>
      </w:r>
    </w:p>
    <w:p>
      <w:pPr>
        <w:spacing w:after="0"/>
        <w:rPr>
          <w:rFonts w:ascii="Trebuchet MS" w:hAnsi="Trebuchet MS"/>
        </w:rPr>
        <w:sectPr>
          <w:footerReference w:type="default" r:id="rId10"/>
          <w:pgSz w:w="12240" w:h="15840"/>
          <w:pgMar w:footer="938" w:header="0" w:top="1500" w:bottom="1120" w:left="1600" w:right="1580"/>
          <w:pgNumType w:start="9"/>
        </w:sectPr>
      </w:pPr>
    </w:p>
    <w:p>
      <w:pPr>
        <w:pStyle w:val="BodyText"/>
        <w:spacing w:before="4"/>
        <w:rPr>
          <w:rFonts w:ascii="Times New Roman"/>
          <w:sz w:val="17"/>
        </w:rPr>
      </w:pPr>
    </w:p>
    <w:p>
      <w:pPr>
        <w:spacing w:after="0"/>
        <w:rPr>
          <w:rFonts w:ascii="Times New Roman"/>
          <w:sz w:val="17"/>
        </w:rPr>
        <w:sectPr>
          <w:pgSz w:w="12240" w:h="15840"/>
          <w:pgMar w:header="0" w:footer="938" w:top="1500" w:bottom="1120" w:left="1720" w:right="1720"/>
        </w:sectPr>
      </w:pPr>
    </w:p>
    <w:p>
      <w:pPr>
        <w:pStyle w:val="Heading1"/>
        <w:spacing w:before="41"/>
        <w:ind w:left="3722" w:right="254"/>
        <w:jc w:val="left"/>
      </w:pPr>
      <w:r>
        <w:rPr>
          <w:w w:val="105"/>
        </w:rPr>
        <w:t>AGRADECIMIENTO</w:t>
      </w:r>
    </w:p>
    <w:p>
      <w:pPr>
        <w:pStyle w:val="BodyText"/>
        <w:rPr>
          <w:b/>
          <w:sz w:val="28"/>
        </w:rPr>
      </w:pPr>
    </w:p>
    <w:p>
      <w:pPr>
        <w:pStyle w:val="BodyText"/>
        <w:spacing w:before="6"/>
        <w:rPr>
          <w:b/>
          <w:sz w:val="39"/>
        </w:rPr>
      </w:pPr>
    </w:p>
    <w:p>
      <w:pPr>
        <w:pStyle w:val="Heading2"/>
        <w:ind w:left="1397" w:right="254"/>
        <w:rPr>
          <w:rFonts w:ascii="Trebuchet MS"/>
        </w:rPr>
      </w:pPr>
      <w:r>
        <w:rPr>
          <w:rFonts w:ascii="Trebuchet MS"/>
          <w:w w:val="90"/>
        </w:rPr>
        <w:t>Un agradecimiento sincero:</w:t>
      </w:r>
    </w:p>
    <w:p>
      <w:pPr>
        <w:pStyle w:val="BodyText"/>
        <w:rPr>
          <w:rFonts w:ascii="Trebuchet MS"/>
          <w:sz w:val="26"/>
        </w:rPr>
      </w:pPr>
    </w:p>
    <w:p>
      <w:pPr>
        <w:pStyle w:val="BodyText"/>
        <w:spacing w:before="3"/>
        <w:rPr>
          <w:rFonts w:ascii="Trebuchet MS"/>
          <w:sz w:val="25"/>
        </w:rPr>
      </w:pPr>
    </w:p>
    <w:p>
      <w:pPr>
        <w:spacing w:before="0"/>
        <w:ind w:left="1397" w:right="254" w:firstLine="0"/>
        <w:jc w:val="left"/>
        <w:rPr>
          <w:rFonts w:ascii="Trebuchet MS" w:hAnsi="Trebuchet MS"/>
          <w:sz w:val="28"/>
        </w:rPr>
      </w:pPr>
      <w:r>
        <w:rPr>
          <w:rFonts w:ascii="Trebuchet MS" w:hAnsi="Trebuchet MS"/>
          <w:w w:val="95"/>
          <w:sz w:val="28"/>
        </w:rPr>
        <w:t>Al comité revisor.</w:t>
      </w:r>
    </w:p>
    <w:p>
      <w:pPr>
        <w:pStyle w:val="Heading2"/>
        <w:spacing w:before="169"/>
        <w:ind w:left="1397" w:right="254"/>
        <w:rPr>
          <w:rFonts w:ascii="Trebuchet MS"/>
        </w:rPr>
      </w:pPr>
      <w:r>
        <w:rPr>
          <w:rFonts w:ascii="Trebuchet MS"/>
          <w:w w:val="122"/>
        </w:rPr>
        <w:t>D</w:t>
      </w:r>
      <w:r>
        <w:rPr>
          <w:rFonts w:ascii="Trebuchet MS"/>
          <w:w w:val="101"/>
        </w:rPr>
        <w:t>r</w:t>
      </w:r>
      <w:r>
        <w:rPr>
          <w:rFonts w:ascii="Trebuchet MS"/>
          <w:w w:val="81"/>
        </w:rPr>
        <w:t>a</w:t>
      </w:r>
      <w:r>
        <w:rPr>
          <w:rFonts w:ascii="Trebuchet MS"/>
          <w:w w:val="59"/>
        </w:rPr>
        <w:t>.</w:t>
      </w:r>
      <w:r>
        <w:rPr>
          <w:rFonts w:ascii="Trebuchet MS"/>
          <w:spacing w:val="-8"/>
        </w:rPr>
        <w:t> </w:t>
      </w:r>
      <w:r>
        <w:rPr>
          <w:rFonts w:ascii="Trebuchet MS"/>
          <w:spacing w:val="-2"/>
          <w:w w:val="111"/>
        </w:rPr>
        <w:t>H</w:t>
      </w:r>
      <w:r>
        <w:rPr>
          <w:rFonts w:ascii="Trebuchet MS"/>
          <w:spacing w:val="-2"/>
          <w:w w:val="76"/>
        </w:rPr>
        <w:t>i</w:t>
      </w:r>
      <w:r>
        <w:rPr>
          <w:rFonts w:ascii="Trebuchet MS"/>
          <w:spacing w:val="-2"/>
          <w:w w:val="74"/>
        </w:rPr>
        <w:t>l</w:t>
      </w:r>
      <w:r>
        <w:rPr>
          <w:rFonts w:ascii="Trebuchet MS"/>
          <w:w w:val="86"/>
        </w:rPr>
        <w:t>da</w:t>
      </w:r>
      <w:r>
        <w:rPr>
          <w:rFonts w:ascii="Trebuchet MS"/>
          <w:spacing w:val="-7"/>
        </w:rPr>
        <w:t> </w:t>
      </w:r>
      <w:r>
        <w:rPr>
          <w:rFonts w:ascii="Trebuchet MS"/>
          <w:w w:val="122"/>
        </w:rPr>
        <w:t>N</w:t>
      </w:r>
      <w:r>
        <w:rPr>
          <w:rFonts w:ascii="Trebuchet MS"/>
          <w:w w:val="81"/>
        </w:rPr>
        <w:t>a</w:t>
      </w:r>
      <w:r>
        <w:rPr>
          <w:rFonts w:ascii="Trebuchet MS"/>
          <w:w w:val="90"/>
        </w:rPr>
        <w:t>ess</w:t>
      </w:r>
      <w:r>
        <w:rPr>
          <w:rFonts w:ascii="Trebuchet MS"/>
          <w:spacing w:val="-2"/>
          <w:w w:val="90"/>
        </w:rPr>
        <w:t>e</w:t>
      </w:r>
      <w:r>
        <w:rPr>
          <w:rFonts w:ascii="Trebuchet MS"/>
          <w:spacing w:val="1"/>
          <w:w w:val="91"/>
        </w:rPr>
        <w:t>n</w:t>
      </w:r>
      <w:r>
        <w:rPr>
          <w:rFonts w:ascii="Trebuchet MS"/>
          <w:w w:val="95"/>
        </w:rPr>
        <w:t>s</w:t>
      </w:r>
    </w:p>
    <w:p>
      <w:pPr>
        <w:spacing w:line="360" w:lineRule="auto" w:before="150"/>
        <w:ind w:left="1397" w:right="3273" w:firstLine="0"/>
        <w:jc w:val="left"/>
        <w:rPr>
          <w:rFonts w:ascii="Trebuchet MS" w:hAnsi="Trebuchet MS"/>
          <w:sz w:val="26"/>
        </w:rPr>
      </w:pPr>
      <w:r>
        <w:rPr>
          <w:rFonts w:ascii="Trebuchet MS" w:hAnsi="Trebuchet MS"/>
          <w:w w:val="122"/>
          <w:sz w:val="26"/>
        </w:rPr>
        <w:t>D</w:t>
      </w:r>
      <w:r>
        <w:rPr>
          <w:rFonts w:ascii="Trebuchet MS" w:hAnsi="Trebuchet MS"/>
          <w:w w:val="101"/>
          <w:sz w:val="26"/>
        </w:rPr>
        <w:t>r</w:t>
      </w:r>
      <w:r>
        <w:rPr>
          <w:rFonts w:ascii="Trebuchet MS" w:hAnsi="Trebuchet MS"/>
          <w:w w:val="59"/>
          <w:sz w:val="26"/>
        </w:rPr>
        <w:t>.</w:t>
      </w:r>
      <w:r>
        <w:rPr>
          <w:rFonts w:ascii="Trebuchet MS" w:hAnsi="Trebuchet MS"/>
          <w:spacing w:val="-8"/>
          <w:sz w:val="26"/>
        </w:rPr>
        <w:t> </w:t>
      </w:r>
      <w:r>
        <w:rPr>
          <w:rFonts w:ascii="Trebuchet MS" w:hAnsi="Trebuchet MS"/>
          <w:spacing w:val="-2"/>
          <w:w w:val="103"/>
          <w:sz w:val="26"/>
        </w:rPr>
        <w:t>R</w:t>
      </w:r>
      <w:r>
        <w:rPr>
          <w:rFonts w:ascii="Trebuchet MS" w:hAnsi="Trebuchet MS"/>
          <w:w w:val="96"/>
          <w:sz w:val="26"/>
        </w:rPr>
        <w:t>o</w:t>
      </w:r>
      <w:r>
        <w:rPr>
          <w:rFonts w:ascii="Trebuchet MS" w:hAnsi="Trebuchet MS"/>
          <w:spacing w:val="2"/>
          <w:w w:val="96"/>
          <w:sz w:val="26"/>
        </w:rPr>
        <w:t>b</w:t>
      </w:r>
      <w:r>
        <w:rPr>
          <w:rFonts w:ascii="Trebuchet MS" w:hAnsi="Trebuchet MS"/>
          <w:w w:val="90"/>
          <w:sz w:val="26"/>
        </w:rPr>
        <w:t>er</w:t>
      </w:r>
      <w:r>
        <w:rPr>
          <w:rFonts w:ascii="Trebuchet MS" w:hAnsi="Trebuchet MS"/>
          <w:spacing w:val="1"/>
          <w:w w:val="90"/>
          <w:sz w:val="26"/>
        </w:rPr>
        <w:t>t</w:t>
      </w:r>
      <w:r>
        <w:rPr>
          <w:rFonts w:ascii="Trebuchet MS" w:hAnsi="Trebuchet MS"/>
          <w:w w:val="102"/>
          <w:sz w:val="26"/>
        </w:rPr>
        <w:t>o</w:t>
      </w:r>
      <w:r>
        <w:rPr>
          <w:rFonts w:ascii="Trebuchet MS" w:hAnsi="Trebuchet MS"/>
          <w:spacing w:val="-6"/>
          <w:sz w:val="26"/>
        </w:rPr>
        <w:t> </w:t>
      </w:r>
      <w:r>
        <w:rPr>
          <w:rFonts w:ascii="Trebuchet MS" w:hAnsi="Trebuchet MS"/>
          <w:spacing w:val="-2"/>
          <w:w w:val="113"/>
          <w:sz w:val="26"/>
        </w:rPr>
        <w:t>A</w:t>
      </w:r>
      <w:r>
        <w:rPr>
          <w:rFonts w:ascii="Trebuchet MS" w:hAnsi="Trebuchet MS"/>
          <w:spacing w:val="1"/>
          <w:w w:val="91"/>
          <w:sz w:val="26"/>
        </w:rPr>
        <w:t>n</w:t>
      </w:r>
      <w:r>
        <w:rPr>
          <w:rFonts w:ascii="Trebuchet MS" w:hAnsi="Trebuchet MS"/>
          <w:w w:val="93"/>
          <w:sz w:val="26"/>
        </w:rPr>
        <w:t>drés</w:t>
      </w:r>
      <w:r>
        <w:rPr>
          <w:rFonts w:ascii="Trebuchet MS" w:hAnsi="Trebuchet MS"/>
          <w:spacing w:val="-7"/>
          <w:sz w:val="26"/>
        </w:rPr>
        <w:t> </w:t>
      </w:r>
      <w:r>
        <w:rPr>
          <w:rFonts w:ascii="Trebuchet MS" w:hAnsi="Trebuchet MS"/>
          <w:spacing w:val="-1"/>
          <w:w w:val="109"/>
          <w:sz w:val="26"/>
        </w:rPr>
        <w:t>G</w:t>
      </w:r>
      <w:r>
        <w:rPr>
          <w:rFonts w:ascii="Trebuchet MS" w:hAnsi="Trebuchet MS"/>
          <w:spacing w:val="-4"/>
          <w:w w:val="102"/>
          <w:sz w:val="26"/>
        </w:rPr>
        <w:t>o</w:t>
      </w:r>
      <w:r>
        <w:rPr>
          <w:rFonts w:ascii="Trebuchet MS" w:hAnsi="Trebuchet MS"/>
          <w:spacing w:val="1"/>
          <w:w w:val="91"/>
          <w:sz w:val="26"/>
        </w:rPr>
        <w:t>n</w:t>
      </w:r>
      <w:r>
        <w:rPr>
          <w:rFonts w:ascii="Trebuchet MS" w:hAnsi="Trebuchet MS"/>
          <w:w w:val="83"/>
          <w:sz w:val="26"/>
        </w:rPr>
        <w:t>zál</w:t>
      </w:r>
      <w:r>
        <w:rPr>
          <w:rFonts w:ascii="Trebuchet MS" w:hAnsi="Trebuchet MS"/>
          <w:spacing w:val="-2"/>
          <w:w w:val="83"/>
          <w:sz w:val="26"/>
        </w:rPr>
        <w:t>e</w:t>
      </w:r>
      <w:r>
        <w:rPr>
          <w:rFonts w:ascii="Trebuchet MS" w:hAnsi="Trebuchet MS"/>
          <w:w w:val="87"/>
          <w:sz w:val="26"/>
        </w:rPr>
        <w:t>z</w:t>
      </w:r>
      <w:r>
        <w:rPr>
          <w:rFonts w:ascii="Trebuchet MS" w:hAnsi="Trebuchet MS"/>
          <w:spacing w:val="-5"/>
          <w:sz w:val="26"/>
        </w:rPr>
        <w:t> </w:t>
      </w:r>
      <w:r>
        <w:rPr>
          <w:rFonts w:ascii="Trebuchet MS" w:hAnsi="Trebuchet MS"/>
          <w:spacing w:val="-2"/>
          <w:w w:val="111"/>
          <w:sz w:val="26"/>
        </w:rPr>
        <w:t>H</w:t>
      </w:r>
      <w:r>
        <w:rPr>
          <w:rFonts w:ascii="Trebuchet MS" w:hAnsi="Trebuchet MS"/>
          <w:spacing w:val="-2"/>
          <w:w w:val="76"/>
          <w:sz w:val="26"/>
        </w:rPr>
        <w:t>i</w:t>
      </w:r>
      <w:r>
        <w:rPr>
          <w:rFonts w:ascii="Trebuchet MS" w:hAnsi="Trebuchet MS"/>
          <w:spacing w:val="1"/>
          <w:w w:val="91"/>
          <w:sz w:val="26"/>
        </w:rPr>
        <w:t>n</w:t>
      </w:r>
      <w:r>
        <w:rPr>
          <w:rFonts w:ascii="Trebuchet MS" w:hAnsi="Trebuchet MS"/>
          <w:w w:val="90"/>
          <w:sz w:val="26"/>
        </w:rPr>
        <w:t>ojos</w:t>
      </w:r>
      <w:r>
        <w:rPr>
          <w:rFonts w:ascii="Trebuchet MS" w:hAnsi="Trebuchet MS"/>
          <w:spacing w:val="1"/>
          <w:w w:val="90"/>
          <w:sz w:val="26"/>
        </w:rPr>
        <w:t>a</w:t>
      </w:r>
      <w:r>
        <w:rPr>
          <w:rFonts w:ascii="Trebuchet MS" w:hAnsi="Trebuchet MS"/>
          <w:w w:val="59"/>
          <w:sz w:val="26"/>
        </w:rPr>
        <w:t>, </w:t>
      </w:r>
      <w:r>
        <w:rPr>
          <w:rFonts w:ascii="Trebuchet MS" w:hAnsi="Trebuchet MS"/>
          <w:w w:val="122"/>
          <w:sz w:val="26"/>
        </w:rPr>
        <w:t>D</w:t>
      </w:r>
      <w:r>
        <w:rPr>
          <w:rFonts w:ascii="Trebuchet MS" w:hAnsi="Trebuchet MS"/>
          <w:w w:val="101"/>
          <w:sz w:val="26"/>
        </w:rPr>
        <w:t>r</w:t>
      </w:r>
      <w:r>
        <w:rPr>
          <w:rFonts w:ascii="Trebuchet MS" w:hAnsi="Trebuchet MS"/>
          <w:w w:val="59"/>
          <w:sz w:val="26"/>
        </w:rPr>
        <w:t>.</w:t>
      </w:r>
      <w:r>
        <w:rPr>
          <w:rFonts w:ascii="Trebuchet MS" w:hAnsi="Trebuchet MS"/>
          <w:spacing w:val="-7"/>
          <w:sz w:val="26"/>
        </w:rPr>
        <w:t> </w:t>
      </w:r>
      <w:r>
        <w:rPr>
          <w:rFonts w:ascii="Trebuchet MS" w:hAnsi="Trebuchet MS"/>
          <w:spacing w:val="-2"/>
          <w:w w:val="103"/>
          <w:sz w:val="26"/>
        </w:rPr>
        <w:t>R</w:t>
      </w:r>
      <w:r>
        <w:rPr>
          <w:rFonts w:ascii="Trebuchet MS" w:hAnsi="Trebuchet MS"/>
          <w:spacing w:val="1"/>
          <w:w w:val="91"/>
          <w:sz w:val="26"/>
        </w:rPr>
        <w:t>u</w:t>
      </w:r>
      <w:r>
        <w:rPr>
          <w:rFonts w:ascii="Trebuchet MS" w:hAnsi="Trebuchet MS"/>
          <w:spacing w:val="1"/>
          <w:w w:val="89"/>
          <w:sz w:val="26"/>
        </w:rPr>
        <w:t>b</w:t>
      </w:r>
      <w:r>
        <w:rPr>
          <w:rFonts w:ascii="Trebuchet MS" w:hAnsi="Trebuchet MS"/>
          <w:w w:val="89"/>
          <w:sz w:val="26"/>
        </w:rPr>
        <w:t>én</w:t>
      </w:r>
      <w:r>
        <w:rPr>
          <w:rFonts w:ascii="Trebuchet MS" w:hAnsi="Trebuchet MS"/>
          <w:spacing w:val="-5"/>
          <w:sz w:val="26"/>
        </w:rPr>
        <w:t> </w:t>
      </w:r>
      <w:r>
        <w:rPr>
          <w:rFonts w:ascii="Trebuchet MS" w:hAnsi="Trebuchet MS"/>
          <w:w w:val="100"/>
          <w:sz w:val="26"/>
        </w:rPr>
        <w:t>M</w:t>
      </w:r>
      <w:r>
        <w:rPr>
          <w:rFonts w:ascii="Trebuchet MS" w:hAnsi="Trebuchet MS"/>
          <w:spacing w:val="-4"/>
          <w:w w:val="100"/>
          <w:sz w:val="26"/>
        </w:rPr>
        <w:t>e</w:t>
      </w:r>
      <w:r>
        <w:rPr>
          <w:rFonts w:ascii="Trebuchet MS" w:hAnsi="Trebuchet MS"/>
          <w:spacing w:val="1"/>
          <w:w w:val="91"/>
          <w:sz w:val="26"/>
        </w:rPr>
        <w:t>n</w:t>
      </w:r>
      <w:r>
        <w:rPr>
          <w:rFonts w:ascii="Trebuchet MS" w:hAnsi="Trebuchet MS"/>
          <w:w w:val="90"/>
          <w:sz w:val="26"/>
        </w:rPr>
        <w:t>doza</w:t>
      </w:r>
      <w:r>
        <w:rPr>
          <w:rFonts w:ascii="Trebuchet MS" w:hAnsi="Trebuchet MS"/>
          <w:spacing w:val="-5"/>
          <w:sz w:val="26"/>
        </w:rPr>
        <w:t> </w:t>
      </w:r>
      <w:r>
        <w:rPr>
          <w:rFonts w:ascii="Trebuchet MS" w:hAnsi="Trebuchet MS"/>
          <w:spacing w:val="-2"/>
          <w:w w:val="102"/>
          <w:sz w:val="26"/>
        </w:rPr>
        <w:t>V</w:t>
      </w:r>
      <w:r>
        <w:rPr>
          <w:rFonts w:ascii="Trebuchet MS" w:hAnsi="Trebuchet MS"/>
          <w:w w:val="81"/>
          <w:sz w:val="26"/>
        </w:rPr>
        <w:t>a</w:t>
      </w:r>
      <w:r>
        <w:rPr>
          <w:rFonts w:ascii="Trebuchet MS" w:hAnsi="Trebuchet MS"/>
          <w:spacing w:val="-2"/>
          <w:w w:val="74"/>
          <w:sz w:val="26"/>
        </w:rPr>
        <w:t>l</w:t>
      </w:r>
      <w:r>
        <w:rPr>
          <w:rFonts w:ascii="Trebuchet MS" w:hAnsi="Trebuchet MS"/>
          <w:w w:val="89"/>
          <w:sz w:val="26"/>
        </w:rPr>
        <w:t>d</w:t>
      </w:r>
      <w:r>
        <w:rPr>
          <w:rFonts w:ascii="Trebuchet MS" w:hAnsi="Trebuchet MS"/>
          <w:spacing w:val="-2"/>
          <w:w w:val="89"/>
          <w:sz w:val="26"/>
        </w:rPr>
        <w:t>é</w:t>
      </w:r>
      <w:r>
        <w:rPr>
          <w:rFonts w:ascii="Trebuchet MS" w:hAnsi="Trebuchet MS"/>
          <w:w w:val="95"/>
          <w:sz w:val="26"/>
        </w:rPr>
        <w:t>s</w:t>
      </w:r>
      <w:r>
        <w:rPr>
          <w:rFonts w:ascii="Trebuchet MS" w:hAnsi="Trebuchet MS"/>
          <w:w w:val="59"/>
          <w:sz w:val="26"/>
        </w:rPr>
        <w:t>,</w:t>
      </w:r>
    </w:p>
    <w:p>
      <w:pPr>
        <w:spacing w:line="301" w:lineRule="exact" w:before="0"/>
        <w:ind w:left="1397" w:right="254" w:firstLine="0"/>
        <w:jc w:val="left"/>
        <w:rPr>
          <w:rFonts w:ascii="Trebuchet MS" w:hAnsi="Trebuchet MS"/>
          <w:sz w:val="26"/>
        </w:rPr>
      </w:pPr>
      <w:r>
        <w:rPr>
          <w:rFonts w:ascii="Trebuchet MS" w:hAnsi="Trebuchet MS"/>
          <w:w w:val="122"/>
          <w:sz w:val="26"/>
        </w:rPr>
        <w:t>D</w:t>
      </w:r>
      <w:r>
        <w:rPr>
          <w:rFonts w:ascii="Trebuchet MS" w:hAnsi="Trebuchet MS"/>
          <w:w w:val="101"/>
          <w:sz w:val="26"/>
        </w:rPr>
        <w:t>r</w:t>
      </w:r>
      <w:r>
        <w:rPr>
          <w:rFonts w:ascii="Trebuchet MS" w:hAnsi="Trebuchet MS"/>
          <w:w w:val="59"/>
          <w:sz w:val="26"/>
        </w:rPr>
        <w:t>.</w:t>
      </w:r>
      <w:r>
        <w:rPr>
          <w:rFonts w:ascii="Trebuchet MS" w:hAnsi="Trebuchet MS"/>
          <w:spacing w:val="-8"/>
          <w:sz w:val="26"/>
        </w:rPr>
        <w:t> </w:t>
      </w:r>
      <w:r>
        <w:rPr>
          <w:rFonts w:ascii="Trebuchet MS" w:hAnsi="Trebuchet MS"/>
          <w:spacing w:val="-2"/>
          <w:w w:val="52"/>
          <w:sz w:val="26"/>
        </w:rPr>
        <w:t>J</w:t>
      </w:r>
      <w:r>
        <w:rPr>
          <w:rFonts w:ascii="Trebuchet MS" w:hAnsi="Trebuchet MS"/>
          <w:w w:val="95"/>
          <w:sz w:val="26"/>
        </w:rPr>
        <w:t>osé</w:t>
      </w:r>
      <w:r>
        <w:rPr>
          <w:rFonts w:ascii="Trebuchet MS" w:hAnsi="Trebuchet MS"/>
          <w:spacing w:val="-7"/>
          <w:sz w:val="26"/>
        </w:rPr>
        <w:t> </w:t>
      </w:r>
      <w:r>
        <w:rPr>
          <w:rFonts w:ascii="Trebuchet MS" w:hAnsi="Trebuchet MS"/>
          <w:w w:val="92"/>
          <w:sz w:val="26"/>
        </w:rPr>
        <w:t>M.</w:t>
      </w:r>
      <w:r>
        <w:rPr>
          <w:rFonts w:ascii="Trebuchet MS" w:hAnsi="Trebuchet MS"/>
          <w:spacing w:val="-7"/>
          <w:sz w:val="26"/>
        </w:rPr>
        <w:t> </w:t>
      </w:r>
      <w:r>
        <w:rPr>
          <w:rFonts w:ascii="Trebuchet MS" w:hAnsi="Trebuchet MS"/>
          <w:spacing w:val="-3"/>
          <w:w w:val="113"/>
          <w:sz w:val="26"/>
        </w:rPr>
        <w:t>A</w:t>
      </w:r>
      <w:r>
        <w:rPr>
          <w:rFonts w:ascii="Trebuchet MS" w:hAnsi="Trebuchet MS"/>
          <w:w w:val="101"/>
          <w:sz w:val="26"/>
        </w:rPr>
        <w:t>r</w:t>
      </w:r>
      <w:r>
        <w:rPr>
          <w:rFonts w:ascii="Trebuchet MS" w:hAnsi="Trebuchet MS"/>
          <w:w w:val="81"/>
          <w:sz w:val="26"/>
        </w:rPr>
        <w:t>a</w:t>
      </w:r>
      <w:r>
        <w:rPr>
          <w:rFonts w:ascii="Trebuchet MS" w:hAnsi="Trebuchet MS"/>
          <w:spacing w:val="1"/>
          <w:w w:val="91"/>
          <w:sz w:val="26"/>
        </w:rPr>
        <w:t>n</w:t>
      </w:r>
      <w:r>
        <w:rPr>
          <w:rFonts w:ascii="Trebuchet MS" w:hAnsi="Trebuchet MS"/>
          <w:w w:val="86"/>
          <w:sz w:val="26"/>
        </w:rPr>
        <w:t>da</w:t>
      </w:r>
      <w:r>
        <w:rPr>
          <w:rFonts w:ascii="Trebuchet MS" w:hAnsi="Trebuchet MS"/>
          <w:spacing w:val="-7"/>
          <w:sz w:val="26"/>
        </w:rPr>
        <w:t> </w:t>
      </w:r>
      <w:r>
        <w:rPr>
          <w:rFonts w:ascii="Trebuchet MS" w:hAnsi="Trebuchet MS"/>
          <w:w w:val="95"/>
          <w:sz w:val="26"/>
        </w:rPr>
        <w:t>S</w:t>
      </w:r>
      <w:r>
        <w:rPr>
          <w:rFonts w:ascii="Trebuchet MS" w:hAnsi="Trebuchet MS"/>
          <w:spacing w:val="-4"/>
          <w:w w:val="81"/>
          <w:sz w:val="26"/>
        </w:rPr>
        <w:t>á</w:t>
      </w:r>
      <w:r>
        <w:rPr>
          <w:rFonts w:ascii="Trebuchet MS" w:hAnsi="Trebuchet MS"/>
          <w:spacing w:val="1"/>
          <w:w w:val="91"/>
          <w:sz w:val="26"/>
        </w:rPr>
        <w:t>n</w:t>
      </w:r>
      <w:r>
        <w:rPr>
          <w:rFonts w:ascii="Trebuchet MS" w:hAnsi="Trebuchet MS"/>
          <w:spacing w:val="-2"/>
          <w:w w:val="88"/>
          <w:sz w:val="26"/>
        </w:rPr>
        <w:t>c</w:t>
      </w:r>
      <w:r>
        <w:rPr>
          <w:rFonts w:ascii="Trebuchet MS" w:hAnsi="Trebuchet MS"/>
          <w:spacing w:val="1"/>
          <w:w w:val="91"/>
          <w:sz w:val="26"/>
        </w:rPr>
        <w:t>h</w:t>
      </w:r>
      <w:r>
        <w:rPr>
          <w:rFonts w:ascii="Trebuchet MS" w:hAnsi="Trebuchet MS"/>
          <w:w w:val="87"/>
          <w:sz w:val="26"/>
        </w:rPr>
        <w:t>e</w:t>
      </w:r>
      <w:r>
        <w:rPr>
          <w:rFonts w:ascii="Trebuchet MS" w:hAnsi="Trebuchet MS"/>
          <w:spacing w:val="1"/>
          <w:w w:val="87"/>
          <w:sz w:val="26"/>
        </w:rPr>
        <w:t>z</w:t>
      </w:r>
      <w:r>
        <w:rPr>
          <w:rFonts w:ascii="Trebuchet MS" w:hAnsi="Trebuchet MS"/>
          <w:w w:val="59"/>
          <w:sz w:val="26"/>
        </w:rPr>
        <w:t>,</w:t>
      </w:r>
    </w:p>
    <w:p>
      <w:pPr>
        <w:spacing w:line="360" w:lineRule="auto" w:before="150"/>
        <w:ind w:left="1397" w:right="254" w:firstLine="0"/>
        <w:jc w:val="left"/>
        <w:rPr>
          <w:rFonts w:ascii="Trebuchet MS" w:hAnsi="Trebuchet MS"/>
          <w:sz w:val="26"/>
        </w:rPr>
      </w:pPr>
      <w:r>
        <w:rPr>
          <w:rFonts w:ascii="Trebuchet MS" w:hAnsi="Trebuchet MS"/>
          <w:w w:val="95"/>
          <w:sz w:val="26"/>
        </w:rPr>
        <w:t>Por</w:t>
      </w:r>
      <w:r>
        <w:rPr>
          <w:rFonts w:ascii="Trebuchet MS" w:hAnsi="Trebuchet MS"/>
          <w:spacing w:val="-31"/>
          <w:w w:val="95"/>
          <w:sz w:val="26"/>
        </w:rPr>
        <w:t> </w:t>
      </w:r>
      <w:r>
        <w:rPr>
          <w:rFonts w:ascii="Trebuchet MS" w:hAnsi="Trebuchet MS"/>
          <w:w w:val="95"/>
          <w:sz w:val="26"/>
        </w:rPr>
        <w:t>el</w:t>
      </w:r>
      <w:r>
        <w:rPr>
          <w:rFonts w:ascii="Trebuchet MS" w:hAnsi="Trebuchet MS"/>
          <w:spacing w:val="-32"/>
          <w:w w:val="95"/>
          <w:sz w:val="26"/>
        </w:rPr>
        <w:t> </w:t>
      </w:r>
      <w:r>
        <w:rPr>
          <w:rFonts w:ascii="Trebuchet MS" w:hAnsi="Trebuchet MS"/>
          <w:w w:val="95"/>
          <w:sz w:val="26"/>
        </w:rPr>
        <w:t>esfuerzo</w:t>
      </w:r>
      <w:r>
        <w:rPr>
          <w:rFonts w:ascii="Trebuchet MS" w:hAnsi="Trebuchet MS"/>
          <w:spacing w:val="-31"/>
          <w:w w:val="95"/>
          <w:sz w:val="26"/>
        </w:rPr>
        <w:t> </w:t>
      </w:r>
      <w:r>
        <w:rPr>
          <w:rFonts w:ascii="Trebuchet MS" w:hAnsi="Trebuchet MS"/>
          <w:w w:val="95"/>
          <w:sz w:val="26"/>
        </w:rPr>
        <w:t>y</w:t>
      </w:r>
      <w:r>
        <w:rPr>
          <w:rFonts w:ascii="Trebuchet MS" w:hAnsi="Trebuchet MS"/>
          <w:spacing w:val="-32"/>
          <w:w w:val="95"/>
          <w:sz w:val="26"/>
        </w:rPr>
        <w:t> </w:t>
      </w:r>
      <w:r>
        <w:rPr>
          <w:rFonts w:ascii="Trebuchet MS" w:hAnsi="Trebuchet MS"/>
          <w:w w:val="95"/>
          <w:sz w:val="26"/>
        </w:rPr>
        <w:t>el</w:t>
      </w:r>
      <w:r>
        <w:rPr>
          <w:rFonts w:ascii="Trebuchet MS" w:hAnsi="Trebuchet MS"/>
          <w:spacing w:val="-32"/>
          <w:w w:val="95"/>
          <w:sz w:val="26"/>
        </w:rPr>
        <w:t> </w:t>
      </w:r>
      <w:r>
        <w:rPr>
          <w:rFonts w:ascii="Trebuchet MS" w:hAnsi="Trebuchet MS"/>
          <w:w w:val="95"/>
          <w:sz w:val="26"/>
        </w:rPr>
        <w:t>tiempo</w:t>
      </w:r>
      <w:r>
        <w:rPr>
          <w:rFonts w:ascii="Trebuchet MS" w:hAnsi="Trebuchet MS"/>
          <w:spacing w:val="-31"/>
          <w:w w:val="95"/>
          <w:sz w:val="26"/>
        </w:rPr>
        <w:t> </w:t>
      </w:r>
      <w:r>
        <w:rPr>
          <w:rFonts w:ascii="Trebuchet MS" w:hAnsi="Trebuchet MS"/>
          <w:w w:val="95"/>
          <w:sz w:val="26"/>
        </w:rPr>
        <w:t>dedicado</w:t>
      </w:r>
      <w:r>
        <w:rPr>
          <w:rFonts w:ascii="Trebuchet MS" w:hAnsi="Trebuchet MS"/>
          <w:spacing w:val="-31"/>
          <w:w w:val="95"/>
          <w:sz w:val="26"/>
        </w:rPr>
        <w:t> </w:t>
      </w:r>
      <w:r>
        <w:rPr>
          <w:rFonts w:ascii="Trebuchet MS" w:hAnsi="Trebuchet MS"/>
          <w:w w:val="95"/>
          <w:sz w:val="26"/>
        </w:rPr>
        <w:t>a</w:t>
      </w:r>
      <w:r>
        <w:rPr>
          <w:rFonts w:ascii="Trebuchet MS" w:hAnsi="Trebuchet MS"/>
          <w:spacing w:val="-31"/>
          <w:w w:val="95"/>
          <w:sz w:val="26"/>
        </w:rPr>
        <w:t> </w:t>
      </w:r>
      <w:r>
        <w:rPr>
          <w:rFonts w:ascii="Trebuchet MS" w:hAnsi="Trebuchet MS"/>
          <w:w w:val="95"/>
          <w:sz w:val="26"/>
        </w:rPr>
        <w:t>este</w:t>
      </w:r>
      <w:r>
        <w:rPr>
          <w:rFonts w:ascii="Trebuchet MS" w:hAnsi="Trebuchet MS"/>
          <w:spacing w:val="-29"/>
          <w:w w:val="95"/>
          <w:sz w:val="26"/>
        </w:rPr>
        <w:t> </w:t>
      </w:r>
      <w:r>
        <w:rPr>
          <w:rFonts w:ascii="Trebuchet MS" w:hAnsi="Trebuchet MS"/>
          <w:w w:val="95"/>
          <w:sz w:val="26"/>
        </w:rPr>
        <w:t>trabajo,</w:t>
      </w:r>
      <w:r>
        <w:rPr>
          <w:rFonts w:ascii="Trebuchet MS" w:hAnsi="Trebuchet MS"/>
          <w:spacing w:val="-32"/>
          <w:w w:val="95"/>
          <w:sz w:val="26"/>
        </w:rPr>
        <w:t> </w:t>
      </w:r>
      <w:r>
        <w:rPr>
          <w:rFonts w:ascii="Trebuchet MS" w:hAnsi="Trebuchet MS"/>
          <w:w w:val="95"/>
          <w:sz w:val="26"/>
        </w:rPr>
        <w:t>producto</w:t>
      </w:r>
      <w:r>
        <w:rPr>
          <w:rFonts w:ascii="Trebuchet MS" w:hAnsi="Trebuchet MS"/>
          <w:spacing w:val="-31"/>
          <w:w w:val="95"/>
          <w:sz w:val="26"/>
        </w:rPr>
        <w:t> </w:t>
      </w:r>
      <w:r>
        <w:rPr>
          <w:rFonts w:ascii="Trebuchet MS" w:hAnsi="Trebuchet MS"/>
          <w:w w:val="95"/>
          <w:sz w:val="26"/>
        </w:rPr>
        <w:t>de</w:t>
      </w:r>
      <w:r>
        <w:rPr>
          <w:rFonts w:ascii="Trebuchet MS" w:hAnsi="Trebuchet MS"/>
          <w:spacing w:val="-32"/>
          <w:w w:val="95"/>
          <w:sz w:val="26"/>
        </w:rPr>
        <w:t> </w:t>
      </w:r>
      <w:r>
        <w:rPr>
          <w:rFonts w:ascii="Trebuchet MS" w:hAnsi="Trebuchet MS"/>
          <w:w w:val="95"/>
          <w:sz w:val="26"/>
        </w:rPr>
        <w:t>mi formación</w:t>
      </w:r>
      <w:r>
        <w:rPr>
          <w:rFonts w:ascii="Trebuchet MS" w:hAnsi="Trebuchet MS"/>
          <w:spacing w:val="-47"/>
          <w:w w:val="95"/>
          <w:sz w:val="26"/>
        </w:rPr>
        <w:t> </w:t>
      </w:r>
      <w:r>
        <w:rPr>
          <w:rFonts w:ascii="Trebuchet MS" w:hAnsi="Trebuchet MS"/>
          <w:w w:val="95"/>
          <w:sz w:val="26"/>
        </w:rPr>
        <w:t>académica.</w:t>
      </w:r>
      <w:r>
        <w:rPr>
          <w:rFonts w:ascii="Trebuchet MS" w:hAnsi="Trebuchet MS"/>
          <w:spacing w:val="-48"/>
          <w:w w:val="95"/>
          <w:sz w:val="26"/>
        </w:rPr>
        <w:t> </w:t>
      </w:r>
      <w:r>
        <w:rPr>
          <w:rFonts w:ascii="Trebuchet MS" w:hAnsi="Trebuchet MS"/>
          <w:w w:val="95"/>
          <w:sz w:val="26"/>
        </w:rPr>
        <w:t>A</w:t>
      </w:r>
      <w:r>
        <w:rPr>
          <w:rFonts w:ascii="Trebuchet MS" w:hAnsi="Trebuchet MS"/>
          <w:spacing w:val="-49"/>
          <w:w w:val="95"/>
          <w:sz w:val="26"/>
        </w:rPr>
        <w:t> </w:t>
      </w:r>
      <w:r>
        <w:rPr>
          <w:rFonts w:ascii="Trebuchet MS" w:hAnsi="Trebuchet MS"/>
          <w:w w:val="95"/>
          <w:sz w:val="26"/>
        </w:rPr>
        <w:t>todos,</w:t>
      </w:r>
      <w:r>
        <w:rPr>
          <w:rFonts w:ascii="Trebuchet MS" w:hAnsi="Trebuchet MS"/>
          <w:spacing w:val="-49"/>
          <w:w w:val="95"/>
          <w:sz w:val="26"/>
        </w:rPr>
        <w:t> </w:t>
      </w:r>
      <w:r>
        <w:rPr>
          <w:rFonts w:ascii="Trebuchet MS" w:hAnsi="Trebuchet MS"/>
          <w:w w:val="95"/>
          <w:sz w:val="26"/>
        </w:rPr>
        <w:t>porque</w:t>
      </w:r>
      <w:r>
        <w:rPr>
          <w:rFonts w:ascii="Trebuchet MS" w:hAnsi="Trebuchet MS"/>
          <w:spacing w:val="-23"/>
          <w:w w:val="95"/>
          <w:sz w:val="26"/>
        </w:rPr>
        <w:t> </w:t>
      </w:r>
      <w:r>
        <w:rPr>
          <w:rFonts w:ascii="Trebuchet MS" w:hAnsi="Trebuchet MS"/>
          <w:w w:val="95"/>
          <w:sz w:val="26"/>
        </w:rPr>
        <w:t>sus</w:t>
      </w:r>
      <w:r>
        <w:rPr>
          <w:rFonts w:ascii="Trebuchet MS" w:hAnsi="Trebuchet MS"/>
          <w:spacing w:val="-49"/>
          <w:w w:val="95"/>
          <w:sz w:val="26"/>
        </w:rPr>
        <w:t> </w:t>
      </w:r>
      <w:r>
        <w:rPr>
          <w:rFonts w:ascii="Trebuchet MS" w:hAnsi="Trebuchet MS"/>
          <w:w w:val="95"/>
          <w:sz w:val="26"/>
        </w:rPr>
        <w:t>sugerencias,</w:t>
      </w:r>
      <w:r>
        <w:rPr>
          <w:rFonts w:ascii="Trebuchet MS" w:hAnsi="Trebuchet MS"/>
          <w:spacing w:val="-49"/>
          <w:w w:val="95"/>
          <w:sz w:val="26"/>
        </w:rPr>
        <w:t> </w:t>
      </w:r>
      <w:r>
        <w:rPr>
          <w:rFonts w:ascii="Trebuchet MS" w:hAnsi="Trebuchet MS"/>
          <w:w w:val="95"/>
          <w:sz w:val="26"/>
        </w:rPr>
        <w:t>comentarios </w:t>
      </w:r>
      <w:r>
        <w:rPr>
          <w:rFonts w:ascii="Trebuchet MS" w:hAnsi="Trebuchet MS"/>
          <w:w w:val="90"/>
          <w:sz w:val="26"/>
        </w:rPr>
        <w:t>y</w:t>
      </w:r>
      <w:r>
        <w:rPr>
          <w:rFonts w:ascii="Trebuchet MS" w:hAnsi="Trebuchet MS"/>
          <w:spacing w:val="-14"/>
          <w:w w:val="90"/>
          <w:sz w:val="26"/>
        </w:rPr>
        <w:t> </w:t>
      </w:r>
      <w:r>
        <w:rPr>
          <w:rFonts w:ascii="Trebuchet MS" w:hAnsi="Trebuchet MS"/>
          <w:w w:val="90"/>
          <w:sz w:val="26"/>
        </w:rPr>
        <w:t>significativos</w:t>
      </w:r>
      <w:r>
        <w:rPr>
          <w:rFonts w:ascii="Trebuchet MS" w:hAnsi="Trebuchet MS"/>
          <w:spacing w:val="-13"/>
          <w:w w:val="90"/>
          <w:sz w:val="26"/>
        </w:rPr>
        <w:t> </w:t>
      </w:r>
      <w:r>
        <w:rPr>
          <w:rFonts w:ascii="Trebuchet MS" w:hAnsi="Trebuchet MS"/>
          <w:w w:val="90"/>
          <w:sz w:val="26"/>
        </w:rPr>
        <w:t>aportes</w:t>
      </w:r>
      <w:r>
        <w:rPr>
          <w:rFonts w:ascii="Trebuchet MS" w:hAnsi="Trebuchet MS"/>
          <w:spacing w:val="-14"/>
          <w:w w:val="90"/>
          <w:sz w:val="26"/>
        </w:rPr>
        <w:t> </w:t>
      </w:r>
      <w:r>
        <w:rPr>
          <w:rFonts w:ascii="Trebuchet MS" w:hAnsi="Trebuchet MS"/>
          <w:w w:val="90"/>
          <w:sz w:val="26"/>
        </w:rPr>
        <w:t>enriquecieron</w:t>
      </w:r>
      <w:r>
        <w:rPr>
          <w:rFonts w:ascii="Trebuchet MS" w:hAnsi="Trebuchet MS"/>
          <w:spacing w:val="-12"/>
          <w:w w:val="90"/>
          <w:sz w:val="26"/>
        </w:rPr>
        <w:t> </w:t>
      </w:r>
      <w:r>
        <w:rPr>
          <w:rFonts w:ascii="Trebuchet MS" w:hAnsi="Trebuchet MS"/>
          <w:w w:val="90"/>
          <w:sz w:val="26"/>
        </w:rPr>
        <w:t>y</w:t>
      </w:r>
      <w:r>
        <w:rPr>
          <w:rFonts w:ascii="Trebuchet MS" w:hAnsi="Trebuchet MS"/>
          <w:spacing w:val="-18"/>
          <w:w w:val="90"/>
          <w:sz w:val="26"/>
        </w:rPr>
        <w:t> </w:t>
      </w:r>
      <w:r>
        <w:rPr>
          <w:rFonts w:ascii="Trebuchet MS" w:hAnsi="Trebuchet MS"/>
          <w:w w:val="90"/>
          <w:sz w:val="26"/>
        </w:rPr>
        <w:t>mejoraron</w:t>
      </w:r>
      <w:r>
        <w:rPr>
          <w:rFonts w:ascii="Trebuchet MS" w:hAnsi="Trebuchet MS"/>
          <w:spacing w:val="-11"/>
          <w:w w:val="90"/>
          <w:sz w:val="26"/>
        </w:rPr>
        <w:t> </w:t>
      </w:r>
      <w:r>
        <w:rPr>
          <w:rFonts w:ascii="Trebuchet MS" w:hAnsi="Trebuchet MS"/>
          <w:w w:val="90"/>
          <w:sz w:val="26"/>
        </w:rPr>
        <w:t>el</w:t>
      </w:r>
      <w:r>
        <w:rPr>
          <w:rFonts w:ascii="Trebuchet MS" w:hAnsi="Trebuchet MS"/>
          <w:spacing w:val="-14"/>
          <w:w w:val="90"/>
          <w:sz w:val="26"/>
        </w:rPr>
        <w:t> </w:t>
      </w:r>
      <w:r>
        <w:rPr>
          <w:rFonts w:ascii="Trebuchet MS" w:hAnsi="Trebuchet MS"/>
          <w:w w:val="90"/>
          <w:sz w:val="26"/>
        </w:rPr>
        <w:t>trabajo</w:t>
      </w:r>
      <w:r>
        <w:rPr>
          <w:rFonts w:ascii="Trebuchet MS" w:hAnsi="Trebuchet MS"/>
          <w:spacing w:val="-13"/>
          <w:w w:val="90"/>
          <w:sz w:val="26"/>
        </w:rPr>
        <w:t> </w:t>
      </w:r>
      <w:r>
        <w:rPr>
          <w:rFonts w:ascii="Trebuchet MS" w:hAnsi="Trebuchet MS"/>
          <w:w w:val="90"/>
          <w:sz w:val="26"/>
        </w:rPr>
        <w:t>original. </w:t>
      </w:r>
      <w:r>
        <w:rPr>
          <w:rFonts w:ascii="Trebuchet MS" w:hAnsi="Trebuchet MS"/>
          <w:w w:val="95"/>
          <w:sz w:val="26"/>
        </w:rPr>
        <w:t>En</w:t>
      </w:r>
      <w:r>
        <w:rPr>
          <w:rFonts w:ascii="Trebuchet MS" w:hAnsi="Trebuchet MS"/>
          <w:spacing w:val="-46"/>
          <w:w w:val="95"/>
          <w:sz w:val="26"/>
        </w:rPr>
        <w:t> </w:t>
      </w:r>
      <w:r>
        <w:rPr>
          <w:rFonts w:ascii="Trebuchet MS" w:hAnsi="Trebuchet MS"/>
          <w:w w:val="95"/>
          <w:sz w:val="26"/>
        </w:rPr>
        <w:t>él</w:t>
      </w:r>
      <w:r>
        <w:rPr>
          <w:rFonts w:ascii="Trebuchet MS" w:hAnsi="Trebuchet MS"/>
          <w:spacing w:val="-48"/>
          <w:w w:val="95"/>
          <w:sz w:val="26"/>
        </w:rPr>
        <w:t> </w:t>
      </w:r>
      <w:r>
        <w:rPr>
          <w:rFonts w:ascii="Trebuchet MS" w:hAnsi="Trebuchet MS"/>
          <w:w w:val="95"/>
          <w:sz w:val="26"/>
        </w:rPr>
        <w:t>se</w:t>
      </w:r>
      <w:r>
        <w:rPr>
          <w:rFonts w:ascii="Trebuchet MS" w:hAnsi="Trebuchet MS"/>
          <w:spacing w:val="-48"/>
          <w:w w:val="95"/>
          <w:sz w:val="26"/>
        </w:rPr>
        <w:t> </w:t>
      </w:r>
      <w:r>
        <w:rPr>
          <w:rFonts w:ascii="Trebuchet MS" w:hAnsi="Trebuchet MS"/>
          <w:w w:val="95"/>
          <w:sz w:val="26"/>
        </w:rPr>
        <w:t>encuentra</w:t>
      </w:r>
      <w:r>
        <w:rPr>
          <w:rFonts w:ascii="Trebuchet MS" w:hAnsi="Trebuchet MS"/>
          <w:spacing w:val="-47"/>
          <w:w w:val="95"/>
          <w:sz w:val="26"/>
        </w:rPr>
        <w:t> </w:t>
      </w:r>
      <w:r>
        <w:rPr>
          <w:rFonts w:ascii="Trebuchet MS" w:hAnsi="Trebuchet MS"/>
          <w:w w:val="95"/>
          <w:sz w:val="26"/>
        </w:rPr>
        <w:t>parte</w:t>
      </w:r>
      <w:r>
        <w:rPr>
          <w:rFonts w:ascii="Trebuchet MS" w:hAnsi="Trebuchet MS"/>
          <w:spacing w:val="-47"/>
          <w:w w:val="95"/>
          <w:sz w:val="26"/>
        </w:rPr>
        <w:t> </w:t>
      </w:r>
      <w:r>
        <w:rPr>
          <w:rFonts w:ascii="Trebuchet MS" w:hAnsi="Trebuchet MS"/>
          <w:w w:val="95"/>
          <w:sz w:val="26"/>
        </w:rPr>
        <w:t>de</w:t>
      </w:r>
      <w:r>
        <w:rPr>
          <w:rFonts w:ascii="Trebuchet MS" w:hAnsi="Trebuchet MS"/>
          <w:spacing w:val="-48"/>
          <w:w w:val="95"/>
          <w:sz w:val="26"/>
        </w:rPr>
        <w:t> </w:t>
      </w:r>
      <w:r>
        <w:rPr>
          <w:rFonts w:ascii="Trebuchet MS" w:hAnsi="Trebuchet MS"/>
          <w:w w:val="95"/>
          <w:sz w:val="26"/>
        </w:rPr>
        <w:t>su</w:t>
      </w:r>
      <w:r>
        <w:rPr>
          <w:rFonts w:ascii="Trebuchet MS" w:hAnsi="Trebuchet MS"/>
          <w:spacing w:val="-46"/>
          <w:w w:val="95"/>
          <w:sz w:val="26"/>
        </w:rPr>
        <w:t> </w:t>
      </w:r>
      <w:r>
        <w:rPr>
          <w:rFonts w:ascii="Trebuchet MS" w:hAnsi="Trebuchet MS"/>
          <w:w w:val="95"/>
          <w:sz w:val="26"/>
        </w:rPr>
        <w:t>esencia.</w:t>
      </w:r>
      <w:r>
        <w:rPr>
          <w:rFonts w:ascii="Trebuchet MS" w:hAnsi="Trebuchet MS"/>
          <w:spacing w:val="-49"/>
          <w:w w:val="95"/>
          <w:sz w:val="26"/>
        </w:rPr>
        <w:t> </w:t>
      </w:r>
      <w:r>
        <w:rPr>
          <w:rFonts w:ascii="Trebuchet MS" w:hAnsi="Trebuchet MS"/>
          <w:w w:val="95"/>
          <w:sz w:val="26"/>
        </w:rPr>
        <w:t>Gracias.</w:t>
      </w:r>
    </w:p>
    <w:p>
      <w:pPr>
        <w:pStyle w:val="BodyText"/>
        <w:spacing w:before="9"/>
        <w:rPr>
          <w:rFonts w:ascii="Trebuchet MS"/>
          <w:sz w:val="38"/>
        </w:rPr>
      </w:pPr>
    </w:p>
    <w:p>
      <w:pPr>
        <w:spacing w:line="360" w:lineRule="auto" w:before="1"/>
        <w:ind w:left="1397" w:right="311" w:firstLine="0"/>
        <w:jc w:val="left"/>
        <w:rPr>
          <w:rFonts w:ascii="Trebuchet MS" w:hAnsi="Trebuchet MS"/>
          <w:sz w:val="26"/>
        </w:rPr>
      </w:pPr>
      <w:r>
        <w:rPr>
          <w:rFonts w:ascii="Trebuchet MS" w:hAnsi="Trebuchet MS"/>
          <w:w w:val="95"/>
          <w:sz w:val="26"/>
        </w:rPr>
        <w:t>A</w:t>
      </w:r>
      <w:r>
        <w:rPr>
          <w:rFonts w:ascii="Trebuchet MS" w:hAnsi="Trebuchet MS"/>
          <w:spacing w:val="-32"/>
          <w:w w:val="95"/>
          <w:sz w:val="26"/>
        </w:rPr>
        <w:t> </w:t>
      </w:r>
      <w:r>
        <w:rPr>
          <w:rFonts w:ascii="Trebuchet MS" w:hAnsi="Trebuchet MS"/>
          <w:w w:val="95"/>
          <w:sz w:val="26"/>
        </w:rPr>
        <w:t>la</w:t>
      </w:r>
      <w:r>
        <w:rPr>
          <w:rFonts w:ascii="Trebuchet MS" w:hAnsi="Trebuchet MS"/>
          <w:spacing w:val="-31"/>
          <w:w w:val="95"/>
          <w:sz w:val="26"/>
        </w:rPr>
        <w:t> </w:t>
      </w:r>
      <w:r>
        <w:rPr>
          <w:rFonts w:ascii="Trebuchet MS" w:hAnsi="Trebuchet MS"/>
          <w:w w:val="95"/>
          <w:sz w:val="26"/>
        </w:rPr>
        <w:t>Coordinación</w:t>
      </w:r>
      <w:r>
        <w:rPr>
          <w:rFonts w:ascii="Trebuchet MS" w:hAnsi="Trebuchet MS"/>
          <w:spacing w:val="-30"/>
          <w:w w:val="95"/>
          <w:sz w:val="26"/>
        </w:rPr>
        <w:t> </w:t>
      </w:r>
      <w:r>
        <w:rPr>
          <w:rFonts w:ascii="Trebuchet MS" w:hAnsi="Trebuchet MS"/>
          <w:w w:val="95"/>
          <w:sz w:val="26"/>
        </w:rPr>
        <w:t>de</w:t>
      </w:r>
      <w:r>
        <w:rPr>
          <w:rFonts w:ascii="Trebuchet MS" w:hAnsi="Trebuchet MS"/>
          <w:spacing w:val="-32"/>
          <w:w w:val="95"/>
          <w:sz w:val="26"/>
        </w:rPr>
        <w:t> </w:t>
      </w:r>
      <w:r>
        <w:rPr>
          <w:rFonts w:ascii="Trebuchet MS" w:hAnsi="Trebuchet MS"/>
          <w:w w:val="95"/>
          <w:sz w:val="26"/>
        </w:rPr>
        <w:t>Postgrado</w:t>
      </w:r>
      <w:r>
        <w:rPr>
          <w:rFonts w:ascii="Trebuchet MS" w:hAnsi="Trebuchet MS"/>
          <w:spacing w:val="-32"/>
          <w:w w:val="95"/>
          <w:sz w:val="26"/>
        </w:rPr>
        <w:t> </w:t>
      </w:r>
      <w:r>
        <w:rPr>
          <w:rFonts w:ascii="Trebuchet MS" w:hAnsi="Trebuchet MS"/>
          <w:w w:val="95"/>
          <w:sz w:val="26"/>
        </w:rPr>
        <w:t>de</w:t>
      </w:r>
      <w:r>
        <w:rPr>
          <w:rFonts w:ascii="Trebuchet MS" w:hAnsi="Trebuchet MS"/>
          <w:spacing w:val="-32"/>
          <w:w w:val="95"/>
          <w:sz w:val="26"/>
        </w:rPr>
        <w:t> </w:t>
      </w:r>
      <w:r>
        <w:rPr>
          <w:rFonts w:ascii="Trebuchet MS" w:hAnsi="Trebuchet MS"/>
          <w:w w:val="95"/>
          <w:sz w:val="26"/>
        </w:rPr>
        <w:t>la</w:t>
      </w:r>
      <w:r>
        <w:rPr>
          <w:rFonts w:ascii="Trebuchet MS" w:hAnsi="Trebuchet MS"/>
          <w:spacing w:val="-34"/>
          <w:w w:val="95"/>
          <w:sz w:val="26"/>
        </w:rPr>
        <w:t> </w:t>
      </w:r>
      <w:r>
        <w:rPr>
          <w:rFonts w:ascii="Trebuchet MS" w:hAnsi="Trebuchet MS"/>
          <w:w w:val="95"/>
          <w:sz w:val="26"/>
        </w:rPr>
        <w:t>Facultad</w:t>
      </w:r>
      <w:r>
        <w:rPr>
          <w:rFonts w:ascii="Trebuchet MS" w:hAnsi="Trebuchet MS"/>
          <w:spacing w:val="-32"/>
          <w:w w:val="95"/>
          <w:sz w:val="26"/>
        </w:rPr>
        <w:t> </w:t>
      </w:r>
      <w:r>
        <w:rPr>
          <w:rFonts w:ascii="Trebuchet MS" w:hAnsi="Trebuchet MS"/>
          <w:w w:val="95"/>
          <w:sz w:val="26"/>
        </w:rPr>
        <w:t>de</w:t>
      </w:r>
      <w:r>
        <w:rPr>
          <w:rFonts w:ascii="Trebuchet MS" w:hAnsi="Trebuchet MS"/>
          <w:spacing w:val="-32"/>
          <w:w w:val="95"/>
          <w:sz w:val="26"/>
        </w:rPr>
        <w:t> </w:t>
      </w:r>
      <w:r>
        <w:rPr>
          <w:rFonts w:ascii="Trebuchet MS" w:hAnsi="Trebuchet MS"/>
          <w:w w:val="95"/>
          <w:sz w:val="26"/>
        </w:rPr>
        <w:t>Humanidades,</w:t>
      </w:r>
      <w:r>
        <w:rPr>
          <w:rFonts w:ascii="Trebuchet MS" w:hAnsi="Trebuchet MS"/>
          <w:spacing w:val="-32"/>
          <w:w w:val="95"/>
          <w:sz w:val="26"/>
        </w:rPr>
        <w:t> </w:t>
      </w:r>
      <w:r>
        <w:rPr>
          <w:rFonts w:ascii="Trebuchet MS" w:hAnsi="Trebuchet MS"/>
          <w:w w:val="95"/>
          <w:sz w:val="26"/>
        </w:rPr>
        <w:t>por </w:t>
      </w:r>
      <w:r>
        <w:rPr>
          <w:rFonts w:ascii="Trebuchet MS" w:hAnsi="Trebuchet MS"/>
          <w:sz w:val="26"/>
        </w:rPr>
        <w:t>las</w:t>
      </w:r>
      <w:r>
        <w:rPr>
          <w:rFonts w:ascii="Trebuchet MS" w:hAnsi="Trebuchet MS"/>
          <w:spacing w:val="-52"/>
          <w:sz w:val="26"/>
        </w:rPr>
        <w:t> </w:t>
      </w:r>
      <w:r>
        <w:rPr>
          <w:rFonts w:ascii="Trebuchet MS" w:hAnsi="Trebuchet MS"/>
          <w:sz w:val="26"/>
        </w:rPr>
        <w:t>orientaciones</w:t>
      </w:r>
      <w:r>
        <w:rPr>
          <w:rFonts w:ascii="Trebuchet MS" w:hAnsi="Trebuchet MS"/>
          <w:spacing w:val="-52"/>
          <w:sz w:val="26"/>
        </w:rPr>
        <w:t> </w:t>
      </w:r>
      <w:r>
        <w:rPr>
          <w:rFonts w:ascii="Trebuchet MS" w:hAnsi="Trebuchet MS"/>
          <w:sz w:val="26"/>
        </w:rPr>
        <w:t>y</w:t>
      </w:r>
      <w:r>
        <w:rPr>
          <w:rFonts w:ascii="Trebuchet MS" w:hAnsi="Trebuchet MS"/>
          <w:spacing w:val="-52"/>
          <w:sz w:val="26"/>
        </w:rPr>
        <w:t> </w:t>
      </w:r>
      <w:r>
        <w:rPr>
          <w:rFonts w:ascii="Trebuchet MS" w:hAnsi="Trebuchet MS"/>
          <w:sz w:val="26"/>
        </w:rPr>
        <w:t>acciones</w:t>
      </w:r>
      <w:r>
        <w:rPr>
          <w:rFonts w:ascii="Trebuchet MS" w:hAnsi="Trebuchet MS"/>
          <w:spacing w:val="-52"/>
          <w:sz w:val="26"/>
        </w:rPr>
        <w:t> </w:t>
      </w:r>
      <w:r>
        <w:rPr>
          <w:rFonts w:ascii="Trebuchet MS" w:hAnsi="Trebuchet MS"/>
          <w:sz w:val="26"/>
        </w:rPr>
        <w:t>propias</w:t>
      </w:r>
      <w:r>
        <w:rPr>
          <w:rFonts w:ascii="Trebuchet MS" w:hAnsi="Trebuchet MS"/>
          <w:spacing w:val="-52"/>
          <w:sz w:val="26"/>
        </w:rPr>
        <w:t> </w:t>
      </w:r>
      <w:r>
        <w:rPr>
          <w:rFonts w:ascii="Trebuchet MS" w:hAnsi="Trebuchet MS"/>
          <w:sz w:val="26"/>
        </w:rPr>
        <w:t>de</w:t>
      </w:r>
      <w:r>
        <w:rPr>
          <w:rFonts w:ascii="Trebuchet MS" w:hAnsi="Trebuchet MS"/>
          <w:spacing w:val="-54"/>
          <w:sz w:val="26"/>
        </w:rPr>
        <w:t> </w:t>
      </w:r>
      <w:r>
        <w:rPr>
          <w:rFonts w:ascii="Trebuchet MS" w:hAnsi="Trebuchet MS"/>
          <w:sz w:val="26"/>
        </w:rPr>
        <w:t>su</w:t>
      </w:r>
      <w:r>
        <w:rPr>
          <w:rFonts w:ascii="Trebuchet MS" w:hAnsi="Trebuchet MS"/>
          <w:spacing w:val="-50"/>
          <w:sz w:val="26"/>
        </w:rPr>
        <w:t> </w:t>
      </w:r>
      <w:r>
        <w:rPr>
          <w:rFonts w:ascii="Trebuchet MS" w:hAnsi="Trebuchet MS"/>
          <w:sz w:val="26"/>
        </w:rPr>
        <w:t>área</w:t>
      </w:r>
      <w:r>
        <w:rPr>
          <w:rFonts w:ascii="Trebuchet MS" w:hAnsi="Trebuchet MS"/>
          <w:spacing w:val="-52"/>
          <w:sz w:val="26"/>
        </w:rPr>
        <w:t> </w:t>
      </w:r>
      <w:r>
        <w:rPr>
          <w:rFonts w:ascii="Trebuchet MS" w:hAnsi="Trebuchet MS"/>
          <w:sz w:val="26"/>
        </w:rPr>
        <w:t>que</w:t>
      </w:r>
      <w:r>
        <w:rPr>
          <w:rFonts w:ascii="Trebuchet MS" w:hAnsi="Trebuchet MS"/>
          <w:spacing w:val="-52"/>
          <w:sz w:val="26"/>
        </w:rPr>
        <w:t> </w:t>
      </w:r>
      <w:r>
        <w:rPr>
          <w:rFonts w:ascii="Trebuchet MS" w:hAnsi="Trebuchet MS"/>
          <w:sz w:val="26"/>
        </w:rPr>
        <w:t>facilitaron</w:t>
      </w:r>
      <w:r>
        <w:rPr>
          <w:rFonts w:ascii="Trebuchet MS" w:hAnsi="Trebuchet MS"/>
          <w:spacing w:val="-51"/>
          <w:sz w:val="26"/>
        </w:rPr>
        <w:t> </w:t>
      </w:r>
      <w:r>
        <w:rPr>
          <w:rFonts w:ascii="Trebuchet MS" w:hAnsi="Trebuchet MS"/>
          <w:sz w:val="26"/>
        </w:rPr>
        <w:t>el </w:t>
      </w:r>
      <w:r>
        <w:rPr>
          <w:rFonts w:ascii="Trebuchet MS" w:hAnsi="Trebuchet MS"/>
          <w:w w:val="90"/>
          <w:sz w:val="26"/>
        </w:rPr>
        <w:t>cumplimiento de mi</w:t>
      </w:r>
      <w:r>
        <w:rPr>
          <w:rFonts w:ascii="Trebuchet MS" w:hAnsi="Trebuchet MS"/>
          <w:spacing w:val="-24"/>
          <w:w w:val="90"/>
          <w:sz w:val="26"/>
        </w:rPr>
        <w:t> </w:t>
      </w:r>
      <w:r>
        <w:rPr>
          <w:rFonts w:ascii="Trebuchet MS" w:hAnsi="Trebuchet MS"/>
          <w:w w:val="90"/>
          <w:sz w:val="26"/>
        </w:rPr>
        <w:t>empeño.</w:t>
      </w:r>
    </w:p>
    <w:p>
      <w:pPr>
        <w:pStyle w:val="BodyText"/>
        <w:spacing w:before="10"/>
        <w:rPr>
          <w:rFonts w:ascii="Trebuchet MS"/>
          <w:sz w:val="38"/>
        </w:rPr>
      </w:pPr>
    </w:p>
    <w:p>
      <w:pPr>
        <w:spacing w:line="360" w:lineRule="auto" w:before="0"/>
        <w:ind w:left="1397" w:right="244" w:firstLine="0"/>
        <w:jc w:val="left"/>
        <w:rPr>
          <w:rFonts w:ascii="Trebuchet MS" w:hAnsi="Trebuchet MS"/>
          <w:sz w:val="26"/>
        </w:rPr>
      </w:pPr>
      <w:r>
        <w:rPr>
          <w:rFonts w:ascii="Trebuchet MS" w:hAnsi="Trebuchet MS"/>
          <w:sz w:val="26"/>
        </w:rPr>
        <w:t>A</w:t>
      </w:r>
      <w:r>
        <w:rPr>
          <w:rFonts w:ascii="Trebuchet MS" w:hAnsi="Trebuchet MS"/>
          <w:spacing w:val="-46"/>
          <w:sz w:val="26"/>
        </w:rPr>
        <w:t> </w:t>
      </w:r>
      <w:r>
        <w:rPr>
          <w:rFonts w:ascii="Trebuchet MS" w:hAnsi="Trebuchet MS"/>
          <w:sz w:val="26"/>
        </w:rPr>
        <w:t>la</w:t>
      </w:r>
      <w:r>
        <w:rPr>
          <w:rFonts w:ascii="Trebuchet MS" w:hAnsi="Trebuchet MS"/>
          <w:spacing w:val="-45"/>
          <w:sz w:val="26"/>
        </w:rPr>
        <w:t> </w:t>
      </w:r>
      <w:r>
        <w:rPr>
          <w:rFonts w:ascii="Trebuchet MS" w:hAnsi="Trebuchet MS"/>
          <w:sz w:val="26"/>
        </w:rPr>
        <w:t>Sección</w:t>
      </w:r>
      <w:r>
        <w:rPr>
          <w:rFonts w:ascii="Trebuchet MS" w:hAnsi="Trebuchet MS"/>
          <w:spacing w:val="-44"/>
          <w:sz w:val="26"/>
        </w:rPr>
        <w:t> </w:t>
      </w:r>
      <w:r>
        <w:rPr>
          <w:rFonts w:ascii="Trebuchet MS" w:hAnsi="Trebuchet MS"/>
          <w:sz w:val="26"/>
        </w:rPr>
        <w:t>XVII</w:t>
      </w:r>
      <w:r>
        <w:rPr>
          <w:rFonts w:ascii="Trebuchet MS" w:hAnsi="Trebuchet MS"/>
          <w:spacing w:val="-46"/>
          <w:sz w:val="26"/>
        </w:rPr>
        <w:t> </w:t>
      </w:r>
      <w:r>
        <w:rPr>
          <w:rFonts w:ascii="Trebuchet MS" w:hAnsi="Trebuchet MS"/>
          <w:sz w:val="26"/>
        </w:rPr>
        <w:t>del</w:t>
      </w:r>
      <w:r>
        <w:rPr>
          <w:rFonts w:ascii="Trebuchet MS" w:hAnsi="Trebuchet MS"/>
          <w:spacing w:val="-46"/>
          <w:sz w:val="26"/>
        </w:rPr>
        <w:t> </w:t>
      </w:r>
      <w:r>
        <w:rPr>
          <w:rFonts w:ascii="Trebuchet MS" w:hAnsi="Trebuchet MS"/>
          <w:sz w:val="26"/>
        </w:rPr>
        <w:t>SNTE</w:t>
      </w:r>
      <w:r>
        <w:rPr>
          <w:rFonts w:ascii="Trebuchet MS" w:hAnsi="Trebuchet MS"/>
          <w:spacing w:val="-44"/>
          <w:sz w:val="26"/>
        </w:rPr>
        <w:t> </w:t>
      </w:r>
      <w:r>
        <w:rPr>
          <w:rFonts w:ascii="Trebuchet MS" w:hAnsi="Trebuchet MS"/>
          <w:sz w:val="26"/>
        </w:rPr>
        <w:t>en</w:t>
      </w:r>
      <w:r>
        <w:rPr>
          <w:rFonts w:ascii="Trebuchet MS" w:hAnsi="Trebuchet MS"/>
          <w:spacing w:val="-45"/>
          <w:sz w:val="26"/>
        </w:rPr>
        <w:t> </w:t>
      </w:r>
      <w:r>
        <w:rPr>
          <w:rFonts w:ascii="Trebuchet MS" w:hAnsi="Trebuchet MS"/>
          <w:sz w:val="26"/>
        </w:rPr>
        <w:t>el</w:t>
      </w:r>
      <w:r>
        <w:rPr>
          <w:rFonts w:ascii="Trebuchet MS" w:hAnsi="Trebuchet MS"/>
          <w:spacing w:val="-46"/>
          <w:sz w:val="26"/>
        </w:rPr>
        <w:t> </w:t>
      </w:r>
      <w:r>
        <w:rPr>
          <w:rFonts w:ascii="Trebuchet MS" w:hAnsi="Trebuchet MS"/>
          <w:sz w:val="26"/>
        </w:rPr>
        <w:t>Valle</w:t>
      </w:r>
      <w:r>
        <w:rPr>
          <w:rFonts w:ascii="Trebuchet MS" w:hAnsi="Trebuchet MS"/>
          <w:spacing w:val="-44"/>
          <w:sz w:val="26"/>
        </w:rPr>
        <w:t> </w:t>
      </w:r>
      <w:r>
        <w:rPr>
          <w:rFonts w:ascii="Trebuchet MS" w:hAnsi="Trebuchet MS"/>
          <w:sz w:val="26"/>
        </w:rPr>
        <w:t>de</w:t>
      </w:r>
      <w:r>
        <w:rPr>
          <w:rFonts w:ascii="Trebuchet MS" w:hAnsi="Trebuchet MS"/>
          <w:spacing w:val="-46"/>
          <w:sz w:val="26"/>
        </w:rPr>
        <w:t> </w:t>
      </w:r>
      <w:r>
        <w:rPr>
          <w:rFonts w:ascii="Trebuchet MS" w:hAnsi="Trebuchet MS"/>
          <w:sz w:val="26"/>
        </w:rPr>
        <w:t>Toluca,</w:t>
      </w:r>
      <w:r>
        <w:rPr>
          <w:rFonts w:ascii="Trebuchet MS" w:hAnsi="Trebuchet MS"/>
          <w:spacing w:val="-46"/>
          <w:sz w:val="26"/>
        </w:rPr>
        <w:t> </w:t>
      </w:r>
      <w:r>
        <w:rPr>
          <w:rFonts w:ascii="Trebuchet MS" w:hAnsi="Trebuchet MS"/>
          <w:sz w:val="26"/>
        </w:rPr>
        <w:t>Méx.,</w:t>
      </w:r>
      <w:r>
        <w:rPr>
          <w:rFonts w:ascii="Trebuchet MS" w:hAnsi="Trebuchet MS"/>
          <w:spacing w:val="-46"/>
          <w:sz w:val="26"/>
        </w:rPr>
        <w:t> </w:t>
      </w:r>
      <w:r>
        <w:rPr>
          <w:rFonts w:ascii="Trebuchet MS" w:hAnsi="Trebuchet MS"/>
          <w:sz w:val="26"/>
        </w:rPr>
        <w:t>por</w:t>
      </w:r>
      <w:r>
        <w:rPr>
          <w:rFonts w:ascii="Trebuchet MS" w:hAnsi="Trebuchet MS"/>
          <w:spacing w:val="-45"/>
          <w:sz w:val="26"/>
        </w:rPr>
        <w:t> </w:t>
      </w:r>
      <w:r>
        <w:rPr>
          <w:rFonts w:ascii="Trebuchet MS" w:hAnsi="Trebuchet MS"/>
          <w:sz w:val="26"/>
        </w:rPr>
        <w:t>el</w:t>
      </w:r>
      <w:r>
        <w:rPr>
          <w:rFonts w:ascii="Trebuchet MS" w:hAnsi="Trebuchet MS"/>
          <w:spacing w:val="-46"/>
          <w:sz w:val="26"/>
        </w:rPr>
        <w:t> </w:t>
      </w:r>
      <w:r>
        <w:rPr>
          <w:rFonts w:ascii="Trebuchet MS" w:hAnsi="Trebuchet MS"/>
          <w:sz w:val="26"/>
        </w:rPr>
        <w:t>apoyo </w:t>
      </w:r>
      <w:r>
        <w:rPr>
          <w:rFonts w:ascii="Trebuchet MS" w:hAnsi="Trebuchet MS"/>
          <w:w w:val="90"/>
          <w:sz w:val="26"/>
        </w:rPr>
        <w:t>otorgado para la realización de mis</w:t>
      </w:r>
      <w:r>
        <w:rPr>
          <w:rFonts w:ascii="Trebuchet MS" w:hAnsi="Trebuchet MS"/>
          <w:spacing w:val="-46"/>
          <w:w w:val="90"/>
          <w:sz w:val="26"/>
        </w:rPr>
        <w:t> </w:t>
      </w:r>
      <w:r>
        <w:rPr>
          <w:rFonts w:ascii="Trebuchet MS" w:hAnsi="Trebuchet MS"/>
          <w:w w:val="90"/>
          <w:sz w:val="26"/>
        </w:rPr>
        <w:t>estudios.</w:t>
      </w:r>
    </w:p>
    <w:p>
      <w:pPr>
        <w:pStyle w:val="BodyText"/>
        <w:rPr>
          <w:rFonts w:ascii="Trebuchet MS"/>
          <w:sz w:val="26"/>
        </w:rPr>
      </w:pPr>
    </w:p>
    <w:p>
      <w:pPr>
        <w:spacing w:line="360" w:lineRule="auto" w:before="153"/>
        <w:ind w:left="1397" w:right="536" w:firstLine="0"/>
        <w:jc w:val="both"/>
        <w:rPr>
          <w:rFonts w:ascii="Trebuchet MS" w:hAnsi="Trebuchet MS"/>
          <w:sz w:val="26"/>
        </w:rPr>
      </w:pPr>
      <w:r>
        <w:rPr>
          <w:rFonts w:ascii="Trebuchet MS" w:hAnsi="Trebuchet MS"/>
          <w:w w:val="95"/>
          <w:sz w:val="26"/>
        </w:rPr>
        <w:t>Y</w:t>
      </w:r>
      <w:r>
        <w:rPr>
          <w:rFonts w:ascii="Trebuchet MS" w:hAnsi="Trebuchet MS"/>
          <w:spacing w:val="-29"/>
          <w:w w:val="95"/>
          <w:sz w:val="26"/>
        </w:rPr>
        <w:t> </w:t>
      </w:r>
      <w:r>
        <w:rPr>
          <w:rFonts w:ascii="Trebuchet MS" w:hAnsi="Trebuchet MS"/>
          <w:w w:val="95"/>
          <w:sz w:val="26"/>
        </w:rPr>
        <w:t>a</w:t>
      </w:r>
      <w:r>
        <w:rPr>
          <w:rFonts w:ascii="Trebuchet MS" w:hAnsi="Trebuchet MS"/>
          <w:spacing w:val="-28"/>
          <w:w w:val="95"/>
          <w:sz w:val="26"/>
        </w:rPr>
        <w:t> </w:t>
      </w:r>
      <w:r>
        <w:rPr>
          <w:rFonts w:ascii="Trebuchet MS" w:hAnsi="Trebuchet MS"/>
          <w:w w:val="95"/>
          <w:sz w:val="26"/>
        </w:rPr>
        <w:t>la</w:t>
      </w:r>
      <w:r>
        <w:rPr>
          <w:rFonts w:ascii="Trebuchet MS" w:hAnsi="Trebuchet MS"/>
          <w:spacing w:val="-28"/>
          <w:w w:val="95"/>
          <w:sz w:val="26"/>
        </w:rPr>
        <w:t> </w:t>
      </w:r>
      <w:r>
        <w:rPr>
          <w:rFonts w:ascii="Trebuchet MS" w:hAnsi="Trebuchet MS"/>
          <w:w w:val="95"/>
          <w:sz w:val="26"/>
        </w:rPr>
        <w:t>Dirección</w:t>
      </w:r>
      <w:r>
        <w:rPr>
          <w:rFonts w:ascii="Trebuchet MS" w:hAnsi="Trebuchet MS"/>
          <w:spacing w:val="-27"/>
          <w:w w:val="95"/>
          <w:sz w:val="26"/>
        </w:rPr>
        <w:t> </w:t>
      </w:r>
      <w:r>
        <w:rPr>
          <w:rFonts w:ascii="Trebuchet MS" w:hAnsi="Trebuchet MS"/>
          <w:w w:val="95"/>
          <w:sz w:val="26"/>
        </w:rPr>
        <w:t>de</w:t>
      </w:r>
      <w:r>
        <w:rPr>
          <w:rFonts w:ascii="Trebuchet MS" w:hAnsi="Trebuchet MS"/>
          <w:spacing w:val="-29"/>
          <w:w w:val="95"/>
          <w:sz w:val="26"/>
        </w:rPr>
        <w:t> </w:t>
      </w:r>
      <w:r>
        <w:rPr>
          <w:rFonts w:ascii="Trebuchet MS" w:hAnsi="Trebuchet MS"/>
          <w:w w:val="95"/>
          <w:sz w:val="26"/>
        </w:rPr>
        <w:t>Educación</w:t>
      </w:r>
      <w:r>
        <w:rPr>
          <w:rFonts w:ascii="Trebuchet MS" w:hAnsi="Trebuchet MS"/>
          <w:spacing w:val="-27"/>
          <w:w w:val="95"/>
          <w:sz w:val="26"/>
        </w:rPr>
        <w:t> </w:t>
      </w:r>
      <w:r>
        <w:rPr>
          <w:rFonts w:ascii="Trebuchet MS" w:hAnsi="Trebuchet MS"/>
          <w:w w:val="95"/>
          <w:sz w:val="26"/>
        </w:rPr>
        <w:t>superior</w:t>
      </w:r>
      <w:r>
        <w:rPr>
          <w:rFonts w:ascii="Trebuchet MS" w:hAnsi="Trebuchet MS"/>
          <w:spacing w:val="-28"/>
          <w:w w:val="95"/>
          <w:sz w:val="26"/>
        </w:rPr>
        <w:t> </w:t>
      </w:r>
      <w:r>
        <w:rPr>
          <w:rFonts w:ascii="Trebuchet MS" w:hAnsi="Trebuchet MS"/>
          <w:w w:val="95"/>
          <w:sz w:val="26"/>
        </w:rPr>
        <w:t>de</w:t>
      </w:r>
      <w:r>
        <w:rPr>
          <w:rFonts w:ascii="Trebuchet MS" w:hAnsi="Trebuchet MS"/>
          <w:spacing w:val="-29"/>
          <w:w w:val="95"/>
          <w:sz w:val="26"/>
        </w:rPr>
        <w:t> </w:t>
      </w:r>
      <w:r>
        <w:rPr>
          <w:rFonts w:ascii="Trebuchet MS" w:hAnsi="Trebuchet MS"/>
          <w:w w:val="95"/>
          <w:sz w:val="26"/>
        </w:rPr>
        <w:t>los</w:t>
      </w:r>
      <w:r>
        <w:rPr>
          <w:rFonts w:ascii="Trebuchet MS" w:hAnsi="Trebuchet MS"/>
          <w:spacing w:val="-29"/>
          <w:w w:val="95"/>
          <w:sz w:val="26"/>
        </w:rPr>
        <w:t> </w:t>
      </w:r>
      <w:r>
        <w:rPr>
          <w:rFonts w:ascii="Trebuchet MS" w:hAnsi="Trebuchet MS"/>
          <w:w w:val="95"/>
          <w:sz w:val="26"/>
        </w:rPr>
        <w:t>Servicios</w:t>
      </w:r>
      <w:r>
        <w:rPr>
          <w:rFonts w:ascii="Trebuchet MS" w:hAnsi="Trebuchet MS"/>
          <w:spacing w:val="-29"/>
          <w:w w:val="95"/>
          <w:sz w:val="26"/>
        </w:rPr>
        <w:t> </w:t>
      </w:r>
      <w:r>
        <w:rPr>
          <w:rFonts w:ascii="Trebuchet MS" w:hAnsi="Trebuchet MS"/>
          <w:w w:val="95"/>
          <w:sz w:val="26"/>
        </w:rPr>
        <w:t>Educativos Integrado</w:t>
      </w:r>
      <w:r>
        <w:rPr>
          <w:rFonts w:ascii="Trebuchet MS" w:hAnsi="Trebuchet MS"/>
          <w:spacing w:val="-40"/>
          <w:w w:val="95"/>
          <w:sz w:val="26"/>
        </w:rPr>
        <w:t> </w:t>
      </w:r>
      <w:r>
        <w:rPr>
          <w:rFonts w:ascii="Trebuchet MS" w:hAnsi="Trebuchet MS"/>
          <w:w w:val="95"/>
          <w:sz w:val="26"/>
        </w:rPr>
        <w:t>al</w:t>
      </w:r>
      <w:r>
        <w:rPr>
          <w:rFonts w:ascii="Trebuchet MS" w:hAnsi="Trebuchet MS"/>
          <w:spacing w:val="-42"/>
          <w:w w:val="95"/>
          <w:sz w:val="26"/>
        </w:rPr>
        <w:t> </w:t>
      </w:r>
      <w:r>
        <w:rPr>
          <w:rFonts w:ascii="Trebuchet MS" w:hAnsi="Trebuchet MS"/>
          <w:w w:val="95"/>
          <w:sz w:val="26"/>
        </w:rPr>
        <w:t>Estado</w:t>
      </w:r>
      <w:r>
        <w:rPr>
          <w:rFonts w:ascii="Trebuchet MS" w:hAnsi="Trebuchet MS"/>
          <w:spacing w:val="-40"/>
          <w:w w:val="95"/>
          <w:sz w:val="26"/>
        </w:rPr>
        <w:t> </w:t>
      </w:r>
      <w:r>
        <w:rPr>
          <w:rFonts w:ascii="Trebuchet MS" w:hAnsi="Trebuchet MS"/>
          <w:w w:val="95"/>
          <w:sz w:val="26"/>
        </w:rPr>
        <w:t>de</w:t>
      </w:r>
      <w:r>
        <w:rPr>
          <w:rFonts w:ascii="Trebuchet MS" w:hAnsi="Trebuchet MS"/>
          <w:spacing w:val="-40"/>
          <w:w w:val="95"/>
          <w:sz w:val="26"/>
        </w:rPr>
        <w:t> </w:t>
      </w:r>
      <w:r>
        <w:rPr>
          <w:rFonts w:ascii="Trebuchet MS" w:hAnsi="Trebuchet MS"/>
          <w:w w:val="95"/>
          <w:sz w:val="26"/>
        </w:rPr>
        <w:t>México,</w:t>
      </w:r>
      <w:r>
        <w:rPr>
          <w:rFonts w:ascii="Trebuchet MS" w:hAnsi="Trebuchet MS"/>
          <w:spacing w:val="-40"/>
          <w:w w:val="95"/>
          <w:sz w:val="26"/>
        </w:rPr>
        <w:t> </w:t>
      </w:r>
      <w:r>
        <w:rPr>
          <w:rFonts w:ascii="Trebuchet MS" w:hAnsi="Trebuchet MS"/>
          <w:w w:val="95"/>
          <w:sz w:val="26"/>
        </w:rPr>
        <w:t>por</w:t>
      </w:r>
      <w:r>
        <w:rPr>
          <w:rFonts w:ascii="Trebuchet MS" w:hAnsi="Trebuchet MS"/>
          <w:spacing w:val="-39"/>
          <w:w w:val="95"/>
          <w:sz w:val="26"/>
        </w:rPr>
        <w:t> </w:t>
      </w:r>
      <w:r>
        <w:rPr>
          <w:rFonts w:ascii="Trebuchet MS" w:hAnsi="Trebuchet MS"/>
          <w:w w:val="95"/>
          <w:sz w:val="26"/>
        </w:rPr>
        <w:t>la</w:t>
      </w:r>
      <w:r>
        <w:rPr>
          <w:rFonts w:ascii="Trebuchet MS" w:hAnsi="Trebuchet MS"/>
          <w:spacing w:val="-42"/>
          <w:w w:val="95"/>
          <w:sz w:val="26"/>
        </w:rPr>
        <w:t> </w:t>
      </w:r>
      <w:r>
        <w:rPr>
          <w:rFonts w:ascii="Trebuchet MS" w:hAnsi="Trebuchet MS"/>
          <w:w w:val="95"/>
          <w:sz w:val="26"/>
        </w:rPr>
        <w:t>autorización</w:t>
      </w:r>
      <w:r>
        <w:rPr>
          <w:rFonts w:ascii="Trebuchet MS" w:hAnsi="Trebuchet MS"/>
          <w:spacing w:val="-39"/>
          <w:w w:val="95"/>
          <w:sz w:val="26"/>
        </w:rPr>
        <w:t> </w:t>
      </w:r>
      <w:r>
        <w:rPr>
          <w:rFonts w:ascii="Trebuchet MS" w:hAnsi="Trebuchet MS"/>
          <w:w w:val="95"/>
          <w:sz w:val="26"/>
        </w:rPr>
        <w:t>concedida</w:t>
      </w:r>
      <w:r>
        <w:rPr>
          <w:rFonts w:ascii="Trebuchet MS" w:hAnsi="Trebuchet MS"/>
          <w:spacing w:val="-40"/>
          <w:w w:val="95"/>
          <w:sz w:val="26"/>
        </w:rPr>
        <w:t> </w:t>
      </w:r>
      <w:r>
        <w:rPr>
          <w:rFonts w:ascii="Trebuchet MS" w:hAnsi="Trebuchet MS"/>
          <w:w w:val="95"/>
          <w:sz w:val="26"/>
        </w:rPr>
        <w:t>para </w:t>
      </w:r>
      <w:r>
        <w:rPr>
          <w:rFonts w:ascii="Trebuchet MS" w:hAnsi="Trebuchet MS"/>
          <w:w w:val="90"/>
          <w:sz w:val="26"/>
        </w:rPr>
        <w:t>facilitar</w:t>
      </w:r>
      <w:r>
        <w:rPr>
          <w:rFonts w:ascii="Trebuchet MS" w:hAnsi="Trebuchet MS"/>
          <w:spacing w:val="-17"/>
          <w:w w:val="90"/>
          <w:sz w:val="26"/>
        </w:rPr>
        <w:t> </w:t>
      </w:r>
      <w:r>
        <w:rPr>
          <w:rFonts w:ascii="Trebuchet MS" w:hAnsi="Trebuchet MS"/>
          <w:w w:val="90"/>
          <w:sz w:val="26"/>
        </w:rPr>
        <w:t>mi</w:t>
      </w:r>
      <w:r>
        <w:rPr>
          <w:rFonts w:ascii="Trebuchet MS" w:hAnsi="Trebuchet MS"/>
          <w:spacing w:val="-19"/>
          <w:w w:val="90"/>
          <w:sz w:val="26"/>
        </w:rPr>
        <w:t> </w:t>
      </w:r>
      <w:r>
        <w:rPr>
          <w:rFonts w:ascii="Trebuchet MS" w:hAnsi="Trebuchet MS"/>
          <w:w w:val="90"/>
          <w:sz w:val="26"/>
        </w:rPr>
        <w:t>incursión</w:t>
      </w:r>
      <w:r>
        <w:rPr>
          <w:rFonts w:ascii="Trebuchet MS" w:hAnsi="Trebuchet MS"/>
          <w:spacing w:val="-16"/>
          <w:w w:val="90"/>
          <w:sz w:val="26"/>
        </w:rPr>
        <w:t> </w:t>
      </w:r>
      <w:r>
        <w:rPr>
          <w:rFonts w:ascii="Trebuchet MS" w:hAnsi="Trebuchet MS"/>
          <w:w w:val="90"/>
          <w:sz w:val="26"/>
        </w:rPr>
        <w:t>en</w:t>
      </w:r>
      <w:r>
        <w:rPr>
          <w:rFonts w:ascii="Trebuchet MS" w:hAnsi="Trebuchet MS"/>
          <w:spacing w:val="-17"/>
          <w:w w:val="90"/>
          <w:sz w:val="26"/>
        </w:rPr>
        <w:t> </w:t>
      </w:r>
      <w:r>
        <w:rPr>
          <w:rFonts w:ascii="Trebuchet MS" w:hAnsi="Trebuchet MS"/>
          <w:w w:val="90"/>
          <w:sz w:val="26"/>
        </w:rPr>
        <w:t>el</w:t>
      </w:r>
      <w:r>
        <w:rPr>
          <w:rFonts w:ascii="Trebuchet MS" w:hAnsi="Trebuchet MS"/>
          <w:spacing w:val="-19"/>
          <w:w w:val="90"/>
          <w:sz w:val="26"/>
        </w:rPr>
        <w:t> </w:t>
      </w:r>
      <w:r>
        <w:rPr>
          <w:rFonts w:ascii="Trebuchet MS" w:hAnsi="Trebuchet MS"/>
          <w:w w:val="90"/>
          <w:sz w:val="26"/>
        </w:rPr>
        <w:t>mundo</w:t>
      </w:r>
      <w:r>
        <w:rPr>
          <w:rFonts w:ascii="Trebuchet MS" w:hAnsi="Trebuchet MS"/>
          <w:spacing w:val="-18"/>
          <w:w w:val="90"/>
          <w:sz w:val="26"/>
        </w:rPr>
        <w:t> </w:t>
      </w:r>
      <w:r>
        <w:rPr>
          <w:rFonts w:ascii="Trebuchet MS" w:hAnsi="Trebuchet MS"/>
          <w:w w:val="90"/>
          <w:sz w:val="26"/>
        </w:rPr>
        <w:t>académico.</w:t>
      </w:r>
    </w:p>
    <w:p>
      <w:pPr>
        <w:pStyle w:val="BodyText"/>
        <w:rPr>
          <w:rFonts w:ascii="Trebuchet MS"/>
          <w:sz w:val="26"/>
        </w:rPr>
      </w:pPr>
    </w:p>
    <w:p>
      <w:pPr>
        <w:pStyle w:val="BodyText"/>
        <w:spacing w:before="152"/>
        <w:ind w:left="5850" w:right="-6"/>
        <w:rPr>
          <w:rFonts w:ascii="Trebuchet MS" w:hAnsi="Trebuchet MS"/>
        </w:rPr>
      </w:pPr>
      <w:r>
        <w:rPr>
          <w:rFonts w:ascii="Trebuchet MS" w:hAnsi="Trebuchet MS"/>
          <w:w w:val="95"/>
        </w:rPr>
        <w:t>Toluca, Méx. Invierno de 2012</w:t>
      </w:r>
    </w:p>
    <w:p>
      <w:pPr>
        <w:spacing w:after="0"/>
        <w:rPr>
          <w:rFonts w:ascii="Trebuchet MS" w:hAnsi="Trebuchet MS"/>
        </w:rPr>
        <w:sectPr>
          <w:pgSz w:w="12240" w:h="15840"/>
          <w:pgMar w:header="0" w:footer="938" w:top="1340" w:bottom="1120" w:left="1720" w:right="1580"/>
        </w:sectPr>
      </w:pPr>
    </w:p>
    <w:p>
      <w:pPr>
        <w:pStyle w:val="BodyText"/>
        <w:tabs>
          <w:tab w:pos="7214" w:val="left" w:leader="none"/>
        </w:tabs>
        <w:spacing w:before="36"/>
        <w:ind w:left="224"/>
        <w:rPr>
          <w:rFonts w:ascii="Cambria" w:hAnsi="Cambria"/>
        </w:rPr>
      </w:pPr>
      <w:r>
        <w:rPr/>
        <w:pict>
          <v:line style="position:absolute;mso-position-horizontal-relative:page;mso-position-vertical-relative:paragraph;z-index:119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Heading1"/>
        <w:spacing w:before="230"/>
        <w:ind w:left="4013" w:right="0"/>
        <w:jc w:val="left"/>
      </w:pPr>
      <w:r>
        <w:rPr/>
        <w:t>INTRODUCCIÓN</w:t>
      </w:r>
    </w:p>
    <w:p>
      <w:pPr>
        <w:spacing w:after="0"/>
        <w:jc w:val="left"/>
        <w:sectPr>
          <w:footerReference w:type="default" r:id="rId11"/>
          <w:pgSz w:w="12240" w:h="15840"/>
          <w:pgMar w:footer="876" w:header="0" w:top="520" w:bottom="1060" w:left="1300" w:right="1720"/>
          <w:pgNumType w:start="1"/>
        </w:sectPr>
      </w:pPr>
    </w:p>
    <w:p>
      <w:pPr>
        <w:pStyle w:val="Heading3"/>
      </w:pPr>
      <w:r>
        <w:rPr/>
        <w:pict>
          <v:line style="position:absolute;mso-position-horizontal-relative:page;mso-position-vertical-relative:paragraph;z-index:124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spacing w:before="4"/>
        <w:rPr>
          <w:rFonts w:ascii="Cambria"/>
          <w:b/>
          <w:sz w:val="21"/>
        </w:rPr>
      </w:pPr>
    </w:p>
    <w:p>
      <w:pPr>
        <w:pStyle w:val="BodyText"/>
        <w:spacing w:line="360" w:lineRule="auto" w:before="70"/>
        <w:ind w:left="264" w:right="215" w:firstLine="271"/>
        <w:jc w:val="both"/>
      </w:pPr>
      <w:r>
        <w:rPr/>
        <w:t>El siglo XX ha dejado en la humanidad y en nuestro planeta, huellas muy profundas, los avances de la ciencia y la tecnología mostraron hasta donde es capaz de llegar el ser humano, y las grandes guerras también le probaron cuan indefenso y pequeño es. Bajo este esquema es posible afirmar que los inventos logrados por la humanidad, en menos de un siglo, transformaron la percepción del mundo y del universo, sus dimensiones, sus alcances, expectativas de vida, costumbres, su moral y su ética. En este ambiente la presencia de los medios de comunicación masiva se tornaron en factores determinantes en la conformación del individuo de este siglo, haciéndolo sensible a la influencia, por demás visible, de estos medios, pero en especial de la televisión, cuyo alcance se extiende por el orbe terrestre hasta las </w:t>
      </w:r>
      <w:r>
        <w:rPr>
          <w:spacing w:val="-2"/>
        </w:rPr>
        <w:t>más </w:t>
      </w:r>
      <w:r>
        <w:rPr/>
        <w:t>apartadas comunidades proporcionándoles una ventana al</w:t>
      </w:r>
      <w:r>
        <w:rPr>
          <w:spacing w:val="-14"/>
        </w:rPr>
        <w:t> </w:t>
      </w:r>
      <w:r>
        <w:rPr/>
        <w:t>mundo.</w:t>
      </w:r>
    </w:p>
    <w:p>
      <w:pPr>
        <w:pStyle w:val="BodyText"/>
        <w:spacing w:line="360" w:lineRule="auto" w:before="2"/>
        <w:ind w:left="264" w:right="214" w:firstLine="336"/>
        <w:jc w:val="both"/>
      </w:pPr>
      <w:r>
        <w:rPr/>
        <w:t>Bajo estas condiciones, el individuo del siglo XX se expone a un sinnúmero de estímulos que surgen desde la televisión, que se introducen en la conciencia de hombres y mujeres afectando su forma de vida, sus decisiones, sus orientaciones y determinando su capacidad de elección, lo que significa acotar su</w:t>
      </w:r>
      <w:r>
        <w:rPr>
          <w:spacing w:val="-43"/>
        </w:rPr>
        <w:t> </w:t>
      </w:r>
      <w:r>
        <w:rPr/>
        <w:t>libertad.</w:t>
      </w:r>
    </w:p>
    <w:p>
      <w:pPr>
        <w:pStyle w:val="BodyText"/>
        <w:spacing w:line="345" w:lineRule="auto" w:before="2"/>
        <w:ind w:left="264" w:right="213" w:firstLine="336"/>
        <w:jc w:val="both"/>
      </w:pPr>
      <w:r>
        <w:rPr/>
        <w:t>La libertad como facultad inherente a la naturaleza humana, ha sido objeto de diferentes discusiones y connotaciones; socialmente se ha colocado en diferentes esferas por lo que es posible hablar de ella desde la filosofía política</w:t>
      </w:r>
      <w:r>
        <w:rPr>
          <w:position w:val="11"/>
          <w:sz w:val="16"/>
        </w:rPr>
        <w:t>1</w:t>
      </w:r>
      <w:r>
        <w:rPr/>
        <w:t>, desde la</w:t>
      </w:r>
    </w:p>
    <w:p>
      <w:pPr>
        <w:pStyle w:val="BodyText"/>
        <w:spacing w:line="360" w:lineRule="auto" w:before="5"/>
        <w:ind w:left="264" w:right="213"/>
        <w:jc w:val="both"/>
      </w:pPr>
      <w:r>
        <w:rPr/>
        <w:t>ética, desde la psicología o desde el derecho y la vida jurídica; sin embargo, como experiencia humana es preciso señalar que se ubica como una de las primeras intuiciones de la conciencia para dar coherencia al diario acontecer y sentido de responsabilidad a los individuos.</w:t>
      </w:r>
    </w:p>
    <w:p>
      <w:pPr>
        <w:pStyle w:val="BodyText"/>
        <w:spacing w:line="360" w:lineRule="auto" w:before="6"/>
        <w:ind w:left="264" w:right="224" w:firstLine="336"/>
        <w:jc w:val="both"/>
      </w:pPr>
      <w:r>
        <w:rPr/>
        <w:t>Es así, que esta investigación parte de esta condición propia de ser humano, el ser libre; que se revela en el ejercicio de la voluntad para manifestar su decisión ante diferentes situaciones que le presenta la vida cotidiana, que le confiere independencia para expresar emociones y sentimientos, y además la    posibilidad</w:t>
      </w:r>
    </w:p>
    <w:p>
      <w:pPr>
        <w:pStyle w:val="BodyText"/>
        <w:spacing w:before="3"/>
        <w:rPr>
          <w:sz w:val="15"/>
        </w:rPr>
      </w:pPr>
      <w:r>
        <w:rPr/>
        <w:pict>
          <v:line style="position:absolute;mso-position-horizontal-relative:page;mso-position-vertical-relative:paragraph;z-index:1216;mso-wrap-distance-left:0;mso-wrap-distance-right:0" from="99.224998pt,11.063891pt" to="243.274998pt,11.063891pt" stroked="true" strokeweight=".60004pt" strokecolor="#000000">
            <w10:wrap type="topAndBottom"/>
          </v:line>
        </w:pict>
      </w:r>
    </w:p>
    <w:p>
      <w:pPr>
        <w:spacing w:before="46"/>
        <w:ind w:left="264" w:right="215" w:firstLine="0"/>
        <w:jc w:val="both"/>
        <w:rPr>
          <w:rFonts w:ascii="Calibri" w:hAnsi="Calibri"/>
          <w:sz w:val="18"/>
        </w:rPr>
      </w:pPr>
      <w:r>
        <w:rPr>
          <w:rFonts w:ascii="Calibri" w:hAnsi="Calibri"/>
          <w:position w:val="9"/>
          <w:sz w:val="12"/>
        </w:rPr>
        <w:t>1 </w:t>
      </w:r>
      <w:r>
        <w:rPr>
          <w:rFonts w:ascii="Calibri" w:hAnsi="Calibri"/>
          <w:sz w:val="18"/>
        </w:rPr>
        <w:t>La libertad política, noción que ha movilizado naciones, es considerada como una de las características decisivas del hombre, que no sólo lo distingue de los animales, sino también es considerada como uno de los ideales fundamentales de la Ilustración y una de las bases de la sociedad democrática. Abarca tanto el ámbito individual como el social, y es punto de partida para la responsabilidad ética y social en tanto reúne una serie de derechos humanos que se  constituyen en conceptos jurídicos de los que se componen los fundamentos políticos que dan cohesión al tejido</w:t>
      </w:r>
      <w:r>
        <w:rPr>
          <w:rFonts w:ascii="Calibri" w:hAnsi="Calibri"/>
          <w:spacing w:val="-13"/>
          <w:sz w:val="18"/>
        </w:rPr>
        <w:t> </w:t>
      </w:r>
      <w:r>
        <w:rPr>
          <w:rFonts w:ascii="Calibri" w:hAnsi="Calibri"/>
          <w:sz w:val="18"/>
        </w:rPr>
        <w:t>social.</w:t>
      </w:r>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28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0" w:lineRule="auto" w:before="70"/>
        <w:ind w:left="684" w:right="119"/>
        <w:jc w:val="both"/>
      </w:pPr>
      <w:r>
        <w:rPr/>
        <w:t>de pensar sin coacción, y actuar sin estar sometido directamente a una autoridad exterior, permitiendo la expresión y construcción de la individualidad de hombres y mujeres libres, a través del acto libre que expresa el querer del individuo y por lo tanto su voluntad. Régis Jolivet</w:t>
      </w:r>
      <w:r>
        <w:rPr>
          <w:position w:val="11"/>
          <w:sz w:val="16"/>
        </w:rPr>
        <w:t>2  </w:t>
      </w:r>
      <w:r>
        <w:rPr/>
        <w:t>afirma que el acto libre implica la relación de</w:t>
      </w:r>
    </w:p>
    <w:p>
      <w:pPr>
        <w:pStyle w:val="BodyText"/>
        <w:spacing w:line="275" w:lineRule="exact"/>
        <w:ind w:left="684"/>
        <w:jc w:val="both"/>
      </w:pPr>
      <w:r>
        <w:rPr/>
        <w:t>voluntad e inteligencia, causado por un último juicio práctico.</w:t>
      </w:r>
    </w:p>
    <w:p>
      <w:pPr>
        <w:pStyle w:val="BodyText"/>
        <w:spacing w:line="360" w:lineRule="auto" w:before="136"/>
        <w:ind w:left="684" w:right="115" w:firstLine="472"/>
        <w:jc w:val="both"/>
      </w:pPr>
      <w:r>
        <w:rPr/>
        <w:t>De este planteamiento emana el objetivo general de la presente investigación, que consiste en analizar la influencia de la televisión como ente comunicativo, generador de entretenimiento, que a partir de la influencia que ejerce en los individuos, logra condicionar la libertad humana, con fundamento en las necesidades básicas de recreación, conocimiento, esparcimiento, utilizadas para distraer y desarrollar una predilección que favorece el mercado, asegura la permanencia del sistema y la reproducción social por medio del control de la conciencia de los ciudadanos a través de las facultades dinámicas de ésta.</w:t>
      </w:r>
    </w:p>
    <w:p>
      <w:pPr>
        <w:pStyle w:val="BodyText"/>
        <w:spacing w:line="360" w:lineRule="auto" w:before="2"/>
        <w:ind w:left="684" w:right="113" w:firstLine="472"/>
        <w:jc w:val="both"/>
      </w:pPr>
      <w:r>
        <w:rPr/>
        <w:t>El objetivo particular del presente trabajo es examinar la programación televisiva del sistema abierto, su presencia frecuente e intensa en el ámbito societal, como elemento que influye en la libertad y la conciencia humana, por su potencial informativo-educativo en torno a intereses particulares del sistema económico, dado su papel mediador, su desempeño en un proceso que deriva </w:t>
      </w:r>
      <w:r>
        <w:rPr>
          <w:spacing w:val="53"/>
        </w:rPr>
        <w:t> </w:t>
      </w:r>
      <w:r>
        <w:rPr/>
        <w:t>en</w:t>
      </w:r>
    </w:p>
    <w:p>
      <w:pPr>
        <w:pStyle w:val="BodyText"/>
        <w:spacing w:line="345" w:lineRule="auto" w:before="6"/>
        <w:ind w:left="684" w:right="113"/>
        <w:jc w:val="both"/>
      </w:pPr>
      <w:r>
        <w:rPr/>
        <w:t>la domesticación y el sometimiento ideológico de aquellos televidentes, que por falta de una educación formal de alto nivel, su percepción del curriculum oculto,</w:t>
      </w:r>
      <w:r>
        <w:rPr>
          <w:position w:val="11"/>
          <w:sz w:val="16"/>
        </w:rPr>
        <w:t>3 </w:t>
      </w:r>
      <w:r>
        <w:rPr/>
        <w:t>de la programación y la propaganda televisiva es casi</w:t>
      </w:r>
      <w:r>
        <w:rPr>
          <w:spacing w:val="-32"/>
        </w:rPr>
        <w:t> </w:t>
      </w:r>
      <w:r>
        <w:rPr/>
        <w:t>nulo.</w:t>
      </w:r>
    </w:p>
    <w:p>
      <w:pPr>
        <w:pStyle w:val="BodyText"/>
        <w:spacing w:line="360" w:lineRule="auto" w:before="18"/>
        <w:ind w:left="684" w:right="114" w:firstLine="404"/>
        <w:jc w:val="both"/>
      </w:pPr>
      <w:r>
        <w:rPr/>
        <w:t>A partir de este planteamiento se determina el objeto general de este proyecto de investigación: La libertad humana en su condicionamiento desde la emisión del mensaje    televisivo;    analizando    la    interacción    comunicativa    que   ejerce,</w:t>
      </w:r>
    </w:p>
    <w:p>
      <w:pPr>
        <w:pStyle w:val="BodyText"/>
        <w:rPr>
          <w:sz w:val="20"/>
        </w:rPr>
      </w:pPr>
    </w:p>
    <w:p>
      <w:pPr>
        <w:pStyle w:val="BodyText"/>
        <w:spacing w:before="4"/>
        <w:rPr>
          <w:sz w:val="13"/>
        </w:rPr>
      </w:pPr>
      <w:r>
        <w:rPr/>
        <w:pict>
          <v:line style="position:absolute;mso-position-horizontal-relative:page;mso-position-vertical-relative:paragraph;z-index:1264;mso-wrap-distance-left:0;mso-wrap-distance-right:0" from="99.224998pt,9.954896pt" to="243.274998pt,9.954896pt" stroked="true" strokeweight=".599980pt" strokecolor="#000000">
            <w10:wrap type="topAndBottom"/>
          </v:line>
        </w:pict>
      </w:r>
    </w:p>
    <w:p>
      <w:pPr>
        <w:spacing w:before="46"/>
        <w:ind w:left="684" w:right="123" w:firstLine="0"/>
        <w:jc w:val="both"/>
        <w:rPr>
          <w:rFonts w:ascii="Calibri" w:hAnsi="Calibri"/>
          <w:sz w:val="18"/>
        </w:rPr>
      </w:pPr>
      <w:r>
        <w:rPr>
          <w:rFonts w:ascii="Calibri" w:hAnsi="Calibri"/>
          <w:position w:val="9"/>
          <w:sz w:val="12"/>
        </w:rPr>
        <w:t>2   </w:t>
      </w:r>
      <w:r>
        <w:rPr>
          <w:rFonts w:ascii="Calibri" w:hAnsi="Calibri"/>
          <w:sz w:val="18"/>
        </w:rPr>
        <w:t>JOLIVET, Régis, </w:t>
      </w:r>
      <w:r>
        <w:rPr>
          <w:rFonts w:ascii="Calibri" w:hAnsi="Calibri"/>
          <w:i/>
          <w:sz w:val="18"/>
        </w:rPr>
        <w:t>Tratado de filosofía, Psicología</w:t>
      </w:r>
      <w:r>
        <w:rPr>
          <w:rFonts w:ascii="Calibri" w:hAnsi="Calibri"/>
          <w:sz w:val="18"/>
        </w:rPr>
        <w:t>, Ed. Carlos Lohlé, Buenos Aires, 1956, “También se ve que el acto libre es el fruto común de la inteligencia y de la voluntad, al concurrir juntas a una misma codeterminación. Porque si de la voluntad depende que tal bien sea elegido por el último juicio práctico de la inteligencia, la voluntad no puede a su vez actualizar esa elección si no es determinada formalmente por el juicio de la razón al cual su elección hace eficaz.”, p.  504.</w:t>
      </w:r>
    </w:p>
    <w:p>
      <w:pPr>
        <w:spacing w:line="220" w:lineRule="exact" w:before="0"/>
        <w:ind w:left="684" w:right="0" w:firstLine="0"/>
        <w:jc w:val="both"/>
        <w:rPr>
          <w:rFonts w:ascii="Calibri" w:hAnsi="Calibri"/>
          <w:sz w:val="18"/>
        </w:rPr>
      </w:pPr>
      <w:r>
        <w:rPr>
          <w:rFonts w:ascii="Calibri" w:hAnsi="Calibri"/>
          <w:position w:val="9"/>
          <w:sz w:val="12"/>
        </w:rPr>
        <w:t>3            </w:t>
      </w:r>
      <w:r>
        <w:rPr>
          <w:rFonts w:ascii="Calibri" w:hAnsi="Calibri"/>
          <w:sz w:val="18"/>
        </w:rPr>
        <w:t>Véase López Gómez, Jesús Edgar, “El curriculum oculto en la publicidad por televisión para niños : enfoque teórico-</w:t>
      </w:r>
    </w:p>
    <w:p>
      <w:pPr>
        <w:spacing w:before="0"/>
        <w:ind w:left="684" w:right="113" w:firstLine="0"/>
        <w:jc w:val="both"/>
        <w:rPr>
          <w:rFonts w:ascii="Calibri" w:hAnsi="Calibri"/>
          <w:sz w:val="18"/>
        </w:rPr>
      </w:pPr>
      <w:r>
        <w:rPr>
          <w:rFonts w:ascii="Calibri" w:hAnsi="Calibri"/>
          <w:sz w:val="18"/>
        </w:rPr>
        <w:t>metodológicos para el análisis del mensaje”, investigación que sostiene que: Son las mediaciones recurrentes que aparecen en la publicidad a través de la televisión y que conforman un curriculum oculto dirigido a los televidentes, pero en especial a niños y niñas que no sólo muestra usos y funciones sino que va más allá de la mera persuasión al consumo, ya que reproduce hábitos y costumbres de la ideología dominante consumista y estas operaciones de representación se denominan mediaciones ya que compiten con otras instituciones en el proceso de socialización del niño., [en línea] consulta 14/08/2012, disponible en: </w:t>
      </w:r>
      <w:hyperlink r:id="rId12">
        <w:r>
          <w:rPr>
            <w:rFonts w:ascii="Calibri" w:hAnsi="Calibri"/>
            <w:color w:val="0000FF"/>
            <w:sz w:val="18"/>
            <w:u w:val="single" w:color="0000FF"/>
          </w:rPr>
          <w:t>http://en.scientificcommons.org/jes%C3%BAs_edgar_l%C3%B3pez_g%C3%B3mez</w:t>
        </w:r>
        <w:r>
          <w:rPr>
            <w:rFonts w:ascii="Calibri" w:hAnsi="Calibri"/>
            <w:sz w:val="18"/>
          </w:rPr>
          <w:t>.</w:t>
        </w:r>
      </w:hyperlink>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33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20"/>
        <w:jc w:val="both"/>
      </w:pPr>
      <w:r>
        <w:rPr/>
        <w:t>favoreciendo el condicionamiento conductual del ser humano, originado por el avance de la civilización en materia de tecnología comunicacional y los intereses lúdicos y estéticos del individuo. Al respecto Gérard Imbert comenta:</w:t>
      </w:r>
    </w:p>
    <w:p>
      <w:pPr>
        <w:pStyle w:val="BodyText"/>
      </w:pPr>
    </w:p>
    <w:p>
      <w:pPr>
        <w:spacing w:line="235" w:lineRule="auto" w:before="145"/>
        <w:ind w:left="973" w:right="218" w:firstLine="0"/>
        <w:jc w:val="both"/>
        <w:rPr>
          <w:sz w:val="14"/>
        </w:rPr>
      </w:pPr>
      <w:r>
        <w:rPr>
          <w:sz w:val="22"/>
        </w:rPr>
        <w:t>La televisión es hoy el gran ritual moderno y toma el relevo de otros rituales sociales decadentes u obsoletos, o ineficaces y desimbolizados, como pudieron ser </w:t>
      </w:r>
      <w:r>
        <w:rPr>
          <w:spacing w:val="-3"/>
          <w:sz w:val="22"/>
        </w:rPr>
        <w:t>la </w:t>
      </w:r>
      <w:r>
        <w:rPr>
          <w:sz w:val="22"/>
        </w:rPr>
        <w:t>religión, las celebraciones festivas, los rituales rurales o gremiales; y </w:t>
      </w:r>
      <w:r>
        <w:rPr>
          <w:spacing w:val="-3"/>
          <w:sz w:val="22"/>
        </w:rPr>
        <w:t>lo </w:t>
      </w:r>
      <w:r>
        <w:rPr>
          <w:sz w:val="22"/>
        </w:rPr>
        <w:t>hace con </w:t>
      </w:r>
      <w:r>
        <w:rPr>
          <w:spacing w:val="-3"/>
          <w:sz w:val="22"/>
        </w:rPr>
        <w:t>la </w:t>
      </w:r>
      <w:r>
        <w:rPr>
          <w:sz w:val="22"/>
        </w:rPr>
        <w:t>misma fuerza, de manera todavía más global, superando fronteras geográficas, culturales, de clase y</w:t>
      </w:r>
      <w:r>
        <w:rPr>
          <w:spacing w:val="-20"/>
          <w:sz w:val="22"/>
        </w:rPr>
        <w:t> </w:t>
      </w:r>
      <w:r>
        <w:rPr>
          <w:sz w:val="22"/>
        </w:rPr>
        <w:t>raza.</w:t>
      </w:r>
      <w:r>
        <w:rPr>
          <w:position w:val="10"/>
          <w:sz w:val="14"/>
        </w:rPr>
        <w:t>4</w:t>
      </w:r>
    </w:p>
    <w:p>
      <w:pPr>
        <w:pStyle w:val="BodyText"/>
        <w:spacing w:before="3"/>
        <w:rPr>
          <w:sz w:val="36"/>
        </w:rPr>
      </w:pPr>
    </w:p>
    <w:p>
      <w:pPr>
        <w:pStyle w:val="BodyText"/>
        <w:spacing w:line="355" w:lineRule="auto" w:before="1"/>
        <w:ind w:left="264" w:right="217" w:firstLine="336"/>
        <w:jc w:val="both"/>
      </w:pPr>
      <w:r>
        <w:rPr/>
        <w:t>De esta manera el aparato televisor, una vez instaurado en el mundo, ha impulsado la distribución y uso de objetos de consumo semejantes, que además unifican discursos, experiencias estéticas, transforman la ética, la moral y reproducen estilos de vida y moda similares, etc. Por lo que en la actualidad no podemos hablar de culturas auténticas, pues es posible que en varios pueblos de la tierra, el mercado y la televisión hayan homogeneizado alguna costumbre en particular. </w:t>
      </w:r>
      <w:r>
        <w:rPr>
          <w:position w:val="11"/>
          <w:sz w:val="16"/>
        </w:rPr>
        <w:t>5</w:t>
      </w:r>
      <w:r>
        <w:rPr/>
        <w:t>. Cimentando a la vez el fenómeno de globalización que se esparce</w:t>
      </w:r>
      <w:r>
        <w:rPr>
          <w:spacing w:val="54"/>
        </w:rPr>
        <w:t> </w:t>
      </w:r>
      <w:r>
        <w:rPr/>
        <w:t>en</w:t>
      </w:r>
    </w:p>
    <w:p>
      <w:pPr>
        <w:pStyle w:val="BodyText"/>
        <w:spacing w:line="360" w:lineRule="auto"/>
        <w:ind w:left="264" w:right="223"/>
        <w:jc w:val="both"/>
      </w:pPr>
      <w:r>
        <w:rPr/>
        <w:t>el mundo, dando como resultado la fusión e integración cultural de la mayoría de los pueblos de la tierra del siglo XXI, promovido por este aparato electrónico, que ocupa un lugar importante en la cotidianeidad de los individuos y de los grupos sociales.</w:t>
      </w:r>
    </w:p>
    <w:p>
      <w:pPr>
        <w:pStyle w:val="BodyText"/>
        <w:spacing w:line="360" w:lineRule="auto" w:before="1"/>
        <w:ind w:left="264" w:right="219" w:firstLine="336"/>
        <w:jc w:val="both"/>
      </w:pPr>
      <w:r>
        <w:rPr/>
        <w:t>Aludiendo a lo anterior es propio señalar que durante el siglo XX y XXI se ha constituido desde el medio televisivo una imagen que ha desviado la atención de la verdadera realidad social y económica, que ha fortalecido una cultura en búsqueda del máximo beneficio y el menor esfuerzo, del máximo goce, de lo liviano y pasajero. Lo que ha ocasionado que la libertad sea condicionada por los contenidos enviados por el ente televisivo, por el sistema y sus instituciones; que a la vez se constriñe ante las estrategias destinadas a convencer y conquistar la voluntad de los individuos, orientados por los mensajes para actuar en función </w:t>
      </w:r>
      <w:r>
        <w:rPr>
          <w:spacing w:val="50"/>
        </w:rPr>
        <w:t> </w:t>
      </w:r>
      <w:r>
        <w:rPr/>
        <w:t>de</w:t>
      </w:r>
    </w:p>
    <w:p>
      <w:pPr>
        <w:pStyle w:val="BodyText"/>
        <w:rPr>
          <w:sz w:val="20"/>
        </w:rPr>
      </w:pPr>
    </w:p>
    <w:p>
      <w:pPr>
        <w:pStyle w:val="BodyText"/>
        <w:spacing w:before="5"/>
        <w:rPr>
          <w:sz w:val="29"/>
        </w:rPr>
      </w:pPr>
      <w:r>
        <w:rPr/>
        <w:pict>
          <v:line style="position:absolute;mso-position-horizontal-relative:page;mso-position-vertical-relative:paragraph;z-index:1312;mso-wrap-distance-left:0;mso-wrap-distance-right:0" from="99.224998pt,19.184862pt" to="243.274998pt,19.184862pt" stroked="true" strokeweight=".60004pt" strokecolor="#000000">
            <w10:wrap type="topAndBottom"/>
          </v:line>
        </w:pict>
      </w:r>
    </w:p>
    <w:p>
      <w:pPr>
        <w:spacing w:before="48"/>
        <w:ind w:left="264" w:right="0" w:firstLine="0"/>
        <w:jc w:val="both"/>
        <w:rPr>
          <w:rFonts w:ascii="Calibri" w:hAnsi="Calibri"/>
          <w:sz w:val="18"/>
        </w:rPr>
      </w:pPr>
      <w:r>
        <w:rPr>
          <w:position w:val="9"/>
          <w:sz w:val="12"/>
        </w:rPr>
        <w:t>4   </w:t>
      </w:r>
      <w:r>
        <w:rPr>
          <w:rFonts w:ascii="Calibri" w:hAnsi="Calibri"/>
          <w:sz w:val="18"/>
        </w:rPr>
        <w:t>IMBERT,  Gérard,  “Nuevos  Imaginarios:  Nuevos  mitos  y  rituales  comunicativos:  La  “Hipervisibilidad      televisiva”,</w:t>
      </w:r>
    </w:p>
    <w:p>
      <w:pPr>
        <w:spacing w:line="203" w:lineRule="exact" w:before="0"/>
        <w:ind w:left="264" w:right="0" w:firstLine="0"/>
        <w:jc w:val="both"/>
        <w:rPr>
          <w:rFonts w:ascii="Calibri"/>
          <w:sz w:val="18"/>
        </w:rPr>
      </w:pPr>
      <w:r>
        <w:rPr>
          <w:rFonts w:ascii="Calibri"/>
          <w:i/>
          <w:sz w:val="18"/>
        </w:rPr>
        <w:t>deSignis, </w:t>
      </w:r>
      <w:r>
        <w:rPr>
          <w:rFonts w:ascii="Calibri"/>
          <w:sz w:val="18"/>
        </w:rPr>
        <w:t>No. 9, 2006, pp. 125-126</w:t>
      </w:r>
    </w:p>
    <w:p>
      <w:pPr>
        <w:spacing w:line="220" w:lineRule="exact" w:before="12"/>
        <w:ind w:left="264" w:right="213" w:firstLine="0"/>
        <w:jc w:val="both"/>
        <w:rPr>
          <w:rFonts w:ascii="Calibri" w:hAnsi="Calibri"/>
          <w:sz w:val="18"/>
        </w:rPr>
      </w:pPr>
      <w:r>
        <w:rPr>
          <w:rFonts w:ascii="Calibri" w:hAnsi="Calibri"/>
          <w:position w:val="9"/>
          <w:sz w:val="12"/>
        </w:rPr>
        <w:t>5 </w:t>
      </w:r>
      <w:r>
        <w:rPr>
          <w:rFonts w:ascii="Calibri" w:hAnsi="Calibri"/>
          <w:sz w:val="18"/>
        </w:rPr>
        <w:t>CARDOSO Carballo, Juan Manuel, et al., “Globalización, medios de comunicación y la sociedad planetaria”, </w:t>
      </w:r>
      <w:r>
        <w:rPr>
          <w:rFonts w:ascii="Calibri" w:hAnsi="Calibri"/>
          <w:i/>
          <w:sz w:val="18"/>
        </w:rPr>
        <w:t>LATINA, </w:t>
      </w:r>
      <w:r>
        <w:rPr>
          <w:rFonts w:ascii="Calibri" w:hAnsi="Calibri"/>
          <w:sz w:val="18"/>
        </w:rPr>
        <w:t>Revista Latina de Comunicación social, 2001 [En línea], La Laguna (Tenerife) Año 4, Núm. 38, fecha de consulta: 03/08/2012,  disponible en:   </w:t>
      </w:r>
      <w:hyperlink r:id="rId13">
        <w:r>
          <w:rPr>
            <w:rFonts w:ascii="Calibri" w:hAnsi="Calibri"/>
            <w:color w:val="0000FF"/>
            <w:sz w:val="18"/>
            <w:u w:val="single" w:color="0000FF"/>
          </w:rPr>
          <w:t>http://redalyc.uaemex.mx/pdf/819/81943808.pdf</w:t>
        </w:r>
        <w:r>
          <w:rPr>
            <w:rFonts w:ascii="Calibri" w:hAnsi="Calibri"/>
            <w:sz w:val="18"/>
          </w:rPr>
          <w:t>,</w:t>
        </w:r>
      </w:hyperlink>
      <w:r>
        <w:rPr>
          <w:rFonts w:ascii="Calibri" w:hAnsi="Calibri"/>
          <w:sz w:val="18"/>
        </w:rPr>
        <w:t> ISSN-1138-5820.</w:t>
      </w:r>
    </w:p>
    <w:p>
      <w:pPr>
        <w:spacing w:after="0" w:line="220"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38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684" w:right="126"/>
        <w:jc w:val="both"/>
      </w:pPr>
      <w:r>
        <w:rPr/>
        <w:t>la productividad necesaria y la máxima ganancia de las empresas patrocinadoras que representan al sistema capitalista.</w:t>
      </w:r>
    </w:p>
    <w:p>
      <w:pPr>
        <w:pStyle w:val="BodyText"/>
        <w:spacing w:line="350" w:lineRule="auto" w:before="8"/>
        <w:ind w:left="684" w:right="118" w:firstLine="336"/>
        <w:jc w:val="both"/>
      </w:pPr>
      <w:r>
        <w:rPr/>
        <w:t>En este marco de influencia y orientación de la voluntad de los televidentes, es importante reconocer a la libertad humana como el fundamento que le brinda al individuo la posibilidad de ejercer su libre albedrío</w:t>
      </w:r>
      <w:r>
        <w:rPr>
          <w:position w:val="11"/>
          <w:sz w:val="16"/>
        </w:rPr>
        <w:t>6 </w:t>
      </w:r>
      <w:r>
        <w:rPr/>
        <w:t>que, sin embargo, encuentra sus límites en las condiciones propias del cuerpo y las necesidades básicas connaturales de lo humano y por el condicionamiento que las instituciones  sociales producen, por ejemplo, las educativas, las religiosas, el marco jurídico y los medios de comunicación masiva </w:t>
      </w:r>
      <w:r>
        <w:rPr>
          <w:spacing w:val="-3"/>
        </w:rPr>
        <w:t>y, </w:t>
      </w:r>
      <w:r>
        <w:rPr/>
        <w:t>a partir del siglo XX, en especial, los mensajes que dispersa la señal televisiva</w:t>
      </w:r>
      <w:r>
        <w:rPr>
          <w:position w:val="11"/>
          <w:sz w:val="16"/>
        </w:rPr>
        <w:t>7</w:t>
      </w:r>
      <w:r>
        <w:rPr/>
        <w:t>. Ésta que adopta un papel relevante</w:t>
      </w:r>
      <w:r>
        <w:rPr>
          <w:spacing w:val="34"/>
        </w:rPr>
        <w:t> </w:t>
      </w:r>
      <w:r>
        <w:rPr/>
        <w:t>en</w:t>
      </w:r>
    </w:p>
    <w:p>
      <w:pPr>
        <w:pStyle w:val="BodyText"/>
        <w:spacing w:line="360" w:lineRule="auto"/>
        <w:ind w:left="684" w:right="117"/>
        <w:jc w:val="both"/>
      </w:pPr>
      <w:r>
        <w:rPr/>
        <w:t>la construcción y conservación de la cultura y por lo tanto en el proceso de endoculturación del individuo, condicionando su conducta y su libertad, por la facilidad de insertar su mensaje en el pensamiento de los individuos, asumiendo el papel de guía, orientador y conductor de las acciones humanas.</w:t>
      </w:r>
    </w:p>
    <w:p>
      <w:pPr>
        <w:pStyle w:val="BodyText"/>
        <w:spacing w:line="350" w:lineRule="auto" w:before="6"/>
        <w:ind w:left="684" w:right="116" w:firstLine="336"/>
        <w:jc w:val="both"/>
      </w:pPr>
      <w:r>
        <w:rPr/>
        <w:t>Por otro lado, autores como Ernst Cassirer afirman que: “La libertad no es una herencia natural del hombre. Para poder poseerla tenemos que crearla,”</w:t>
      </w:r>
      <w:r>
        <w:rPr>
          <w:position w:val="11"/>
          <w:sz w:val="16"/>
        </w:rPr>
        <w:t>8 </w:t>
      </w:r>
      <w:r>
        <w:rPr/>
        <w:t>luego entonces, la libertad es una conquista del ser humano, misma que en el proceso socio-político</w:t>
      </w:r>
      <w:r>
        <w:rPr>
          <w:spacing w:val="55"/>
        </w:rPr>
        <w:t> </w:t>
      </w:r>
      <w:r>
        <w:rPr/>
        <w:t>se</w:t>
      </w:r>
      <w:r>
        <w:rPr>
          <w:spacing w:val="55"/>
        </w:rPr>
        <w:t> </w:t>
      </w:r>
      <w:r>
        <w:rPr/>
        <w:t>ha</w:t>
      </w:r>
      <w:r>
        <w:rPr>
          <w:spacing w:val="55"/>
        </w:rPr>
        <w:t> </w:t>
      </w:r>
      <w:r>
        <w:rPr/>
        <w:t>ido</w:t>
      </w:r>
      <w:r>
        <w:rPr>
          <w:spacing w:val="55"/>
        </w:rPr>
        <w:t> </w:t>
      </w:r>
      <w:r>
        <w:rPr/>
        <w:t>transformando,</w:t>
      </w:r>
      <w:r>
        <w:rPr>
          <w:spacing w:val="58"/>
        </w:rPr>
        <w:t> </w:t>
      </w:r>
      <w:r>
        <w:rPr/>
        <w:t>se</w:t>
      </w:r>
      <w:r>
        <w:rPr>
          <w:spacing w:val="55"/>
        </w:rPr>
        <w:t> </w:t>
      </w:r>
      <w:r>
        <w:rPr/>
        <w:t>ha</w:t>
      </w:r>
      <w:r>
        <w:rPr>
          <w:spacing w:val="55"/>
        </w:rPr>
        <w:t> </w:t>
      </w:r>
      <w:r>
        <w:rPr/>
        <w:t>redefinido</w:t>
      </w:r>
      <w:r>
        <w:rPr>
          <w:spacing w:val="59"/>
        </w:rPr>
        <w:t> </w:t>
      </w:r>
      <w:r>
        <w:rPr/>
        <w:t>para</w:t>
      </w:r>
      <w:r>
        <w:rPr>
          <w:spacing w:val="55"/>
        </w:rPr>
        <w:t> </w:t>
      </w:r>
      <w:r>
        <w:rPr/>
        <w:t>dar</w:t>
      </w:r>
      <w:r>
        <w:rPr>
          <w:spacing w:val="57"/>
        </w:rPr>
        <w:t> </w:t>
      </w:r>
      <w:r>
        <w:rPr/>
        <w:t>paso</w:t>
      </w:r>
      <w:r>
        <w:rPr>
          <w:spacing w:val="59"/>
        </w:rPr>
        <w:t> </w:t>
      </w:r>
      <w:r>
        <w:rPr/>
        <w:t>a</w:t>
      </w:r>
      <w:r>
        <w:rPr>
          <w:spacing w:val="55"/>
        </w:rPr>
        <w:t> </w:t>
      </w:r>
      <w:r>
        <w:rPr/>
        <w:t>una</w:t>
      </w:r>
    </w:p>
    <w:p>
      <w:pPr>
        <w:pStyle w:val="BodyText"/>
        <w:spacing w:line="360" w:lineRule="auto" w:before="17"/>
        <w:ind w:left="684" w:right="110"/>
        <w:jc w:val="both"/>
      </w:pPr>
      <w:r>
        <w:rPr/>
        <w:pict>
          <v:line style="position:absolute;mso-position-horizontal-relative:page;mso-position-vertical-relative:paragraph;z-index:1360;mso-wrap-distance-left:0;mso-wrap-distance-right:0" from="99.224998pt,69.405884pt" to="243.274998pt,69.405884pt" stroked="true" strokeweight=".599980pt" strokecolor="#000000">
            <w10:wrap type="topAndBottom"/>
          </v:line>
        </w:pict>
      </w:r>
      <w:r>
        <w:rPr/>
        <w:t>objetivación de la misma, inmersa en la realidad social, que se manifiesta en nuestros días en el ámbito societal a partir de las reales libertades políticas y económicas,  así  como  la  oportunidad  proporcionada  a  la  iniciativa  de   </w:t>
      </w:r>
      <w:r>
        <w:rPr>
          <w:spacing w:val="66"/>
        </w:rPr>
        <w:t> </w:t>
      </w:r>
      <w:r>
        <w:rPr/>
        <w:t>cada</w:t>
      </w:r>
    </w:p>
    <w:p>
      <w:pPr>
        <w:spacing w:line="240" w:lineRule="auto" w:before="48"/>
        <w:ind w:left="684" w:right="115" w:firstLine="0"/>
        <w:jc w:val="both"/>
        <w:rPr>
          <w:rFonts w:ascii="Calibri" w:hAnsi="Calibri"/>
          <w:sz w:val="18"/>
        </w:rPr>
      </w:pPr>
      <w:r>
        <w:rPr>
          <w:position w:val="9"/>
          <w:sz w:val="12"/>
        </w:rPr>
        <w:t>6 </w:t>
      </w:r>
      <w:r>
        <w:rPr>
          <w:rFonts w:ascii="Calibri" w:hAnsi="Calibri"/>
          <w:sz w:val="18"/>
        </w:rPr>
        <w:t>Para Erich Fromm la autonomía de la libertad y el libre albedrío es un tema que se analiza desde la conformación del carácter social y la naturaleza humana, como resultado de la interacción entre las limitantes impuestas por la sociedad y las que surgen de </w:t>
      </w:r>
      <w:r>
        <w:rPr>
          <w:rFonts w:ascii="Calibri" w:hAnsi="Calibri"/>
          <w:spacing w:val="-3"/>
          <w:sz w:val="18"/>
        </w:rPr>
        <w:t>la </w:t>
      </w:r>
      <w:r>
        <w:rPr>
          <w:rFonts w:ascii="Calibri" w:hAnsi="Calibri"/>
          <w:sz w:val="18"/>
        </w:rPr>
        <w:t>estructura propia del individuo. Afirma este autor: El problema del juicio moral se asocia frecuentemente con el problema del libre albedrío vs. determinismo. Un punto de vista sostiene que el hombre está determinado completamente por las circunstancias que no puede controlar y que la idea de que el hombre es libre en sus decisiones no es más que una ilusión. De esta premisa se llega a la conclusión de que el hombre no puede ser  juzgado por sus acciones, ya que no dispone de libertad para tomar sus decisiones. La opinión opuesta sostiene que el hombre posee la facultad del libre albedrío (que puede ejercitar a pesar de las condiciones y circunstancias psicológicas o externas) y que, por consiguiente es responsable de sus actos y puede ser juzgado por los mismos. FROMM, Erich </w:t>
      </w:r>
      <w:r>
        <w:rPr>
          <w:rFonts w:ascii="Calibri" w:hAnsi="Calibri"/>
          <w:i/>
          <w:sz w:val="18"/>
        </w:rPr>
        <w:t>, </w:t>
      </w:r>
      <w:r>
        <w:rPr>
          <w:rFonts w:ascii="Calibri" w:hAnsi="Calibri"/>
          <w:i/>
          <w:sz w:val="18"/>
        </w:rPr>
        <w:t>Ética</w:t>
      </w:r>
      <w:r>
        <w:rPr>
          <w:rFonts w:ascii="Calibri" w:hAnsi="Calibri"/>
          <w:i/>
          <w:spacing w:val="-4"/>
          <w:sz w:val="18"/>
        </w:rPr>
        <w:t> </w:t>
      </w:r>
      <w:r>
        <w:rPr>
          <w:rFonts w:ascii="Calibri" w:hAnsi="Calibri"/>
          <w:i/>
          <w:sz w:val="18"/>
        </w:rPr>
        <w:t>y</w:t>
      </w:r>
      <w:r>
        <w:rPr>
          <w:rFonts w:ascii="Calibri" w:hAnsi="Calibri"/>
          <w:i/>
          <w:spacing w:val="-4"/>
          <w:sz w:val="18"/>
        </w:rPr>
        <w:t> </w:t>
      </w:r>
      <w:r>
        <w:rPr>
          <w:rFonts w:ascii="Calibri" w:hAnsi="Calibri"/>
          <w:i/>
          <w:sz w:val="18"/>
        </w:rPr>
        <w:t>Psicoanálisis</w:t>
      </w:r>
      <w:r>
        <w:rPr>
          <w:rFonts w:ascii="Calibri" w:hAnsi="Calibri"/>
          <w:sz w:val="18"/>
        </w:rPr>
        <w:t>,</w:t>
      </w:r>
      <w:r>
        <w:rPr>
          <w:rFonts w:ascii="Calibri" w:hAnsi="Calibri"/>
          <w:spacing w:val="-4"/>
          <w:sz w:val="18"/>
        </w:rPr>
        <w:t> </w:t>
      </w:r>
      <w:r>
        <w:rPr>
          <w:rFonts w:ascii="Calibri" w:hAnsi="Calibri"/>
          <w:sz w:val="18"/>
        </w:rPr>
        <w:t>Fondo</w:t>
      </w:r>
      <w:r>
        <w:rPr>
          <w:rFonts w:ascii="Calibri" w:hAnsi="Calibri"/>
          <w:spacing w:val="-2"/>
          <w:sz w:val="18"/>
        </w:rPr>
        <w:t> </w:t>
      </w:r>
      <w:r>
        <w:rPr>
          <w:rFonts w:ascii="Calibri" w:hAnsi="Calibri"/>
          <w:sz w:val="18"/>
        </w:rPr>
        <w:t>de</w:t>
      </w:r>
      <w:r>
        <w:rPr>
          <w:rFonts w:ascii="Calibri" w:hAnsi="Calibri"/>
          <w:spacing w:val="-5"/>
          <w:sz w:val="18"/>
        </w:rPr>
        <w:t> </w:t>
      </w:r>
      <w:r>
        <w:rPr>
          <w:rFonts w:ascii="Calibri" w:hAnsi="Calibri"/>
          <w:sz w:val="18"/>
        </w:rPr>
        <w:t>Cultura</w:t>
      </w:r>
      <w:r>
        <w:rPr>
          <w:rFonts w:ascii="Calibri" w:hAnsi="Calibri"/>
          <w:spacing w:val="-2"/>
          <w:sz w:val="18"/>
        </w:rPr>
        <w:t> </w:t>
      </w:r>
      <w:r>
        <w:rPr>
          <w:rFonts w:ascii="Calibri" w:hAnsi="Calibri"/>
          <w:sz w:val="18"/>
        </w:rPr>
        <w:t>Económica,</w:t>
      </w:r>
      <w:r>
        <w:rPr>
          <w:rFonts w:ascii="Calibri" w:hAnsi="Calibri"/>
          <w:spacing w:val="-4"/>
          <w:sz w:val="18"/>
        </w:rPr>
        <w:t> </w:t>
      </w:r>
      <w:r>
        <w:rPr>
          <w:rFonts w:ascii="Calibri" w:hAnsi="Calibri"/>
          <w:sz w:val="18"/>
        </w:rPr>
        <w:t>México,</w:t>
      </w:r>
      <w:r>
        <w:rPr>
          <w:rFonts w:ascii="Calibri" w:hAnsi="Calibri"/>
          <w:spacing w:val="-4"/>
          <w:sz w:val="18"/>
        </w:rPr>
        <w:t> </w:t>
      </w:r>
      <w:r>
        <w:rPr>
          <w:rFonts w:ascii="Calibri" w:hAnsi="Calibri"/>
          <w:sz w:val="18"/>
        </w:rPr>
        <w:t>2004,</w:t>
      </w:r>
      <w:r>
        <w:rPr>
          <w:rFonts w:ascii="Calibri" w:hAnsi="Calibri"/>
          <w:spacing w:val="-4"/>
          <w:sz w:val="18"/>
        </w:rPr>
        <w:t> </w:t>
      </w:r>
      <w:r>
        <w:rPr>
          <w:rFonts w:ascii="Calibri" w:hAnsi="Calibri"/>
          <w:sz w:val="18"/>
        </w:rPr>
        <w:t>pp.</w:t>
      </w:r>
      <w:r>
        <w:rPr>
          <w:rFonts w:ascii="Calibri" w:hAnsi="Calibri"/>
          <w:spacing w:val="-5"/>
          <w:sz w:val="18"/>
        </w:rPr>
        <w:t> </w:t>
      </w:r>
      <w:r>
        <w:rPr>
          <w:rFonts w:ascii="Calibri" w:hAnsi="Calibri"/>
          <w:sz w:val="18"/>
        </w:rPr>
        <w:t>248-249.</w:t>
      </w:r>
    </w:p>
    <w:p>
      <w:pPr>
        <w:spacing w:line="220" w:lineRule="exact" w:before="0"/>
        <w:ind w:left="684" w:right="0" w:firstLine="0"/>
        <w:jc w:val="both"/>
        <w:rPr>
          <w:rFonts w:ascii="Calibri"/>
          <w:sz w:val="18"/>
        </w:rPr>
      </w:pPr>
      <w:r>
        <w:rPr>
          <w:rFonts w:ascii="Calibri"/>
          <w:position w:val="9"/>
          <w:sz w:val="12"/>
        </w:rPr>
        <w:t>7 </w:t>
      </w:r>
      <w:r>
        <w:rPr>
          <w:rFonts w:ascii="Calibri"/>
          <w:sz w:val="18"/>
        </w:rPr>
        <w:t>Herbert Marcuse en su obra </w:t>
      </w:r>
      <w:r>
        <w:rPr>
          <w:rFonts w:ascii="Calibri"/>
          <w:i/>
          <w:sz w:val="18"/>
        </w:rPr>
        <w:t>El Hombre Unidimensional </w:t>
      </w:r>
      <w:r>
        <w:rPr>
          <w:rFonts w:ascii="Calibri"/>
          <w:sz w:val="18"/>
        </w:rPr>
        <w:t>puntualiza que: Estas necesidades tienen un contenido y una</w:t>
      </w:r>
    </w:p>
    <w:p>
      <w:pPr>
        <w:spacing w:before="0"/>
        <w:ind w:left="684" w:right="116" w:firstLine="0"/>
        <w:jc w:val="both"/>
        <w:rPr>
          <w:rFonts w:ascii="Calibri" w:hAnsi="Calibri"/>
          <w:sz w:val="18"/>
        </w:rPr>
      </w:pPr>
      <w:r>
        <w:rPr>
          <w:rFonts w:ascii="Calibri" w:hAnsi="Calibri"/>
          <w:sz w:val="18"/>
        </w:rPr>
        <w:t>función sociales, determinadas por poderes externos sobre los que el individuo no tiene ningún control; el desarrollo y la satisfacción de estas necesidades es heterónomo. </w:t>
      </w:r>
      <w:r>
        <w:rPr>
          <w:rFonts w:ascii="Calibri" w:hAnsi="Calibri"/>
          <w:spacing w:val="3"/>
          <w:sz w:val="18"/>
        </w:rPr>
        <w:t>No </w:t>
      </w:r>
      <w:r>
        <w:rPr>
          <w:rFonts w:ascii="Calibri" w:hAnsi="Calibri"/>
          <w:sz w:val="18"/>
        </w:rPr>
        <w:t>importa hasta qué punto se hayan convertido en algo propio del individuo, reproducidas y fortificadas por las condiciones de su existencia; no importa que se identifique con ellas y se encuentre a sí mismo en su satisfacción. Siguen siendo lo que fueron desde el principio; productos de una sociedad cuyos intereses dominantes requieren la represión. MARCUSE, Herbert, </w:t>
      </w:r>
      <w:r>
        <w:rPr>
          <w:rFonts w:ascii="Calibri" w:hAnsi="Calibri"/>
          <w:i/>
          <w:sz w:val="18"/>
        </w:rPr>
        <w:t>El hombre unidimensional, Ensayo sobre la </w:t>
      </w:r>
      <w:r>
        <w:rPr>
          <w:rFonts w:ascii="Calibri" w:hAnsi="Calibri"/>
          <w:i/>
          <w:sz w:val="18"/>
        </w:rPr>
        <w:t>ideología</w:t>
      </w:r>
      <w:r>
        <w:rPr>
          <w:rFonts w:ascii="Calibri" w:hAnsi="Calibri"/>
          <w:i/>
          <w:spacing w:val="-4"/>
          <w:sz w:val="18"/>
        </w:rPr>
        <w:t> </w:t>
      </w:r>
      <w:r>
        <w:rPr>
          <w:rFonts w:ascii="Calibri" w:hAnsi="Calibri"/>
          <w:i/>
          <w:sz w:val="18"/>
        </w:rPr>
        <w:t>de</w:t>
      </w:r>
      <w:r>
        <w:rPr>
          <w:rFonts w:ascii="Calibri" w:hAnsi="Calibri"/>
          <w:i/>
          <w:spacing w:val="-6"/>
          <w:sz w:val="18"/>
        </w:rPr>
        <w:t> </w:t>
      </w:r>
      <w:r>
        <w:rPr>
          <w:rFonts w:ascii="Calibri" w:hAnsi="Calibri"/>
          <w:i/>
          <w:sz w:val="18"/>
        </w:rPr>
        <w:t>la</w:t>
      </w:r>
      <w:r>
        <w:rPr>
          <w:rFonts w:ascii="Calibri" w:hAnsi="Calibri"/>
          <w:i/>
          <w:spacing w:val="-5"/>
          <w:sz w:val="18"/>
        </w:rPr>
        <w:t> </w:t>
      </w:r>
      <w:r>
        <w:rPr>
          <w:rFonts w:ascii="Calibri" w:hAnsi="Calibri"/>
          <w:i/>
          <w:sz w:val="18"/>
        </w:rPr>
        <w:t>sociedad</w:t>
      </w:r>
      <w:r>
        <w:rPr>
          <w:rFonts w:ascii="Calibri" w:hAnsi="Calibri"/>
          <w:i/>
          <w:spacing w:val="-1"/>
          <w:sz w:val="18"/>
        </w:rPr>
        <w:t> </w:t>
      </w:r>
      <w:r>
        <w:rPr>
          <w:rFonts w:ascii="Calibri" w:hAnsi="Calibri"/>
          <w:i/>
          <w:sz w:val="18"/>
        </w:rPr>
        <w:t>industrial</w:t>
      </w:r>
      <w:r>
        <w:rPr>
          <w:rFonts w:ascii="Calibri" w:hAnsi="Calibri"/>
          <w:i/>
          <w:spacing w:val="-6"/>
          <w:sz w:val="18"/>
        </w:rPr>
        <w:t> </w:t>
      </w:r>
      <w:r>
        <w:rPr>
          <w:rFonts w:ascii="Calibri" w:hAnsi="Calibri"/>
          <w:i/>
          <w:sz w:val="18"/>
        </w:rPr>
        <w:t>avanzada,</w:t>
      </w:r>
      <w:r>
        <w:rPr>
          <w:rFonts w:ascii="Calibri" w:hAnsi="Calibri"/>
          <w:i/>
          <w:spacing w:val="-3"/>
          <w:sz w:val="18"/>
        </w:rPr>
        <w:t> </w:t>
      </w:r>
      <w:r>
        <w:rPr>
          <w:rFonts w:ascii="Calibri" w:hAnsi="Calibri"/>
          <w:sz w:val="18"/>
        </w:rPr>
        <w:t>Traducción:</w:t>
      </w:r>
      <w:r>
        <w:rPr>
          <w:rFonts w:ascii="Calibri" w:hAnsi="Calibri"/>
          <w:spacing w:val="-4"/>
          <w:sz w:val="18"/>
        </w:rPr>
        <w:t> </w:t>
      </w:r>
      <w:r>
        <w:rPr>
          <w:rFonts w:ascii="Calibri" w:hAnsi="Calibri"/>
          <w:sz w:val="18"/>
        </w:rPr>
        <w:t>Antonio</w:t>
      </w:r>
      <w:r>
        <w:rPr>
          <w:rFonts w:ascii="Calibri" w:hAnsi="Calibri"/>
          <w:spacing w:val="-3"/>
          <w:sz w:val="18"/>
        </w:rPr>
        <w:t> </w:t>
      </w:r>
      <w:r>
        <w:rPr>
          <w:rFonts w:ascii="Calibri" w:hAnsi="Calibri"/>
          <w:sz w:val="18"/>
        </w:rPr>
        <w:t>Elorza,</w:t>
      </w:r>
      <w:r>
        <w:rPr>
          <w:rFonts w:ascii="Calibri" w:hAnsi="Calibri"/>
          <w:spacing w:val="-5"/>
          <w:sz w:val="18"/>
        </w:rPr>
        <w:t> </w:t>
      </w:r>
      <w:r>
        <w:rPr>
          <w:rFonts w:ascii="Calibri" w:hAnsi="Calibri"/>
          <w:sz w:val="18"/>
        </w:rPr>
        <w:t>Editorial</w:t>
      </w:r>
      <w:r>
        <w:rPr>
          <w:rFonts w:ascii="Calibri" w:hAnsi="Calibri"/>
          <w:spacing w:val="-6"/>
          <w:sz w:val="18"/>
        </w:rPr>
        <w:t> </w:t>
      </w:r>
      <w:r>
        <w:rPr>
          <w:rFonts w:ascii="Calibri" w:hAnsi="Calibri"/>
          <w:sz w:val="18"/>
        </w:rPr>
        <w:t>Planeta</w:t>
      </w:r>
      <w:r>
        <w:rPr>
          <w:rFonts w:ascii="Calibri" w:hAnsi="Calibri"/>
          <w:spacing w:val="-3"/>
          <w:sz w:val="18"/>
        </w:rPr>
        <w:t> </w:t>
      </w:r>
      <w:r>
        <w:rPr>
          <w:rFonts w:ascii="Calibri" w:hAnsi="Calibri"/>
          <w:sz w:val="18"/>
        </w:rPr>
        <w:t>Mexicana,</w:t>
      </w:r>
      <w:r>
        <w:rPr>
          <w:rFonts w:ascii="Calibri" w:hAnsi="Calibri"/>
          <w:spacing w:val="-5"/>
          <w:sz w:val="18"/>
        </w:rPr>
        <w:t> </w:t>
      </w:r>
      <w:r>
        <w:rPr>
          <w:rFonts w:ascii="Calibri" w:hAnsi="Calibri"/>
          <w:sz w:val="18"/>
        </w:rPr>
        <w:t>México,</w:t>
      </w:r>
      <w:r>
        <w:rPr>
          <w:rFonts w:ascii="Calibri" w:hAnsi="Calibri"/>
          <w:spacing w:val="-5"/>
          <w:sz w:val="18"/>
        </w:rPr>
        <w:t> </w:t>
      </w:r>
      <w:r>
        <w:rPr>
          <w:rFonts w:ascii="Calibri" w:hAnsi="Calibri"/>
          <w:sz w:val="18"/>
        </w:rPr>
        <w:t>1993,</w:t>
      </w:r>
      <w:r>
        <w:rPr>
          <w:rFonts w:ascii="Calibri" w:hAnsi="Calibri"/>
          <w:spacing w:val="-5"/>
          <w:sz w:val="18"/>
        </w:rPr>
        <w:t> </w:t>
      </w:r>
      <w:r>
        <w:rPr>
          <w:rFonts w:ascii="Calibri" w:hAnsi="Calibri"/>
          <w:sz w:val="18"/>
        </w:rPr>
        <w:t>p.</w:t>
      </w:r>
      <w:r>
        <w:rPr>
          <w:rFonts w:ascii="Calibri" w:hAnsi="Calibri"/>
          <w:spacing w:val="-6"/>
          <w:sz w:val="18"/>
        </w:rPr>
        <w:t> </w:t>
      </w:r>
      <w:r>
        <w:rPr>
          <w:rFonts w:ascii="Calibri" w:hAnsi="Calibri"/>
          <w:sz w:val="18"/>
        </w:rPr>
        <w:t>15</w:t>
      </w:r>
    </w:p>
    <w:p>
      <w:pPr>
        <w:spacing w:line="220" w:lineRule="exact" w:before="0"/>
        <w:ind w:left="684" w:right="0" w:firstLine="0"/>
        <w:jc w:val="both"/>
        <w:rPr>
          <w:rFonts w:ascii="Calibri" w:hAnsi="Calibri"/>
          <w:sz w:val="18"/>
        </w:rPr>
      </w:pPr>
      <w:r>
        <w:rPr>
          <w:rFonts w:ascii="Calibri" w:hAnsi="Calibri"/>
          <w:position w:val="9"/>
          <w:sz w:val="12"/>
        </w:rPr>
        <w:t>8 </w:t>
      </w:r>
      <w:r>
        <w:rPr>
          <w:rFonts w:ascii="Calibri" w:hAnsi="Calibri"/>
          <w:sz w:val="18"/>
        </w:rPr>
        <w:t>CASSIRER Ernst, </w:t>
      </w:r>
      <w:r>
        <w:rPr>
          <w:rFonts w:ascii="Calibri" w:hAnsi="Calibri"/>
          <w:i/>
          <w:sz w:val="18"/>
        </w:rPr>
        <w:t>El mito del Estado</w:t>
      </w:r>
      <w:r>
        <w:rPr>
          <w:rFonts w:ascii="Calibri" w:hAnsi="Calibri"/>
          <w:sz w:val="18"/>
        </w:rPr>
        <w:t>, Fondo de Cultura Económica, México, 1985, p. 340.</w:t>
      </w:r>
    </w:p>
    <w:p>
      <w:pPr>
        <w:spacing w:after="0" w:line="220"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43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3"/>
        <w:jc w:val="both"/>
      </w:pPr>
      <w:r>
        <w:rPr/>
        <w:t>individuo en la racionalidad que impera en los diferentes estratos sociales, condicionada a su vez por los efectos del liberalismo económico, entre una constante discusión sobre su indeterminación o determinación.</w:t>
      </w:r>
    </w:p>
    <w:p>
      <w:pPr>
        <w:pStyle w:val="BodyText"/>
        <w:spacing w:line="360" w:lineRule="auto" w:before="2"/>
        <w:ind w:left="264" w:right="218" w:firstLine="336"/>
        <w:jc w:val="both"/>
      </w:pPr>
      <w:r>
        <w:rPr/>
        <w:t>Desde otra perspectiva es posible pensar que </w:t>
      </w:r>
      <w:r>
        <w:rPr>
          <w:spacing w:val="3"/>
        </w:rPr>
        <w:t>la </w:t>
      </w:r>
      <w:r>
        <w:rPr/>
        <w:t>libertad existe bajo el</w:t>
      </w:r>
      <w:r>
        <w:rPr>
          <w:spacing w:val="-41"/>
        </w:rPr>
        <w:t> </w:t>
      </w:r>
      <w:r>
        <w:rPr/>
        <w:t>supuesto de que el buen juicio no determinado, revelado por la inteligencia es la premisa que se expresa en la libertad de querer, la libertad de hacer, como constituyente fáctico de las personas libres; que se sienten autónomos para exponer sus pensamientos y no aceptan imposiciones que atenten contra sus principios, ni están sujetas a la voluntad de terceros, además de no estar atadas a ninguna ideología que confunda su inteligencia para sobreponerse a cualquier fanatismo que los esclavice, conceptualización que se ha constituido como uno de los principios de la</w:t>
      </w:r>
      <w:r>
        <w:rPr>
          <w:spacing w:val="-14"/>
        </w:rPr>
        <w:t> </w:t>
      </w:r>
      <w:r>
        <w:rPr/>
        <w:t>moral.</w:t>
      </w:r>
    </w:p>
    <w:p>
      <w:pPr>
        <w:pStyle w:val="BodyText"/>
        <w:spacing w:line="282" w:lineRule="exact"/>
        <w:ind w:left="264" w:firstLine="472"/>
      </w:pPr>
      <w:r>
        <w:rPr/>
        <w:t>Para Kant,</w:t>
      </w:r>
      <w:r>
        <w:rPr>
          <w:position w:val="11"/>
          <w:sz w:val="16"/>
        </w:rPr>
        <w:t>9  </w:t>
      </w:r>
      <w:r>
        <w:rPr/>
        <w:t>la libertad como elemento fundamental de la práctica moral es   la</w:t>
      </w:r>
    </w:p>
    <w:p>
      <w:pPr>
        <w:pStyle w:val="BodyText"/>
        <w:spacing w:line="355" w:lineRule="auto" w:before="136"/>
        <w:ind w:left="264" w:right="214"/>
        <w:jc w:val="both"/>
      </w:pPr>
      <w:r>
        <w:rPr/>
        <w:t>capacidad de los seres racionales para determinarse a obrar según las leyes que le son dadas por la razón y no por las que proceden de su propia naturaleza, lo que significa que la libertad equivale a la autonomía de la voluntad. Otro autor que funda su teoría en el problema de la libertad es Sartre</w:t>
      </w:r>
      <w:r>
        <w:rPr>
          <w:position w:val="11"/>
          <w:sz w:val="16"/>
        </w:rPr>
        <w:t>10</w:t>
      </w:r>
      <w:r>
        <w:rPr/>
        <w:t>, quien considera a la libertad como una categoría básica para entender al hombre, que se involucra esencialmente</w:t>
      </w:r>
      <w:r>
        <w:rPr>
          <w:spacing w:val="44"/>
        </w:rPr>
        <w:t> </w:t>
      </w:r>
      <w:r>
        <w:rPr/>
        <w:t>con</w:t>
      </w:r>
      <w:r>
        <w:rPr>
          <w:spacing w:val="42"/>
        </w:rPr>
        <w:t> </w:t>
      </w:r>
      <w:r>
        <w:rPr/>
        <w:t>la</w:t>
      </w:r>
      <w:r>
        <w:rPr>
          <w:spacing w:val="42"/>
        </w:rPr>
        <w:t> </w:t>
      </w:r>
      <w:r>
        <w:rPr/>
        <w:t>posibilidad</w:t>
      </w:r>
      <w:r>
        <w:rPr>
          <w:spacing w:val="42"/>
        </w:rPr>
        <w:t> </w:t>
      </w:r>
      <w:r>
        <w:rPr/>
        <w:t>de</w:t>
      </w:r>
      <w:r>
        <w:rPr>
          <w:spacing w:val="46"/>
        </w:rPr>
        <w:t> </w:t>
      </w:r>
      <w:r>
        <w:rPr/>
        <w:t>ser</w:t>
      </w:r>
      <w:r>
        <w:rPr>
          <w:spacing w:val="44"/>
        </w:rPr>
        <w:t> </w:t>
      </w:r>
      <w:r>
        <w:rPr/>
        <w:t>humano,</w:t>
      </w:r>
      <w:r>
        <w:rPr>
          <w:spacing w:val="45"/>
        </w:rPr>
        <w:t> </w:t>
      </w:r>
      <w:r>
        <w:rPr/>
        <w:t>convirtiéndose</w:t>
      </w:r>
      <w:r>
        <w:rPr>
          <w:spacing w:val="42"/>
        </w:rPr>
        <w:t> </w:t>
      </w:r>
      <w:r>
        <w:rPr/>
        <w:t>en</w:t>
      </w:r>
      <w:r>
        <w:rPr>
          <w:spacing w:val="42"/>
        </w:rPr>
        <w:t> </w:t>
      </w:r>
      <w:r>
        <w:rPr/>
        <w:t>uno</w:t>
      </w:r>
      <w:r>
        <w:rPr>
          <w:spacing w:val="46"/>
        </w:rPr>
        <w:t> </w:t>
      </w:r>
      <w:r>
        <w:rPr/>
        <w:t>de</w:t>
      </w:r>
      <w:r>
        <w:rPr>
          <w:spacing w:val="42"/>
        </w:rPr>
        <w:t> </w:t>
      </w:r>
      <w:r>
        <w:rPr/>
        <w:t>los</w:t>
      </w:r>
    </w:p>
    <w:p>
      <w:pPr>
        <w:pStyle w:val="BodyText"/>
        <w:spacing w:line="362" w:lineRule="auto" w:before="7"/>
        <w:ind w:left="264" w:right="214"/>
        <w:jc w:val="both"/>
      </w:pPr>
      <w:r>
        <w:rPr/>
        <w:t>elementos por el que se distingue la humanidad, así, afirma que ésta se instituye como el rasgo más representativo del ser humano.</w:t>
      </w:r>
    </w:p>
    <w:p>
      <w:pPr>
        <w:pStyle w:val="BodyText"/>
        <w:spacing w:line="360" w:lineRule="auto"/>
        <w:ind w:left="264" w:right="213" w:firstLine="336"/>
        <w:jc w:val="both"/>
      </w:pPr>
      <w:r>
        <w:rPr/>
        <w:pict>
          <v:line style="position:absolute;mso-position-horizontal-relative:page;mso-position-vertical-relative:paragraph;z-index:1408;mso-wrap-distance-left:0;mso-wrap-distance-right:0" from="99.224998pt,67.785873pt" to="243.274998pt,67.785873pt" stroked="true" strokeweight=".599980pt" strokecolor="#000000">
            <w10:wrap type="topAndBottom"/>
          </v:line>
        </w:pict>
      </w:r>
      <w:r>
        <w:rPr/>
        <w:t>Asimismo, es importante señalar que hablar de libertad y conciencia, significa hablar sobre lo que implica ser humano, sobre hombres y mujeres concretos, no abstracciones  políticas  o  construcciones  legales.  Implica  detenernos  a pensar</w:t>
      </w:r>
    </w:p>
    <w:p>
      <w:pPr>
        <w:spacing w:before="48"/>
        <w:ind w:left="264" w:right="210" w:firstLine="0"/>
        <w:jc w:val="both"/>
        <w:rPr>
          <w:rFonts w:ascii="Calibri" w:hAnsi="Calibri"/>
          <w:sz w:val="18"/>
        </w:rPr>
      </w:pPr>
      <w:r>
        <w:rPr>
          <w:position w:val="9"/>
          <w:sz w:val="12"/>
        </w:rPr>
        <w:t>9 </w:t>
      </w:r>
      <w:r>
        <w:rPr>
          <w:rFonts w:ascii="Calibri" w:hAnsi="Calibri"/>
          <w:sz w:val="18"/>
        </w:rPr>
        <w:t>Para Kant el tema de la libertad tratado en la </w:t>
      </w:r>
      <w:r>
        <w:rPr>
          <w:rFonts w:ascii="Calibri" w:hAnsi="Calibri"/>
          <w:i/>
          <w:sz w:val="18"/>
        </w:rPr>
        <w:t>Crítica de la Razón Pura</w:t>
      </w:r>
      <w:r>
        <w:rPr>
          <w:rFonts w:ascii="Calibri" w:hAnsi="Calibri"/>
          <w:sz w:val="18"/>
        </w:rPr>
        <w:t>, es planteado en las antinomias, desde las que argumenta su existencia y no existencia, pues su reflexión lo lleva a inferir la contradicción inherente a su posibilidad de existencia; sin embargo, desde la </w:t>
      </w:r>
      <w:r>
        <w:rPr>
          <w:rFonts w:ascii="Calibri" w:hAnsi="Calibri"/>
          <w:i/>
          <w:sz w:val="18"/>
        </w:rPr>
        <w:t>Crítica de la Razón Práctica </w:t>
      </w:r>
      <w:r>
        <w:rPr>
          <w:rFonts w:ascii="Calibri" w:hAnsi="Calibri"/>
          <w:sz w:val="18"/>
        </w:rPr>
        <w:t>la sitúa como el fundamento de la moral. “La razón teórica no puede demostrar la existencia de la libertad pues sólo es capaz de alcanzar el mundo de los fenómenos, mundo en el que todo está sometido a la ley de causalidad, y por lo tanto en el que todo ocurre por necesidad natural. Sin embargo, desde la perspectiva de la razón práctica, y si queremos entender la experiencia moral, cabe la defensa de la existencia de la libertad: si en sus acciones las personas están determinadas por causas naturales, es decir si carecen de libertad,  no podemos atribuirles responsabilidad, ni es posible la conducta moral; de este modo, la libertad es la </w:t>
      </w:r>
      <w:r>
        <w:rPr>
          <w:rFonts w:ascii="Calibri" w:hAnsi="Calibri"/>
          <w:i/>
          <w:sz w:val="18"/>
        </w:rPr>
        <w:t>ratio essendi </w:t>
      </w:r>
      <w:r>
        <w:rPr>
          <w:rFonts w:ascii="Calibri" w:hAnsi="Calibri"/>
          <w:sz w:val="18"/>
        </w:rPr>
        <w:t>(la condición de la posibilidad) de la moralidad, a la vez que la moralidad es la </w:t>
      </w:r>
      <w:r>
        <w:rPr>
          <w:rFonts w:ascii="Calibri" w:hAnsi="Calibri"/>
          <w:i/>
          <w:sz w:val="18"/>
        </w:rPr>
        <w:t>ratio cognoscendi </w:t>
      </w:r>
      <w:r>
        <w:rPr>
          <w:rFonts w:ascii="Calibri" w:hAnsi="Calibri"/>
          <w:sz w:val="18"/>
        </w:rPr>
        <w:t>(lo que nos muestra o da noticia de la libertad).”, </w:t>
      </w:r>
      <w:r>
        <w:rPr>
          <w:rFonts w:ascii="Calibri" w:hAnsi="Calibri"/>
          <w:i/>
          <w:sz w:val="18"/>
        </w:rPr>
        <w:t>Torre De Babel Ediciones</w:t>
      </w:r>
      <w:r>
        <w:rPr>
          <w:rFonts w:ascii="Calibri" w:hAnsi="Calibri"/>
          <w:sz w:val="18"/>
        </w:rPr>
        <w:t>, Portal de Filosofía y Humanidades [en línea] consulta el 16/08/2012, disponible en: </w:t>
      </w:r>
      <w:hyperlink r:id="rId14">
        <w:r>
          <w:rPr>
            <w:rFonts w:ascii="Calibri" w:hAnsi="Calibri"/>
            <w:color w:val="0000FF"/>
            <w:sz w:val="18"/>
            <w:u w:val="single" w:color="0000FF"/>
          </w:rPr>
          <w:t>http://www.e-torredebabel.com/Historia-de-la-filosofia/Filosofiamedievalymoderna/Kant/Kant-</w:t>
        </w:r>
      </w:hyperlink>
      <w:r>
        <w:rPr>
          <w:rFonts w:ascii="Calibri" w:hAnsi="Calibri"/>
          <w:color w:val="0000FF"/>
          <w:sz w:val="18"/>
          <w:u w:val="single" w:color="0000FF"/>
        </w:rPr>
        <w:t> </w:t>
      </w:r>
      <w:hyperlink r:id="rId14">
        <w:r>
          <w:rPr>
            <w:rFonts w:ascii="Calibri" w:hAnsi="Calibri"/>
            <w:color w:val="0000FF"/>
            <w:sz w:val="18"/>
            <w:u w:val="single" w:color="0000FF"/>
          </w:rPr>
          <w:t>Libertad.htm</w:t>
        </w:r>
        <w:r>
          <w:rPr>
            <w:rFonts w:ascii="Calibri" w:hAnsi="Calibri"/>
            <w:sz w:val="18"/>
          </w:rPr>
          <w:t>.</w:t>
        </w:r>
      </w:hyperlink>
    </w:p>
    <w:p>
      <w:pPr>
        <w:spacing w:line="220" w:lineRule="exact" w:before="0"/>
        <w:ind w:left="264" w:right="0" w:firstLine="0"/>
        <w:jc w:val="both"/>
        <w:rPr>
          <w:rFonts w:ascii="Calibri"/>
          <w:sz w:val="18"/>
        </w:rPr>
      </w:pPr>
      <w:r>
        <w:rPr>
          <w:rFonts w:ascii="Calibri"/>
          <w:position w:val="9"/>
          <w:sz w:val="12"/>
        </w:rPr>
        <w:t>10    </w:t>
      </w:r>
      <w:r>
        <w:rPr>
          <w:rFonts w:ascii="Calibri"/>
          <w:sz w:val="18"/>
        </w:rPr>
        <w:t>SARTRE, Jean Paul, </w:t>
      </w:r>
      <w:r>
        <w:rPr>
          <w:rFonts w:ascii="Calibri"/>
          <w:i/>
          <w:sz w:val="18"/>
        </w:rPr>
        <w:t>El existencialismo es un humanismo</w:t>
      </w:r>
      <w:r>
        <w:rPr>
          <w:rFonts w:ascii="Calibri"/>
          <w:sz w:val="18"/>
        </w:rPr>
        <w:t>, Edhasa, Barcelona, 2007.</w:t>
      </w:r>
    </w:p>
    <w:p>
      <w:pPr>
        <w:spacing w:after="0" w:line="220" w:lineRule="exact"/>
        <w:jc w:val="both"/>
        <w:rPr>
          <w:rFonts w:asci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48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2" w:lineRule="auto" w:before="70"/>
        <w:ind w:left="684" w:right="122"/>
        <w:jc w:val="both"/>
        <w:rPr>
          <w:sz w:val="16"/>
        </w:rPr>
      </w:pPr>
      <w:r>
        <w:rPr/>
        <w:t>sobre seres que, como integrantes de la especie humana, son acreedores de la cultura y sus bienes, de la oportunidad de tener alternativas de elegir una vida humana y no sólo de sobrevivencia. Una vida de libertad para los individuos y no para las entidades socioeconómicas fundamentadas en la propiedad (las grandes empresas y consorcios internacionales).</w:t>
      </w:r>
      <w:r>
        <w:rPr>
          <w:position w:val="11"/>
          <w:sz w:val="16"/>
        </w:rPr>
        <w:t>11</w:t>
      </w:r>
    </w:p>
    <w:p>
      <w:pPr>
        <w:pStyle w:val="BodyText"/>
        <w:spacing w:line="360" w:lineRule="auto"/>
        <w:ind w:left="684" w:right="118" w:firstLine="404"/>
        <w:jc w:val="both"/>
      </w:pPr>
      <w:r>
        <w:rPr/>
        <w:t>De esta premisa emana la afirmación de que el ejercicio de la libertad, presume que cada ciudadano debe tener acceso al mayor número de opciones reales para vivir su vida como quiera hacerlo. Este concepto relaciona la libertad con mejores formas de vida para los individuos que la practican, con la posibilidad para los mismos de obtener su felicidad. Desde  este concepto puede afirmarse que esta idea de libertad exige no sólo que se otorgue a los individuos el derecho de hacer tal o cual cosa que pudieran querer hacer, sino además los medios necesarios para poder ejercer ese derecho. Esta conceptualización implica otorgar a cada ser humano el máximo de opciones reales de</w:t>
      </w:r>
      <w:r>
        <w:rPr>
          <w:spacing w:val="-28"/>
        </w:rPr>
        <w:t> </w:t>
      </w:r>
      <w:r>
        <w:rPr/>
        <w:t>bienestar.</w:t>
      </w:r>
    </w:p>
    <w:p>
      <w:pPr>
        <w:pStyle w:val="BodyText"/>
        <w:spacing w:line="360" w:lineRule="auto" w:before="6"/>
        <w:ind w:left="684" w:right="113" w:firstLine="271"/>
        <w:jc w:val="both"/>
      </w:pPr>
      <w:r>
        <w:rPr/>
        <w:t>Sin embargo, la libertad para elegir o sea la libertad de acción, puede restringirse por algunos factores, considerados obstáculos de la libertad, como la ignorancia, ya que el desconocimiento de los derechos, beneficios, perjuicios o la falta de conocimientos generales y el no desarrollo de capacidades cognitivas específicas limitarán de forma inexorable las elecciones que cada individuo puede realizar. Otro obstáculo para la libertad es el miedo, como una alteración del ánimo que provoca angustia y agota la posibilidad de pensar, promoviendo en el  individuo actos espontáneos que son originados por el instinto y no por la razón. También las pasiones se pueden constituir en condiciones de la naturaleza humana que impiden el uso adecuado de la libertad. En función de que son sentimientos intensos como: la ira, el enamoramiento, la cólera, que disminuyen la capacidad de juicio al actuar, por lo que las elecciones que se realizan bajo ese estado de ánimo no son siempre deseadas o</w:t>
      </w:r>
      <w:r>
        <w:rPr>
          <w:spacing w:val="-30"/>
        </w:rPr>
        <w:t> </w:t>
      </w:r>
      <w:r>
        <w:rPr/>
        <w:t>justificadas.</w:t>
      </w:r>
    </w:p>
    <w:p>
      <w:pPr>
        <w:pStyle w:val="BodyText"/>
        <w:spacing w:line="360" w:lineRule="auto" w:before="2"/>
        <w:ind w:left="684" w:right="123" w:firstLine="404"/>
        <w:jc w:val="both"/>
      </w:pPr>
      <w:r>
        <w:rPr/>
        <w:t>La violencia, ya sea física o psicológica también es un límite a la libertad, pues substrae al sujeto de su capacidad de elegir por él mismo, sus elecciones estarán basadas  en  su  instinto  de  supervivencia  o  de  seguridad  personal  y   familiar.</w:t>
      </w:r>
    </w:p>
    <w:p>
      <w:pPr>
        <w:pStyle w:val="BodyText"/>
        <w:spacing w:before="8"/>
        <w:rPr>
          <w:sz w:val="8"/>
        </w:rPr>
      </w:pPr>
      <w:r>
        <w:rPr/>
        <w:pict>
          <v:line style="position:absolute;mso-position-horizontal-relative:page;mso-position-vertical-relative:paragraph;z-index:1456;mso-wrap-distance-left:0;mso-wrap-distance-right:0" from="99.224998pt,7.258888pt" to="243.274998pt,7.258888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11 </w:t>
      </w:r>
      <w:r>
        <w:rPr>
          <w:rFonts w:ascii="Calibri" w:hAnsi="Calibri"/>
          <w:sz w:val="18"/>
        </w:rPr>
        <w:t>CHOMSKY, Noam, </w:t>
      </w:r>
      <w:r>
        <w:rPr>
          <w:rFonts w:ascii="Calibri" w:hAnsi="Calibri"/>
          <w:i/>
          <w:sz w:val="18"/>
        </w:rPr>
        <w:t>El control de nuestras vidas</w:t>
      </w:r>
      <w:r>
        <w:rPr>
          <w:rFonts w:ascii="Calibri" w:hAnsi="Calibri"/>
          <w:sz w:val="18"/>
        </w:rPr>
        <w:t>, [en línea] consulta el 23/02/2012, disponible en: </w:t>
      </w:r>
      <w:hyperlink r:id="rId15">
        <w:r>
          <w:rPr>
            <w:rFonts w:ascii="Calibri" w:hAnsi="Calibri"/>
            <w:color w:val="0000FF"/>
            <w:sz w:val="18"/>
            <w:u w:val="single" w:color="0000FF"/>
          </w:rPr>
          <w:t>http://www.inventati.org/ingobernables/textos/anarquistas/chomsky-control.pdf</w:t>
        </w:r>
      </w:hyperlink>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52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2" w:lineRule="auto" w:before="70"/>
        <w:ind w:left="264" w:right="218"/>
        <w:jc w:val="both"/>
        <w:rPr>
          <w:sz w:val="16"/>
        </w:rPr>
      </w:pPr>
      <w:r>
        <w:rPr/>
        <w:t>También los desajustes psíquicos que provocan estados mentales alterados, son considerados como límites de la libertad, por ejemplo: la deficiencia mental, la esquizofrenia, la neurosis o en ocasiones los daños neurológicos. De igual manera las drogas y el alcohol que inducen un estado mental perturbado provocan que las capacidades de elección razonable y de juicio se vean impedidas. </w:t>
      </w:r>
      <w:r>
        <w:rPr>
          <w:position w:val="11"/>
          <w:sz w:val="16"/>
        </w:rPr>
        <w:t>12</w:t>
      </w:r>
    </w:p>
    <w:p>
      <w:pPr>
        <w:pStyle w:val="BodyText"/>
        <w:spacing w:line="350" w:lineRule="auto"/>
        <w:ind w:left="264" w:right="214" w:firstLine="336"/>
        <w:jc w:val="both"/>
        <w:rPr>
          <w:sz w:val="16"/>
        </w:rPr>
      </w:pPr>
      <w:r>
        <w:rPr/>
        <w:t>Desde esta perspectiva es evidente que el individuo se enfrenta a elementos que limitan o inciden en su capacidad de análisis y reflexión, que a la vez intervienen en el ejercicio de su libertad, en la conciencia individual y social, que logran incidir en el mantenimiento de los sistemas de dominación en Latinoamérica, prefabricando la conciencia, confundiendo la verdad con la construcción de una falsa realidad,</w:t>
      </w:r>
      <w:r>
        <w:rPr>
          <w:position w:val="11"/>
          <w:sz w:val="16"/>
        </w:rPr>
        <w:t>13 </w:t>
      </w:r>
      <w:r>
        <w:rPr/>
        <w:t>generando explotación, pobreza intelectual, espiritual y material.</w:t>
      </w:r>
      <w:r>
        <w:rPr>
          <w:position w:val="11"/>
          <w:sz w:val="16"/>
        </w:rPr>
        <w:t>14</w:t>
      </w:r>
    </w:p>
    <w:p>
      <w:pPr>
        <w:pStyle w:val="BodyText"/>
        <w:spacing w:line="360" w:lineRule="auto"/>
        <w:ind w:left="264" w:right="211" w:firstLine="336"/>
        <w:jc w:val="both"/>
      </w:pPr>
      <w:r>
        <w:rPr/>
        <w:t>Así, la imagen televisiva constituida como una pantalla abierta al mundo para las grandes masas, bajo la repetición constante de mensajes y representaciones se introduce en la conciencia de los televidentes, orientándoles en la construcción de su realidad, en la integración de su cosmovisión y en la percepción de su situación social y en sus posibilidades de elección. Por sus facultades de intervención puede ser de gran impacto en la formación de las personas; su condición de instrumento del capital la torna en elemento manipulador (por  ejemplo en el uso en campañas políticas o de mercadeo de algún producto) y coercitivo </w:t>
      </w:r>
      <w:r>
        <w:rPr>
          <w:spacing w:val="-3"/>
        </w:rPr>
        <w:t>ya </w:t>
      </w:r>
      <w:r>
        <w:rPr/>
        <w:t>que apela a emociones y sentimientos o inclusive al miedo para generar temores en la sociedad, que transforman sus costumbres y relaciones sociales (en México, la difusión de la violencia a través de los noticieros televisivos causa temor y desconfianza en la sociedad, modificando conductas y patrones de interacción entre los</w:t>
      </w:r>
      <w:r>
        <w:rPr>
          <w:spacing w:val="-15"/>
        </w:rPr>
        <w:t> </w:t>
      </w:r>
      <w:r>
        <w:rPr/>
        <w:t>ciudadanos).</w:t>
      </w:r>
    </w:p>
    <w:p>
      <w:pPr>
        <w:pStyle w:val="BodyText"/>
        <w:spacing w:line="362" w:lineRule="auto" w:before="2"/>
        <w:ind w:left="264" w:right="223" w:firstLine="404"/>
        <w:jc w:val="both"/>
      </w:pPr>
      <w:r>
        <w:rPr/>
        <w:t>En la actualidad, dice Enrique Dussel, los medios de comunicación (televisión, radio, prensa) encontrándose en manos de capitales privados o de  trasnacionales</w:t>
      </w:r>
    </w:p>
    <w:p>
      <w:pPr>
        <w:pStyle w:val="BodyText"/>
        <w:spacing w:before="8"/>
        <w:rPr>
          <w:sz w:val="12"/>
        </w:rPr>
      </w:pPr>
      <w:r>
        <w:rPr/>
        <w:pict>
          <v:line style="position:absolute;mso-position-horizontal-relative:page;mso-position-vertical-relative:paragraph;z-index:1504;mso-wrap-distance-left:0;mso-wrap-distance-right:0" from="99.224998pt,9.549824pt" to="243.274998pt,9.549824pt" stroked="true" strokeweight=".60004pt" strokecolor="#000000">
            <w10:wrap type="topAndBottom"/>
          </v:line>
        </w:pict>
      </w:r>
    </w:p>
    <w:p>
      <w:pPr>
        <w:tabs>
          <w:tab w:pos="836" w:val="left" w:leader="none"/>
          <w:tab w:pos="1968" w:val="left" w:leader="none"/>
          <w:tab w:pos="2644" w:val="left" w:leader="none"/>
          <w:tab w:pos="3769" w:val="left" w:leader="none"/>
          <w:tab w:pos="4440" w:val="left" w:leader="none"/>
          <w:tab w:pos="5283" w:val="left" w:leader="none"/>
          <w:tab w:pos="6335" w:val="left" w:leader="none"/>
          <w:tab w:pos="7686" w:val="left" w:leader="none"/>
          <w:tab w:pos="8877" w:val="left" w:leader="none"/>
        </w:tabs>
        <w:spacing w:before="48"/>
        <w:ind w:left="264" w:right="210" w:firstLine="0"/>
        <w:jc w:val="left"/>
        <w:rPr>
          <w:rFonts w:ascii="Calibri" w:hAnsi="Calibri"/>
          <w:sz w:val="18"/>
        </w:rPr>
      </w:pPr>
      <w:r>
        <w:rPr>
          <w:position w:val="9"/>
          <w:sz w:val="12"/>
        </w:rPr>
        <w:t>12</w:t>
        <w:tab/>
      </w:r>
      <w:r>
        <w:rPr>
          <w:rFonts w:ascii="Calibri" w:hAnsi="Calibri"/>
          <w:i/>
          <w:sz w:val="18"/>
        </w:rPr>
        <w:t>ITESCAM</w:t>
      </w:r>
      <w:r>
        <w:rPr>
          <w:rFonts w:ascii="Calibri" w:hAnsi="Calibri"/>
          <w:sz w:val="18"/>
        </w:rPr>
        <w:t>,</w:t>
        <w:tab/>
        <w:t>“La</w:t>
        <w:tab/>
        <w:t>libertad”,</w:t>
        <w:tab/>
        <w:t>[en</w:t>
        <w:tab/>
        <w:t>línea]</w:t>
        <w:tab/>
        <w:t>consulta</w:t>
        <w:tab/>
        <w:t>25/07/2012,</w:t>
        <w:tab/>
        <w:t>disponible</w:t>
        <w:tab/>
      </w:r>
      <w:r>
        <w:rPr>
          <w:rFonts w:ascii="Calibri" w:hAnsi="Calibri"/>
          <w:spacing w:val="-1"/>
          <w:sz w:val="18"/>
        </w:rPr>
        <w:t>en: </w:t>
      </w:r>
      <w:hyperlink r:id="rId16">
        <w:r>
          <w:rPr>
            <w:rFonts w:ascii="Calibri" w:hAnsi="Calibri"/>
            <w:color w:val="0000FF"/>
            <w:sz w:val="18"/>
            <w:u w:val="single" w:color="0000FF"/>
          </w:rPr>
          <w:t>www.itescam.edu.mx/principal/sylabus/fpdb/recursos/r41644.DOC</w:t>
        </w:r>
        <w:r>
          <w:rPr>
            <w:rFonts w:ascii="Calibri" w:hAnsi="Calibri"/>
            <w:sz w:val="18"/>
          </w:rPr>
          <w:t>.</w:t>
        </w:r>
      </w:hyperlink>
    </w:p>
    <w:p>
      <w:pPr>
        <w:spacing w:line="220" w:lineRule="exact" w:before="0"/>
        <w:ind w:left="264" w:right="0" w:firstLine="0"/>
        <w:jc w:val="left"/>
        <w:rPr>
          <w:rFonts w:ascii="Calibri" w:hAnsi="Calibri"/>
          <w:sz w:val="18"/>
        </w:rPr>
      </w:pPr>
      <w:r>
        <w:rPr>
          <w:rFonts w:ascii="Calibri" w:hAnsi="Calibri"/>
          <w:position w:val="9"/>
          <w:sz w:val="12"/>
        </w:rPr>
        <w:t>13    </w:t>
      </w:r>
      <w:r>
        <w:rPr>
          <w:rFonts w:ascii="Calibri" w:hAnsi="Calibri"/>
          <w:sz w:val="18"/>
        </w:rPr>
        <w:t>FERRÉS I Prats, Joan, </w:t>
      </w:r>
      <w:r>
        <w:rPr>
          <w:rFonts w:ascii="Calibri" w:hAnsi="Calibri"/>
          <w:i/>
          <w:sz w:val="18"/>
        </w:rPr>
        <w:t>Televisión subliminal</w:t>
      </w:r>
      <w:r>
        <w:rPr>
          <w:rFonts w:ascii="Calibri" w:hAnsi="Calibri"/>
          <w:sz w:val="18"/>
        </w:rPr>
        <w:t>. </w:t>
      </w:r>
      <w:r>
        <w:rPr>
          <w:rFonts w:ascii="Calibri" w:hAnsi="Calibri"/>
          <w:i/>
          <w:sz w:val="18"/>
        </w:rPr>
        <w:t>Socialización mediante comunicaciones  inadvertidas</w:t>
      </w:r>
      <w:r>
        <w:rPr>
          <w:rFonts w:ascii="Calibri" w:hAnsi="Calibri"/>
          <w:sz w:val="18"/>
        </w:rPr>
        <w:t>, Paidós,    Barcelona,</w:t>
      </w:r>
    </w:p>
    <w:p>
      <w:pPr>
        <w:spacing w:before="0"/>
        <w:ind w:left="264" w:right="0" w:firstLine="0"/>
        <w:jc w:val="left"/>
        <w:rPr>
          <w:rFonts w:ascii="Calibri" w:hAnsi="Calibri"/>
          <w:sz w:val="18"/>
        </w:rPr>
      </w:pPr>
      <w:r>
        <w:rPr>
          <w:rFonts w:ascii="Calibri" w:hAnsi="Calibri"/>
          <w:sz w:val="18"/>
        </w:rPr>
        <w:t>1996, en esta obra se expone la influencia de la televisión en la construcción de una falsa realidad de los televidentes, acorde con la imagen de realidad que ésta proyecta</w:t>
      </w:r>
    </w:p>
    <w:p>
      <w:pPr>
        <w:spacing w:line="220" w:lineRule="exact" w:before="0"/>
        <w:ind w:left="264" w:right="0" w:firstLine="0"/>
        <w:jc w:val="left"/>
        <w:rPr>
          <w:rFonts w:ascii="Calibri" w:hAnsi="Calibri"/>
          <w:sz w:val="18"/>
        </w:rPr>
      </w:pPr>
      <w:r>
        <w:rPr>
          <w:position w:val="9"/>
          <w:sz w:val="12"/>
        </w:rPr>
        <w:t>14 </w:t>
      </w:r>
      <w:r>
        <w:rPr>
          <w:rFonts w:ascii="Calibri" w:hAnsi="Calibri"/>
          <w:sz w:val="18"/>
        </w:rPr>
        <w:t>Véase Herbert Marcuse, “Capítulo. 3 las nuevas formas de control”, </w:t>
      </w:r>
      <w:r>
        <w:rPr>
          <w:rFonts w:ascii="Calibri" w:hAnsi="Calibri"/>
          <w:i/>
          <w:sz w:val="18"/>
        </w:rPr>
        <w:t>Óp. Cit</w:t>
      </w:r>
      <w:r>
        <w:rPr>
          <w:rFonts w:ascii="Calibri" w:hAnsi="Calibri"/>
          <w:sz w:val="18"/>
        </w:rPr>
        <w:t>.</w:t>
      </w:r>
    </w:p>
    <w:p>
      <w:pPr>
        <w:spacing w:after="0" w:line="220"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57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7"/>
        <w:jc w:val="both"/>
      </w:pPr>
      <w:r>
        <w:rPr/>
        <w:t>de la comunicación, han transformado la visión del mundo, para estas instituciones financieras los objetivos de la programación televisiva son la propaganda, el mercadeo, la diversión, el entretenimiento </w:t>
      </w:r>
      <w:r>
        <w:rPr>
          <w:spacing w:val="-2"/>
        </w:rPr>
        <w:t>más </w:t>
      </w:r>
      <w:r>
        <w:rPr/>
        <w:t>no la educación (indispensable  para el ejercicio de la libertad) porque el contenido de la comunicación no es considerado un medio de cultura, sino una mercancía que se vende al mejor postor, fenómeno que se comprueba en las cadenas nacionales de la televisión que venden tiempo de programas en gran medida vacuos y superficiales, que son pagados como propaganda por los capitales en competencia, para informar o formar la opinión de los compradores en el amplio mercado que abren dichos medios de comunicación. “De manera que éstos han dejado de ser expresión de la "opinión pública" (y mucho menos política), para transformarse en formadores o conformadores de la "opinión pública", pero no como una comunidad política,</w:t>
      </w:r>
      <w:r>
        <w:rPr>
          <w:spacing w:val="56"/>
        </w:rPr>
        <w:t> </w:t>
      </w:r>
      <w:r>
        <w:rPr/>
        <w:t>sino</w:t>
      </w:r>
    </w:p>
    <w:p>
      <w:pPr>
        <w:pStyle w:val="BodyText"/>
        <w:spacing w:line="282" w:lineRule="exact"/>
        <w:ind w:left="684"/>
        <w:jc w:val="both"/>
        <w:rPr>
          <w:sz w:val="16"/>
        </w:rPr>
      </w:pPr>
      <w:r>
        <w:rPr/>
        <w:t>como una pluralidad de compradores, es decir, mercado”.</w:t>
      </w:r>
      <w:r>
        <w:rPr>
          <w:position w:val="11"/>
          <w:sz w:val="16"/>
        </w:rPr>
        <w:t>15</w:t>
      </w:r>
    </w:p>
    <w:p>
      <w:pPr>
        <w:pStyle w:val="BodyText"/>
        <w:spacing w:line="360" w:lineRule="auto" w:before="136"/>
        <w:ind w:left="684" w:right="110" w:firstLine="271"/>
        <w:jc w:val="both"/>
      </w:pPr>
      <w:r>
        <w:rPr/>
        <w:t>La televisión, que en los últimos treinta años ha tenido un gran avance en materia de expansión geográfica y en materia de eficiencia tecnológica del aparato transmisor, además de contar con una estructura humana organizada  y sofisticada, se ha desplegado ofreciendo más y mejores contenidos acordes con los usuarios de los medios que despliegan propaganda para dar a conocer su producción a los televidentes, con la finalidad de provocar cambios de conducta en los usuarios dada su competencia informativa y convincente.</w:t>
      </w:r>
    </w:p>
    <w:p>
      <w:pPr>
        <w:pStyle w:val="BodyText"/>
        <w:spacing w:line="350" w:lineRule="auto" w:before="6"/>
        <w:ind w:left="684" w:right="116" w:firstLine="336"/>
        <w:jc w:val="both"/>
      </w:pPr>
      <w:r>
        <w:rPr/>
        <w:t>Por tanto, la propuesta del sistema televisivo para los estados democráticos es construir una imagen democrática de bonanza y progreso</w:t>
      </w:r>
      <w:r>
        <w:rPr>
          <w:position w:val="11"/>
          <w:sz w:val="16"/>
        </w:rPr>
        <w:t>16 </w:t>
      </w:r>
      <w:r>
        <w:rPr/>
        <w:t>en la que pareciera  que todos somos iguales, que la gente vive en tal estado de libertad que tiene a su alcance todos los recursos para un estilo de vida exitoso; asimismo, los </w:t>
      </w:r>
      <w:r>
        <w:rPr>
          <w:spacing w:val="36"/>
        </w:rPr>
        <w:t> </w:t>
      </w:r>
      <w:r>
        <w:rPr/>
        <w:t>mensajes</w:t>
      </w:r>
    </w:p>
    <w:p>
      <w:pPr>
        <w:pStyle w:val="BodyText"/>
        <w:spacing w:line="357" w:lineRule="auto" w:before="16"/>
        <w:ind w:left="684" w:right="121"/>
        <w:jc w:val="both"/>
      </w:pPr>
      <w:r>
        <w:rPr/>
        <w:pict>
          <v:line style="position:absolute;mso-position-horizontal-relative:page;mso-position-vertical-relative:paragraph;z-index:1552;mso-wrap-distance-left:0;mso-wrap-distance-right:0" from="99.224998pt,45.355839pt" to="243.274998pt,45.355839pt" stroked="true" strokeweight=".60004pt" strokecolor="#000000">
            <w10:wrap type="topAndBottom"/>
          </v:line>
        </w:pict>
      </w:r>
      <w:r>
        <w:rPr/>
        <w:t>y contenidos de la programación ofrecen el paraíso a los televidentes, todo está (relativamente)  al  alcance  de  sus  manos,  (ese  es  uno  de  los  objetivos  de la</w:t>
      </w:r>
    </w:p>
    <w:p>
      <w:pPr>
        <w:spacing w:line="237" w:lineRule="auto" w:before="50"/>
        <w:ind w:left="684" w:right="114" w:firstLine="0"/>
        <w:jc w:val="left"/>
        <w:rPr>
          <w:rFonts w:ascii="Calibri" w:hAnsi="Calibri"/>
          <w:sz w:val="18"/>
        </w:rPr>
      </w:pPr>
      <w:r>
        <w:rPr>
          <w:position w:val="9"/>
          <w:sz w:val="12"/>
        </w:rPr>
        <w:t>15 </w:t>
      </w:r>
      <w:r>
        <w:rPr>
          <w:rFonts w:ascii="Calibri" w:hAnsi="Calibri"/>
          <w:sz w:val="18"/>
        </w:rPr>
        <w:t>DUSSEL, Enrique</w:t>
      </w:r>
      <w:r>
        <w:rPr>
          <w:rFonts w:ascii="Calibri" w:hAnsi="Calibri"/>
          <w:i/>
          <w:sz w:val="18"/>
        </w:rPr>
        <w:t>, “</w:t>
      </w:r>
      <w:r>
        <w:rPr>
          <w:rFonts w:ascii="Calibri" w:hAnsi="Calibri"/>
          <w:sz w:val="18"/>
        </w:rPr>
        <w:t>Mediocracia y Hermenéutica, Democracia, Opinión. Poder”, </w:t>
      </w:r>
      <w:r>
        <w:rPr>
          <w:rFonts w:ascii="Calibri" w:hAnsi="Calibri"/>
          <w:i/>
          <w:sz w:val="18"/>
        </w:rPr>
        <w:t>La jornada </w:t>
      </w:r>
      <w:r>
        <w:rPr>
          <w:rFonts w:ascii="Calibri" w:hAnsi="Calibri"/>
          <w:sz w:val="18"/>
        </w:rPr>
        <w:t>03/03/2006, México, D. F., [en línea] consulta 15/03/2009, disponible en: </w:t>
      </w:r>
      <w:hyperlink r:id="rId17">
        <w:r>
          <w:rPr>
            <w:rFonts w:ascii="Calibri" w:hAnsi="Calibri"/>
            <w:color w:val="0000FF"/>
            <w:sz w:val="18"/>
            <w:u w:val="single" w:color="0000FF"/>
          </w:rPr>
          <w:t>http://www.jornada.unam.mx/2006/03/30/index.php?section=opinion&amp;article=010a1po</w:t>
        </w:r>
        <w:r>
          <w:rPr>
            <w:rFonts w:ascii="Calibri" w:hAnsi="Calibri"/>
            <w:sz w:val="18"/>
          </w:rPr>
          <w:t>.</w:t>
        </w:r>
      </w:hyperlink>
    </w:p>
    <w:p>
      <w:pPr>
        <w:spacing w:line="220" w:lineRule="exact" w:before="0"/>
        <w:ind w:left="684" w:right="114" w:firstLine="0"/>
        <w:jc w:val="left"/>
        <w:rPr>
          <w:rFonts w:ascii="Calibri" w:hAnsi="Calibri"/>
          <w:sz w:val="18"/>
        </w:rPr>
      </w:pPr>
      <w:r>
        <w:rPr>
          <w:position w:val="9"/>
          <w:sz w:val="12"/>
        </w:rPr>
        <w:t>16  </w:t>
      </w:r>
      <w:r>
        <w:rPr>
          <w:rFonts w:ascii="Calibri" w:hAnsi="Calibri"/>
          <w:sz w:val="18"/>
        </w:rPr>
        <w:t>JUÁREZ Gámiz, Julio</w:t>
      </w:r>
      <w:r>
        <w:rPr>
          <w:rFonts w:ascii="Calibri" w:hAnsi="Calibri"/>
          <w:i/>
          <w:sz w:val="18"/>
        </w:rPr>
        <w:t>, La televisión encantada, publicidad política en México</w:t>
      </w:r>
      <w:r>
        <w:rPr>
          <w:rFonts w:ascii="Calibri" w:hAnsi="Calibri"/>
          <w:sz w:val="18"/>
        </w:rPr>
        <w:t>, UNAM, México, 2009, El autor refiere  en</w:t>
      </w:r>
    </w:p>
    <w:p>
      <w:pPr>
        <w:spacing w:before="0"/>
        <w:ind w:left="684" w:right="115" w:firstLine="0"/>
        <w:jc w:val="both"/>
        <w:rPr>
          <w:rFonts w:ascii="Calibri" w:hAnsi="Calibri"/>
          <w:sz w:val="18"/>
        </w:rPr>
      </w:pPr>
      <w:r>
        <w:rPr>
          <w:rFonts w:ascii="Calibri" w:hAnsi="Calibri"/>
          <w:sz w:val="18"/>
        </w:rPr>
        <w:t>esta obra la forma como las televisoras se constituyen en el elemento distintivo de las campañas políticas a finales del siglo XX e inicios del XXI. “Al convertirse intempestivamente en el conducto ineludible e indispensable para que los partidos y candidatos pudieran hacer llegar sus propuestas y plataformas de campaña a amplios sectores de la población.” p. 11.</w:t>
      </w:r>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62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2" w:lineRule="auto" w:before="70"/>
        <w:ind w:left="264" w:right="219"/>
        <w:jc w:val="both"/>
        <w:rPr>
          <w:sz w:val="16"/>
        </w:rPr>
      </w:pPr>
      <w:r>
        <w:rPr/>
        <w:t>mercadotecnia) sin embargo, el desencanto es mayor en tanto más grandes son los satisfactores prometidos. (Esta relatividad se manifiesta en los millones de personas pobres, que miran tras el aparador lo que se vuelve un sueño inalcanzable, que les enfrenta de manera contundente con su pobreza y sus carencias).</w:t>
      </w:r>
      <w:r>
        <w:rPr>
          <w:position w:val="11"/>
          <w:sz w:val="16"/>
        </w:rPr>
        <w:t>17</w:t>
      </w:r>
    </w:p>
    <w:p>
      <w:pPr>
        <w:pStyle w:val="BodyText"/>
        <w:spacing w:line="360" w:lineRule="auto"/>
        <w:ind w:left="264" w:right="216" w:firstLine="336"/>
        <w:jc w:val="both"/>
      </w:pPr>
      <w:r>
        <w:rPr/>
        <w:t>La propagación del fenómeno televisivo en su desenvolvimiento como emisor de ideas y contenidos que tienen como meta convencer a los televidentes, limita las acciones de estos, condicionando y dirigiendo su voluntad de elegir; ya que de manera parcial instrumenta sus mensajes que suelen magnificar eventos, intenta convencer con sentimientos y no con razones, promoviendo el morbo, la confusión del pensamiento y el malestar social. Sus fines son: vender, fomentar acciones de egoísmo y propiciar el hedonismo en la sociedad.</w:t>
      </w:r>
    </w:p>
    <w:p>
      <w:pPr>
        <w:pStyle w:val="BodyText"/>
        <w:spacing w:line="360" w:lineRule="auto" w:before="5"/>
        <w:ind w:left="264" w:right="210" w:firstLine="271"/>
        <w:jc w:val="both"/>
      </w:pPr>
      <w:r>
        <w:rPr/>
        <w:t>De acuerdo con algunos sociólogos y científicos como Noam Chomsky, la contundencia emocional del mensaje es directa, (por ejemplo en el Teletón) el carácter emotivo, intercepta toda posible duda o principio de cualquier forma razonable de pensamiento. Los mensajes son estructurados para conmover a las masas de televidentes en torno a una idea, pero sobre todo alrededor de sentimientos, utilizando calificativos que suscitan emociones. Su maximalismo es utilizado para recalcar cualquier discurso y crear una atmósfera convincente pero confusa que alude a la desesperanza. El contenido del mensaje es diseñado con tal efectividad que se interna en la mente de los individuos, a los que bloquea, inmoviliza o mantiene en los límites de la pasividad circunscribiendo su posibilidad</w:t>
      </w:r>
    </w:p>
    <w:p>
      <w:pPr>
        <w:pStyle w:val="BodyText"/>
        <w:spacing w:line="283" w:lineRule="exact"/>
        <w:ind w:left="264"/>
        <w:jc w:val="both"/>
      </w:pPr>
      <w:r>
        <w:rPr/>
        <w:t>de actuar propiciando la deseducación</w:t>
      </w:r>
      <w:r>
        <w:rPr>
          <w:position w:val="11"/>
          <w:sz w:val="16"/>
        </w:rPr>
        <w:t>18 </w:t>
      </w:r>
      <w:r>
        <w:rPr/>
        <w:t>o la desinformación</w:t>
      </w:r>
      <w:r>
        <w:rPr>
          <w:position w:val="11"/>
          <w:sz w:val="16"/>
        </w:rPr>
        <w:t>19 </w:t>
      </w:r>
      <w:r>
        <w:rPr/>
        <w:t>.</w:t>
      </w: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1600;mso-wrap-distance-left:0;mso-wrap-distance-right:0" from="99.224998pt,10.158998pt" to="243.274998pt,10.158998pt" stroked="true" strokeweight=".599980pt" strokecolor="#000000">
            <w10:wrap type="topAndBottom"/>
          </v:line>
        </w:pict>
      </w:r>
    </w:p>
    <w:p>
      <w:pPr>
        <w:spacing w:before="48"/>
        <w:ind w:left="264" w:right="214" w:firstLine="0"/>
        <w:jc w:val="both"/>
        <w:rPr>
          <w:rFonts w:ascii="Calibri" w:hAnsi="Calibri"/>
          <w:sz w:val="18"/>
        </w:rPr>
      </w:pPr>
      <w:r>
        <w:rPr>
          <w:position w:val="9"/>
          <w:sz w:val="12"/>
        </w:rPr>
        <w:t>17 </w:t>
      </w:r>
      <w:r>
        <w:rPr>
          <w:rFonts w:ascii="Calibri" w:hAnsi="Calibri"/>
          <w:sz w:val="18"/>
        </w:rPr>
        <w:t>MARCUSE, desarrolla y previene, ya en el siglo pasado, sobre el peligro que implica para la sociedad la aparente disolución de las contradicciones del sistema ya que: Las conquistas de la ciencia y de la técnica han hecho teórica y socialmente posible la contención de las necesidades afirmativas, agresivas. Contra esta posibilidad, ha sido el sistema  en tanto que totalidad el que se ha movilizado. En la oposición de la juventud, rebelión a un tiempo instintiva y política, es aprehendida la posibilidad de la liberación; pero le falta, para que se realice, poder material. Éste no pertenece tampoco a la clase obrera que, en la sociedad opulenta, está ligada al sistema de las necesidades, pero no a  su negación1. Sus herederos históricos serían más bien los estratos que, de manera creciente, ocupan posiciones de control en el proceso social de producción y que pueden detenerlo con mayor facilidad: los sabios, los técnicos, los especialistas, los ingenieros, etc. Pero no son más que herederos </w:t>
      </w:r>
      <w:r>
        <w:rPr>
          <w:rFonts w:ascii="Calibri" w:hAnsi="Calibri"/>
          <w:spacing w:val="-3"/>
          <w:sz w:val="18"/>
        </w:rPr>
        <w:t>muy </w:t>
      </w:r>
      <w:r>
        <w:rPr>
          <w:rFonts w:ascii="Calibri" w:hAnsi="Calibri"/>
          <w:sz w:val="18"/>
        </w:rPr>
        <w:t>potenciales y muy teóricos, puesto que al mismo tiempo son los beneficiarios bien remunerados y satisfechos del sistema; la modificación de su mentalidad constituiría un milagro de discernimiento y lucidez</w:t>
      </w:r>
      <w:r>
        <w:rPr>
          <w:rFonts w:ascii="Calibri" w:hAnsi="Calibri"/>
          <w:i/>
          <w:sz w:val="18"/>
        </w:rPr>
        <w:t>. Óp. Cit. </w:t>
      </w:r>
      <w:r>
        <w:rPr>
          <w:rFonts w:ascii="Calibri" w:hAnsi="Calibri"/>
          <w:sz w:val="18"/>
        </w:rPr>
        <w:t>p.</w:t>
      </w:r>
      <w:r>
        <w:rPr>
          <w:rFonts w:ascii="Calibri" w:hAnsi="Calibri"/>
          <w:spacing w:val="-16"/>
          <w:sz w:val="18"/>
        </w:rPr>
        <w:t> </w:t>
      </w:r>
      <w:r>
        <w:rPr>
          <w:rFonts w:ascii="Calibri" w:hAnsi="Calibri"/>
          <w:sz w:val="18"/>
        </w:rPr>
        <w:t>5</w:t>
      </w:r>
    </w:p>
    <w:p>
      <w:pPr>
        <w:spacing w:line="220" w:lineRule="exact" w:before="0"/>
        <w:ind w:left="264" w:right="0" w:firstLine="0"/>
        <w:jc w:val="both"/>
        <w:rPr>
          <w:rFonts w:ascii="Calibri" w:hAnsi="Calibri"/>
          <w:sz w:val="18"/>
        </w:rPr>
      </w:pPr>
      <w:r>
        <w:rPr>
          <w:position w:val="9"/>
          <w:sz w:val="12"/>
        </w:rPr>
        <w:t>18 </w:t>
      </w:r>
      <w:r>
        <w:rPr>
          <w:rFonts w:ascii="Calibri" w:hAnsi="Calibri"/>
          <w:sz w:val="18"/>
        </w:rPr>
        <w:t>Véase CHOMSKY; Noam</w:t>
      </w:r>
      <w:r>
        <w:rPr>
          <w:rFonts w:ascii="Calibri" w:hAnsi="Calibri"/>
          <w:i/>
          <w:sz w:val="18"/>
        </w:rPr>
        <w:t>, La (des) educación</w:t>
      </w:r>
      <w:r>
        <w:rPr>
          <w:rFonts w:ascii="Calibri" w:hAnsi="Calibri"/>
          <w:sz w:val="18"/>
        </w:rPr>
        <w:t>, Crítica, Barcelona, 2009. [en línea] consulta el 23/11/2011, disponible en:</w:t>
      </w:r>
    </w:p>
    <w:p>
      <w:pPr>
        <w:spacing w:before="0"/>
        <w:ind w:left="264" w:right="0" w:firstLine="0"/>
        <w:jc w:val="both"/>
        <w:rPr>
          <w:sz w:val="18"/>
        </w:rPr>
      </w:pPr>
      <w:hyperlink r:id="rId18">
        <w:r>
          <w:rPr>
            <w:rFonts w:ascii="Calibri"/>
            <w:color w:val="0000FF"/>
            <w:sz w:val="18"/>
            <w:u w:val="single" w:color="0000FF"/>
          </w:rPr>
          <w:t>http://books.google.com.mx/books?id=GQMH7v0KnZwC&amp;printsec=frontcover&amp;hl=es#v=onepage&amp;q&amp;f=false</w:t>
        </w:r>
        <w:r>
          <w:rPr>
            <w:sz w:val="18"/>
          </w:rPr>
          <w:t>.</w:t>
        </w:r>
      </w:hyperlink>
    </w:p>
    <w:p>
      <w:pPr>
        <w:spacing w:after="0"/>
        <w:jc w:val="both"/>
        <w:rPr>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67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5" w:lineRule="auto" w:before="70"/>
        <w:ind w:left="684" w:right="114" w:firstLine="336"/>
        <w:jc w:val="both"/>
      </w:pPr>
      <w:r>
        <w:rPr/>
        <w:t>Para Noam Chomsky, el fenómeno televisivo que toma fuerza a mediados del siglo XX es el que ha llevado a pueblos enteros a la manipulación por parte de las naciones poderosas, que logran ingresar en las conciencias induciéndolas a decidir en torno a un mensaje de compra, vende, piensa o actúa influenciado por la publicidad de un régimen político-económico o de la publicidad privada al servicio del mejor postor, que utiliza diversas estrategias para lograr su objetivo: por ejemplo el uso de los  “hoax”,</w:t>
      </w:r>
      <w:r>
        <w:rPr>
          <w:position w:val="11"/>
          <w:sz w:val="16"/>
        </w:rPr>
        <w:t>20  </w:t>
      </w:r>
      <w:r>
        <w:rPr/>
        <w:t>o de "globos sonda" recursos</w:t>
      </w:r>
      <w:r>
        <w:rPr>
          <w:spacing w:val="52"/>
        </w:rPr>
        <w:t> </w:t>
      </w:r>
      <w:r>
        <w:rPr/>
        <w:t>mercadológicos,</w:t>
      </w:r>
    </w:p>
    <w:p>
      <w:pPr>
        <w:pStyle w:val="BodyText"/>
        <w:spacing w:line="355" w:lineRule="auto"/>
        <w:ind w:left="684" w:right="117"/>
        <w:jc w:val="both"/>
        <w:rPr>
          <w:sz w:val="16"/>
        </w:rPr>
      </w:pPr>
      <w:r>
        <w:rPr/>
        <w:t>que consisten en la difusión de afirmaciones no autorizadas para inspeccionar los argumentos adversos que pueda suscitar una medida y anticipar respuestas entre las masas. También son utilizados con el propósito de manipulación las "filtraciones y sondeos", así como estadísticas o estudios presumiblemente científicos e imparciales pero patrocinados por empresas o agrupaciones económicas interesadas en saber la opinión e intereses de la población.</w:t>
      </w:r>
      <w:r>
        <w:rPr>
          <w:position w:val="11"/>
          <w:sz w:val="16"/>
        </w:rPr>
        <w:t>21</w:t>
      </w:r>
    </w:p>
    <w:p>
      <w:pPr>
        <w:pStyle w:val="BodyText"/>
        <w:spacing w:line="360" w:lineRule="auto"/>
        <w:ind w:left="684" w:right="116" w:firstLine="336"/>
        <w:jc w:val="both"/>
      </w:pPr>
      <w:r>
        <w:rPr/>
        <w:t>De este modo, el sistema busca los medios para ser más eficiente y garantizar el control de las conciencias. Sin embargo, para Erich Fromm, la necesidad de ser humano, trasciende el instinto, originado en el anhelo de vivir   “más allá de la</w:t>
      </w:r>
    </w:p>
    <w:p>
      <w:pPr>
        <w:pStyle w:val="BodyText"/>
        <w:spacing w:line="345" w:lineRule="auto" w:before="6"/>
        <w:ind w:left="684" w:right="116"/>
        <w:jc w:val="both"/>
      </w:pPr>
      <w:r>
        <w:rPr/>
        <w:t>supervivencia”, es la creación del hombre a través de su historia, su alternativa frente a la desesperación y el fracaso.</w:t>
      </w:r>
      <w:r>
        <w:rPr>
          <w:position w:val="11"/>
          <w:sz w:val="16"/>
        </w:rPr>
        <w:t>22 </w:t>
      </w:r>
      <w:r>
        <w:rPr/>
        <w:t>Porque si la televisión ha logrado contener conciencias,  sí  los  hombres  han  consentido  la  intrusión  en  sus  vida  de  este</w:t>
      </w:r>
    </w:p>
    <w:p>
      <w:pPr>
        <w:pStyle w:val="BodyText"/>
        <w:spacing w:before="7"/>
        <w:rPr>
          <w:sz w:val="23"/>
        </w:rPr>
      </w:pPr>
      <w:r>
        <w:rPr/>
        <w:pict>
          <v:line style="position:absolute;mso-position-horizontal-relative:page;mso-position-vertical-relative:paragraph;z-index:1648;mso-wrap-distance-left:0;mso-wrap-distance-right:0" from="99.224998pt,15.858287pt" to="541.174998pt,15.858287pt" stroked="true" strokeweight=".600010pt" strokecolor="#000000">
            <w10:wrap type="topAndBottom"/>
          </v:line>
        </w:pict>
      </w:r>
    </w:p>
    <w:p>
      <w:pPr>
        <w:spacing w:before="48"/>
        <w:ind w:left="684" w:right="117" w:firstLine="0"/>
        <w:jc w:val="both"/>
        <w:rPr>
          <w:rFonts w:ascii="Calibri" w:hAnsi="Calibri"/>
          <w:sz w:val="18"/>
        </w:rPr>
      </w:pPr>
      <w:r>
        <w:rPr>
          <w:position w:val="9"/>
          <w:sz w:val="12"/>
        </w:rPr>
        <w:t>19 </w:t>
      </w:r>
      <w:r>
        <w:rPr>
          <w:rFonts w:ascii="Calibri" w:hAnsi="Calibri"/>
          <w:sz w:val="18"/>
        </w:rPr>
        <w:t>En este estado de cosas de acuerdo con algunos autores la desinformación como acto de silenciar o manipular la verdad, habitualmente en los medios de comunicación de masas, principalmente la televisión, es lo que conduce a los individuos a actuar o pensar, e inclusive a hablar de determinada manera, según como el sistema socio-político y económico lo proyecta.</w:t>
      </w:r>
    </w:p>
    <w:p>
      <w:pPr>
        <w:spacing w:line="204" w:lineRule="exact" w:before="0"/>
        <w:ind w:left="684" w:right="0" w:firstLine="0"/>
        <w:jc w:val="both"/>
        <w:rPr>
          <w:rFonts w:ascii="Calibri" w:hAnsi="Calibri"/>
          <w:sz w:val="18"/>
        </w:rPr>
      </w:pPr>
      <w:r>
        <w:rPr>
          <w:position w:val="9"/>
          <w:sz w:val="12"/>
        </w:rPr>
        <w:t>20  </w:t>
      </w:r>
      <w:r>
        <w:rPr>
          <w:rFonts w:ascii="Calibri" w:hAnsi="Calibri"/>
          <w:sz w:val="18"/>
        </w:rPr>
        <w:t>Hoax, fraude o engaño.</w:t>
      </w:r>
    </w:p>
    <w:p>
      <w:pPr>
        <w:spacing w:line="220" w:lineRule="exact" w:before="12"/>
        <w:ind w:left="684" w:right="120" w:firstLine="0"/>
        <w:jc w:val="both"/>
        <w:rPr>
          <w:rFonts w:ascii="Calibri" w:hAnsi="Calibri"/>
          <w:sz w:val="18"/>
        </w:rPr>
      </w:pPr>
      <w:r>
        <w:rPr>
          <w:rFonts w:ascii="Calibri" w:hAnsi="Calibri"/>
          <w:position w:val="9"/>
          <w:sz w:val="12"/>
        </w:rPr>
        <w:t>21 </w:t>
      </w:r>
      <w:r>
        <w:rPr>
          <w:rFonts w:ascii="Calibri" w:hAnsi="Calibri"/>
          <w:sz w:val="18"/>
        </w:rPr>
        <w:t>“(…) la manipulación informativa (…) entendiendo a la misma como lo hace la definición de la Real Academia Española de intervenir con medios hábiles y a veces arteros en la política, en la sociedad, en los mercados, etc. Desinformar  sería</w:t>
      </w:r>
    </w:p>
    <w:p>
      <w:pPr>
        <w:spacing w:line="237" w:lineRule="auto" w:before="6"/>
        <w:ind w:left="684" w:right="120" w:firstLine="0"/>
        <w:jc w:val="both"/>
        <w:rPr>
          <w:rFonts w:ascii="Calibri" w:hAnsi="Calibri"/>
          <w:sz w:val="18"/>
        </w:rPr>
      </w:pPr>
      <w:r>
        <w:rPr>
          <w:rFonts w:ascii="Calibri" w:hAnsi="Calibri"/>
          <w:sz w:val="18"/>
        </w:rPr>
        <w:t>en consecuencia (mediante la manipulación informativa voluntaria, inequívoca y dolosa), el resultado deseado de un proceso que emplea trucos específicos ya sean semánticos, técnicos, psicológicos; para engañar, mal informar, influir, persuadir o controlar un objeto generalmente con el objetivo de obtener beneficios propios o ajenos (Ritter, 2007).</w:t>
      </w:r>
    </w:p>
    <w:p>
      <w:pPr>
        <w:tabs>
          <w:tab w:pos="2103" w:val="left" w:leader="none"/>
          <w:tab w:pos="3192" w:val="left" w:leader="none"/>
          <w:tab w:pos="4451" w:val="left" w:leader="none"/>
          <w:tab w:pos="5919" w:val="left" w:leader="none"/>
          <w:tab w:pos="7685" w:val="left" w:leader="none"/>
          <w:tab w:pos="9290" w:val="left" w:leader="none"/>
        </w:tabs>
        <w:spacing w:before="0"/>
        <w:ind w:left="684" w:right="115" w:firstLine="199"/>
        <w:jc w:val="left"/>
        <w:rPr>
          <w:rFonts w:ascii="Calibri" w:hAnsi="Calibri"/>
          <w:sz w:val="18"/>
        </w:rPr>
      </w:pPr>
      <w:r>
        <w:rPr>
          <w:rFonts w:ascii="Calibri" w:hAnsi="Calibri"/>
          <w:sz w:val="18"/>
        </w:rPr>
        <w:t>La desinformación no sólo es comunicar voluntariamente ideas falsas para obtener un fin determinado del receptor, sino que conlleva consigo una planificación, premeditada y alevosa, un diseño semiológico y discursivo encaminado a trasponer el mensaje diseñado al comportamiento del receptor (Shultz &amp; Giodson, 1984), luego del proceso de decodificación del mensaje comúnmente denominado “significación” por algunos modelos interpretativos de </w:t>
      </w:r>
      <w:r>
        <w:rPr>
          <w:rFonts w:ascii="Calibri" w:hAnsi="Calibri"/>
          <w:spacing w:val="-3"/>
          <w:sz w:val="18"/>
        </w:rPr>
        <w:t>la </w:t>
      </w:r>
      <w:r>
        <w:rPr>
          <w:rFonts w:ascii="Calibri" w:hAnsi="Calibri"/>
          <w:sz w:val="18"/>
        </w:rPr>
        <w:t>comunicación; además de prever el impacto positivo o negativo que dicho mensaje tendrá en el receptor, tomando en cuenta su campo de experiencia y referencia compartida, así como su escala de valores, necesidades, creencias, etc.” Véase: ROMERO Rodríguez, Luis Miguel, “La Manipulación Informativa y la Desinformación: La Anomia de los receptores Y el Fomento de las Víctimas Propiciatorias”, 2011, Universidad de Almería, Facultad de Humanidades, Almería, Reino de España,</w:t>
        <w:tab/>
        <w:t>[en</w:t>
        <w:tab/>
        <w:t>línea]</w:t>
        <w:tab/>
        <w:t>consulta</w:t>
        <w:tab/>
        <w:t>04/08/2012,</w:t>
        <w:tab/>
        <w:t>disponible</w:t>
        <w:tab/>
        <w:t>en: </w:t>
      </w:r>
      <w:hyperlink r:id="rId19">
        <w:r>
          <w:rPr>
            <w:rFonts w:ascii="Calibri" w:hAnsi="Calibri"/>
            <w:color w:val="0000FF"/>
            <w:sz w:val="18"/>
            <w:u w:val="single" w:color="0000FF"/>
          </w:rPr>
          <w:t>http://ucab.academia.edu/LuisMiguelRomeroRodr%C3%ADguez/Papers/1267515/La_manipulacion_informativa_y_la_d</w:t>
        </w:r>
      </w:hyperlink>
      <w:r>
        <w:rPr>
          <w:rFonts w:ascii="Calibri" w:hAnsi="Calibri"/>
          <w:color w:val="0000FF"/>
          <w:sz w:val="18"/>
          <w:u w:val="single" w:color="0000FF"/>
        </w:rPr>
        <w:t> </w:t>
      </w:r>
      <w:hyperlink r:id="rId19">
        <w:r>
          <w:rPr>
            <w:rFonts w:ascii="Calibri" w:hAnsi="Calibri"/>
            <w:color w:val="0000FF"/>
            <w:sz w:val="18"/>
            <w:u w:val="single" w:color="0000FF"/>
          </w:rPr>
          <w:t>esinformacion_La_anomia_de_los_receptores_y_el_fomento_de_victimas_propiciatorias</w:t>
        </w:r>
      </w:hyperlink>
    </w:p>
    <w:p>
      <w:pPr>
        <w:spacing w:line="220" w:lineRule="exact" w:before="0"/>
        <w:ind w:left="684" w:right="0" w:firstLine="0"/>
        <w:jc w:val="both"/>
        <w:rPr>
          <w:rFonts w:ascii="Calibri" w:hAnsi="Calibri"/>
          <w:sz w:val="18"/>
        </w:rPr>
      </w:pPr>
      <w:r>
        <w:rPr>
          <w:position w:val="9"/>
          <w:sz w:val="12"/>
        </w:rPr>
        <w:t>22 </w:t>
      </w:r>
      <w:r>
        <w:rPr>
          <w:rFonts w:ascii="Calibri" w:hAnsi="Calibri"/>
          <w:sz w:val="18"/>
        </w:rPr>
        <w:t>FROMM, Erich, </w:t>
      </w:r>
      <w:r>
        <w:rPr>
          <w:rFonts w:ascii="Calibri" w:hAnsi="Calibri"/>
          <w:i/>
          <w:sz w:val="18"/>
        </w:rPr>
        <w:t>La revolución de la esperanza</w:t>
      </w:r>
      <w:r>
        <w:rPr>
          <w:rFonts w:ascii="Calibri" w:hAnsi="Calibri"/>
          <w:sz w:val="18"/>
        </w:rPr>
        <w:t>, Fondo de Cultura  Económica, México 2002.</w:t>
      </w:r>
    </w:p>
    <w:p>
      <w:pPr>
        <w:spacing w:after="0" w:line="220"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72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0" w:lineRule="auto" w:before="70"/>
        <w:ind w:left="264" w:right="214"/>
        <w:jc w:val="both"/>
        <w:rPr>
          <w:sz w:val="16"/>
        </w:rPr>
      </w:pPr>
      <w:r>
        <w:rPr/>
        <w:t>sistema, si se han resignado a ser participes de ese proceso de forma receptiva y pasiva, es bajo ciertas premisas de su misma naturaleza, que no obstante pueden ser revertidas a través de la cultura y de nuevos patrones de interacción  humana.</w:t>
      </w:r>
      <w:r>
        <w:rPr>
          <w:position w:val="11"/>
          <w:sz w:val="16"/>
        </w:rPr>
        <w:t>23</w:t>
      </w:r>
    </w:p>
    <w:p>
      <w:pPr>
        <w:pStyle w:val="BodyText"/>
        <w:spacing w:line="360" w:lineRule="auto"/>
        <w:ind w:left="264" w:right="216" w:firstLine="404"/>
        <w:jc w:val="both"/>
      </w:pPr>
      <w:r>
        <w:rPr/>
        <w:t>A partir del uso de este medio comunicacional (la televisión), se llega a las conciencias de millones de personas en el planeta, a los cuales se les estandariza, se les domestica y conduce hacia la mayor explotación pasiva con el consenso y autorización  de  cada  individuo,  circunstancia  que  se  comprueba  por  la   gran</w:t>
      </w:r>
    </w:p>
    <w:p>
      <w:pPr>
        <w:pStyle w:val="BodyText"/>
        <w:spacing w:line="350" w:lineRule="auto" w:before="6"/>
        <w:ind w:left="264" w:right="220"/>
        <w:jc w:val="both"/>
      </w:pPr>
      <w:r>
        <w:rPr/>
        <w:t>acumulación de capitales entre los propietarios de los medios y de las empresas dedicadas a la comunicación.</w:t>
      </w:r>
      <w:r>
        <w:rPr>
          <w:position w:val="11"/>
          <w:sz w:val="16"/>
        </w:rPr>
        <w:t>24 </w:t>
      </w:r>
      <w:r>
        <w:rPr/>
        <w:t>A este fenómeno de inducción del mensaje, algunos autores lo califican como indoctrinación, que se convierte en el conjunto de  medidas  y  prácticas  educativas  y  de  propaganda  usadas  por  las     </w:t>
      </w:r>
      <w:r>
        <w:rPr>
          <w:spacing w:val="6"/>
        </w:rPr>
        <w:t> </w:t>
      </w:r>
      <w:r>
        <w:rPr/>
        <w:t>élites</w:t>
      </w:r>
    </w:p>
    <w:p>
      <w:pPr>
        <w:pStyle w:val="BodyText"/>
        <w:spacing w:line="360" w:lineRule="auto" w:before="16"/>
        <w:ind w:left="264" w:right="217"/>
        <w:jc w:val="both"/>
      </w:pPr>
      <w:r>
        <w:rPr/>
        <w:t>económicas con acceso a los medios tecnológicos, a los espacios de poder y reproducción del paradigma predominante, tendientes al control social no explícitamente coactivo, de manera no agresiva o coercitiva de la libertad, pero si con una gran efectividad para el logro de los objetivos de las grandes transnacionales, de la industria y el mercado.</w:t>
      </w:r>
    </w:p>
    <w:p>
      <w:pPr>
        <w:pStyle w:val="BodyText"/>
        <w:spacing w:line="350" w:lineRule="auto" w:before="2"/>
        <w:ind w:left="264" w:right="217" w:firstLine="336"/>
        <w:jc w:val="both"/>
      </w:pPr>
      <w:r>
        <w:rPr/>
        <w:pict>
          <v:line style="position:absolute;mso-position-horizontal-relative:page;mso-position-vertical-relative:paragraph;z-index:1696;mso-wrap-distance-left:0;mso-wrap-distance-right:0" from="99.224998pt,84.875885pt" to="243.274998pt,84.875885pt" stroked="true" strokeweight=".599980pt" strokecolor="#000000">
            <w10:wrap type="topAndBottom"/>
          </v:line>
        </w:pict>
      </w:r>
      <w:r>
        <w:rPr/>
        <w:t>Para quienes su permanencia depende del consumo y aceptación de su producción entre los pobladores de la tierra, aún a expensas de la explotación de los trabajadores</w:t>
      </w:r>
      <w:r>
        <w:rPr>
          <w:position w:val="11"/>
          <w:sz w:val="16"/>
        </w:rPr>
        <w:t>25 </w:t>
      </w:r>
      <w:r>
        <w:rPr/>
        <w:t>(un ejemplo explicito es la industria China que produce distintos tipos de objetos, acordes con la cultura y necesidades de otros pueblos que no  se</w:t>
      </w:r>
    </w:p>
    <w:p>
      <w:pPr>
        <w:spacing w:before="48"/>
        <w:ind w:left="264" w:right="214" w:firstLine="0"/>
        <w:jc w:val="both"/>
        <w:rPr>
          <w:rFonts w:ascii="Calibri" w:hAnsi="Calibri"/>
          <w:sz w:val="18"/>
        </w:rPr>
      </w:pPr>
      <w:r>
        <w:rPr>
          <w:position w:val="9"/>
          <w:sz w:val="12"/>
        </w:rPr>
        <w:t>23 </w:t>
      </w:r>
      <w:r>
        <w:rPr>
          <w:rFonts w:ascii="Calibri" w:hAnsi="Calibri"/>
          <w:sz w:val="18"/>
        </w:rPr>
        <w:t>Erich Fromm, en su obra </w:t>
      </w:r>
      <w:r>
        <w:rPr>
          <w:rFonts w:ascii="Calibri" w:hAnsi="Calibri"/>
          <w:i/>
          <w:sz w:val="18"/>
        </w:rPr>
        <w:t>El miedo a la Libertad </w:t>
      </w:r>
      <w:r>
        <w:rPr>
          <w:rFonts w:ascii="Calibri" w:hAnsi="Calibri"/>
          <w:sz w:val="18"/>
        </w:rPr>
        <w:t>analiza la libertad humana y la angustia que significa para los  individuos hacer uso de la misma, el miedo a ejercer la capacidad de decisión por la responsabilidad que esto implica,  por lo que en muchas ocasiones el ser humano prefiere depender de los demás, antes de elegir para hacer uso de su autonomía.</w:t>
      </w:r>
    </w:p>
    <w:p>
      <w:pPr>
        <w:spacing w:line="218" w:lineRule="exact" w:before="0"/>
        <w:ind w:left="264" w:right="0" w:firstLine="0"/>
        <w:jc w:val="both"/>
        <w:rPr>
          <w:rFonts w:ascii="Calibri" w:hAnsi="Calibri"/>
          <w:sz w:val="18"/>
        </w:rPr>
      </w:pPr>
      <w:r>
        <w:rPr>
          <w:position w:val="9"/>
          <w:sz w:val="12"/>
        </w:rPr>
        <w:t>24  </w:t>
      </w:r>
      <w:r>
        <w:rPr>
          <w:rFonts w:ascii="Calibri" w:hAnsi="Calibri"/>
          <w:sz w:val="18"/>
        </w:rPr>
        <w:t>FROMM, Erich, </w:t>
      </w:r>
      <w:r>
        <w:rPr>
          <w:rFonts w:ascii="Calibri" w:hAnsi="Calibri"/>
          <w:i/>
          <w:sz w:val="18"/>
        </w:rPr>
        <w:t>Ética y psicoanálisis</w:t>
      </w:r>
      <w:r>
        <w:rPr>
          <w:rFonts w:ascii="Calibri" w:hAnsi="Calibri"/>
          <w:sz w:val="18"/>
        </w:rPr>
        <w:t>, Fondo de Cultura Económica, México, 2004, pp. 20-43, en el apartado: “La   ética</w:t>
      </w:r>
    </w:p>
    <w:p>
      <w:pPr>
        <w:spacing w:before="0"/>
        <w:ind w:left="264" w:right="219" w:firstLine="0"/>
        <w:jc w:val="both"/>
        <w:rPr>
          <w:rFonts w:ascii="Calibri" w:hAnsi="Calibri"/>
          <w:sz w:val="18"/>
        </w:rPr>
      </w:pPr>
      <w:r>
        <w:rPr>
          <w:rFonts w:ascii="Calibri" w:hAnsi="Calibri"/>
          <w:sz w:val="18"/>
        </w:rPr>
        <w:t>humanista: La ciencia aplicada del arte de vivir”, el autor señala las características del siglo XX y el avance de la ciencia y la tecnología y su impacto en la conciencia de los hombres y las mujeres que se definen a partir de su posición frente a este fenómeno de la civilización.</w:t>
      </w:r>
    </w:p>
    <w:p>
      <w:pPr>
        <w:spacing w:line="220" w:lineRule="exact" w:before="0"/>
        <w:ind w:left="264" w:right="0" w:firstLine="0"/>
        <w:jc w:val="both"/>
        <w:rPr>
          <w:rFonts w:ascii="Calibri" w:hAnsi="Calibri"/>
          <w:sz w:val="18"/>
        </w:rPr>
      </w:pPr>
      <w:r>
        <w:rPr>
          <w:position w:val="9"/>
          <w:sz w:val="12"/>
        </w:rPr>
        <w:t>25 </w:t>
      </w:r>
      <w:r>
        <w:rPr>
          <w:rFonts w:ascii="Calibri" w:hAnsi="Calibri"/>
          <w:sz w:val="18"/>
        </w:rPr>
        <w:t>Chomsky, Noam, afirma en </w:t>
      </w:r>
      <w:r>
        <w:rPr>
          <w:rFonts w:ascii="Calibri" w:hAnsi="Calibri"/>
          <w:i/>
          <w:sz w:val="18"/>
        </w:rPr>
        <w:t>El significado de Seattle</w:t>
      </w:r>
      <w:r>
        <w:rPr>
          <w:rFonts w:ascii="Calibri" w:hAnsi="Calibri"/>
          <w:sz w:val="18"/>
        </w:rPr>
        <w:t>, que: “Desde el punto de vista de los amos de esclavos, la gente</w:t>
      </w:r>
    </w:p>
    <w:p>
      <w:pPr>
        <w:spacing w:before="0"/>
        <w:ind w:left="264" w:right="212" w:firstLine="0"/>
        <w:jc w:val="both"/>
        <w:rPr>
          <w:rFonts w:ascii="Calibri" w:hAnsi="Calibri"/>
          <w:sz w:val="18"/>
        </w:rPr>
      </w:pPr>
      <w:r>
        <w:rPr>
          <w:rFonts w:ascii="Calibri" w:hAnsi="Calibri"/>
          <w:sz w:val="18"/>
        </w:rPr>
        <w:t>que se oponía a la esclavitud seguramente parecían lo mismo. Si lo que quieres son cifras, un número reciente del excelente </w:t>
      </w:r>
      <w:r>
        <w:rPr>
          <w:rFonts w:ascii="Calibri" w:hAnsi="Calibri"/>
          <w:i/>
          <w:sz w:val="18"/>
        </w:rPr>
        <w:t>Left Business Observer de Doug Henwood </w:t>
      </w:r>
      <w:r>
        <w:rPr>
          <w:rFonts w:ascii="Calibri" w:hAnsi="Calibri"/>
          <w:sz w:val="18"/>
        </w:rPr>
        <w:t>revela los hechos globales. Ésta es una estimación reciente llevada a cabo por un economista del Banco Mundial. Sólo se remonta hasta 1993. En 1993, el 1 por ciento más rico de la población poseía tanta riqueza como el 57 por ciento más pobre. Eso son 2.500 millones de personas. La relación entre los ingresos medios del 5 por ciento más rico y el del 5 por ciento más pobre se ha incrementado de un 78 a 1 en 1988 a un 114 a 1 en 1993, y probablemente mucho más desde entonces. El índice de la desigualdad, el índice </w:t>
      </w:r>
      <w:r>
        <w:rPr>
          <w:rFonts w:ascii="Calibri" w:hAnsi="Calibri"/>
          <w:i/>
          <w:sz w:val="18"/>
        </w:rPr>
        <w:t>Gini</w:t>
      </w:r>
      <w:r>
        <w:rPr>
          <w:rFonts w:ascii="Calibri" w:hAnsi="Calibri"/>
          <w:sz w:val="18"/>
        </w:rPr>
        <w:t>, como se ha venido en llamar, ha alcanzado los niveles más altos de los que se tiene noticia, en términos de población global. Hay quien diría que todo esto no tiene mayor importancia si todos ganan, aunque sea desigualmente. Ese es un argumento terrible, pero no hemos de prestarle oídos porque la premisa es incorrecta”. [en línea] consulta 14/06/2012, disponible en </w:t>
      </w:r>
      <w:hyperlink r:id="rId20">
        <w:r>
          <w:rPr>
            <w:rFonts w:ascii="Calibri" w:hAnsi="Calibri"/>
            <w:color w:val="0000FF"/>
            <w:sz w:val="18"/>
            <w:u w:val="single" w:color="0000FF"/>
          </w:rPr>
          <w:t>http://kamita.com/misc/nc/textos/seattle.htm</w:t>
        </w:r>
        <w:r>
          <w:rPr>
            <w:rFonts w:ascii="Calibri" w:hAnsi="Calibri"/>
            <w:sz w:val="18"/>
          </w:rPr>
          <w:t>.</w:t>
        </w:r>
      </w:hyperlink>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76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6"/>
        <w:jc w:val="both"/>
      </w:pPr>
      <w:r>
        <w:rPr/>
        <w:t>relacionan con las costumbres propias del pueblo chino, empero, su objetivo es fortalecer su economía a través de la producción de cosas simples pero llamativas).</w:t>
      </w:r>
    </w:p>
    <w:p>
      <w:pPr>
        <w:pStyle w:val="BodyText"/>
        <w:spacing w:line="360" w:lineRule="auto" w:before="2"/>
        <w:ind w:left="684" w:right="113" w:firstLine="336"/>
        <w:jc w:val="both"/>
      </w:pPr>
      <w:r>
        <w:rPr/>
        <w:t>En ese sentido otra estrategia de control social promovida a través del ente televisivo es la imposición del modelo que las instituciones de economía internacionales  han  proyectado  para  los  pueblos  en  vías  de  desarrollo,   </w:t>
      </w:r>
      <w:r>
        <w:rPr>
          <w:spacing w:val="50"/>
        </w:rPr>
        <w:t> </w:t>
      </w:r>
      <w:r>
        <w:rPr/>
        <w:t>por</w:t>
      </w:r>
    </w:p>
    <w:p>
      <w:pPr>
        <w:pStyle w:val="BodyText"/>
        <w:spacing w:line="350" w:lineRule="auto" w:before="6"/>
        <w:ind w:left="684" w:right="113"/>
        <w:jc w:val="both"/>
      </w:pPr>
      <w:r>
        <w:rPr/>
        <w:t>ejemplo, el manejo de lo que han denominado, la flexibilidad del mercado de trabajo.</w:t>
      </w:r>
      <w:r>
        <w:rPr>
          <w:position w:val="11"/>
          <w:sz w:val="16"/>
        </w:rPr>
        <w:t>26 </w:t>
      </w:r>
      <w:r>
        <w:rPr/>
        <w:t>Este modelo se aplica con la finalidad de fortalecer el capital en detrimento del trabajo, y es precisamente la televisión el espacio adecuado para fortalecer este formato. Un ejemplo en México, es el caso de las pensiones, de las</w:t>
      </w:r>
    </w:p>
    <w:p>
      <w:pPr>
        <w:pStyle w:val="BodyText"/>
        <w:spacing w:line="357" w:lineRule="auto" w:before="16"/>
        <w:ind w:left="684" w:right="126"/>
        <w:jc w:val="both"/>
      </w:pPr>
      <w:r>
        <w:rPr/>
        <w:t>cuales se ha difundido la idea, de que son un gasto oneroso para el estado que puede ser excluido de la responsabilidad del mismo.</w:t>
      </w:r>
    </w:p>
    <w:p>
      <w:pPr>
        <w:pStyle w:val="BodyText"/>
        <w:spacing w:line="355" w:lineRule="auto" w:before="8"/>
        <w:ind w:left="684" w:right="115" w:firstLine="404"/>
        <w:jc w:val="both"/>
      </w:pPr>
      <w:r>
        <w:rPr/>
        <w:t>Advirtiendo este fenómeno de expansión inusitada del capital y el poder  político en esta era de globalización, es posible observar cómo los estados para preservar su poder, y conservar sus privilegios utilizan los medios (televisión) para transmitir, afirmar e imponer el sistema normativo y moral necesario a sus intereses, evitando ejercer la violencia física aunque si utilizan en este caso la "simbólica"- que permite a la clase dominante, y también por lo mismo, clase "privilegiada", como dijera Chomsky, mantener a “la plebe” a raya.</w:t>
      </w:r>
      <w:r>
        <w:rPr>
          <w:position w:val="11"/>
          <w:sz w:val="16"/>
        </w:rPr>
        <w:t>27 </w:t>
      </w:r>
      <w:r>
        <w:rPr/>
        <w:t>Control que  se ha logrado por medio de la centralización de los grandes aparatos de poder;</w:t>
      </w:r>
      <w:r>
        <w:rPr>
          <w:spacing w:val="38"/>
        </w:rPr>
        <w:t> </w:t>
      </w:r>
      <w:r>
        <w:rPr/>
        <w:t>un</w:t>
      </w:r>
    </w:p>
    <w:p>
      <w:pPr>
        <w:pStyle w:val="BodyText"/>
        <w:spacing w:line="357" w:lineRule="auto" w:before="11"/>
        <w:ind w:left="684" w:right="117"/>
        <w:jc w:val="both"/>
      </w:pPr>
      <w:r>
        <w:rPr/>
        <w:t>ejemplo claro son los grandes consorcios en materia de electrónica, cibernética y telecomunicación.</w:t>
      </w:r>
    </w:p>
    <w:p>
      <w:pPr>
        <w:pStyle w:val="BodyText"/>
        <w:spacing w:before="3"/>
        <w:rPr>
          <w:sz w:val="10"/>
        </w:rPr>
      </w:pPr>
      <w:r>
        <w:rPr/>
        <w:pict>
          <v:line style="position:absolute;mso-position-horizontal-relative:page;mso-position-vertical-relative:paragraph;z-index:1744;mso-wrap-distance-left:0;mso-wrap-distance-right:0" from="99.224998pt,8.17798pt" to="243.274998pt,8.17798pt" stroked="true" strokeweight=".599980pt" strokecolor="#000000">
            <w10:wrap type="topAndBottom"/>
          </v:line>
        </w:pict>
      </w:r>
    </w:p>
    <w:p>
      <w:pPr>
        <w:tabs>
          <w:tab w:pos="2058" w:val="left" w:leader="none"/>
          <w:tab w:pos="3509" w:val="left" w:leader="none"/>
          <w:tab w:pos="4205" w:val="left" w:leader="none"/>
          <w:tab w:pos="5061" w:val="left" w:leader="none"/>
          <w:tab w:pos="6136" w:val="left" w:leader="none"/>
          <w:tab w:pos="6716" w:val="left" w:leader="none"/>
          <w:tab w:pos="8085" w:val="left" w:leader="none"/>
          <w:tab w:pos="9288" w:val="left" w:leader="none"/>
        </w:tabs>
        <w:spacing w:line="240" w:lineRule="auto" w:before="49"/>
        <w:ind w:left="684" w:right="113" w:firstLine="0"/>
        <w:jc w:val="both"/>
        <w:rPr>
          <w:rFonts w:ascii="Calibri" w:hAnsi="Calibri"/>
          <w:sz w:val="18"/>
        </w:rPr>
      </w:pPr>
      <w:r>
        <w:rPr>
          <w:position w:val="9"/>
          <w:sz w:val="12"/>
        </w:rPr>
        <w:t>26 </w:t>
      </w:r>
      <w:r>
        <w:rPr>
          <w:rFonts w:ascii="Calibri" w:hAnsi="Calibri"/>
          <w:sz w:val="18"/>
        </w:rPr>
        <w:t>Chomsky Noam, </w:t>
      </w:r>
      <w:r>
        <w:rPr>
          <w:rFonts w:ascii="Calibri" w:hAnsi="Calibri"/>
          <w:i/>
          <w:sz w:val="18"/>
        </w:rPr>
        <w:t>El control de nuestras vidas</w:t>
      </w:r>
      <w:r>
        <w:rPr>
          <w:rFonts w:ascii="Calibri" w:hAnsi="Calibri"/>
          <w:sz w:val="18"/>
        </w:rPr>
        <w:t>, “Déjenme citar al Banco Mundial, que expone la cuestión sin tapujos. Dice: "el incremento de la flexibilidad en el mercado de trabajo, a pesar de su mala fama, y de que se ha adoptado como un eufemismo de disminución de salarios y de despido de trabajadores" </w:t>
      </w:r>
      <w:r>
        <w:rPr>
          <w:rFonts w:ascii="Calibri" w:hAnsi="Calibri"/>
          <w:spacing w:val="3"/>
          <w:sz w:val="18"/>
        </w:rPr>
        <w:t>(que </w:t>
      </w:r>
      <w:r>
        <w:rPr>
          <w:rFonts w:ascii="Calibri" w:hAnsi="Calibri"/>
          <w:sz w:val="18"/>
        </w:rPr>
        <w:t>es exactamente lo que es) "es esencial en todas las regiones del mundo (...) Las reformas más importantes implican el levantamiento de restricciones a la movilidad laboral y la flexibilidad salarial, así como desvincular los servicios sociales de los contratos laborales". Esto significa rebajar los beneficios y los derechos que se han conquistado por varias generaciones y tras una dura lucha. Cuando se habla de rebajar las restricciones a la flexibilidad salarial, quieren decir flexibilidad hacia abajo, no hacia arriba. Cuando se habla de movilidad laboral no se hace referencia al derecho de la gente de mudarse allá donde quiera, tal como ha sido siempre reclamado desde la teoría del libre mercado, desde Adam Smith, sino más bien se hace referencia al derecho de despedir trabajadores cuando convenga la actual versión de la globalización basada en los inversores el capital y las empresas deben tener libertad de movimientos, pero no así la gente, ya que sus derechos son secundarios,</w:t>
        <w:tab/>
        <w:t>anecdóticos.”</w:t>
        <w:tab/>
        <w:t>[en</w:t>
        <w:tab/>
        <w:t>línea]</w:t>
        <w:tab/>
        <w:t>consulta</w:t>
        <w:tab/>
        <w:t>el</w:t>
        <w:tab/>
        <w:t>04/08/2012,</w:t>
        <w:tab/>
        <w:t>disponible</w:t>
        <w:tab/>
        <w:t>en: </w:t>
      </w:r>
      <w:hyperlink r:id="rId15">
        <w:r>
          <w:rPr>
            <w:rFonts w:ascii="Calibri" w:hAnsi="Calibri"/>
            <w:color w:val="0000FF"/>
            <w:sz w:val="18"/>
            <w:u w:val="single" w:color="0000FF"/>
          </w:rPr>
          <w:t>http://www.inventati.org/ingobernables/textos/anarquistas/chomsky-control.pdf</w:t>
        </w:r>
        <w:r>
          <w:rPr>
            <w:rFonts w:ascii="Calibri" w:hAnsi="Calibri"/>
            <w:sz w:val="18"/>
          </w:rPr>
          <w:t>.</w:t>
        </w:r>
      </w:hyperlink>
    </w:p>
    <w:p>
      <w:pPr>
        <w:spacing w:line="220" w:lineRule="exact" w:before="0"/>
        <w:ind w:left="684" w:right="0" w:firstLine="0"/>
        <w:jc w:val="both"/>
        <w:rPr>
          <w:rFonts w:ascii="Calibri" w:hAnsi="Calibri"/>
          <w:sz w:val="18"/>
        </w:rPr>
      </w:pPr>
      <w:r>
        <w:rPr>
          <w:position w:val="9"/>
          <w:sz w:val="12"/>
        </w:rPr>
        <w:t>27  </w:t>
      </w:r>
      <w:r>
        <w:rPr>
          <w:rFonts w:ascii="Calibri" w:hAnsi="Calibri"/>
          <w:sz w:val="18"/>
        </w:rPr>
        <w:t>Véase Noam Chomsky en </w:t>
      </w:r>
      <w:r>
        <w:rPr>
          <w:rFonts w:ascii="Calibri" w:hAnsi="Calibri"/>
          <w:i/>
          <w:sz w:val="18"/>
        </w:rPr>
        <w:t>Como mantener a raya a la plebe</w:t>
      </w:r>
      <w:r>
        <w:rPr>
          <w:rFonts w:ascii="Calibri" w:hAnsi="Calibri"/>
          <w:sz w:val="18"/>
        </w:rPr>
        <w:t>, Siglo XXI, México, 2002. En esta obra el autor versa sobre</w:t>
      </w:r>
    </w:p>
    <w:p>
      <w:pPr>
        <w:spacing w:before="0"/>
        <w:ind w:left="684" w:right="120" w:firstLine="0"/>
        <w:jc w:val="both"/>
        <w:rPr>
          <w:rFonts w:ascii="Calibri" w:hAnsi="Calibri"/>
          <w:sz w:val="18"/>
        </w:rPr>
      </w:pPr>
      <w:r>
        <w:rPr>
          <w:rFonts w:ascii="Calibri" w:hAnsi="Calibri"/>
          <w:sz w:val="18"/>
        </w:rPr>
        <w:t>las acciones emprendidas por el sistema capitalista imperialista para lograr el control de las masas y sobre todo de las clases trabajadoras, que se consideran opuestas al sistema, a través de los medios de comunicación masiva, como son la televisión, la radio o la prensa escrita.</w:t>
      </w:r>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81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4" w:firstLine="271"/>
        <w:jc w:val="both"/>
      </w:pPr>
      <w:r>
        <w:rPr/>
        <w:t>Este trabajo se ubica temporalmente de 1980 al 2008 en América Latina, contextualizado geográficamente en Honduras y México para demostrar como la televisión utilizada por las clases dominantes, ha afianzado desde la década de los ochenta del siglo XX, en México y Honduras su poder, convirtiéndola en instrumento eficiente y adecuado para influir en las masas, a partir de la construcción de una imagen falsa de la realidad, dirigida hacia los intereses de mercado, a través de su competencia que, acompañada de la mercadotecnia, logra crear necesidades no indispensables para la naturaleza humana; exacerbando sentimientos hedonistas, propiciando el consumismo, el egoísmo y la indiferencia ante la realidad social, aceptando sin cuestionamientos los contenidos emitidos por el ente televisivo, y consecuentemente, disminuyendo en el individuo su libertad al ser inducido de manera simbólica, cautivándolo hacia los intereses del</w:t>
      </w:r>
      <w:r>
        <w:rPr>
          <w:spacing w:val="-12"/>
        </w:rPr>
        <w:t> </w:t>
      </w:r>
      <w:r>
        <w:rPr/>
        <w:t>sistema.</w:t>
      </w:r>
    </w:p>
    <w:p>
      <w:pPr>
        <w:pStyle w:val="BodyText"/>
        <w:spacing w:line="360" w:lineRule="auto" w:before="2"/>
        <w:ind w:left="264" w:right="218" w:firstLine="404"/>
        <w:jc w:val="both"/>
      </w:pPr>
      <w:r>
        <w:rPr/>
        <w:t>Esta investigación es una muestra de lo que sucedió el siglo pasado a partir de los 80s, época en la que el mundo se ve sitiado bajo la influencia de las potencias que utilizan la ciencia y la tecnología, en especial los descubrimientos en materia de comunicaciones, para convencer conciencias, lograr el máximo de ganancias económicas, un extremo control social y la mayor explotación en los países también llamados marginados, a los que se les utilizó como mano de obra barata y</w:t>
      </w:r>
    </w:p>
    <w:p>
      <w:pPr>
        <w:pStyle w:val="BodyText"/>
        <w:spacing w:line="331" w:lineRule="auto" w:before="2"/>
        <w:ind w:left="264"/>
        <w:rPr>
          <w:sz w:val="16"/>
        </w:rPr>
      </w:pPr>
      <w:r>
        <w:rPr/>
        <w:t>a la vez como mercado para el consumo de artículos necesarios y no necesarios para la naturaleza humana.</w:t>
      </w:r>
      <w:r>
        <w:rPr>
          <w:position w:val="11"/>
          <w:sz w:val="16"/>
        </w:rPr>
        <w:t>28</w:t>
      </w:r>
    </w:p>
    <w:p>
      <w:pPr>
        <w:pStyle w:val="BodyText"/>
        <w:spacing w:line="360" w:lineRule="auto" w:before="20"/>
        <w:ind w:left="264" w:right="214" w:firstLine="404"/>
        <w:jc w:val="both"/>
      </w:pPr>
      <w:r>
        <w:rPr/>
        <w:t>Contextualizado, este trabajo, en la década de los ochenta, también llamada la década pérdida del siglo XX y principios del siglo XXI que representa una crisis paradigmática en distintos ámbitos de la vida cultural, social y política de América Latina, cuyo modelo de racionalidad da señales de desgaste pernicioso que se refleja en la pobreza, en el desplazamiento del Estado benefactor, en la exigencia de instalar estados democráticos no autoritarios e incluso la inserción de un modelo   económico   impuesto   por   los   países   desarrollados   a   los   </w:t>
      </w:r>
      <w:r>
        <w:rPr>
          <w:spacing w:val="65"/>
        </w:rPr>
        <w:t> </w:t>
      </w:r>
      <w:r>
        <w:rPr/>
        <w:t>países</w:t>
      </w:r>
    </w:p>
    <w:p>
      <w:pPr>
        <w:pStyle w:val="BodyText"/>
        <w:spacing w:before="3"/>
        <w:rPr>
          <w:sz w:val="15"/>
        </w:rPr>
      </w:pPr>
      <w:r>
        <w:rPr/>
        <w:pict>
          <v:line style="position:absolute;mso-position-horizontal-relative:page;mso-position-vertical-relative:paragraph;z-index:1792;mso-wrap-distance-left:0;mso-wrap-distance-right:0" from="99.224998pt,11.063891pt" to="243.274998pt,11.063891pt" stroked="true" strokeweight=".60004pt" strokecolor="#000000">
            <w10:wrap type="topAndBottom"/>
          </v:line>
        </w:pict>
      </w:r>
    </w:p>
    <w:p>
      <w:pPr>
        <w:spacing w:before="48"/>
        <w:ind w:left="264" w:right="211" w:firstLine="0"/>
        <w:jc w:val="both"/>
        <w:rPr>
          <w:rFonts w:ascii="Calibri" w:hAnsi="Calibri"/>
          <w:sz w:val="18"/>
        </w:rPr>
      </w:pPr>
      <w:r>
        <w:rPr>
          <w:position w:val="9"/>
          <w:sz w:val="12"/>
        </w:rPr>
        <w:t>28 </w:t>
      </w:r>
      <w:r>
        <w:rPr>
          <w:rFonts w:ascii="Calibri" w:hAnsi="Calibri"/>
          <w:sz w:val="18"/>
        </w:rPr>
        <w:t>Noam Chomsky en </w:t>
      </w:r>
      <w:r>
        <w:rPr>
          <w:rFonts w:ascii="Calibri" w:hAnsi="Calibri"/>
          <w:i/>
          <w:sz w:val="18"/>
        </w:rPr>
        <w:t>Cómo nos venden la moto </w:t>
      </w:r>
      <w:r>
        <w:rPr>
          <w:rFonts w:ascii="Calibri" w:hAnsi="Calibri"/>
          <w:sz w:val="18"/>
        </w:rPr>
        <w:t>discurre sobre la invasión de Estados Unidos (EUA) a los países latinoamericanos y en vías de desarrollo a nivel mundial, demuestra cómo esta superpotencia usa diferentes estrategias, entre ellas el uso de los medios impresos y de la televisión, para dominar a los países pobres, para promover su mercado y observa cómo para lograr su objetivo impone su modelo de desarrollo aún a costa de la muerte y devastación de estos pueblos. CHOMSKY, Noam y RAMONET Ignacio, </w:t>
      </w:r>
      <w:r>
        <w:rPr>
          <w:rFonts w:ascii="Calibri" w:hAnsi="Calibri"/>
          <w:i/>
          <w:sz w:val="18"/>
        </w:rPr>
        <w:t>¿Cómo nos venden la moto? </w:t>
      </w:r>
      <w:r>
        <w:rPr>
          <w:rFonts w:ascii="Calibri" w:hAnsi="Calibri"/>
          <w:sz w:val="18"/>
        </w:rPr>
        <w:t>Icaria, Barcelona, 2002, p. 199.</w:t>
      </w:r>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84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8"/>
        <w:jc w:val="both"/>
      </w:pPr>
      <w:r>
        <w:rPr/>
        <w:t>subdesarrollados, colonizados; imposiciones que promovieron nuevos estilos de democracia con grandes consecuencias sociales. En este contexto, la década de los 90's se presenta con problemas relevantes, derivados de la acumulación de capitales (de la fuga de capitales en México y Honduras) de la disminución del estado de bienestar y el deterioro de las clases trabajadoras.</w:t>
      </w:r>
    </w:p>
    <w:p>
      <w:pPr>
        <w:pStyle w:val="BodyText"/>
        <w:spacing w:line="360" w:lineRule="auto" w:before="2"/>
        <w:ind w:left="684" w:right="117" w:firstLine="336"/>
        <w:jc w:val="both"/>
      </w:pPr>
      <w:r>
        <w:rPr/>
        <w:t>En las sociedades de estas naciones la programación y propaganda que transmite la televisión al servicio de las potencias económicas mundiales, ha encontrado un campo fértil para deformar conciencias para suplir al estado en el ámbito de la educación y formación de sus ciudadanos, quienes frente a los medios se encuentran indefensos ante el bombardeo de información no asimilada, ( es común observar que hasta en los hogares más empobrecidos cuentan con la magia del televisor) que les sitúa en una posición de conciencias ofuscadas, con ánimos inconscientes dirigidos hacia los intereses de los dueños del aparato productivo.</w:t>
      </w:r>
    </w:p>
    <w:p>
      <w:pPr>
        <w:pStyle w:val="BodyText"/>
        <w:spacing w:line="360" w:lineRule="auto" w:before="6"/>
        <w:ind w:left="684" w:right="114" w:firstLine="336"/>
        <w:jc w:val="both"/>
      </w:pPr>
      <w:r>
        <w:rPr/>
        <w:t>Las teorías que fundamentan esta investigación son la teoría esperanzadora de de Erich Fromm, la corriente crítica, política y sociológica de Noam Chomsky y la corriente crítica de la Escuela de Frankfurt: Theodor Adorno y </w:t>
      </w:r>
      <w:r>
        <w:rPr>
          <w:spacing w:val="-2"/>
        </w:rPr>
        <w:t>Max </w:t>
      </w:r>
      <w:r>
        <w:rPr/>
        <w:t>Horkheimer. A </w:t>
      </w:r>
      <w:r>
        <w:rPr>
          <w:spacing w:val="-2"/>
        </w:rPr>
        <w:t>más </w:t>
      </w:r>
      <w:r>
        <w:rPr/>
        <w:t>de otros autores como Zygmunt Bauman, Giovanni Sartori y otros que han analizado el fenómeno de la postmodernidad y/o el impacto de los medios masivos de comunicación; desde sus propuestas se hace un análisis de la situación actual de la sociedad influenciada por el ente televisivo, utilizado como medio de control que condiciona en el individuo el uso de su libertad al influir en la transformación de los estilos de</w:t>
      </w:r>
      <w:r>
        <w:rPr>
          <w:spacing w:val="-13"/>
        </w:rPr>
        <w:t> </w:t>
      </w:r>
      <w:r>
        <w:rPr/>
        <w:t>vida.</w:t>
      </w:r>
    </w:p>
    <w:p>
      <w:pPr>
        <w:pStyle w:val="BodyText"/>
        <w:spacing w:line="360" w:lineRule="auto" w:before="2"/>
        <w:ind w:left="684" w:right="116" w:firstLine="336"/>
        <w:jc w:val="both"/>
      </w:pPr>
      <w:r>
        <w:rPr/>
        <w:t>Para Erich Fromm es necesario darle a la psicología el peso específico para lograr un mejor resultado en el análisis filosófico de la naturaleza del hombre; su propuesta busca las coincidencias entre la filosofía, la ética, la psicología e inclusive la economía, disciplinas que considera deben complementarse para encontrar los principios de una nueva sociedad, en la que un hombre nuevo, con un carácter diferente, inmerso en una nueva estructura social y con un carácter social que respete la naturaleza del hombre, le dé la oportunidad de ser libre, para</w:t>
      </w:r>
    </w:p>
    <w:p>
      <w:pPr>
        <w:spacing w:after="0" w:line="360" w:lineRule="auto"/>
        <w:jc w:val="both"/>
        <w:sectPr>
          <w:pgSz w:w="12240" w:h="15840"/>
          <w:pgMar w:header="0" w:footer="876" w:top="520" w:bottom="1060" w:left="1300" w:right="1300"/>
        </w:sectPr>
      </w:pPr>
    </w:p>
    <w:p>
      <w:pPr>
        <w:pStyle w:val="Heading3"/>
      </w:pPr>
      <w:r>
        <w:rPr/>
        <w:pict>
          <v:line style="position:absolute;mso-position-horizontal-relative:page;mso-position-vertical-relative:paragraph;z-index:188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2"/>
        </w:rPr>
      </w:pPr>
    </w:p>
    <w:p>
      <w:pPr>
        <w:pStyle w:val="BodyText"/>
        <w:spacing w:line="350" w:lineRule="auto" w:before="82"/>
        <w:ind w:left="264" w:right="217"/>
        <w:jc w:val="both"/>
      </w:pPr>
      <w:r>
        <w:rPr/>
        <w:t>lograr su pleno desarrollo.</w:t>
      </w:r>
      <w:r>
        <w:rPr>
          <w:position w:val="11"/>
          <w:sz w:val="16"/>
        </w:rPr>
        <w:t>29 </w:t>
      </w:r>
      <w:r>
        <w:rPr/>
        <w:t>No obstante es importante aclarar que "Fromm era muy conocedor de Freud, lo respetaba y al mismo tiempo era crítico. Conocer su obra le hizo adelantar una visión humanista y esperanzadora del futuro del hombre."</w:t>
      </w:r>
      <w:r>
        <w:rPr>
          <w:position w:val="11"/>
          <w:sz w:val="16"/>
        </w:rPr>
        <w:t>30    </w:t>
      </w:r>
      <w:r>
        <w:rPr/>
        <w:t>Este  autor  tenía  un  concepto  optimista  y  del  ser  humano.     Con</w:t>
      </w:r>
    </w:p>
    <w:p>
      <w:pPr>
        <w:pStyle w:val="BodyText"/>
        <w:spacing w:line="360" w:lineRule="auto"/>
        <w:ind w:left="264" w:right="219"/>
        <w:jc w:val="both"/>
      </w:pPr>
      <w:r>
        <w:rPr/>
        <w:t>profundidad habló de las necesidades básicas del hombre en su rol social y en su conflicto individual, fundamentó muchas cosas en el amor, en la ética, y habló del problema de la autoridad. Sus escritos abordan la problemática de la humanidad, prevé un futuro que puede transformar la naturaleza humana negativamente si no se corrige a tiempo el uso de la ciencia y la tecnología. En su obra se encuentra la interpretación y explicación del porqué de los conflictos sociales.</w:t>
      </w:r>
    </w:p>
    <w:p>
      <w:pPr>
        <w:pStyle w:val="BodyText"/>
        <w:spacing w:line="350" w:lineRule="auto" w:before="6"/>
        <w:ind w:left="264" w:right="213"/>
        <w:jc w:val="both"/>
        <w:rPr>
          <w:sz w:val="16"/>
        </w:rPr>
      </w:pPr>
      <w:r>
        <w:rPr/>
        <w:t>. A su vez en Chomsky encontré las bases teóricas que especifican como necesaria, la capacidad de la sociedad de estar informada y de actuar acorde con sus necesidades e intereses. Para él, cada individuo debe asumir su propio compromiso, de participación y disponibilidad social.</w:t>
      </w:r>
      <w:r>
        <w:rPr>
          <w:position w:val="11"/>
          <w:sz w:val="16"/>
        </w:rPr>
        <w:t>31</w:t>
      </w:r>
    </w:p>
    <w:p>
      <w:pPr>
        <w:pStyle w:val="BodyText"/>
        <w:spacing w:line="357" w:lineRule="auto"/>
        <w:ind w:left="264" w:firstLine="336"/>
      </w:pPr>
      <w:r>
        <w:rPr/>
        <w:pict>
          <v:line style="position:absolute;mso-position-horizontal-relative:page;mso-position-vertical-relative:paragraph;z-index:1864;mso-wrap-distance-left:0;mso-wrap-distance-right:0" from="99.224998pt,47.755867pt" to="243.274998pt,47.755867pt" stroked="true" strokeweight=".600010pt" strokecolor="#000000">
            <w10:wrap type="topAndBottom"/>
          </v:line>
        </w:pict>
      </w:r>
      <w:r>
        <w:rPr/>
        <w:t>La realidad actual de los grupos sociales es algo que fue percibido desde los inicios del siglo pasado y es en la     escuela de Frankfurt donde se encuentran las</w:t>
      </w:r>
    </w:p>
    <w:p>
      <w:pPr>
        <w:spacing w:before="48"/>
        <w:ind w:left="264" w:right="213" w:firstLine="0"/>
        <w:jc w:val="both"/>
        <w:rPr>
          <w:rFonts w:ascii="Calibri" w:hAnsi="Calibri"/>
          <w:sz w:val="18"/>
        </w:rPr>
      </w:pPr>
      <w:r>
        <w:rPr>
          <w:position w:val="9"/>
          <w:sz w:val="12"/>
        </w:rPr>
        <w:t>29 </w:t>
      </w:r>
      <w:r>
        <w:rPr>
          <w:rFonts w:ascii="Calibri" w:hAnsi="Calibri"/>
          <w:i/>
          <w:sz w:val="18"/>
        </w:rPr>
        <w:t>La revolución de la esperanza </w:t>
      </w:r>
      <w:r>
        <w:rPr>
          <w:rFonts w:ascii="Calibri" w:hAnsi="Calibri"/>
          <w:sz w:val="18"/>
        </w:rPr>
        <w:t>de Fromm es la propuesta. Pero para ello se requiere una sociedad crítica, un ser humano desarrollado como persona con sus propios atributos y con la posibilidad de fortalecer su humanidad desde su capacidad de amar a la vida (</w:t>
      </w:r>
      <w:r>
        <w:rPr>
          <w:rFonts w:ascii="Calibri" w:hAnsi="Calibri"/>
          <w:i/>
          <w:sz w:val="18"/>
        </w:rPr>
        <w:t>biofilia</w:t>
      </w:r>
      <w:r>
        <w:rPr>
          <w:rFonts w:ascii="Calibri" w:hAnsi="Calibri"/>
          <w:sz w:val="18"/>
        </w:rPr>
        <w:t>). FROMM, Erich, </w:t>
      </w:r>
      <w:r>
        <w:rPr>
          <w:rFonts w:ascii="Calibri" w:hAnsi="Calibri"/>
          <w:i/>
          <w:sz w:val="18"/>
        </w:rPr>
        <w:t>La revolución de la esperanza</w:t>
      </w:r>
      <w:r>
        <w:rPr>
          <w:rFonts w:ascii="Calibri" w:hAnsi="Calibri"/>
          <w:sz w:val="18"/>
        </w:rPr>
        <w:t>, Fondo de Cultura Económica, México, 2002.</w:t>
      </w:r>
    </w:p>
    <w:p>
      <w:pPr>
        <w:spacing w:line="220" w:lineRule="exact" w:before="0"/>
        <w:ind w:left="264" w:right="0" w:firstLine="0"/>
        <w:jc w:val="both"/>
        <w:rPr>
          <w:rFonts w:ascii="Calibri" w:hAnsi="Calibri"/>
          <w:sz w:val="18"/>
        </w:rPr>
      </w:pPr>
      <w:r>
        <w:rPr>
          <w:position w:val="9"/>
          <w:sz w:val="12"/>
        </w:rPr>
        <w:t>30 </w:t>
      </w:r>
      <w:r>
        <w:rPr>
          <w:rFonts w:ascii="Calibri" w:hAnsi="Calibri"/>
          <w:sz w:val="18"/>
        </w:rPr>
        <w:t>CASTRO, José Alberto, “En su centenario, Erich Fromm, en el diván de sus discípulos,” Revista </w:t>
      </w:r>
      <w:r>
        <w:rPr>
          <w:rFonts w:ascii="Calibri" w:hAnsi="Calibri"/>
          <w:i/>
          <w:sz w:val="18"/>
        </w:rPr>
        <w:t>Proceso, </w:t>
      </w:r>
      <w:r>
        <w:rPr>
          <w:rFonts w:ascii="Calibri" w:hAnsi="Calibri"/>
          <w:sz w:val="18"/>
        </w:rPr>
        <w:t>1222 Cultura</w:t>
      </w:r>
    </w:p>
    <w:p>
      <w:pPr>
        <w:spacing w:line="203" w:lineRule="exact" w:before="0"/>
        <w:ind w:left="264" w:right="0" w:firstLine="0"/>
        <w:jc w:val="both"/>
        <w:rPr>
          <w:rFonts w:ascii="Calibri" w:hAnsi="Calibri"/>
          <w:sz w:val="18"/>
        </w:rPr>
      </w:pPr>
      <w:r>
        <w:rPr>
          <w:rFonts w:ascii="Calibri" w:hAnsi="Calibri"/>
          <w:sz w:val="18"/>
        </w:rPr>
        <w:t>No. 29, [en línea] consulta 24/08/2012, disponible en: </w:t>
      </w:r>
      <w:hyperlink r:id="rId21">
        <w:r>
          <w:rPr>
            <w:rFonts w:ascii="Calibri" w:hAnsi="Calibri"/>
            <w:color w:val="0000FF"/>
            <w:sz w:val="18"/>
            <w:u w:val="single" w:color="0000FF"/>
          </w:rPr>
          <w:t>http://www.psiconet.org/fromm/fromm.htm</w:t>
        </w:r>
        <w:r>
          <w:rPr>
            <w:rFonts w:ascii="Calibri" w:hAnsi="Calibri"/>
            <w:sz w:val="18"/>
          </w:rPr>
          <w:t>.</w:t>
        </w:r>
      </w:hyperlink>
    </w:p>
    <w:p>
      <w:pPr>
        <w:spacing w:line="220" w:lineRule="exact" w:before="12"/>
        <w:ind w:left="264" w:right="209" w:firstLine="0"/>
        <w:jc w:val="both"/>
        <w:rPr>
          <w:rFonts w:ascii="Calibri" w:hAnsi="Calibri"/>
          <w:sz w:val="18"/>
        </w:rPr>
      </w:pPr>
      <w:r>
        <w:rPr>
          <w:rFonts w:ascii="Calibri" w:hAnsi="Calibri"/>
          <w:position w:val="9"/>
          <w:sz w:val="12"/>
        </w:rPr>
        <w:t>31 </w:t>
      </w:r>
      <w:r>
        <w:rPr>
          <w:rFonts w:ascii="Calibri" w:hAnsi="Calibri"/>
          <w:sz w:val="18"/>
        </w:rPr>
        <w:t>Noam Chomsky advierte e informa sobre la influencia de uno de los países más poderosos de la tierra. De hecho va más allá del concepto tradicional de los medios, penetra en la verdad y encuentra la realidad oculta tras los telones del poder, de la dominación institucional que antes que nada busca su beneficio. Descubre los procesos de desinformación a que es sometida la sociedad, el proceso de indoctrinación ubicado en un contexto de necesidad de los seres humanos y que los obnubila para no percibir su propia realidad. Se ocupa del análisis del marketing, la publicidad, las industrias   de</w:t>
      </w:r>
    </w:p>
    <w:p>
      <w:pPr>
        <w:spacing w:line="240" w:lineRule="auto" w:before="5"/>
        <w:ind w:left="264" w:right="210" w:firstLine="0"/>
        <w:jc w:val="both"/>
        <w:rPr>
          <w:rFonts w:ascii="Calibri" w:hAnsi="Calibri"/>
          <w:sz w:val="18"/>
        </w:rPr>
      </w:pPr>
      <w:r>
        <w:rPr>
          <w:rFonts w:ascii="Calibri" w:hAnsi="Calibri"/>
          <w:sz w:val="18"/>
        </w:rPr>
        <w:t>las relaciones públicas y los institutos de opinión usados sistemáticamente para reforzar los intereses de las élites de negocios. Además, advierte sobre los influyentes </w:t>
      </w:r>
      <w:r>
        <w:rPr>
          <w:rFonts w:ascii="Calibri" w:hAnsi="Calibri"/>
          <w:i/>
          <w:sz w:val="18"/>
        </w:rPr>
        <w:t>lobbies </w:t>
      </w:r>
      <w:r>
        <w:rPr>
          <w:rFonts w:ascii="Calibri" w:hAnsi="Calibri"/>
          <w:sz w:val="18"/>
        </w:rPr>
        <w:t>religiosos y económicos que han usado con frecuencia el sistema educativo y las comunicaciones electrónicas centralizadas para influir en cierto sentido en la opinión pública. Ese tipo de prácticas provoca restricciones sobre el grado de democracia que puede alcanzarse, dado que la mayor parte de los ciudadanos no recibe la información necesaria para hacer decisiones racionales sobre asuntos éticos, sociales y económicos, sino que sólo se recibe la información que estos </w:t>
      </w:r>
      <w:r>
        <w:rPr>
          <w:rFonts w:ascii="Calibri" w:hAnsi="Calibri"/>
          <w:i/>
          <w:sz w:val="18"/>
        </w:rPr>
        <w:t>lobbies </w:t>
      </w:r>
      <w:r>
        <w:rPr>
          <w:rFonts w:ascii="Calibri" w:hAnsi="Calibri"/>
          <w:sz w:val="18"/>
        </w:rPr>
        <w:t>permiten.*</w:t>
      </w:r>
    </w:p>
    <w:p>
      <w:pPr>
        <w:spacing w:before="0"/>
        <w:ind w:left="264" w:right="214" w:firstLine="199"/>
        <w:jc w:val="both"/>
        <w:rPr>
          <w:rFonts w:ascii="Calibri" w:hAnsi="Calibri"/>
          <w:sz w:val="18"/>
        </w:rPr>
      </w:pPr>
      <w:r>
        <w:rPr>
          <w:rFonts w:ascii="Calibri" w:hAnsi="Calibri"/>
          <w:sz w:val="18"/>
        </w:rPr>
        <w:t>*Un </w:t>
      </w:r>
      <w:r>
        <w:rPr>
          <w:rFonts w:ascii="Calibri" w:hAnsi="Calibri"/>
          <w:i/>
          <w:sz w:val="18"/>
        </w:rPr>
        <w:t>lobby </w:t>
      </w:r>
      <w:r>
        <w:rPr>
          <w:rFonts w:ascii="Calibri" w:hAnsi="Calibri"/>
          <w:sz w:val="18"/>
        </w:rPr>
        <w:t>(del inglés "vestíbulo", "salón de espera") es un colectivo con intereses comunes que realiza acciones dirigidas a influir ante la Administración Pública para promover decisiones favorables a los intereses de ese sector concreto de la sociedad. En principio, la actividad del </w:t>
      </w:r>
      <w:r>
        <w:rPr>
          <w:rFonts w:ascii="Calibri" w:hAnsi="Calibri"/>
          <w:i/>
          <w:sz w:val="18"/>
        </w:rPr>
        <w:t>lobby </w:t>
      </w:r>
      <w:r>
        <w:rPr>
          <w:rFonts w:ascii="Calibri" w:hAnsi="Calibri"/>
          <w:sz w:val="18"/>
        </w:rPr>
        <w:t>(denominada en inglés </w:t>
      </w:r>
      <w:r>
        <w:rPr>
          <w:rFonts w:ascii="Calibri" w:hAnsi="Calibri"/>
          <w:i/>
          <w:sz w:val="18"/>
        </w:rPr>
        <w:t>Government Relations </w:t>
      </w:r>
      <w:r>
        <w:rPr>
          <w:rFonts w:ascii="Calibri" w:hAnsi="Calibri"/>
          <w:sz w:val="18"/>
        </w:rPr>
        <w:t>o GR) es legítima, ya que lleva ante el poder político las opiniones e intereses de los implicados en las decisiones de los poderes públicos y, en los últimos años se han hecho avances </w:t>
      </w:r>
      <w:r>
        <w:rPr>
          <w:rFonts w:ascii="Calibri" w:hAnsi="Calibri"/>
          <w:spacing w:val="-3"/>
          <w:sz w:val="18"/>
        </w:rPr>
        <w:t>en </w:t>
      </w:r>
      <w:r>
        <w:rPr>
          <w:rFonts w:ascii="Calibri" w:hAnsi="Calibri"/>
          <w:sz w:val="18"/>
        </w:rPr>
        <w:t>su regulación, lo que para muchos autores implica contribuir a  su transparencia y normalización. El </w:t>
      </w:r>
      <w:r>
        <w:rPr>
          <w:rFonts w:ascii="Calibri" w:hAnsi="Calibri"/>
          <w:i/>
          <w:sz w:val="18"/>
        </w:rPr>
        <w:t>lobby </w:t>
      </w:r>
      <w:r>
        <w:rPr>
          <w:rFonts w:ascii="Calibri" w:hAnsi="Calibri"/>
          <w:sz w:val="18"/>
        </w:rPr>
        <w:t>tiene una amplia tradición en Estados Unidos, donde su práctica ha sido entendida como una colaboración necesaria entre la sociedad y los poderes públicos para el ejercicio eficaz de la política. Se atribuye a Kennedy la popular frase: “los </w:t>
      </w:r>
      <w:r>
        <w:rPr>
          <w:rFonts w:ascii="Calibri" w:hAnsi="Calibri"/>
          <w:i/>
          <w:sz w:val="18"/>
        </w:rPr>
        <w:t>lobbistas </w:t>
      </w:r>
      <w:r>
        <w:rPr>
          <w:rFonts w:ascii="Calibri" w:hAnsi="Calibri"/>
          <w:sz w:val="18"/>
        </w:rPr>
        <w:t>me hacen entender un problema en 10 minutos, mientras que mis colaboradores tardan tres días”. En la Unión Europea los </w:t>
      </w:r>
      <w:r>
        <w:rPr>
          <w:rFonts w:ascii="Calibri" w:hAnsi="Calibri"/>
          <w:i/>
          <w:sz w:val="18"/>
        </w:rPr>
        <w:t>lobbies </w:t>
      </w:r>
      <w:r>
        <w:rPr>
          <w:rFonts w:ascii="Calibri" w:hAnsi="Calibri"/>
          <w:sz w:val="18"/>
        </w:rPr>
        <w:t>están regulados a través de un registro público que fue inaugurado en junio de 2008 en pro de asegurar la transparencia. WIKIPEDIA [en línea] consulta 28/11/2009, disponible en:</w:t>
      </w:r>
      <w:r>
        <w:rPr>
          <w:rFonts w:ascii="Calibri" w:hAnsi="Calibri"/>
          <w:spacing w:val="-19"/>
          <w:sz w:val="18"/>
        </w:rPr>
        <w:t> </w:t>
      </w:r>
      <w:hyperlink r:id="rId22">
        <w:r>
          <w:rPr>
            <w:rFonts w:ascii="Calibri" w:hAnsi="Calibri"/>
            <w:color w:val="0000FF"/>
            <w:sz w:val="18"/>
            <w:u w:val="single" w:color="0000FF"/>
          </w:rPr>
          <w:t>http://es.wikipedia.org/wiki/Lobby</w:t>
        </w:r>
        <w:r>
          <w:rPr>
            <w:rFonts w:ascii="Calibri" w:hAnsi="Calibri"/>
            <w:sz w:val="18"/>
          </w:rPr>
          <w:t>.</w:t>
        </w:r>
      </w:hyperlink>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93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6"/>
        <w:jc w:val="both"/>
      </w:pPr>
      <w:r>
        <w:rPr/>
        <w:t>primeras advertencias del devenir capitalista que se sustenta en la mediatización, para hacer de los hombres un recurso más de explotación, pero no cualquier tipo de explotación, sino de un proceso refinado, sin coerción, sin violencia, sutil, llevando a los hombres a una falsa felicidad. Su filosofía crítica percibe como el sistema utilizando la ideología y la técnica como medio de sometimiento, se desarrolla al amparo de un proceso de racionalismo industrial: que corresponde al concepto que sirve “[…] para definir la forma de la actividad económica capitalista, del  tráfico  social  regido  por  el  derecho  privado  burgués  y  de  la   dominación</w:t>
      </w:r>
    </w:p>
    <w:p>
      <w:pPr>
        <w:pStyle w:val="BodyText"/>
        <w:spacing w:line="282" w:lineRule="exact"/>
        <w:ind w:left="684"/>
        <w:jc w:val="both"/>
      </w:pPr>
      <w:r>
        <w:rPr/>
        <w:t>burocrática […] en segundo lugar la industrialización del trabajo social.”</w:t>
      </w:r>
      <w:r>
        <w:rPr>
          <w:position w:val="11"/>
          <w:sz w:val="16"/>
        </w:rPr>
        <w:t>32  </w:t>
      </w:r>
      <w:r>
        <w:rPr/>
        <w:t>Y por</w:t>
      </w:r>
    </w:p>
    <w:p>
      <w:pPr>
        <w:pStyle w:val="BodyText"/>
        <w:spacing w:line="362" w:lineRule="auto" w:before="136"/>
        <w:ind w:left="684" w:right="123"/>
        <w:jc w:val="both"/>
      </w:pPr>
      <w:r>
        <w:rPr/>
        <w:t>otro lado su impacto en el uso de los medios para el control político y económico y la diseminación de una determinada ideología.</w:t>
      </w:r>
    </w:p>
    <w:p>
      <w:pPr>
        <w:pStyle w:val="BodyText"/>
        <w:spacing w:line="360" w:lineRule="auto"/>
        <w:ind w:left="684" w:right="115" w:firstLine="336"/>
        <w:jc w:val="both"/>
      </w:pPr>
      <w:r>
        <w:rPr/>
        <w:t>Esta ideología implica al mundo en que viven los hombres con la televisión, sus relaciones con la naturaleza y la sociedad, con otros hombres, con su propia actividad y la forma como reaccionan ante ella y ante la ideología del estado que sustenta un conjunto de conceptos con coherencia relativa de representaciones, valores y creencias que los agentes de una formación social respaldan en la medida en que participan de ella, además de las actividades económicas y políticas, religiosas, morales, estéticas, filosóficas, etc.</w:t>
      </w:r>
    </w:p>
    <w:p>
      <w:pPr>
        <w:pStyle w:val="BodyText"/>
        <w:spacing w:line="360" w:lineRule="auto" w:before="6"/>
        <w:ind w:left="684" w:right="121" w:firstLine="336"/>
        <w:jc w:val="both"/>
      </w:pPr>
      <w:r>
        <w:rPr/>
        <w:t>En relación a esto, el ente televisivo ha sido el instrumento que ha puesto al alcance de las masas contenidos relacionados con todos esos aspectos ideológicos, además de proporcionar la recreación necesaria para la salud mental del individuo por medio del sonido y la imagen y el aporte de contenidos constituidos como arte, que sin este medio sería imposible obtener, y con ello se da cumplimiento a las necesidades del hombre de curiosidad, de saber y  diversión.</w:t>
      </w:r>
    </w:p>
    <w:p>
      <w:pPr>
        <w:pStyle w:val="BodyText"/>
        <w:spacing w:line="360" w:lineRule="auto" w:before="2"/>
        <w:ind w:left="684" w:right="116" w:firstLine="271"/>
        <w:jc w:val="both"/>
      </w:pPr>
      <w:r>
        <w:rPr/>
        <w:t>Y, desde este enfoque, el aparato televisor como receptor de los contenidos emanados de la organización de la industria cultural televisiva ha dado a los televidentes la más plena de las satisfacciones: conocer y divertirse, por medio de la producción del entretenimiento, que por su extensión en tiempo y espacio, supera en esta época, cualquier otra  forma de recreación.</w:t>
      </w:r>
    </w:p>
    <w:p>
      <w:pPr>
        <w:pStyle w:val="BodyText"/>
        <w:spacing w:before="9"/>
        <w:rPr>
          <w:sz w:val="27"/>
        </w:rPr>
      </w:pPr>
      <w:r>
        <w:rPr/>
        <w:pict>
          <v:line style="position:absolute;mso-position-horizontal-relative:page;mso-position-vertical-relative:paragraph;z-index:1912;mso-wrap-distance-left:0;mso-wrap-distance-right:0" from="99.224998pt,18.258888pt" to="243.274998pt,18.258888pt" stroked="true" strokeweight=".60004pt" strokecolor="#000000">
            <w10:wrap type="topAndBottom"/>
          </v:line>
        </w:pict>
      </w:r>
    </w:p>
    <w:p>
      <w:pPr>
        <w:spacing w:before="48"/>
        <w:ind w:left="684" w:right="114" w:firstLine="0"/>
        <w:jc w:val="left"/>
        <w:rPr>
          <w:rFonts w:ascii="Calibri" w:hAnsi="Calibri"/>
          <w:sz w:val="18"/>
        </w:rPr>
      </w:pPr>
      <w:r>
        <w:rPr>
          <w:position w:val="9"/>
          <w:sz w:val="12"/>
        </w:rPr>
        <w:t>32 </w:t>
      </w:r>
      <w:r>
        <w:rPr>
          <w:rFonts w:ascii="Calibri" w:hAnsi="Calibri"/>
          <w:sz w:val="18"/>
        </w:rPr>
        <w:t>HABERMÁS, Jürgen,  </w:t>
      </w:r>
      <w:r>
        <w:rPr>
          <w:rFonts w:ascii="Calibri" w:hAnsi="Calibri"/>
          <w:i/>
          <w:sz w:val="18"/>
        </w:rPr>
        <w:t>Ciencia y técnica como “ideología</w:t>
      </w:r>
      <w:r>
        <w:rPr>
          <w:rFonts w:ascii="Calibri" w:hAnsi="Calibri"/>
          <w:sz w:val="18"/>
        </w:rPr>
        <w:t>”, Tecnos, Madrid, 1994, p. 53.</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98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9" w:firstLine="336"/>
        <w:jc w:val="both"/>
      </w:pPr>
      <w:r>
        <w:rPr/>
        <w:t>Inclusive a nivel de establecimiento de la agenda pública de corto plazo la televisión es determinante. Ésta propone temas y personajes estereotipados, que nada tienen que ver con la realidad cercana, para alejar a los individuos de los grandes problemas nacionales. Horkheimer y Adorno prevén que el desarrollo de las nuevas sociedades capitalistas ha creado un nuevo instrumento de control de las masas (la televisión) que es el fundamento del poder que se fortalece de una manera tenue pero brutal, que atenta contra la libertad y la razón, que exacerba los sentidos y provoca sentimientos que estandarizan a la sociedad, que la homogeneizan, que le crean</w:t>
      </w:r>
      <w:r>
        <w:rPr>
          <w:spacing w:val="-22"/>
        </w:rPr>
        <w:t> </w:t>
      </w:r>
      <w:r>
        <w:rPr/>
        <w:t>necesidades.</w:t>
      </w:r>
    </w:p>
    <w:p>
      <w:pPr>
        <w:pStyle w:val="BodyText"/>
        <w:spacing w:line="360" w:lineRule="auto" w:before="1"/>
        <w:ind w:left="264" w:right="221" w:firstLine="336"/>
        <w:jc w:val="both"/>
      </w:pPr>
      <w:r>
        <w:rPr/>
        <w:t>Así, el individuo es anulado por completo frente al poder económico y sus instrumentos. En este contexto, la cultura y el arte se masifican, son fusionados como  un  instrumento  de  dominio,  como  satisfactor  enajenante  que  aleja     al</w:t>
      </w:r>
    </w:p>
    <w:p>
      <w:pPr>
        <w:pStyle w:val="BodyText"/>
        <w:spacing w:line="345" w:lineRule="auto" w:before="5"/>
        <w:ind w:left="264" w:right="221"/>
        <w:jc w:val="both"/>
      </w:pPr>
      <w:r>
        <w:rPr/>
        <w:t>individuo de la posibilidad de pensar y crear, lo automatiza, y predispone para ser útil al sistema que lo explota y domina de manera pasiva,</w:t>
      </w:r>
      <w:r>
        <w:rPr>
          <w:position w:val="11"/>
          <w:sz w:val="16"/>
        </w:rPr>
        <w:t>33 </w:t>
      </w:r>
      <w:r>
        <w:rPr/>
        <w:t>y contundente mientras reposa frente al televisor.</w:t>
      </w:r>
    </w:p>
    <w:p>
      <w:pPr>
        <w:pStyle w:val="BodyText"/>
        <w:spacing w:line="355" w:lineRule="auto" w:before="18"/>
        <w:ind w:left="264" w:right="217" w:firstLine="404"/>
        <w:jc w:val="both"/>
      </w:pPr>
      <w:r>
        <w:rPr/>
        <w:t>Es innegable el derecho que tienen los individuos de construir su propio pensamiento, de manifestar su creatividad y libertad, no obstante en esta época pareciera que el proyecto de realización personal de hombres y mujeres es cada vez una utopía; sin embargo, es necesario reconocer que si bien los medios han desvirtuado el concepto de ser humano, el mundo aún posee la capacidad y derecho humano de la libertad y en tanto las profecías de George Orwell </w:t>
      </w:r>
      <w:r>
        <w:rPr>
          <w:position w:val="11"/>
          <w:sz w:val="16"/>
        </w:rPr>
        <w:t>34 </w:t>
      </w:r>
      <w:r>
        <w:rPr/>
        <w:t>no se cumplan, el hombre debe ser el dueño de su propio pensamiento.</w:t>
      </w:r>
    </w:p>
    <w:p>
      <w:pPr>
        <w:pStyle w:val="BodyText"/>
        <w:spacing w:line="360" w:lineRule="auto" w:before="12"/>
        <w:ind w:left="264" w:right="213" w:firstLine="336"/>
        <w:jc w:val="both"/>
      </w:pPr>
      <w:r>
        <w:rPr/>
        <w:t>Esta obra se ha estructurado en tres capítulos, en el primer capitulo se desarrolla el contexto histórico-social de Honduras y México así como el avance y presencia de la televisión en estos países; abordando la realidad hondureña y mexicana durante el período comprendido de fines del siglo XX e inicios del XXI, analizando  aspectos:  sociales,  económico,  políticos  y geográfico-demográficos;</w:t>
      </w:r>
    </w:p>
    <w:p>
      <w:pPr>
        <w:pStyle w:val="BodyText"/>
        <w:spacing w:before="10"/>
        <w:rPr>
          <w:sz w:val="12"/>
        </w:rPr>
      </w:pPr>
      <w:r>
        <w:rPr/>
        <w:pict>
          <v:line style="position:absolute;mso-position-horizontal-relative:page;mso-position-vertical-relative:paragraph;z-index:1960;mso-wrap-distance-left:0;mso-wrap-distance-right:0" from="99.224998pt,9.683887pt" to="243.274998pt,9.683887pt" stroked="true" strokeweight=".60004pt" strokecolor="#000000">
            <w10:wrap type="topAndBottom"/>
          </v:line>
        </w:pict>
      </w:r>
    </w:p>
    <w:p>
      <w:pPr>
        <w:spacing w:line="235" w:lineRule="exact" w:before="48"/>
        <w:ind w:left="264" w:right="0" w:firstLine="0"/>
        <w:jc w:val="both"/>
        <w:rPr>
          <w:rFonts w:ascii="Calibri" w:hAnsi="Calibri"/>
          <w:sz w:val="18"/>
        </w:rPr>
      </w:pPr>
      <w:r>
        <w:rPr>
          <w:position w:val="9"/>
          <w:sz w:val="12"/>
        </w:rPr>
        <w:t>33 </w:t>
      </w:r>
      <w:r>
        <w:rPr>
          <w:rFonts w:ascii="Calibri" w:hAnsi="Calibri"/>
          <w:sz w:val="18"/>
        </w:rPr>
        <w:t>Véase HORKHEIMER, Max /ADORNO Theodor W</w:t>
      </w:r>
      <w:r>
        <w:rPr>
          <w:rFonts w:ascii="Calibri" w:hAnsi="Calibri"/>
          <w:i/>
          <w:sz w:val="18"/>
        </w:rPr>
        <w:t>., Dialéctica de la Ilustración</w:t>
      </w:r>
      <w:r>
        <w:rPr>
          <w:rFonts w:ascii="Calibri" w:hAnsi="Calibri"/>
          <w:sz w:val="18"/>
        </w:rPr>
        <w:t>, Trotta, Barcelona, 1994.</w:t>
      </w:r>
    </w:p>
    <w:p>
      <w:pPr>
        <w:spacing w:line="220" w:lineRule="exact" w:before="11"/>
        <w:ind w:left="264" w:right="213" w:firstLine="0"/>
        <w:jc w:val="both"/>
        <w:rPr>
          <w:rFonts w:ascii="Calibri" w:hAnsi="Calibri"/>
          <w:sz w:val="18"/>
        </w:rPr>
      </w:pPr>
      <w:r>
        <w:rPr>
          <w:position w:val="9"/>
          <w:sz w:val="12"/>
        </w:rPr>
        <w:t>34 </w:t>
      </w:r>
      <w:r>
        <w:rPr>
          <w:rFonts w:ascii="Calibri" w:hAnsi="Calibri"/>
          <w:sz w:val="18"/>
        </w:rPr>
        <w:t>George Orwell, (1903-1950) autor que en su obra hace un análisis del uso de los medios de comunicación masiva, en especial de la televisión para transformar las estructuras sociales. El término ‘orwelliano’ se utiliza en la actualidad para aludir a cualquier asunto relacionado con sociedades y sistemas totalitarios. Éste no es el único concepto sacado de la obra de Orwell que acaba convertido en tópico. También se usa indiscriminadamente al </w:t>
      </w:r>
      <w:r>
        <w:rPr>
          <w:rFonts w:ascii="Calibri" w:hAnsi="Calibri"/>
          <w:i/>
          <w:sz w:val="18"/>
        </w:rPr>
        <w:t>Gran Hermano </w:t>
      </w:r>
      <w:r>
        <w:rPr>
          <w:rFonts w:ascii="Calibri" w:hAnsi="Calibri"/>
          <w:sz w:val="18"/>
        </w:rPr>
        <w:t>que todo lo controla desde su novela </w:t>
      </w:r>
      <w:r>
        <w:rPr>
          <w:rFonts w:ascii="Calibri" w:hAnsi="Calibri"/>
          <w:i/>
          <w:sz w:val="18"/>
        </w:rPr>
        <w:t>1984</w:t>
      </w:r>
      <w:r>
        <w:rPr>
          <w:rFonts w:ascii="Calibri" w:hAnsi="Calibri"/>
          <w:sz w:val="18"/>
        </w:rPr>
        <w:t>, aunque muchos más lo relacionan con el nombre de un famoso concurso de </w:t>
      </w:r>
      <w:r>
        <w:rPr>
          <w:rFonts w:ascii="Calibri" w:hAnsi="Calibri"/>
          <w:i/>
          <w:sz w:val="18"/>
        </w:rPr>
        <w:t>reality talk </w:t>
      </w:r>
      <w:r>
        <w:rPr>
          <w:rFonts w:ascii="Calibri" w:hAnsi="Calibri"/>
          <w:i/>
          <w:sz w:val="18"/>
        </w:rPr>
        <w:t>show </w:t>
      </w:r>
      <w:r>
        <w:rPr>
          <w:rFonts w:ascii="Calibri" w:hAnsi="Calibri"/>
          <w:sz w:val="18"/>
        </w:rPr>
        <w:t>televisivo.</w:t>
      </w:r>
    </w:p>
    <w:p>
      <w:pPr>
        <w:spacing w:after="0" w:line="220"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203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4"/>
        <w:jc w:val="both"/>
      </w:pPr>
      <w:r>
        <w:rPr/>
        <w:t>asimismo se trata el tema de la televisión con la finalidad de hacer un diagnóstico de su papel sociocultural. Haciendo hincapié en su origen en México y Honduras y cual ha sido su uso social. Y para tener un mejor conocimiento de como influye socialmente, se ha destinado un apartado a los contenidos de la programación televisiva de la señal abierta.</w:t>
      </w:r>
    </w:p>
    <w:p>
      <w:pPr>
        <w:pStyle w:val="BodyText"/>
        <w:spacing w:line="360" w:lineRule="auto" w:before="2"/>
        <w:ind w:left="684" w:right="113" w:firstLine="336"/>
        <w:jc w:val="both"/>
      </w:pPr>
      <w:r>
        <w:rPr/>
        <w:t>En un segundo capítulo se desarrolla la influencia que la televisión tiene en la sociedad, con la finalidad de contextualizar el impacto social que ésta tiene en los hombres y mujeres condicionando el uso de su libertad y autonomía. Bajo los preceptos de lo que implica el fenómeno comunicativo para el ser humano. Ampliando estos conceptos en el análisis de los factores societales que se incluyen en la conformación de la conciencia y de la posibilidad del ejercicio de la libertad de las personas, por ejemplo, los que están relacionados con: la comunicación, el poder, la dominación, la educación y la</w:t>
      </w:r>
      <w:r>
        <w:rPr>
          <w:spacing w:val="-29"/>
        </w:rPr>
        <w:t> </w:t>
      </w:r>
      <w:r>
        <w:rPr/>
        <w:t>ideología.</w:t>
      </w:r>
    </w:p>
    <w:p>
      <w:pPr>
        <w:pStyle w:val="BodyText"/>
        <w:spacing w:line="360" w:lineRule="auto" w:before="2"/>
        <w:ind w:left="684" w:right="114" w:firstLine="336"/>
        <w:jc w:val="both"/>
      </w:pPr>
      <w:r>
        <w:rPr/>
        <w:t>En este mismo capítulo se destina un espacio para desarrollar las condiciones socioculturales de las personas que actualmente conviven en la era de la información y del conocimiento; además de tratarse otro aspecto importante para el tema como es la mercadotecnia y la conciencia; a la vez, dado que la televisión se encuentra encaminada, en su uso privado, hacia la difusión y propaganda de la producción de objetos, se incorpora un apartado para apreciar la relación “objeto y felicidad”.</w:t>
      </w:r>
    </w:p>
    <w:p>
      <w:pPr>
        <w:pStyle w:val="BodyText"/>
        <w:spacing w:line="360" w:lineRule="auto" w:before="6"/>
        <w:ind w:left="684" w:right="118" w:firstLine="336"/>
        <w:jc w:val="both"/>
      </w:pPr>
      <w:r>
        <w:rPr/>
        <w:t>Para lograr el objetivo general del presente trabajo se incluyó el análisis de la televisión desde su función epistémica que coadyuva en la sociedad actual en la construcción de la percepción de la realidad y su apariencia. Así como su importante función en la conformación de la opinión. Se ha considerado pertinente, desde esta perspectiva crítica, reconocer diferentes corrientes y autores en su apreciación de la funcionalidad de la cultura de masas y cómo éstas influyen en la generación del consenso social, la aceptación de un modo de vida que es capaz de</w:t>
      </w:r>
      <w:r>
        <w:rPr>
          <w:spacing w:val="53"/>
        </w:rPr>
        <w:t> </w:t>
      </w:r>
      <w:r>
        <w:rPr/>
        <w:t>introducir</w:t>
      </w:r>
      <w:r>
        <w:rPr>
          <w:spacing w:val="54"/>
        </w:rPr>
        <w:t> </w:t>
      </w:r>
      <w:r>
        <w:rPr/>
        <w:t>acciones</w:t>
      </w:r>
      <w:r>
        <w:rPr>
          <w:spacing w:val="54"/>
        </w:rPr>
        <w:t> </w:t>
      </w:r>
      <w:r>
        <w:rPr/>
        <w:t>que</w:t>
      </w:r>
      <w:r>
        <w:rPr>
          <w:spacing w:val="53"/>
        </w:rPr>
        <w:t> </w:t>
      </w:r>
      <w:r>
        <w:rPr/>
        <w:t>van</w:t>
      </w:r>
      <w:r>
        <w:rPr>
          <w:spacing w:val="56"/>
        </w:rPr>
        <w:t> </w:t>
      </w:r>
      <w:r>
        <w:rPr/>
        <w:t>en</w:t>
      </w:r>
      <w:r>
        <w:rPr>
          <w:spacing w:val="56"/>
        </w:rPr>
        <w:t> </w:t>
      </w:r>
      <w:r>
        <w:rPr/>
        <w:t>contra</w:t>
      </w:r>
      <w:r>
        <w:rPr>
          <w:spacing w:val="53"/>
        </w:rPr>
        <w:t> </w:t>
      </w:r>
      <w:r>
        <w:rPr/>
        <w:t>de</w:t>
      </w:r>
      <w:r>
        <w:rPr>
          <w:spacing w:val="53"/>
        </w:rPr>
        <w:t> </w:t>
      </w:r>
      <w:r>
        <w:rPr/>
        <w:t>la</w:t>
      </w:r>
      <w:r>
        <w:rPr>
          <w:spacing w:val="56"/>
        </w:rPr>
        <w:t> </w:t>
      </w:r>
      <w:r>
        <w:rPr/>
        <w:t>misma</w:t>
      </w:r>
      <w:r>
        <w:rPr>
          <w:spacing w:val="53"/>
        </w:rPr>
        <w:t> </w:t>
      </w:r>
      <w:r>
        <w:rPr/>
        <w:t>naturaleza</w:t>
      </w:r>
      <w:r>
        <w:rPr>
          <w:spacing w:val="56"/>
        </w:rPr>
        <w:t> </w:t>
      </w:r>
      <w:r>
        <w:rPr/>
        <w:t>del</w:t>
      </w:r>
      <w:r>
        <w:rPr>
          <w:spacing w:val="60"/>
        </w:rPr>
        <w:t> </w:t>
      </w:r>
      <w:r>
        <w:rPr/>
        <w:t>hombre</w:t>
      </w:r>
    </w:p>
    <w:p>
      <w:pPr>
        <w:pStyle w:val="BodyText"/>
        <w:spacing w:line="282" w:lineRule="exact"/>
        <w:ind w:left="684"/>
        <w:jc w:val="both"/>
      </w:pPr>
      <w:r>
        <w:rPr/>
        <w:t>llevándole a la alienación </w:t>
      </w:r>
      <w:r>
        <w:rPr>
          <w:position w:val="11"/>
          <w:sz w:val="16"/>
        </w:rPr>
        <w:t>35  </w:t>
      </w:r>
      <w:r>
        <w:rPr/>
        <w:t>y al sometimiento a partir de convicciones   simbólicas</w:t>
      </w:r>
    </w:p>
    <w:p>
      <w:pPr>
        <w:pStyle w:val="BodyText"/>
        <w:rPr>
          <w:sz w:val="20"/>
        </w:rPr>
      </w:pPr>
    </w:p>
    <w:p>
      <w:pPr>
        <w:pStyle w:val="BodyText"/>
        <w:rPr>
          <w:sz w:val="17"/>
        </w:rPr>
      </w:pPr>
      <w:r>
        <w:rPr/>
        <w:pict>
          <v:line style="position:absolute;mso-position-horizontal-relative:page;mso-position-vertical-relative:paragraph;z-index:2008;mso-wrap-distance-left:0;mso-wrap-distance-right:0" from="99.224998pt,12.052986pt" to="243.274998pt,12.052986pt" stroked="true" strokeweight=".60004pt" strokecolor="#000000">
            <w10:wrap type="topAndBottom"/>
          </v:line>
        </w:pict>
      </w:r>
    </w:p>
    <w:p>
      <w:pPr>
        <w:spacing w:before="48"/>
        <w:ind w:left="684" w:right="111" w:firstLine="0"/>
        <w:jc w:val="both"/>
        <w:rPr>
          <w:rFonts w:ascii="Calibri" w:hAnsi="Calibri"/>
          <w:sz w:val="18"/>
        </w:rPr>
      </w:pPr>
      <w:r>
        <w:rPr>
          <w:position w:val="9"/>
          <w:sz w:val="12"/>
        </w:rPr>
        <w:t>35 </w:t>
      </w:r>
      <w:r>
        <w:rPr>
          <w:sz w:val="18"/>
        </w:rPr>
        <w:t>Eri</w:t>
      </w:r>
      <w:r>
        <w:rPr>
          <w:rFonts w:ascii="Calibri" w:hAnsi="Calibri"/>
          <w:sz w:val="18"/>
        </w:rPr>
        <w:t>ch Fromm en su obra </w:t>
      </w:r>
      <w:r>
        <w:rPr>
          <w:rFonts w:ascii="Calibri" w:hAnsi="Calibri"/>
          <w:i/>
          <w:sz w:val="18"/>
        </w:rPr>
        <w:t>¿Tener o ser?</w:t>
      </w:r>
      <w:r>
        <w:rPr>
          <w:rFonts w:ascii="Calibri" w:hAnsi="Calibri"/>
          <w:sz w:val="18"/>
        </w:rPr>
        <w:t>, </w:t>
      </w:r>
      <w:r>
        <w:rPr>
          <w:rFonts w:ascii="Calibri" w:hAnsi="Calibri"/>
          <w:i/>
          <w:sz w:val="18"/>
        </w:rPr>
        <w:t>Óp. cit</w:t>
      </w:r>
      <w:r>
        <w:rPr>
          <w:rFonts w:ascii="Calibri" w:hAnsi="Calibri"/>
          <w:sz w:val="18"/>
        </w:rPr>
        <w:t>. Trata el tema de la alienación como un fenómeno de la conciencia que sufre el ser humano así, afirma que en la actividad alienada  el ser del sujeto no se siente autónomo en su actividad;  nota el producto de su actividad como algo que está allí, distinto a sí mismo, que está sobre él, que se opone a  </w:t>
      </w:r>
      <w:r>
        <w:rPr>
          <w:rFonts w:ascii="Calibri" w:hAnsi="Calibri"/>
          <w:spacing w:val="34"/>
          <w:sz w:val="18"/>
        </w:rPr>
        <w:t> </w:t>
      </w:r>
      <w:r>
        <w:rPr>
          <w:rFonts w:ascii="Calibri" w:hAnsi="Calibri"/>
          <w:sz w:val="18"/>
        </w:rPr>
        <w:t>él cómo</w:t>
      </w:r>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208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6"/>
        <w:jc w:val="both"/>
      </w:pPr>
      <w:r>
        <w:rPr/>
        <w:t>generadas desde el statu quo, que para su esclarecimiento requiere reconocer el uso alternativo de la televisión que logre evadir la influencia de los mensajes que tergiversan la opinión, y hacer uso de su libertad y capacidad de decisión para lograr la inauguración de una sociedad reflexiva, participativa, responsable y crítica.</w:t>
      </w:r>
    </w:p>
    <w:p>
      <w:pPr>
        <w:pStyle w:val="BodyText"/>
        <w:spacing w:line="360" w:lineRule="auto" w:before="2"/>
        <w:ind w:left="264" w:right="216" w:firstLine="336"/>
        <w:jc w:val="both"/>
      </w:pPr>
      <w:r>
        <w:rPr/>
        <w:t>Por otro lado, se analiza cómo se ha usado la televisión en la formación del individuo humano del siglo XX, se hace un estudio del hombre que se construye culturalmente a través y desde la mediación de los aparatos electrónicos transmisores de mensajes, que dada la intervención de estos artefactos como mediadores se denomina “transculturación electrónica”.</w:t>
      </w:r>
    </w:p>
    <w:p>
      <w:pPr>
        <w:pStyle w:val="BodyText"/>
        <w:spacing w:line="360" w:lineRule="auto" w:before="6"/>
        <w:ind w:left="264" w:right="213" w:firstLine="336"/>
        <w:jc w:val="both"/>
      </w:pPr>
      <w:r>
        <w:rPr/>
        <w:t>En el capítulo tercero, para dar conclusión a la tesis de esta investigación, se plantea el tema de la libertad en su relación con el poder y la televisión, en su connotación de instrumento del poder institucional y las implicaciones que esto supone para la conciencia. De la misma forma, en virtud de que uno de los objetivos de esta investigación es reconocer los elementos que condicionan la libertad, se trata el tema de la libertad en oposición a la necesidad. Otro de los aspectos que se abordan es la necesidad de ser, y la idea de tener dado el alto impacto que la ideología implantada por el mensaje televisivo tiene.</w:t>
      </w:r>
    </w:p>
    <w:p>
      <w:pPr>
        <w:pStyle w:val="BodyText"/>
        <w:spacing w:line="360" w:lineRule="auto" w:before="6"/>
        <w:ind w:left="264" w:right="217" w:firstLine="336"/>
        <w:jc w:val="both"/>
      </w:pPr>
      <w:r>
        <w:rPr/>
        <w:pict>
          <v:line style="position:absolute;mso-position-horizontal-relative:page;mso-position-vertical-relative:paragraph;z-index:2056;mso-wrap-distance-left:0;mso-wrap-distance-right:0" from="99.224998pt,251.11084pt" to="541.174998pt,251.11084pt" stroked="true" strokeweight=".60004pt" strokecolor="#000000">
            <w10:wrap type="topAndBottom"/>
          </v:line>
        </w:pict>
      </w:r>
      <w:r>
        <w:rPr/>
        <w:t>Se ha incorporado el subtema: “el valor de ser humano frente a las  necesidades creadas por la cultura”, que aborda el reconocimiento del ser humano en su capacidad para transformarse con la perspectiva de un pleno desarrollo. Igualmente se incluye: “El reconocimiento del malestar que somete el carácter social”, apartado que ubica al ser humano como producto de una naturaleza  básica que le dota de un carácter individual, que sin embargo se nutre con la influencia del ámbito social. Una de las premisas que originan la presente investigación es el hecho de que la televisión tiene un alto poder para intervenir en la orientación de la conducta de los hombres, las mujeres y sobre todo de los niños, por ello se suma este apartado bajo la temática de la modificación de conductas a partir de la programación televisiva, así como el tema de “variaciones de una perspectiva de ser y la estructura</w:t>
      </w:r>
      <w:r>
        <w:rPr>
          <w:spacing w:val="-21"/>
        </w:rPr>
        <w:t> </w:t>
      </w:r>
      <w:r>
        <w:rPr/>
        <w:t>social”.</w:t>
      </w:r>
    </w:p>
    <w:p>
      <w:pPr>
        <w:spacing w:before="79"/>
        <w:ind w:left="264" w:right="0" w:firstLine="0"/>
        <w:jc w:val="left"/>
        <w:rPr>
          <w:rFonts w:ascii="Calibri" w:hAnsi="Calibri"/>
          <w:sz w:val="18"/>
        </w:rPr>
      </w:pPr>
      <w:r>
        <w:rPr>
          <w:rFonts w:ascii="Calibri" w:hAnsi="Calibri"/>
          <w:sz w:val="18"/>
        </w:rPr>
        <w:t>algo ajeno. Dice: “En la actividad alienada realmente no actúo; soy activado por fuerzas internas o externas. Me vuelvo ajeno al resultado de mi actividad.”</w:t>
      </w:r>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210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4" w:firstLine="336"/>
        <w:jc w:val="both"/>
      </w:pPr>
      <w:r>
        <w:rPr/>
        <w:t>En el siglo XXI se observa una sociedad que se pierde en el solipsismo generado por la tecnología de la comunicación y el entretenimiento virtual, que desencadena en la pérdida del sentido de pertenencia y en la transformación de los valores que cohesionan al grupo social, por ello se aborda el tema: “sociedad, participación y colaboración”. Por otro lado, y en el contexto de un artefacto como la televisión que cumple con una de las necesidades implícitas del ser humano de regenerarse con la posibilidad de reconstruirse a partir de recrearse, se analizan los tópicos: “Recreación, educación y formación en los medios masivos” y “Educación y televisión”. Por último se aborda el tema: “La existencia humana y la necesidad de trans – sobrevivencia”.</w:t>
      </w:r>
    </w:p>
    <w:p>
      <w:pPr>
        <w:pStyle w:val="BodyText"/>
        <w:spacing w:line="360" w:lineRule="auto" w:before="5"/>
        <w:ind w:left="684" w:right="118" w:firstLine="404"/>
        <w:jc w:val="both"/>
      </w:pPr>
      <w:r>
        <w:rPr/>
        <w:t>A partir de este contenido, este trabajo presenta la influencia de la televisión  en la sociedad, sus estrategias y los instrumentos simbólicos que utiliza para condicionar la libertad, enfocada al </w:t>
      </w:r>
      <w:r>
        <w:rPr>
          <w:spacing w:val="2"/>
        </w:rPr>
        <w:t>uso </w:t>
      </w:r>
      <w:r>
        <w:rPr/>
        <w:t>actual de la televisión que se maneja en torno a un poder que busca garantizar su permanencia a través del mensaje emitido por este medio, que se evidencia por el grado de penetración en la población. Así como su capacidad de orientar al individuo hacia actos que limitan su libertad (la compra de objetos no necesarios, la orientación del consumo de productos que prometen cambios de imagen corporal, despertar la codicia de lujos no al alcance de los televidentes,</w:t>
      </w:r>
      <w:r>
        <w:rPr>
          <w:spacing w:val="-26"/>
        </w:rPr>
        <w:t> </w:t>
      </w:r>
      <w:r>
        <w:rPr/>
        <w:t>etc.).</w:t>
      </w:r>
    </w:p>
    <w:p>
      <w:pPr>
        <w:pStyle w:val="BodyText"/>
        <w:spacing w:line="360" w:lineRule="auto" w:before="2"/>
        <w:ind w:left="684" w:right="115" w:firstLine="336"/>
        <w:jc w:val="both"/>
      </w:pPr>
      <w:r>
        <w:rPr/>
        <w:t>Honduras y México, 1980-2008, tiempo y espacio destinados para revisar de manera sistemática el proceso que ha dado como resultado el estado de cosas actual, que nos presentan una sociedad altamente controlada por los medios, una población en su mayoría empobrecida, individuos condicionados para aceptar sin protestar o para reaccionar al ritmo que les toquen los grandes monopolios, que representan al sistema dominante actualmente. Sistema que en su proceso de reproducción, de esta nueva forma de explotación ha obtenido resultados eficientes por el uso de la televisión y así, ante la conformación de sociedades concretas e históricamente determinadas, se instituye una nueva forma de capitalismo imperialista difundido y ejercido por las trasnacionales cuya misión es reproducir las condiciones de existencia de dicha</w:t>
      </w:r>
      <w:r>
        <w:rPr>
          <w:spacing w:val="-34"/>
        </w:rPr>
        <w:t> </w:t>
      </w:r>
      <w:r>
        <w:rPr/>
        <w:t>sociedad.</w:t>
      </w:r>
    </w:p>
    <w:p>
      <w:pPr>
        <w:spacing w:after="0" w:line="360" w:lineRule="auto"/>
        <w:jc w:val="both"/>
        <w:sectPr>
          <w:pgSz w:w="12240" w:h="15840"/>
          <w:pgMar w:header="0" w:footer="876" w:top="520" w:bottom="1060" w:left="1300" w:right="1300"/>
        </w:sectPr>
      </w:pPr>
    </w:p>
    <w:p>
      <w:pPr>
        <w:pStyle w:val="Heading3"/>
      </w:pPr>
      <w:r>
        <w:rPr/>
        <w:pict>
          <v:line style="position:absolute;mso-position-horizontal-relative:page;mso-position-vertical-relative:paragraph;z-index:215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0" w:lineRule="auto" w:before="70"/>
        <w:ind w:left="264" w:right="213" w:firstLine="336"/>
        <w:jc w:val="both"/>
      </w:pPr>
      <w:r>
        <w:rPr/>
        <w:t>La industria de la televisión es un tema de gran relevancia para esta época, su presencia ha enriquecido grandes empresas.</w:t>
      </w:r>
      <w:r>
        <w:rPr>
          <w:position w:val="11"/>
          <w:sz w:val="16"/>
        </w:rPr>
        <w:t>36 </w:t>
      </w:r>
      <w:r>
        <w:rPr/>
        <w:t>Su influencia en el ámbito político, social y económico es de gran importancia. Además de su manifiesto influjo en la cultura, las costumbres y la vida familiar de las personas. Su relevancia en materia</w:t>
      </w:r>
    </w:p>
    <w:p>
      <w:pPr>
        <w:pStyle w:val="BodyText"/>
        <w:spacing w:line="357" w:lineRule="auto" w:before="16"/>
        <w:ind w:left="264" w:right="221"/>
        <w:jc w:val="both"/>
      </w:pPr>
      <w:r>
        <w:rPr/>
        <w:t>de preferencias la pone sobre cualquier otro medio de entretenimiento e información.</w:t>
      </w:r>
    </w:p>
    <w:p>
      <w:pPr>
        <w:pStyle w:val="BodyText"/>
        <w:spacing w:line="360" w:lineRule="auto" w:before="8"/>
        <w:ind w:left="264" w:right="216" w:firstLine="336"/>
        <w:jc w:val="both"/>
      </w:pPr>
      <w:r>
        <w:rPr/>
        <w:t>En México, cómo se mencionó antes, esta industria ha alcanzado un gran avance en materia tecnológica y de organización para la producción de programación televisiva. De acuerdo a la información proporcionada por CONACULTA “la infraestructura de estaciones de radio y televisión comprende 853 radiofónicas en  la banda de Amplitud  Modulada,  726 en  la de    </w:t>
      </w:r>
      <w:r>
        <w:rPr>
          <w:spacing w:val="20"/>
        </w:rPr>
        <w:t> </w:t>
      </w:r>
      <w:r>
        <w:rPr/>
        <w:t>Frecuencia</w:t>
      </w:r>
    </w:p>
    <w:p>
      <w:pPr>
        <w:pStyle w:val="BodyText"/>
        <w:spacing w:line="278" w:lineRule="exact"/>
        <w:ind w:left="264"/>
        <w:jc w:val="both"/>
      </w:pPr>
      <w:r>
        <w:rPr/>
        <w:t>Modulada, 730 estaciones de televisión  y 38 canales  de televisión digital”,</w:t>
      </w:r>
      <w:r>
        <w:rPr>
          <w:position w:val="11"/>
          <w:sz w:val="16"/>
        </w:rPr>
        <w:t>37        </w:t>
      </w:r>
      <w:r>
        <w:rPr/>
        <w:t>su</w:t>
      </w:r>
    </w:p>
    <w:p>
      <w:pPr>
        <w:pStyle w:val="BodyText"/>
        <w:spacing w:line="360" w:lineRule="auto" w:before="140"/>
        <w:ind w:left="264" w:right="219"/>
        <w:jc w:val="both"/>
      </w:pPr>
      <w:r>
        <w:rPr/>
        <w:t>capacidad de producción y de mercado es suficiente para importar a otros países de América la señal televisiva, por ejemplo: telenovelas, programas artísticos y deportivos. Es una realidad que en Honduras entre los canales con más audiencia se encuentran los proyectados por Televisa.</w:t>
      </w:r>
    </w:p>
    <w:p>
      <w:pPr>
        <w:pStyle w:val="BodyText"/>
        <w:spacing w:line="355" w:lineRule="auto" w:before="6"/>
        <w:ind w:left="264" w:right="217" w:firstLine="336"/>
        <w:jc w:val="both"/>
        <w:rPr>
          <w:sz w:val="16"/>
        </w:rPr>
      </w:pPr>
      <w:r>
        <w:rPr/>
        <w:t>Asimismo en Honduras está demostrada la gran influencia que tiene como elemento recreativo la televisión. Es importante señalar que en una encuesta realizada por la Universidad Autónoma de Honduras (UNAH) acerca de las vivencias de la sociedad en cuanto a la televisión se encontró que el 100% de los entrevistados ven televisión. También, de las personas encuestadas un 89.1% consideran que la programación y los contenidos televisivos influyen totalmente en la sociedad.</w:t>
      </w:r>
      <w:r>
        <w:rPr>
          <w:position w:val="11"/>
          <w:sz w:val="16"/>
        </w:rPr>
        <w:t>38</w:t>
      </w:r>
    </w:p>
    <w:p>
      <w:pPr>
        <w:pStyle w:val="BodyText"/>
        <w:spacing w:line="360" w:lineRule="auto"/>
        <w:ind w:left="264" w:right="218" w:firstLine="336"/>
        <w:jc w:val="both"/>
      </w:pPr>
      <w:r>
        <w:rPr/>
        <w:t>Por otra parte, en cuanto a la metodología utilizada para la realización de este trabajo de investigación, es preciso señalar que se hizo de tipo bibliográfica directa,</w:t>
      </w:r>
      <w:r>
        <w:rPr>
          <w:spacing w:val="47"/>
        </w:rPr>
        <w:t> </w:t>
      </w:r>
      <w:r>
        <w:rPr/>
        <w:t>además</w:t>
      </w:r>
      <w:r>
        <w:rPr>
          <w:spacing w:val="45"/>
        </w:rPr>
        <w:t> </w:t>
      </w:r>
      <w:r>
        <w:rPr/>
        <w:t>de</w:t>
      </w:r>
      <w:r>
        <w:rPr>
          <w:spacing w:val="43"/>
        </w:rPr>
        <w:t> </w:t>
      </w:r>
      <w:r>
        <w:rPr/>
        <w:t>la</w:t>
      </w:r>
      <w:r>
        <w:rPr>
          <w:spacing w:val="43"/>
        </w:rPr>
        <w:t> </w:t>
      </w:r>
      <w:r>
        <w:rPr/>
        <w:t>información</w:t>
      </w:r>
      <w:r>
        <w:rPr>
          <w:spacing w:val="40"/>
        </w:rPr>
        <w:t> </w:t>
      </w:r>
      <w:r>
        <w:rPr/>
        <w:t>obtenida</w:t>
      </w:r>
      <w:r>
        <w:rPr>
          <w:spacing w:val="43"/>
        </w:rPr>
        <w:t> </w:t>
      </w:r>
      <w:r>
        <w:rPr/>
        <w:t>de</w:t>
      </w:r>
      <w:r>
        <w:rPr>
          <w:spacing w:val="43"/>
        </w:rPr>
        <w:t> </w:t>
      </w:r>
      <w:r>
        <w:rPr/>
        <w:t>la</w:t>
      </w:r>
      <w:r>
        <w:rPr>
          <w:spacing w:val="43"/>
        </w:rPr>
        <w:t> </w:t>
      </w:r>
      <w:r>
        <w:rPr/>
        <w:t>red</w:t>
      </w:r>
      <w:r>
        <w:rPr>
          <w:spacing w:val="43"/>
        </w:rPr>
        <w:t> </w:t>
      </w:r>
      <w:r>
        <w:rPr/>
        <w:t>de</w:t>
      </w:r>
      <w:r>
        <w:rPr>
          <w:spacing w:val="43"/>
        </w:rPr>
        <w:t> </w:t>
      </w:r>
      <w:r>
        <w:rPr/>
        <w:t>Internet;</w:t>
      </w:r>
      <w:r>
        <w:rPr>
          <w:spacing w:val="49"/>
        </w:rPr>
        <w:t> </w:t>
      </w:r>
      <w:r>
        <w:rPr/>
        <w:t>asimismo</w:t>
      </w:r>
      <w:r>
        <w:rPr>
          <w:spacing w:val="43"/>
        </w:rPr>
        <w:t> </w:t>
      </w:r>
      <w:r>
        <w:rPr/>
        <w:t>se</w:t>
      </w:r>
    </w:p>
    <w:p>
      <w:pPr>
        <w:pStyle w:val="BodyText"/>
        <w:spacing w:before="10"/>
        <w:rPr>
          <w:sz w:val="29"/>
        </w:rPr>
      </w:pPr>
      <w:r>
        <w:rPr/>
        <w:pict>
          <v:line style="position:absolute;mso-position-horizontal-relative:page;mso-position-vertical-relative:paragraph;z-index:2128;mso-wrap-distance-left:0;mso-wrap-distance-right:0" from="99.224998pt,19.453918pt" to="243.274998pt,19.453918pt" stroked="true" strokeweight=".599980pt" strokecolor="#000000">
            <w10:wrap type="topAndBottom"/>
          </v:line>
        </w:pict>
      </w:r>
    </w:p>
    <w:p>
      <w:pPr>
        <w:spacing w:before="49"/>
        <w:ind w:left="264" w:right="222" w:firstLine="0"/>
        <w:jc w:val="both"/>
        <w:rPr>
          <w:rFonts w:ascii="Calibri" w:hAnsi="Calibri"/>
          <w:sz w:val="18"/>
        </w:rPr>
      </w:pPr>
      <w:r>
        <w:rPr>
          <w:position w:val="9"/>
          <w:sz w:val="12"/>
        </w:rPr>
        <w:t>36 </w:t>
      </w:r>
      <w:r>
        <w:rPr>
          <w:rFonts w:ascii="Calibri" w:hAnsi="Calibri"/>
          <w:sz w:val="18"/>
        </w:rPr>
        <w:t>Estas empresas, en México, se pueden considerar como las más productivas en materia económica, ya que han generado grandes capitales.</w:t>
      </w:r>
    </w:p>
    <w:p>
      <w:pPr>
        <w:tabs>
          <w:tab w:pos="932" w:val="left" w:leader="none"/>
          <w:tab w:pos="2408" w:val="left" w:leader="none"/>
          <w:tab w:pos="3184" w:val="left" w:leader="none"/>
          <w:tab w:pos="4125" w:val="left" w:leader="none"/>
          <w:tab w:pos="5472" w:val="left" w:leader="none"/>
          <w:tab w:pos="6132" w:val="left" w:leader="none"/>
          <w:tab w:pos="7581" w:val="left" w:leader="none"/>
          <w:tab w:pos="8871" w:val="left" w:leader="none"/>
        </w:tabs>
        <w:spacing w:line="220" w:lineRule="exact" w:before="0"/>
        <w:ind w:left="264" w:right="0" w:firstLine="0"/>
        <w:jc w:val="both"/>
        <w:rPr>
          <w:rFonts w:ascii="Calibri" w:hAnsi="Calibri"/>
          <w:sz w:val="18"/>
        </w:rPr>
      </w:pPr>
      <w:r>
        <w:rPr>
          <w:position w:val="9"/>
          <w:sz w:val="12"/>
        </w:rPr>
        <w:t>37</w:t>
        <w:tab/>
      </w:r>
      <w:r>
        <w:rPr>
          <w:rFonts w:ascii="Calibri" w:hAnsi="Calibri"/>
          <w:sz w:val="18"/>
        </w:rPr>
        <w:t>NUMERALIA,</w:t>
        <w:tab/>
        <w:t>[en</w:t>
        <w:tab/>
        <w:t>línea]</w:t>
        <w:tab/>
        <w:t>consultado</w:t>
        <w:tab/>
        <w:t>el</w:t>
        <w:tab/>
        <w:t>05/05/2012,</w:t>
        <w:tab/>
        <w:t>disponible</w:t>
        <w:tab/>
        <w:t>en:</w:t>
      </w:r>
    </w:p>
    <w:p>
      <w:pPr>
        <w:spacing w:line="204" w:lineRule="exact" w:before="0"/>
        <w:ind w:left="264" w:right="0" w:firstLine="0"/>
        <w:jc w:val="both"/>
        <w:rPr>
          <w:rFonts w:ascii="Calibri"/>
          <w:sz w:val="18"/>
        </w:rPr>
      </w:pPr>
      <w:hyperlink r:id="rId23">
        <w:r>
          <w:rPr>
            <w:rFonts w:ascii="Calibri"/>
            <w:color w:val="0000FF"/>
            <w:sz w:val="18"/>
            <w:u w:val="single" w:color="0000FF"/>
          </w:rPr>
          <w:t>http://www.fundacionpreciado.org.mx/biencomun/bc170/Numeralia.pdf</w:t>
        </w:r>
        <w:r>
          <w:rPr>
            <w:rFonts w:ascii="Calibri"/>
            <w:sz w:val="18"/>
          </w:rPr>
          <w:t>.</w:t>
        </w:r>
      </w:hyperlink>
    </w:p>
    <w:p>
      <w:pPr>
        <w:spacing w:line="220" w:lineRule="exact" w:before="11"/>
        <w:ind w:left="264" w:right="210" w:firstLine="0"/>
        <w:jc w:val="both"/>
        <w:rPr>
          <w:rFonts w:ascii="Calibri" w:hAnsi="Calibri"/>
          <w:sz w:val="18"/>
        </w:rPr>
      </w:pPr>
      <w:r>
        <w:rPr>
          <w:position w:val="9"/>
          <w:sz w:val="12"/>
        </w:rPr>
        <w:t>38 </w:t>
      </w:r>
      <w:r>
        <w:rPr>
          <w:rFonts w:ascii="Calibri" w:hAnsi="Calibri"/>
          <w:sz w:val="18"/>
        </w:rPr>
        <w:t>Datos estadísticos tomados de la encuesta aplicada a mil hondureños por: OVIEDO, Jorge Luis, “La T.V. En Honduras. La percepción de la programación de la televisión en Honduras”, (ENCUESTA), </w:t>
      </w:r>
      <w:r>
        <w:rPr>
          <w:rFonts w:ascii="Calibri" w:hAnsi="Calibri"/>
          <w:i/>
          <w:sz w:val="18"/>
        </w:rPr>
        <w:t>CÁTEDRA</w:t>
      </w:r>
      <w:r>
        <w:rPr>
          <w:rFonts w:ascii="Calibri" w:hAnsi="Calibri"/>
          <w:sz w:val="18"/>
        </w:rPr>
        <w:t>, (ESPACIO DE INTERACCIÓN ACADÉMICA CON ESTUDIANTES DE LA UNAH) (2010) [en línea] consulta 13/06/2012, disponible en: </w:t>
      </w:r>
      <w:hyperlink r:id="rId24">
        <w:r>
          <w:rPr>
            <w:rFonts w:ascii="Calibri" w:hAnsi="Calibri"/>
            <w:color w:val="0000FF"/>
            <w:sz w:val="18"/>
            <w:u w:val="single" w:color="0000FF"/>
          </w:rPr>
          <w:t>http://jorgeluis-</w:t>
        </w:r>
      </w:hyperlink>
      <w:r>
        <w:rPr>
          <w:rFonts w:ascii="Calibri" w:hAnsi="Calibri"/>
          <w:color w:val="0000FF"/>
          <w:sz w:val="18"/>
          <w:u w:val="single" w:color="0000FF"/>
        </w:rPr>
        <w:t> </w:t>
      </w:r>
      <w:hyperlink r:id="rId24">
        <w:r>
          <w:rPr>
            <w:rFonts w:ascii="Calibri" w:hAnsi="Calibri"/>
            <w:color w:val="0000FF"/>
            <w:sz w:val="18"/>
            <w:u w:val="single" w:color="0000FF"/>
          </w:rPr>
          <w:t>catedra.blogspot.mx/2010/07/la-t-v-en-honduras-encuesta.html#!/2010/07/la-t-v-en-honduras-encuesta.htm</w:t>
        </w:r>
        <w:r>
          <w:rPr>
            <w:rFonts w:ascii="Calibri" w:hAnsi="Calibri"/>
            <w:color w:val="0000FF"/>
            <w:sz w:val="18"/>
          </w:rPr>
          <w:t>l</w:t>
        </w:r>
        <w:r>
          <w:rPr>
            <w:rFonts w:ascii="Calibri" w:hAnsi="Calibri"/>
            <w:sz w:val="18"/>
          </w:rPr>
          <w:t>.</w:t>
        </w:r>
      </w:hyperlink>
    </w:p>
    <w:p>
      <w:pPr>
        <w:spacing w:after="0" w:line="220"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220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21"/>
        </w:rPr>
      </w:pPr>
    </w:p>
    <w:p>
      <w:pPr>
        <w:pStyle w:val="BodyText"/>
        <w:spacing w:line="355" w:lineRule="auto"/>
        <w:ind w:left="684" w:right="116"/>
        <w:jc w:val="both"/>
      </w:pPr>
      <w:r>
        <w:rPr/>
        <w:t>aplicaron encuestas</w:t>
      </w:r>
      <w:r>
        <w:rPr>
          <w:position w:val="11"/>
          <w:sz w:val="16"/>
        </w:rPr>
        <w:t>39 </w:t>
      </w:r>
      <w:r>
        <w:rPr/>
        <w:t>a 25 alumnos de nivel superior, 25 alumnos de nivel secundaria y a 25 personas en diferentes sectores de la sociedad, así como 25 entrevistas</w:t>
      </w:r>
      <w:r>
        <w:rPr>
          <w:position w:val="11"/>
          <w:sz w:val="16"/>
        </w:rPr>
        <w:t>40 </w:t>
      </w:r>
      <w:r>
        <w:rPr/>
        <w:t>a personas de diferentes rangos de edad y profesión. Dada la naturaleza del presente trabajo como una investigación básica, teórica de tipo no experimental se buscaron las causas del fenómeno en cuestión (el uso de uno de lo medios de mayor trascendencia en la percepción social y su influencia en la libertad) en un contexto teórico que permita incluirlo con legitimidad como objeto</w:t>
      </w:r>
    </w:p>
    <w:p>
      <w:pPr>
        <w:pStyle w:val="BodyText"/>
        <w:spacing w:line="360" w:lineRule="auto" w:before="7"/>
        <w:ind w:left="684" w:right="115"/>
        <w:jc w:val="both"/>
      </w:pPr>
      <w:r>
        <w:rPr/>
        <w:t>de conocimiento. La investigación de tipo documental fue enfocada para enlazar la teoría de diversos autores con el objeto de estudio. A la vez se aplicó la investigación de campo para dar soporte a los conceptos analizados. Se utilizó también el método histórico de recuperación de hechos, comparación de interpretaciones de los hechos históricos y en este caso el impacto concreto que han tenido en la sociedad actual.</w:t>
      </w:r>
    </w:p>
    <w:p>
      <w:pPr>
        <w:pStyle w:val="BodyText"/>
        <w:spacing w:line="360" w:lineRule="auto" w:before="2"/>
        <w:ind w:left="684" w:right="118" w:firstLine="336"/>
        <w:jc w:val="both"/>
      </w:pPr>
      <w:r>
        <w:rPr/>
        <w:t>Los procedimientos que se manejaron fueron la comparación de teorías, la descripción y análisis de hechos y datos estadísticos, síntesis de datos y elaboración de conclusiones, observación de fenómenos sociales y cotejo de la realidad con las teorías y los supuestos presentados por los medios. La explicación causal de los sucesos observados, fundamentados en las teorías que dan soporte al método; seccionadas en este caso en el espacio y tiempo seleccionados para la</w:t>
      </w:r>
      <w:r>
        <w:rPr>
          <w:spacing w:val="-21"/>
        </w:rPr>
        <w:t> </w:t>
      </w:r>
      <w:r>
        <w:rPr/>
        <w:t>investigación.</w:t>
      </w:r>
    </w:p>
    <w:p>
      <w:pPr>
        <w:pStyle w:val="BodyText"/>
        <w:spacing w:line="360" w:lineRule="auto" w:before="6"/>
        <w:ind w:left="684" w:right="116" w:firstLine="336"/>
        <w:jc w:val="both"/>
      </w:pPr>
      <w:r>
        <w:rPr/>
        <w:t>Para conocer sobre la historia y la condición socio-económica y política de Honduras, así como el uso de la televisión en este país se mantuvo contacto con algunas personas de Honduras, con la embajada de Honduras en México y a través de las redes sociales.</w:t>
      </w:r>
    </w:p>
    <w:p>
      <w:pPr>
        <w:pStyle w:val="BodyText"/>
        <w:spacing w:line="360" w:lineRule="auto" w:before="6"/>
        <w:ind w:left="684" w:right="118" w:firstLine="336"/>
        <w:jc w:val="both"/>
      </w:pPr>
      <w:r>
        <w:rPr/>
        <w:t>Para la investigación de campo se manejó la encuesta y la entrevista con la finalidad de acercarme más profundamente al objeto observado que en este caso es la sociedad bajo la influencia de la televisión. Estas encuestas me brindaron información que ha sido procesada para dar unidad al objeto de estudio.</w:t>
      </w:r>
    </w:p>
    <w:p>
      <w:pPr>
        <w:pStyle w:val="BodyText"/>
        <w:rPr>
          <w:sz w:val="20"/>
        </w:rPr>
      </w:pP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2176;mso-wrap-distance-left:0;mso-wrap-distance-right:0" from="99.224998pt,14.151817pt" to="243.274998pt,14.151817pt" stroked="true" strokeweight=".60004pt" strokecolor="#000000">
            <w10:wrap type="topAndBottom"/>
          </v:line>
        </w:pict>
      </w:r>
    </w:p>
    <w:p>
      <w:pPr>
        <w:spacing w:line="236" w:lineRule="exact" w:before="46"/>
        <w:ind w:left="684" w:right="114" w:firstLine="0"/>
        <w:jc w:val="left"/>
        <w:rPr>
          <w:rFonts w:ascii="Calibri"/>
          <w:sz w:val="18"/>
        </w:rPr>
      </w:pPr>
      <w:r>
        <w:rPr>
          <w:rFonts w:ascii="Calibri"/>
          <w:position w:val="9"/>
          <w:sz w:val="12"/>
        </w:rPr>
        <w:t>39 </w:t>
      </w:r>
      <w:r>
        <w:rPr>
          <w:rFonts w:ascii="Calibri"/>
          <w:sz w:val="18"/>
        </w:rPr>
        <w:t>Se incluye en anexos el instrumento utilizado.</w:t>
      </w:r>
    </w:p>
    <w:p>
      <w:pPr>
        <w:spacing w:line="236" w:lineRule="exact" w:before="0"/>
        <w:ind w:left="684" w:right="114" w:firstLine="0"/>
        <w:jc w:val="left"/>
        <w:rPr>
          <w:rFonts w:ascii="Calibri"/>
          <w:sz w:val="18"/>
        </w:rPr>
      </w:pPr>
      <w:r>
        <w:rPr>
          <w:rFonts w:ascii="Calibri"/>
          <w:position w:val="9"/>
          <w:sz w:val="12"/>
        </w:rPr>
        <w:t>40 </w:t>
      </w:r>
      <w:r>
        <w:rPr>
          <w:rFonts w:ascii="Calibri"/>
          <w:sz w:val="18"/>
        </w:rPr>
        <w:t>En anexos se incluye el instrumento utilizado como base para la entrevista.</w:t>
      </w:r>
    </w:p>
    <w:p>
      <w:pPr>
        <w:spacing w:after="0" w:line="236" w:lineRule="exact"/>
        <w:jc w:val="left"/>
        <w:rPr>
          <w:rFonts w:asci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2224" from="546.470032pt,2.397331pt" to="546.470032pt,30.622331pt" stroked="true" strokeweight=".60004pt" strokecolor="#000000">
            <w10:wrap type="none"/>
          </v:line>
        </w:pict>
      </w:r>
      <w:r>
        <w:rPr>
          <w:w w:val="75"/>
        </w:rPr>
        <w:t>El condicionamiento de la libertad ante la influencia de la televisión</w:t>
      </w:r>
    </w:p>
    <w:p>
      <w:pPr>
        <w:spacing w:after="0"/>
        <w:sectPr>
          <w:pgSz w:w="12240" w:h="15840"/>
          <w:pgMar w:header="0" w:footer="876" w:top="520" w:bottom="1060" w:left="1720" w:right="1200"/>
        </w:sectPr>
      </w:pPr>
    </w:p>
    <w:p>
      <w:pPr>
        <w:pStyle w:val="BodyText"/>
        <w:tabs>
          <w:tab w:pos="7214" w:val="left" w:leader="none"/>
        </w:tabs>
        <w:spacing w:before="36"/>
        <w:ind w:left="224"/>
        <w:rPr>
          <w:rFonts w:ascii="Cambria" w:hAnsi="Cambria"/>
        </w:rPr>
      </w:pPr>
      <w:r>
        <w:rPr/>
        <w:pict>
          <v:line style="position:absolute;mso-position-horizontal-relative:page;mso-position-vertical-relative:paragraph;z-index:224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
        <w:rPr>
          <w:rFonts w:ascii="Cambria"/>
          <w:sz w:val="20"/>
        </w:rPr>
      </w:pPr>
    </w:p>
    <w:p>
      <w:pPr>
        <w:pStyle w:val="Heading1"/>
        <w:ind w:left="1563"/>
      </w:pPr>
      <w:r>
        <w:rPr/>
        <w:t>CAPÍTULO PRIMERO</w:t>
      </w:r>
    </w:p>
    <w:p>
      <w:pPr>
        <w:spacing w:line="357" w:lineRule="auto" w:before="162"/>
        <w:ind w:left="1572" w:right="579" w:firstLine="0"/>
        <w:jc w:val="center"/>
        <w:rPr>
          <w:b/>
          <w:sz w:val="28"/>
        </w:rPr>
      </w:pPr>
      <w:r>
        <w:rPr>
          <w:b/>
          <w:sz w:val="28"/>
        </w:rPr>
        <w:t>HONDURAS, MÉXICO Y LA TELEVISIÓN: CONTEXTO HISTÓRICO-SOCIAL</w:t>
      </w:r>
    </w:p>
    <w:p>
      <w:pPr>
        <w:spacing w:after="0" w:line="357" w:lineRule="auto"/>
        <w:jc w:val="center"/>
        <w:rPr>
          <w:sz w:val="28"/>
        </w:rPr>
        <w:sectPr>
          <w:pgSz w:w="12240" w:h="15840"/>
          <w:pgMar w:header="0" w:footer="876" w:top="520" w:bottom="1060" w:left="1300" w:right="1720"/>
        </w:sectPr>
      </w:pPr>
    </w:p>
    <w:p>
      <w:pPr>
        <w:pStyle w:val="Heading3"/>
      </w:pPr>
      <w:r>
        <w:rPr/>
        <w:pict>
          <v:line style="position:absolute;mso-position-horizontal-relative:page;mso-position-vertical-relative:paragraph;z-index:229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pStyle w:val="ListParagraph"/>
        <w:numPr>
          <w:ilvl w:val="0"/>
          <w:numId w:val="3"/>
        </w:numPr>
        <w:tabs>
          <w:tab w:pos="2497" w:val="left" w:leader="none"/>
        </w:tabs>
        <w:spacing w:line="240" w:lineRule="auto" w:before="70" w:after="0"/>
        <w:ind w:left="2496" w:right="0" w:hanging="267"/>
        <w:jc w:val="left"/>
        <w:rPr>
          <w:b/>
          <w:sz w:val="24"/>
        </w:rPr>
      </w:pPr>
      <w:r>
        <w:rPr>
          <w:b/>
          <w:sz w:val="24"/>
        </w:rPr>
        <w:t>CONTEXTO HISTÓRICO</w:t>
      </w:r>
      <w:r>
        <w:rPr>
          <w:b/>
          <w:spacing w:val="-13"/>
          <w:sz w:val="24"/>
        </w:rPr>
        <w:t> </w:t>
      </w:r>
      <w:r>
        <w:rPr>
          <w:b/>
          <w:sz w:val="24"/>
        </w:rPr>
        <w:t>SOCIAL</w:t>
      </w:r>
    </w:p>
    <w:p>
      <w:pPr>
        <w:pStyle w:val="BodyText"/>
        <w:rPr>
          <w:b/>
        </w:rPr>
      </w:pPr>
    </w:p>
    <w:p>
      <w:pPr>
        <w:pStyle w:val="BodyText"/>
        <w:rPr>
          <w:b/>
        </w:rPr>
      </w:pPr>
    </w:p>
    <w:p>
      <w:pPr>
        <w:pStyle w:val="BodyText"/>
        <w:rPr>
          <w:b/>
        </w:rPr>
      </w:pPr>
    </w:p>
    <w:p>
      <w:pPr>
        <w:pStyle w:val="ListParagraph"/>
        <w:numPr>
          <w:ilvl w:val="0"/>
          <w:numId w:val="4"/>
        </w:numPr>
        <w:tabs>
          <w:tab w:pos="1305" w:val="left" w:leader="none"/>
        </w:tabs>
        <w:spacing w:line="240" w:lineRule="auto" w:before="152" w:after="0"/>
        <w:ind w:left="264" w:right="0" w:firstLine="701"/>
        <w:jc w:val="left"/>
        <w:rPr>
          <w:b/>
          <w:sz w:val="24"/>
        </w:rPr>
      </w:pPr>
      <w:r>
        <w:rPr>
          <w:b/>
          <w:sz w:val="24"/>
        </w:rPr>
        <w:t>Aspectos histórico-sociales y económicos de México siglo</w:t>
      </w:r>
      <w:r>
        <w:rPr>
          <w:b/>
          <w:spacing w:val="-20"/>
          <w:sz w:val="24"/>
        </w:rPr>
        <w:t> </w:t>
      </w:r>
      <w:r>
        <w:rPr>
          <w:b/>
          <w:sz w:val="24"/>
        </w:rPr>
        <w:t>XX</w:t>
      </w:r>
    </w:p>
    <w:p>
      <w:pPr>
        <w:pStyle w:val="BodyText"/>
        <w:rPr>
          <w:b/>
        </w:rPr>
      </w:pPr>
    </w:p>
    <w:p>
      <w:pPr>
        <w:pStyle w:val="BodyText"/>
        <w:spacing w:before="4"/>
        <w:rPr>
          <w:b/>
        </w:rPr>
      </w:pPr>
    </w:p>
    <w:p>
      <w:pPr>
        <w:pStyle w:val="BodyText"/>
        <w:spacing w:line="360" w:lineRule="auto"/>
        <w:ind w:left="264" w:right="213" w:firstLine="336"/>
        <w:jc w:val="both"/>
      </w:pPr>
      <w:r>
        <w:rPr/>
        <w:t>El siglo XX se caracteriza por una trasformación vertiginosa, que ha dejado una impronta substancial en las naciones de Latinoamérica; México llega a este período histórico bajo el gobierno de Porfirio Díaz, quien se instala en el poder durante casi 30 años desde los últimos 20 años del siglo XIX, bajo un sistema de gobierno despótico-autoritario conocido como: el Porfiriato, espacio político que si bien tiene un auge importante, al llegar al siglo XX se caracteriza por una sociedad denostada por la pobreza, la injusticia, el caos social y un estado autoritario que representa los intereses de un pequeño sector de la misma.</w:t>
      </w:r>
    </w:p>
    <w:p>
      <w:pPr>
        <w:pStyle w:val="BodyText"/>
        <w:spacing w:line="360" w:lineRule="auto" w:before="2"/>
        <w:ind w:left="264" w:right="216" w:firstLine="336"/>
        <w:jc w:val="both"/>
      </w:pPr>
      <w:r>
        <w:rPr/>
        <w:t>Antecedentes que propician su desplome, con eventos como el comentado por Alfonso Rodríguez quien dice: “La marcada dependencia económica hacia el capital trasnacional que el régimen de Porfirio Díaz tenía, hizo crisis   en los   años</w:t>
      </w:r>
    </w:p>
    <w:p>
      <w:pPr>
        <w:pStyle w:val="BodyText"/>
        <w:spacing w:line="350" w:lineRule="auto" w:before="6"/>
        <w:ind w:left="264" w:right="222"/>
        <w:jc w:val="both"/>
      </w:pPr>
      <w:r>
        <w:rPr/>
        <w:t>1907-1908, cuando se desplomó el precio internacional del cobre, la plata y otros minerales.”</w:t>
      </w:r>
      <w:r>
        <w:rPr>
          <w:position w:val="11"/>
          <w:sz w:val="16"/>
        </w:rPr>
        <w:t>41 </w:t>
      </w:r>
      <w:r>
        <w:rPr/>
        <w:t>Además de la situación de efervescencia internacional que en el contexto europeo sentaba los precedentes de su trasformación geopolítica e ideológica, situación que se difundía en México en algunos círculos de la clase</w:t>
      </w:r>
    </w:p>
    <w:p>
      <w:pPr>
        <w:pStyle w:val="BodyText"/>
        <w:spacing w:line="345" w:lineRule="auto" w:before="17"/>
        <w:ind w:left="264" w:right="219"/>
        <w:jc w:val="both"/>
        <w:rPr>
          <w:sz w:val="16"/>
        </w:rPr>
      </w:pPr>
      <w:r>
        <w:rPr/>
        <w:t>trabajadora e intelectual. Por otro lado, en el ámbito de los medios de comunicación en esta época, éstos aparecían en su forma embrionaria a través del telégrafo y el teléfono.</w:t>
      </w:r>
      <w:r>
        <w:rPr>
          <w:spacing w:val="48"/>
        </w:rPr>
        <w:t> </w:t>
      </w:r>
      <w:r>
        <w:rPr>
          <w:position w:val="11"/>
          <w:sz w:val="16"/>
        </w:rPr>
        <w:t>42</w:t>
      </w:r>
    </w:p>
    <w:p>
      <w:pPr>
        <w:pStyle w:val="BodyText"/>
        <w:spacing w:before="6"/>
        <w:rPr>
          <w:sz w:val="21"/>
        </w:rPr>
      </w:pPr>
      <w:r>
        <w:rPr/>
        <w:pict>
          <v:line style="position:absolute;mso-position-horizontal-relative:page;mso-position-vertical-relative:paragraph;z-index:2272;mso-wrap-distance-left:0;mso-wrap-distance-right:0" from="99.224998pt,14.631573pt" to="243.274998pt,14.631573pt" stroked="true" strokeweight=".599980pt" strokecolor="#000000">
            <w10:wrap type="topAndBottom"/>
          </v:line>
        </w:pict>
      </w:r>
    </w:p>
    <w:p>
      <w:pPr>
        <w:spacing w:line="237" w:lineRule="exact" w:before="46"/>
        <w:ind w:left="264" w:right="0" w:firstLine="0"/>
        <w:jc w:val="both"/>
        <w:rPr>
          <w:rFonts w:ascii="Calibri" w:hAnsi="Calibri"/>
          <w:sz w:val="18"/>
        </w:rPr>
      </w:pPr>
      <w:r>
        <w:rPr>
          <w:rFonts w:ascii="Calibri" w:hAnsi="Calibri"/>
          <w:position w:val="9"/>
          <w:sz w:val="12"/>
        </w:rPr>
        <w:t>41  </w:t>
      </w:r>
      <w:r>
        <w:rPr>
          <w:rFonts w:ascii="Calibri" w:hAnsi="Calibri"/>
          <w:sz w:val="18"/>
        </w:rPr>
        <w:t>RODRÍGUEZ, Alfonso, </w:t>
      </w:r>
      <w:r>
        <w:rPr>
          <w:rFonts w:ascii="Calibri" w:hAnsi="Calibri"/>
          <w:i/>
          <w:sz w:val="18"/>
        </w:rPr>
        <w:t>et al</w:t>
      </w:r>
      <w:r>
        <w:rPr>
          <w:rFonts w:ascii="Calibri" w:hAnsi="Calibri"/>
          <w:sz w:val="18"/>
        </w:rPr>
        <w:t>, </w:t>
      </w:r>
      <w:r>
        <w:rPr>
          <w:rFonts w:ascii="Calibri" w:hAnsi="Calibri"/>
          <w:i/>
          <w:sz w:val="18"/>
        </w:rPr>
        <w:t>Lecciones de Historia de México</w:t>
      </w:r>
      <w:r>
        <w:rPr>
          <w:rFonts w:ascii="Calibri" w:hAnsi="Calibri"/>
          <w:sz w:val="18"/>
        </w:rPr>
        <w:t>, Trillas, México, 1995, p 176.</w:t>
      </w:r>
    </w:p>
    <w:p>
      <w:pPr>
        <w:spacing w:line="220" w:lineRule="exact" w:before="11"/>
        <w:ind w:left="264" w:right="213" w:firstLine="0"/>
        <w:jc w:val="both"/>
        <w:rPr>
          <w:rFonts w:ascii="Calibri" w:hAnsi="Calibri"/>
          <w:sz w:val="18"/>
        </w:rPr>
      </w:pPr>
      <w:r>
        <w:rPr>
          <w:position w:val="9"/>
          <w:sz w:val="12"/>
        </w:rPr>
        <w:t>42 </w:t>
      </w:r>
      <w:r>
        <w:rPr>
          <w:rFonts w:ascii="Calibri" w:hAnsi="Calibri"/>
          <w:sz w:val="18"/>
        </w:rPr>
        <w:t>Clara Luz Álvarez comenta que el 3 de marzo de 1878 se instaló la primera línea de teléfono en México: “La primera línea telefónica fue instalada entre el Castillo de Chapultepec y el Palacio Nacional el 16 de septiembre de ese mismo año. A partir de ese evento “(…) en México se desenvuelve una especie de competencia para establecer el servicio [telefónico]. Muchos son quienes obtienen concesiones, varias las compañías preestablecidas, e innumerables los particulares autorizados para construir sus líneas privadas (…)”. En 1881, el presidente Manuel González expidió la ley</w:t>
      </w:r>
    </w:p>
    <w:p>
      <w:pPr>
        <w:spacing w:before="5"/>
        <w:ind w:left="264" w:right="225" w:firstLine="0"/>
        <w:jc w:val="both"/>
        <w:rPr>
          <w:rFonts w:ascii="Calibri" w:hAnsi="Calibri"/>
          <w:sz w:val="18"/>
        </w:rPr>
      </w:pPr>
      <w:r>
        <w:rPr>
          <w:rFonts w:ascii="Calibri" w:hAnsi="Calibri"/>
          <w:sz w:val="18"/>
        </w:rPr>
        <w:t>que establece las bases para la reglamentación del servicio de ferrocarriles, telégrafos y teléfonos, misma que señala como vías generales de comunicación a los teléfonos que unan municipalidades o estados. Esta ley puede considerarse como la primera en México que se refiere a la telefonía.</w:t>
      </w:r>
    </w:p>
    <w:p>
      <w:pPr>
        <w:spacing w:before="0"/>
        <w:ind w:left="264" w:right="212" w:firstLine="199"/>
        <w:jc w:val="both"/>
        <w:rPr>
          <w:rFonts w:ascii="Calibri" w:hAnsi="Calibri"/>
          <w:sz w:val="18"/>
        </w:rPr>
      </w:pPr>
      <w:r>
        <w:rPr>
          <w:rFonts w:ascii="Calibri" w:hAnsi="Calibri"/>
          <w:sz w:val="18"/>
        </w:rPr>
        <w:t>La primera conferencia telefónica internacional fue entre Matamoros, Tamaulipas, y Brownsville, Texas en 1883, por su trascendencia en el desarrollo de la telefonía en México, se expone una reseña histórica de las empresas Compañía Telefónica Mexicana (“La Mexicana”) y Empresa de Teléfonos Ericsson, S.A. ( “Mexeric”) que con el tiempo dieron origen a Telmex. La Mexicana era una empresa propiedad del grupo corporativo Bell de EUA que recibió los derechos, concesiones  y autorizaciones  de invenciones  y contratos  de otras  empresas  telefónicas. En  1888 aquélla  obtuvo   su</w:t>
      </w:r>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234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5" w:lineRule="auto" w:before="70"/>
        <w:ind w:left="684" w:right="114" w:firstLine="336"/>
        <w:jc w:val="both"/>
      </w:pPr>
      <w:r>
        <w:rPr/>
        <w:t>A fines del siglo XIX México era un país preferentemente rural, pero al iniciar el siglo XX se perfilaron cambios que empezarían a configurar el México moderno, “[..] durante el porfiriato los centros urbanos crecieron de forma impresionante.”</w:t>
      </w:r>
      <w:r>
        <w:rPr>
          <w:position w:val="11"/>
          <w:sz w:val="16"/>
        </w:rPr>
        <w:t>43 </w:t>
      </w:r>
      <w:r>
        <w:rPr/>
        <w:t>Se dieron los inicios del éxodo del campo hacia la ciudad, con el crecimiento de centros urbanos como: Ciudad de México, Guadalajara, Puebla, Monterrey entre otras; así, se iniciaba el proceso migratorio ante la falta de oportunidades en las zonas rurales.</w:t>
      </w:r>
    </w:p>
    <w:p>
      <w:pPr>
        <w:pStyle w:val="BodyText"/>
        <w:spacing w:line="355" w:lineRule="auto" w:before="7"/>
        <w:ind w:left="684" w:right="118" w:firstLine="336"/>
        <w:jc w:val="both"/>
      </w:pPr>
      <w:r>
        <w:rPr/>
        <w:t>Generando, en consecuencia, problemas evidentes de urbanización, que provocaron un desequilibrio en los centros urbanos, que no contaban con suficientes servicios para satisfacer las necesidades de la nueva población: “Los gobernantes y las élites deseaban que las urbes reflejaran la prosperidad y el progreso de la nación, y que se parecieran a las de las naciones “civilizadas” como Estados Unidos o las de Europa.”</w:t>
      </w:r>
      <w:r>
        <w:rPr>
          <w:position w:val="11"/>
          <w:sz w:val="16"/>
        </w:rPr>
        <w:t>44  </w:t>
      </w:r>
      <w:r>
        <w:rPr/>
        <w:t>Su proyecto era hacer bellas y agradables</w:t>
      </w:r>
    </w:p>
    <w:p>
      <w:pPr>
        <w:pStyle w:val="BodyText"/>
        <w:spacing w:line="355" w:lineRule="auto"/>
        <w:ind w:left="684" w:right="115"/>
        <w:jc w:val="both"/>
      </w:pPr>
      <w:r>
        <w:rPr/>
        <w:t>ciudades, pero sólo algunos habitantes tenían el privilegio de vivir en ese tipo de espacios urbanos. En realidad la nueva población carecía de lo más  indispensable: “Por otra parte, la mayoría de sus habitantes vivía en calles sucias e inundadas, y sufría por la falta de vivienda, agua potable y alimentos. Todo ello generó graves problemas de salud y se reflejó en índices de mortalidad muy elevados”.</w:t>
      </w:r>
      <w:r>
        <w:rPr>
          <w:position w:val="11"/>
          <w:sz w:val="16"/>
        </w:rPr>
        <w:t>45 </w:t>
      </w:r>
      <w:r>
        <w:rPr/>
        <w:t>Ante esta situación estos nuevos habitantes de la ciudad se convirtieron</w:t>
      </w:r>
      <w:r>
        <w:rPr>
          <w:spacing w:val="36"/>
        </w:rPr>
        <w:t> </w:t>
      </w:r>
      <w:r>
        <w:rPr/>
        <w:t>en</w:t>
      </w:r>
      <w:r>
        <w:rPr>
          <w:spacing w:val="36"/>
        </w:rPr>
        <w:t> </w:t>
      </w:r>
      <w:r>
        <w:rPr/>
        <w:t>sujetos</w:t>
      </w:r>
      <w:r>
        <w:rPr>
          <w:spacing w:val="38"/>
        </w:rPr>
        <w:t> </w:t>
      </w:r>
      <w:r>
        <w:rPr/>
        <w:t>fuera</w:t>
      </w:r>
      <w:r>
        <w:rPr>
          <w:spacing w:val="36"/>
        </w:rPr>
        <w:t> </w:t>
      </w:r>
      <w:r>
        <w:rPr/>
        <w:t>de</w:t>
      </w:r>
      <w:r>
        <w:rPr>
          <w:spacing w:val="36"/>
        </w:rPr>
        <w:t> </w:t>
      </w:r>
      <w:r>
        <w:rPr/>
        <w:t>la</w:t>
      </w:r>
      <w:r>
        <w:rPr>
          <w:spacing w:val="36"/>
        </w:rPr>
        <w:t> </w:t>
      </w:r>
      <w:r>
        <w:rPr/>
        <w:t>ley</w:t>
      </w:r>
      <w:r>
        <w:rPr>
          <w:spacing w:val="34"/>
        </w:rPr>
        <w:t> </w:t>
      </w:r>
      <w:r>
        <w:rPr/>
        <w:t>o,</w:t>
      </w:r>
      <w:r>
        <w:rPr>
          <w:spacing w:val="39"/>
        </w:rPr>
        <w:t> </w:t>
      </w:r>
      <w:r>
        <w:rPr/>
        <w:t>en</w:t>
      </w:r>
      <w:r>
        <w:rPr>
          <w:spacing w:val="36"/>
        </w:rPr>
        <w:t> </w:t>
      </w:r>
      <w:r>
        <w:rPr/>
        <w:t>mano</w:t>
      </w:r>
      <w:r>
        <w:rPr>
          <w:spacing w:val="36"/>
        </w:rPr>
        <w:t> </w:t>
      </w:r>
      <w:r>
        <w:rPr/>
        <w:t>de</w:t>
      </w:r>
      <w:r>
        <w:rPr>
          <w:spacing w:val="36"/>
        </w:rPr>
        <w:t> </w:t>
      </w:r>
      <w:r>
        <w:rPr/>
        <w:t>obra</w:t>
      </w:r>
      <w:r>
        <w:rPr>
          <w:spacing w:val="36"/>
        </w:rPr>
        <w:t> </w:t>
      </w:r>
      <w:r>
        <w:rPr/>
        <w:t>barata,</w:t>
      </w:r>
      <w:r>
        <w:rPr>
          <w:spacing w:val="39"/>
        </w:rPr>
        <w:t> </w:t>
      </w:r>
      <w:r>
        <w:rPr/>
        <w:t>así</w:t>
      </w:r>
      <w:r>
        <w:rPr>
          <w:spacing w:val="39"/>
        </w:rPr>
        <w:t> </w:t>
      </w:r>
      <w:r>
        <w:rPr/>
        <w:t>como</w:t>
      </w:r>
      <w:r>
        <w:rPr>
          <w:spacing w:val="36"/>
        </w:rPr>
        <w:t> </w:t>
      </w:r>
      <w:r>
        <w:rPr/>
        <w:t>el</w:t>
      </w:r>
    </w:p>
    <w:p>
      <w:pPr>
        <w:pStyle w:val="BodyText"/>
        <w:spacing w:before="11"/>
        <w:ind w:left="684"/>
        <w:jc w:val="both"/>
      </w:pPr>
      <w:r>
        <w:rPr/>
        <w:t>antecedente de lo que en el siglo XX sería el hacinamiento urbano.</w:t>
      </w:r>
    </w:p>
    <w:p>
      <w:pPr>
        <w:pStyle w:val="BodyText"/>
        <w:rPr>
          <w:sz w:val="20"/>
        </w:rPr>
      </w:pPr>
    </w:p>
    <w:p>
      <w:pPr>
        <w:pStyle w:val="BodyText"/>
        <w:rPr>
          <w:sz w:val="20"/>
        </w:rPr>
      </w:pPr>
    </w:p>
    <w:p>
      <w:pPr>
        <w:pStyle w:val="BodyText"/>
        <w:spacing w:before="6"/>
        <w:rPr>
          <w:sz w:val="17"/>
        </w:rPr>
      </w:pPr>
      <w:r>
        <w:rPr/>
        <w:pict>
          <v:line style="position:absolute;mso-position-horizontal-relative:page;mso-position-vertical-relative:paragraph;z-index:2320;mso-wrap-distance-left:0;mso-wrap-distance-right:0" from="99.224998pt,12.358981pt" to="541.174998pt,12.358981pt" stroked="true" strokeweight=".599980pt" strokecolor="#000000">
            <w10:wrap type="topAndBottom"/>
          </v:line>
        </w:pict>
      </w:r>
    </w:p>
    <w:p>
      <w:pPr>
        <w:spacing w:line="240" w:lineRule="auto" w:before="80"/>
        <w:ind w:left="684" w:right="120" w:firstLine="0"/>
        <w:jc w:val="both"/>
        <w:rPr>
          <w:rFonts w:ascii="Calibri" w:hAnsi="Calibri"/>
          <w:sz w:val="18"/>
        </w:rPr>
      </w:pPr>
      <w:r>
        <w:rPr>
          <w:rFonts w:ascii="Calibri" w:hAnsi="Calibri"/>
          <w:sz w:val="18"/>
        </w:rPr>
        <w:t>primera concesión para proporcionar el servicio público telefónico. Para 1903 a fin de continuar prestando ese servicio, La Mexicana celebró un contrato con la Secretaría de Comunicaciones y Obras Públicas. Por su parte, en 1905 Mexeric adquiere una concesión de 1903 que estaba a nombre de José Sittzenstátter. Mexeric es una filial de una empresa sueca Aktiebolaget L.M. Ericsson y Co. El contrato de La Mexicana y la concesión de Mexeric con el gobierno mexicano señalaban expresamente que no se estaba otorgando exclusividad o monopolio alguno a las partes.</w:t>
      </w:r>
    </w:p>
    <w:p>
      <w:pPr>
        <w:spacing w:before="0"/>
        <w:ind w:left="684" w:right="111" w:firstLine="199"/>
        <w:jc w:val="both"/>
        <w:rPr>
          <w:rFonts w:ascii="Calibri" w:hAnsi="Calibri"/>
          <w:sz w:val="18"/>
        </w:rPr>
      </w:pPr>
      <w:r>
        <w:rPr>
          <w:rFonts w:ascii="Calibri" w:hAnsi="Calibri"/>
          <w:sz w:val="18"/>
        </w:rPr>
        <w:t>“La primera concesión de comunicaciones a distancia fue otorgada a Juan de la Granja en 1849 a quien se le otorgó el privilegio exclusivo por diez años para “plantear en la República telégrafos eléctricos””. Además en esta época “(…) el primer servicio telegráfico fue entre la ciudad de México y Nopalucan, Puebla en 1851, dándose por sentado desde ese momento, la historia de las telecomunicaciones en México que ha estado íntimamente vinculada con el desarrollo no sólo económico, sino también político nacional.” Véase. ÁLVAREZ, Clara Luz, “Historia de las Telecomunicaciones en México”, WORDPRESS, Revista bimensual [en línea], consulta 04/09/2012, disponible en: </w:t>
      </w:r>
      <w:hyperlink r:id="rId25">
        <w:r>
          <w:rPr>
            <w:rFonts w:ascii="Calibri" w:hAnsi="Calibri"/>
            <w:color w:val="0000FF"/>
            <w:sz w:val="18"/>
            <w:u w:val="single" w:color="0000FF"/>
          </w:rPr>
          <w:t>http://revistabimensualup.files.wordpress.com/2007/09/d2-historiadelastelecomunicacionesenmxicooriginal1.pdf</w:t>
        </w:r>
      </w:hyperlink>
    </w:p>
    <w:p>
      <w:pPr>
        <w:spacing w:line="220" w:lineRule="exact" w:before="0"/>
        <w:ind w:left="684" w:right="0" w:firstLine="0"/>
        <w:jc w:val="both"/>
        <w:rPr>
          <w:rFonts w:ascii="Calibri" w:hAnsi="Calibri"/>
          <w:i/>
          <w:sz w:val="18"/>
        </w:rPr>
      </w:pPr>
      <w:r>
        <w:rPr>
          <w:rFonts w:ascii="Calibri" w:hAnsi="Calibri"/>
          <w:position w:val="9"/>
          <w:sz w:val="12"/>
        </w:rPr>
        <w:t>43 </w:t>
      </w:r>
      <w:r>
        <w:rPr>
          <w:rFonts w:ascii="Calibri" w:hAnsi="Calibri"/>
          <w:sz w:val="18"/>
        </w:rPr>
        <w:t>SPECKMAN Guerra, Elisa, “El Porfiriato”, en ESCALANTE, Gonzalbo, García Martínez, Bernardo, </w:t>
      </w:r>
      <w:r>
        <w:rPr>
          <w:rFonts w:ascii="Calibri" w:hAnsi="Calibri"/>
          <w:i/>
          <w:sz w:val="18"/>
        </w:rPr>
        <w:t>et. al</w:t>
      </w:r>
      <w:r>
        <w:rPr>
          <w:rFonts w:ascii="Calibri" w:hAnsi="Calibri"/>
          <w:sz w:val="18"/>
        </w:rPr>
        <w:t>. </w:t>
      </w:r>
      <w:r>
        <w:rPr>
          <w:rFonts w:ascii="Calibri" w:hAnsi="Calibri"/>
          <w:i/>
          <w:sz w:val="18"/>
        </w:rPr>
        <w:t>Nueva Historia</w:t>
      </w:r>
    </w:p>
    <w:p>
      <w:pPr>
        <w:spacing w:before="0"/>
        <w:ind w:left="684" w:right="120" w:firstLine="0"/>
        <w:jc w:val="both"/>
        <w:rPr>
          <w:rFonts w:ascii="Calibri" w:hAnsi="Calibri"/>
          <w:sz w:val="18"/>
        </w:rPr>
      </w:pPr>
      <w:r>
        <w:rPr>
          <w:rFonts w:ascii="Calibri" w:hAnsi="Calibri"/>
          <w:i/>
          <w:sz w:val="18"/>
        </w:rPr>
        <w:t>Mínima de México</w:t>
      </w:r>
      <w:r>
        <w:rPr>
          <w:rFonts w:ascii="Calibri" w:hAnsi="Calibri"/>
          <w:sz w:val="18"/>
        </w:rPr>
        <w:t>, Biblioteca para la Actualización del Maestro, Secretaría de Educación Pública, (SEP), El Colegio de México, México, 2004, pp. 192-224.</w:t>
      </w:r>
    </w:p>
    <w:p>
      <w:pPr>
        <w:spacing w:line="204" w:lineRule="exact" w:before="0"/>
        <w:ind w:left="684" w:right="0" w:firstLine="0"/>
        <w:jc w:val="both"/>
        <w:rPr>
          <w:rFonts w:ascii="Calibri" w:hAnsi="Calibri"/>
          <w:sz w:val="18"/>
        </w:rPr>
      </w:pPr>
      <w:r>
        <w:rPr>
          <w:rFonts w:ascii="Calibri" w:hAnsi="Calibri"/>
          <w:position w:val="9"/>
          <w:sz w:val="12"/>
        </w:rPr>
        <w:t>44 </w:t>
      </w:r>
      <w:r>
        <w:rPr>
          <w:rFonts w:ascii="Calibri" w:hAnsi="Calibri"/>
          <w:i/>
          <w:sz w:val="18"/>
        </w:rPr>
        <w:t>Ídem</w:t>
      </w:r>
      <w:r>
        <w:rPr>
          <w:rFonts w:ascii="Calibri" w:hAnsi="Calibri"/>
          <w:sz w:val="18"/>
        </w:rPr>
        <w:t>.</w:t>
      </w:r>
    </w:p>
    <w:p>
      <w:pPr>
        <w:spacing w:line="236" w:lineRule="exact" w:before="0"/>
        <w:ind w:left="684" w:right="0" w:firstLine="0"/>
        <w:jc w:val="both"/>
        <w:rPr>
          <w:rFonts w:ascii="Calibri" w:hAnsi="Calibri"/>
          <w:i/>
          <w:sz w:val="18"/>
        </w:rPr>
      </w:pPr>
      <w:r>
        <w:rPr>
          <w:rFonts w:ascii="Calibri" w:hAnsi="Calibri"/>
          <w:position w:val="9"/>
          <w:sz w:val="12"/>
        </w:rPr>
        <w:t>45 </w:t>
      </w:r>
      <w:r>
        <w:rPr>
          <w:rFonts w:ascii="Calibri" w:hAnsi="Calibri"/>
          <w:i/>
          <w:sz w:val="18"/>
        </w:rPr>
        <w:t>Ídem.</w:t>
      </w:r>
    </w:p>
    <w:p>
      <w:pPr>
        <w:spacing w:after="0" w:line="236"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239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5" w:firstLine="271"/>
        <w:jc w:val="both"/>
      </w:pPr>
      <w:r>
        <w:rPr/>
        <w:t>En ese estado de cosas la carencia de libertad democrática para un gran sector de la sociedad que excluía a la pequeña burguesía, a los campesinos y a los obreros de los derechos que por ley les correspondían, en contraposición a las prebendas otorgadas al capital internacional que le hacían partícipe importante en la economía nacional y los altos privilegios de que gozaba el latifundio como forma de organización productiva, aceleraba el proceso de descomposición social y política del porfiriato. Éstas fueron parte de las causas que motivaron la lucha social provocando un movimiento armado bajo premisas de justicia, igualdad y renovación política.</w:t>
      </w:r>
    </w:p>
    <w:p>
      <w:pPr>
        <w:pStyle w:val="BodyText"/>
        <w:spacing w:line="355" w:lineRule="auto" w:before="1"/>
        <w:ind w:left="264" w:right="217" w:firstLine="404"/>
        <w:jc w:val="both"/>
        <w:rPr>
          <w:sz w:val="16"/>
        </w:rPr>
      </w:pPr>
      <w:r>
        <w:rPr/>
        <w:t>Existen diversas opiniones sobre quienes fueron los pioneros en esta lucha, mientras para algunos fueron los liberales, por ejemplo el </w:t>
      </w:r>
      <w:r>
        <w:rPr>
          <w:i/>
        </w:rPr>
        <w:t>Club Antirreeleccionista </w:t>
      </w:r>
      <w:r>
        <w:rPr>
          <w:i/>
        </w:rPr>
        <w:t>Redención</w:t>
      </w:r>
      <w:r>
        <w:rPr/>
        <w:t>; para otros fue la iglesia quien manifestó su inconformidad ante la problemática social que presentaba el país; al respecto Javier Garcíadiego asegura: “Los primeros en manifestarse fueron ciertos sectores católicos, influídos por las renovadoras ideas en materia social sostenidas por el Vaticano desde 1881, cuando proclamó la encíclica </w:t>
      </w:r>
      <w:r>
        <w:rPr>
          <w:i/>
        </w:rPr>
        <w:t>Rerum Novarum</w:t>
      </w:r>
      <w:r>
        <w:rPr/>
        <w:t>, que pretendía ofrecer una solución cristiana a los conflictos sociales.”</w:t>
      </w:r>
      <w:r>
        <w:rPr>
          <w:position w:val="11"/>
          <w:sz w:val="16"/>
        </w:rPr>
        <w:t>46</w:t>
      </w:r>
    </w:p>
    <w:p>
      <w:pPr>
        <w:pStyle w:val="BodyText"/>
        <w:spacing w:line="360" w:lineRule="auto"/>
        <w:ind w:left="264" w:right="219" w:firstLine="271"/>
        <w:jc w:val="both"/>
      </w:pPr>
      <w:r>
        <w:rPr/>
        <w:t>Lo que es indiscutible es que bajo estas condiciones la clase media demandaba cambios democráticos. El Partido Liberal Mexicano integrado por diversos sectores de la clase urbana: periodistas, maestros, estudiantes es uno de los primeros en proponer un programa para derrocar el gobierno de Díaz, promoviendo acciones de resistencia y movimientos huelguísticos precursores de la revolución mexicana. Arnaldo Córdova en su obra </w:t>
      </w:r>
      <w:r>
        <w:rPr>
          <w:i/>
        </w:rPr>
        <w:t>La ideología de la Revolución </w:t>
      </w:r>
      <w:r>
        <w:rPr>
          <w:i/>
        </w:rPr>
        <w:t>Mexicana, </w:t>
      </w:r>
      <w:r>
        <w:rPr/>
        <w:t>comenta que entre los objetivos del Congreso Liberal, promovido por el Partido Liberal Mexicano en febrero de 1901, en San Luis Potosí,</w:t>
      </w:r>
      <w:r>
        <w:rPr>
          <w:spacing w:val="-41"/>
        </w:rPr>
        <w:t> </w:t>
      </w:r>
      <w:r>
        <w:rPr/>
        <w:t>estaban:</w:t>
      </w:r>
    </w:p>
    <w:p>
      <w:pPr>
        <w:pStyle w:val="BodyText"/>
      </w:pPr>
    </w:p>
    <w:p>
      <w:pPr>
        <w:spacing w:line="252" w:lineRule="exact" w:before="145"/>
        <w:ind w:left="973" w:right="223" w:firstLine="0"/>
        <w:jc w:val="both"/>
        <w:rPr>
          <w:sz w:val="14"/>
        </w:rPr>
      </w:pPr>
      <w:r>
        <w:rPr>
          <w:sz w:val="22"/>
        </w:rPr>
        <w:t>I.El respeto y exacta observancia de las Leyes. II. La educación liberal y cívica de la Nación. III. El establecimiento de la honradez política de los funcionarios públicos. IV. La abolición de toda tendencia personalista en los gobiernos que pueda juzgarse preferente a la Constitución de 1857 y Leyes de Reforma.</w:t>
      </w:r>
      <w:r>
        <w:rPr>
          <w:position w:val="10"/>
          <w:sz w:val="14"/>
        </w:rPr>
        <w:t>47</w:t>
      </w:r>
    </w:p>
    <w:p>
      <w:pPr>
        <w:pStyle w:val="BodyText"/>
        <w:rPr>
          <w:sz w:val="20"/>
        </w:rPr>
      </w:pPr>
    </w:p>
    <w:p>
      <w:pPr>
        <w:pStyle w:val="BodyText"/>
        <w:spacing w:before="1"/>
        <w:rPr>
          <w:sz w:val="17"/>
        </w:rPr>
      </w:pPr>
      <w:r>
        <w:rPr/>
        <w:pict>
          <v:line style="position:absolute;mso-position-horizontal-relative:page;mso-position-vertical-relative:paragraph;z-index:2368;mso-wrap-distance-left:0;mso-wrap-distance-right:0" from="99.224998pt,12.075954pt" to="243.274998pt,12.075954pt" stroked="true" strokeweight=".60004pt" strokecolor="#000000">
            <w10:wrap type="topAndBottom"/>
          </v:line>
        </w:pict>
      </w:r>
    </w:p>
    <w:p>
      <w:pPr>
        <w:spacing w:line="236" w:lineRule="exact" w:before="46"/>
        <w:ind w:left="264" w:right="0" w:firstLine="0"/>
        <w:jc w:val="left"/>
        <w:rPr>
          <w:rFonts w:ascii="Calibri" w:hAnsi="Calibri"/>
          <w:sz w:val="18"/>
        </w:rPr>
      </w:pPr>
      <w:r>
        <w:rPr>
          <w:rFonts w:ascii="Calibri" w:hAnsi="Calibri"/>
          <w:position w:val="9"/>
          <w:sz w:val="12"/>
        </w:rPr>
        <w:t>46 </w:t>
      </w:r>
      <w:r>
        <w:rPr>
          <w:rFonts w:ascii="Calibri" w:hAnsi="Calibri"/>
          <w:sz w:val="18"/>
        </w:rPr>
        <w:t>GARCÍADIEGO, Javier, </w:t>
      </w:r>
      <w:r>
        <w:rPr>
          <w:rFonts w:ascii="Calibri" w:hAnsi="Calibri"/>
          <w:i/>
          <w:sz w:val="18"/>
        </w:rPr>
        <w:t>“</w:t>
      </w:r>
      <w:r>
        <w:rPr>
          <w:rFonts w:ascii="Calibri" w:hAnsi="Calibri"/>
          <w:sz w:val="18"/>
        </w:rPr>
        <w:t>La Revolución</w:t>
      </w:r>
      <w:r>
        <w:rPr>
          <w:rFonts w:ascii="Calibri" w:hAnsi="Calibri"/>
          <w:i/>
          <w:sz w:val="18"/>
        </w:rPr>
        <w:t>", </w:t>
      </w:r>
      <w:r>
        <w:rPr>
          <w:rFonts w:ascii="Calibri" w:hAnsi="Calibri"/>
          <w:sz w:val="18"/>
        </w:rPr>
        <w:t>en  ESCALANTE, Gonzalbo, García Martínez, Bernardo, </w:t>
      </w:r>
      <w:r>
        <w:rPr>
          <w:rFonts w:ascii="Calibri" w:hAnsi="Calibri"/>
          <w:i/>
          <w:sz w:val="18"/>
        </w:rPr>
        <w:t>Óp. Cit</w:t>
      </w:r>
      <w:r>
        <w:rPr>
          <w:rFonts w:ascii="Calibri" w:hAnsi="Calibri"/>
          <w:sz w:val="18"/>
        </w:rPr>
        <w:t>.</w:t>
      </w:r>
      <w:r>
        <w:rPr>
          <w:rFonts w:ascii="Calibri" w:hAnsi="Calibri"/>
          <w:i/>
          <w:sz w:val="18"/>
        </w:rPr>
        <w:t>, </w:t>
      </w:r>
      <w:r>
        <w:rPr>
          <w:rFonts w:ascii="Calibri" w:hAnsi="Calibri"/>
          <w:sz w:val="18"/>
        </w:rPr>
        <w:t>p. 226.</w:t>
      </w:r>
    </w:p>
    <w:p>
      <w:pPr>
        <w:spacing w:line="220" w:lineRule="exact" w:before="12"/>
        <w:ind w:left="264" w:right="210" w:firstLine="0"/>
        <w:jc w:val="left"/>
        <w:rPr>
          <w:rFonts w:ascii="Calibri" w:hAnsi="Calibri"/>
          <w:sz w:val="18"/>
        </w:rPr>
      </w:pPr>
      <w:r>
        <w:rPr>
          <w:rFonts w:ascii="Calibri" w:hAnsi="Calibri"/>
          <w:position w:val="9"/>
          <w:sz w:val="12"/>
        </w:rPr>
        <w:t>47 </w:t>
      </w:r>
      <w:r>
        <w:rPr>
          <w:rFonts w:ascii="Calibri" w:hAnsi="Calibri"/>
          <w:sz w:val="18"/>
        </w:rPr>
        <w:t>CÓRDOVA, Arnaldo, </w:t>
      </w:r>
      <w:r>
        <w:rPr>
          <w:rFonts w:ascii="Calibri" w:hAnsi="Calibri"/>
          <w:i/>
          <w:sz w:val="18"/>
        </w:rPr>
        <w:t>La ideología de la Revolución Mexicana, la formación del nuevo régimen</w:t>
      </w:r>
      <w:r>
        <w:rPr>
          <w:rFonts w:ascii="Calibri" w:hAnsi="Calibri"/>
          <w:sz w:val="18"/>
        </w:rPr>
        <w:t>, Instituto de Investigaciones Sociales de la UNAM, Era, México, 1978, p. 92.</w:t>
      </w:r>
    </w:p>
    <w:p>
      <w:pPr>
        <w:spacing w:after="0" w:line="220"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244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2" w:lineRule="auto" w:before="70"/>
        <w:ind w:left="684" w:right="116" w:firstLine="336"/>
        <w:jc w:val="both"/>
        <w:rPr>
          <w:i/>
          <w:sz w:val="16"/>
        </w:rPr>
      </w:pPr>
      <w:r>
        <w:rPr/>
        <w:t>Asimismo, entre otras demandas, este órgano político manifestó su abierta oposición al despotismo y el autoritarismo de Porfirio Díaz; expresó su apoyo abierto y decidido a las clases trabajadoras, obreras y campesinas y convocó a un movimiento social y antirreeleccionista; actitud que acarreó la persecución y represión contra los integrantes del </w:t>
      </w:r>
      <w:r>
        <w:rPr>
          <w:i/>
        </w:rPr>
        <w:t>Club Redención Antirreeleccionista.</w:t>
      </w:r>
      <w:r>
        <w:rPr>
          <w:i/>
          <w:position w:val="11"/>
          <w:sz w:val="16"/>
        </w:rPr>
        <w:t>48</w:t>
      </w:r>
    </w:p>
    <w:p>
      <w:pPr>
        <w:pStyle w:val="BodyText"/>
        <w:spacing w:line="360" w:lineRule="auto"/>
        <w:ind w:left="684" w:right="116" w:firstLine="336"/>
        <w:jc w:val="both"/>
      </w:pPr>
      <w:r>
        <w:rPr/>
        <w:t>Como consecuencia de la situación social y política el surgimiento de varios grupos revolucionarios fue inevitable. Las demandas democráticas fueron auspiciadas por los seguidores de Francisco I. Madero, su propuesta fue básicamente la antirreelección proclamada en el </w:t>
      </w:r>
      <w:r>
        <w:rPr>
          <w:i/>
        </w:rPr>
        <w:t>Plan de San Luis </w:t>
      </w:r>
      <w:r>
        <w:rPr/>
        <w:t>y en su obra </w:t>
      </w:r>
      <w:r>
        <w:rPr>
          <w:i/>
        </w:rPr>
        <w:t>La </w:t>
      </w:r>
      <w:r>
        <w:rPr>
          <w:i/>
        </w:rPr>
        <w:t>sucesión presidencial</w:t>
      </w:r>
      <w:r>
        <w:rPr/>
        <w:t>; las demandas agrarias convocadas por los contingentes comandados por Francisco Villa en el norte de país y por Emiliano Zapata en el sur. El ejército del sur en el </w:t>
      </w:r>
      <w:r>
        <w:rPr>
          <w:i/>
        </w:rPr>
        <w:t>Plan de Ayala </w:t>
      </w:r>
      <w:r>
        <w:rPr/>
        <w:t>expresa el sentir popular y de la población rural, planteando en este documento los fundamentos de la revolución campesina.</w:t>
      </w:r>
    </w:p>
    <w:p>
      <w:pPr>
        <w:pStyle w:val="BodyText"/>
        <w:spacing w:line="360" w:lineRule="auto" w:before="6"/>
        <w:ind w:left="684" w:right="120" w:firstLine="336"/>
        <w:jc w:val="right"/>
      </w:pPr>
      <w:r>
        <w:rPr/>
        <w:t>Las condiciones sociales y económicas imperantes fueron el caldo de cultivo</w:t>
      </w:r>
      <w:r>
        <w:rPr>
          <w:w w:val="99"/>
        </w:rPr>
        <w:t> </w:t>
      </w:r>
      <w:r>
        <w:rPr/>
        <w:t>adecuado para la participación en el movimiento social de mexicanos y mexicanas inconformes con la pobreza e injusticia en que se debatía la mayor parte de la</w:t>
      </w:r>
      <w:r>
        <w:rPr>
          <w:w w:val="99"/>
        </w:rPr>
        <w:t> </w:t>
      </w:r>
      <w:r>
        <w:rPr/>
        <w:t>población. Sin embargo, para Vicente Lombardo Toledano, esta situación tiene</w:t>
      </w:r>
      <w:r>
        <w:rPr>
          <w:w w:val="99"/>
        </w:rPr>
        <w:t> </w:t>
      </w:r>
      <w:r>
        <w:rPr/>
        <w:t>una justificación que se fundamenta en el proceso histórico de la incipiente nación:</w:t>
      </w:r>
    </w:p>
    <w:p>
      <w:pPr>
        <w:pStyle w:val="BodyText"/>
        <w:spacing w:before="5"/>
        <w:rPr>
          <w:sz w:val="33"/>
        </w:rPr>
      </w:pPr>
    </w:p>
    <w:p>
      <w:pPr>
        <w:spacing w:line="235" w:lineRule="auto" w:before="0"/>
        <w:ind w:left="1393" w:right="124" w:firstLine="300"/>
        <w:jc w:val="both"/>
        <w:rPr>
          <w:sz w:val="22"/>
        </w:rPr>
      </w:pPr>
      <w:r>
        <w:rPr>
          <w:sz w:val="22"/>
        </w:rPr>
        <w:t>La tragedia histórica de México ha sido una tragedia jurídica: el divorcio entre la ley y las necesidades populares. La Revolución iniciada en 1910 tiene la significación trascendental de haber elevado a la categoría de leyes las necesidades colectivas y las indicaciones de la historia para la defensa integral de la nacionalidad mexicana</w:t>
      </w:r>
      <w:r>
        <w:rPr>
          <w:position w:val="10"/>
          <w:sz w:val="14"/>
        </w:rPr>
        <w:t>49</w:t>
      </w:r>
      <w:r>
        <w:rPr>
          <w:sz w:val="22"/>
        </w:rPr>
        <w:t>.</w:t>
      </w:r>
    </w:p>
    <w:p>
      <w:pPr>
        <w:pStyle w:val="BodyText"/>
        <w:spacing w:before="3"/>
        <w:rPr>
          <w:sz w:val="36"/>
        </w:rPr>
      </w:pPr>
    </w:p>
    <w:p>
      <w:pPr>
        <w:pStyle w:val="BodyText"/>
        <w:spacing w:line="360" w:lineRule="auto"/>
        <w:ind w:left="684" w:right="113" w:firstLine="336"/>
        <w:jc w:val="both"/>
      </w:pPr>
      <w:r>
        <w:rPr/>
        <w:t>El análisis de Lombardo Toledano justifica a la vez, desde una perspectiva jurídica y laboral este movimiento, dada la promulgación de la Constitución Política de México en febrero de 1917, que contempla entre otras cosas las bases para mejorar la situación de la clase campesina y trabajadora.</w:t>
      </w:r>
    </w:p>
    <w:p>
      <w:pPr>
        <w:pStyle w:val="BodyText"/>
        <w:rPr>
          <w:sz w:val="20"/>
        </w:rPr>
      </w:pPr>
    </w:p>
    <w:p>
      <w:pPr>
        <w:pStyle w:val="BodyText"/>
        <w:rPr>
          <w:sz w:val="20"/>
        </w:rPr>
      </w:pPr>
    </w:p>
    <w:p>
      <w:pPr>
        <w:pStyle w:val="BodyText"/>
        <w:spacing w:before="7"/>
        <w:rPr>
          <w:sz w:val="22"/>
        </w:rPr>
      </w:pPr>
      <w:r>
        <w:rPr/>
        <w:pict>
          <v:line style="position:absolute;mso-position-horizontal-relative:page;mso-position-vertical-relative:paragraph;z-index:2416;mso-wrap-distance-left:0;mso-wrap-distance-right:0" from="99.224998pt,15.260841pt" to="243.274998pt,15.260841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48 </w:t>
      </w:r>
      <w:r>
        <w:rPr>
          <w:rFonts w:ascii="Calibri" w:hAnsi="Calibri"/>
          <w:i/>
          <w:sz w:val="18"/>
        </w:rPr>
        <w:t>Ibíd</w:t>
      </w:r>
      <w:r>
        <w:rPr>
          <w:rFonts w:ascii="Calibri" w:hAnsi="Calibri"/>
          <w:sz w:val="18"/>
        </w:rPr>
        <w:t>. p. 95.</w:t>
      </w:r>
    </w:p>
    <w:p>
      <w:pPr>
        <w:spacing w:line="220" w:lineRule="exact" w:before="12"/>
        <w:ind w:left="684" w:right="114" w:firstLine="0"/>
        <w:jc w:val="left"/>
        <w:rPr>
          <w:rFonts w:ascii="Calibri" w:hAnsi="Calibri"/>
          <w:sz w:val="18"/>
        </w:rPr>
      </w:pPr>
      <w:r>
        <w:rPr>
          <w:rFonts w:ascii="Calibri" w:hAnsi="Calibri"/>
          <w:position w:val="9"/>
          <w:sz w:val="12"/>
        </w:rPr>
        <w:t>49 </w:t>
      </w:r>
      <w:r>
        <w:rPr>
          <w:rFonts w:ascii="Calibri" w:hAnsi="Calibri"/>
          <w:sz w:val="18"/>
        </w:rPr>
        <w:t>LOMBARDO Toledano, Vicente (Compiladora: Marcela Lombardo), </w:t>
      </w:r>
      <w:r>
        <w:rPr>
          <w:rFonts w:ascii="Calibri" w:hAnsi="Calibri"/>
          <w:i/>
          <w:sz w:val="18"/>
        </w:rPr>
        <w:t>La Revolución Mexicana, Tomo I, 1921-1967</w:t>
      </w:r>
      <w:r>
        <w:rPr>
          <w:rFonts w:ascii="Calibri" w:hAnsi="Calibri"/>
          <w:sz w:val="18"/>
        </w:rPr>
        <w:t>, Instituto Nacional de Estudios Históricos de la Revolución Mexicana, México, 1988, p. 11.</w:t>
      </w:r>
    </w:p>
    <w:p>
      <w:pPr>
        <w:spacing w:after="0" w:line="220" w:lineRule="exact"/>
        <w:jc w:val="left"/>
        <w:rPr>
          <w:rFonts w:ascii="Calibri" w:hAnsi="Calibri"/>
          <w:sz w:val="18"/>
        </w:rPr>
        <w:sectPr>
          <w:footerReference w:type="default" r:id="rId26"/>
          <w:pgSz w:w="12240" w:h="15840"/>
          <w:pgMar w:footer="876" w:header="0" w:top="520" w:bottom="1060" w:left="1300" w:right="1300"/>
          <w:pgNumType w:start="29"/>
        </w:sectPr>
      </w:pPr>
    </w:p>
    <w:p>
      <w:pPr>
        <w:pStyle w:val="Heading3"/>
      </w:pPr>
      <w:r>
        <w:rPr/>
        <w:pict>
          <v:line style="position:absolute;mso-position-horizontal-relative:page;mso-position-vertical-relative:paragraph;z-index:248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235" w:lineRule="auto" w:before="77"/>
        <w:ind w:left="973" w:right="219" w:firstLine="0"/>
        <w:jc w:val="both"/>
        <w:rPr>
          <w:sz w:val="14"/>
        </w:rPr>
      </w:pPr>
      <w:r>
        <w:rPr>
          <w:sz w:val="22"/>
        </w:rPr>
        <w:t>La Revolución cristalizó las necesidades colectivas al reformar la antigua Constitución política del país, incluyendo en el texto de la nueva los artículos 27 y 123, que otorgan personalidad jurídica a las corporaciones de la población y a las asociaciones profesionales, con sus consecuencias jurídicas y sociales para el desarrollo de los intereses materiales y morales de la clase trabajadora. </w:t>
      </w:r>
      <w:r>
        <w:rPr>
          <w:position w:val="10"/>
          <w:sz w:val="14"/>
        </w:rPr>
        <w:t>50</w:t>
      </w:r>
    </w:p>
    <w:p>
      <w:pPr>
        <w:pStyle w:val="BodyText"/>
        <w:spacing w:before="3"/>
        <w:rPr>
          <w:sz w:val="36"/>
        </w:rPr>
      </w:pPr>
    </w:p>
    <w:p>
      <w:pPr>
        <w:pStyle w:val="BodyText"/>
        <w:spacing w:line="360" w:lineRule="auto"/>
        <w:ind w:left="264" w:right="217" w:firstLine="271"/>
        <w:jc w:val="both"/>
      </w:pPr>
      <w:r>
        <w:rPr/>
        <w:t>La situación social y económica de 1917 hasta los años 20’s, posterior al movimiento armado es significativa, porque en ella se dieron las bases que reformaron la estructura constitucional y normativa necesaria para las nuevas condiciones sociales y políticas del país que demandaba el apaciguamiento del país y la reconciliación nacional.</w:t>
      </w:r>
    </w:p>
    <w:p>
      <w:pPr>
        <w:pStyle w:val="BodyText"/>
        <w:spacing w:line="331" w:lineRule="auto" w:before="1"/>
        <w:ind w:left="264" w:right="219" w:firstLine="404"/>
        <w:jc w:val="both"/>
        <w:rPr>
          <w:sz w:val="16"/>
        </w:rPr>
      </w:pPr>
      <w:r>
        <w:rPr/>
        <w:t>En materia de medios de comunicación durante el gobierno de Venustiano Carranza se le da importancia de Estado al uso de la radiocomunicación.</w:t>
      </w:r>
      <w:r>
        <w:rPr>
          <w:position w:val="11"/>
          <w:sz w:val="16"/>
        </w:rPr>
        <w:t>51</w:t>
      </w:r>
    </w:p>
    <w:p>
      <w:pPr>
        <w:pStyle w:val="BodyText"/>
        <w:spacing w:line="360" w:lineRule="auto" w:before="20"/>
        <w:ind w:left="264" w:right="213" w:firstLine="336"/>
        <w:jc w:val="both"/>
      </w:pPr>
      <w:r>
        <w:rPr/>
        <w:t>En otro enfoque esta etapa se caracteriza por la presencia de presidentes que se adjudicaron poderes extraordinarios que representaban al poder ejecutivo federal, sustituyendo a los caudillos de la revolución, con una actitud paternalista- autoritaria. Durante el gobierno de Obregón se sentaron las bases de una política agraria para disminuir la concentración de la tierra, mejorar la productividad y comercializar la agricultura. Teniendo como prioridad la reconciliación nacional y la democratización  del  país.  La  premisa de  su  gobierno fue  el  mejoramiento  del</w:t>
      </w:r>
    </w:p>
    <w:p>
      <w:pPr>
        <w:spacing w:line="283" w:lineRule="exact" w:before="0"/>
        <w:ind w:left="264" w:right="0" w:firstLine="0"/>
        <w:jc w:val="left"/>
        <w:rPr>
          <w:sz w:val="16"/>
        </w:rPr>
      </w:pPr>
      <w:r>
        <w:rPr>
          <w:sz w:val="24"/>
        </w:rPr>
        <w:t>país.</w:t>
      </w:r>
      <w:r>
        <w:rPr>
          <w:position w:val="11"/>
          <w:sz w:val="16"/>
        </w:rPr>
        <w:t>52</w:t>
      </w:r>
    </w:p>
    <w:p>
      <w:pPr>
        <w:pStyle w:val="BodyText"/>
        <w:spacing w:line="360" w:lineRule="auto" w:before="136"/>
        <w:ind w:left="264" w:right="221" w:firstLine="271"/>
        <w:jc w:val="both"/>
      </w:pPr>
      <w:r>
        <w:rPr/>
        <w:t>El estado postrevolucionario en 1920 impulsa la asunción en el poder de una nueva clase, distinta a la conformada por los carrancistas, con una nueva ideología, y bajo nuevos pactos, que promueven un nuevo Estado en el que participa la clase media, no radical pero si autoritaria.</w:t>
      </w:r>
    </w:p>
    <w:p>
      <w:pPr>
        <w:pStyle w:val="BodyText"/>
        <w:rPr>
          <w:sz w:val="20"/>
        </w:rPr>
      </w:pP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2464;mso-wrap-distance-left:0;mso-wrap-distance-right:0" from="99.224998pt,12.756852pt" to="243.274998pt,12.756852pt" stroked="true" strokeweight=".599980pt" strokecolor="#000000">
            <w10:wrap type="topAndBottom"/>
          </v:line>
        </w:pict>
      </w:r>
    </w:p>
    <w:p>
      <w:pPr>
        <w:spacing w:line="236" w:lineRule="exact" w:before="46"/>
        <w:ind w:left="264" w:right="0" w:firstLine="0"/>
        <w:jc w:val="both"/>
        <w:rPr>
          <w:rFonts w:ascii="Calibri" w:hAnsi="Calibri"/>
          <w:sz w:val="18"/>
        </w:rPr>
      </w:pPr>
      <w:r>
        <w:rPr>
          <w:rFonts w:ascii="Calibri" w:hAnsi="Calibri"/>
          <w:position w:val="9"/>
          <w:sz w:val="12"/>
        </w:rPr>
        <w:t>50 </w:t>
      </w:r>
      <w:r>
        <w:rPr>
          <w:rFonts w:ascii="Calibri" w:hAnsi="Calibri"/>
          <w:i/>
          <w:sz w:val="18"/>
        </w:rPr>
        <w:t>Ibíd</w:t>
      </w:r>
      <w:r>
        <w:rPr>
          <w:rFonts w:ascii="Calibri" w:hAnsi="Calibri"/>
          <w:sz w:val="18"/>
        </w:rPr>
        <w:t>. p. 12.</w:t>
      </w:r>
    </w:p>
    <w:p>
      <w:pPr>
        <w:spacing w:line="220" w:lineRule="exact" w:before="12"/>
        <w:ind w:left="264" w:right="209" w:firstLine="0"/>
        <w:jc w:val="both"/>
        <w:rPr>
          <w:rFonts w:ascii="Calibri" w:hAnsi="Calibri"/>
          <w:sz w:val="18"/>
        </w:rPr>
      </w:pPr>
      <w:r>
        <w:rPr>
          <w:rFonts w:ascii="Calibri" w:hAnsi="Calibri"/>
          <w:position w:val="9"/>
          <w:sz w:val="12"/>
        </w:rPr>
        <w:t>51 </w:t>
      </w:r>
      <w:r>
        <w:rPr>
          <w:rFonts w:ascii="Calibri" w:hAnsi="Calibri"/>
          <w:sz w:val="18"/>
        </w:rPr>
        <w:t>Durante este período el nacimiento de la radiocomunicación inicia en México y es utilizada inclusive para la transmisión   de   mensajes   relacionados   con   </w:t>
      </w:r>
      <w:r>
        <w:rPr>
          <w:rFonts w:ascii="Calibri" w:hAnsi="Calibri"/>
          <w:spacing w:val="-3"/>
          <w:sz w:val="18"/>
        </w:rPr>
        <w:t>la   </w:t>
      </w:r>
      <w:r>
        <w:rPr>
          <w:rFonts w:ascii="Calibri" w:hAnsi="Calibri"/>
          <w:sz w:val="18"/>
        </w:rPr>
        <w:t>guerra   civil   que   acaecía   en   esta   época.   </w:t>
      </w:r>
      <w:r>
        <w:rPr>
          <w:rFonts w:ascii="Calibri" w:hAnsi="Calibri"/>
          <w:spacing w:val="2"/>
          <w:sz w:val="18"/>
        </w:rPr>
        <w:t>“Las   </w:t>
      </w:r>
      <w:r>
        <w:rPr>
          <w:rFonts w:ascii="Calibri" w:hAnsi="Calibri"/>
          <w:sz w:val="18"/>
        </w:rPr>
        <w:t>estaciones    </w:t>
      </w:r>
      <w:r>
        <w:rPr>
          <w:rFonts w:ascii="Calibri" w:hAnsi="Calibri"/>
          <w:spacing w:val="11"/>
          <w:sz w:val="18"/>
        </w:rPr>
        <w:t> </w:t>
      </w:r>
      <w:r>
        <w:rPr>
          <w:rFonts w:ascii="Calibri" w:hAnsi="Calibri"/>
          <w:sz w:val="18"/>
        </w:rPr>
        <w:t>de</w:t>
      </w:r>
    </w:p>
    <w:p>
      <w:pPr>
        <w:spacing w:before="5"/>
        <w:ind w:left="264" w:right="216" w:firstLine="0"/>
        <w:jc w:val="both"/>
        <w:rPr>
          <w:rFonts w:ascii="Calibri" w:hAnsi="Calibri"/>
          <w:i/>
          <w:sz w:val="18"/>
        </w:rPr>
      </w:pPr>
      <w:r>
        <w:rPr>
          <w:rFonts w:ascii="Calibri" w:hAnsi="Calibri"/>
          <w:sz w:val="18"/>
        </w:rPr>
        <w:t>radiocomunicación se establecieron en todo el país </w:t>
      </w:r>
      <w:r>
        <w:rPr>
          <w:rFonts w:ascii="Calibri" w:hAnsi="Calibri"/>
          <w:spacing w:val="-3"/>
          <w:sz w:val="18"/>
        </w:rPr>
        <w:t>con </w:t>
      </w:r>
      <w:r>
        <w:rPr>
          <w:rFonts w:ascii="Calibri" w:hAnsi="Calibri"/>
          <w:sz w:val="18"/>
        </w:rPr>
        <w:t>propósitos diversos, tanto para los radioaficionados como para la intercepción ilegal de mensajes. En 1916 el presidente Venustiano Carranza expidió un decreto con medidas para proteger las comunicaciones. En éste se ordenaba que no se podrían explotar estaciones radiotelegráficas salvo mediante autorización expresa del Gobierno Federal. La Constitución Política de los Estados Unidos Mexicanos de 1917 (la “Constitución”) incluyó a la radiotelegrafía como una excepción a la prohibición de monopolios contemplada por el artículo 28. Para 1921 inició la radiotelefonía en México, proliferaron los radio experimentadores y comenzaron las pruebas</w:t>
      </w:r>
      <w:r>
        <w:rPr>
          <w:rFonts w:ascii="Calibri" w:hAnsi="Calibri"/>
          <w:spacing w:val="-3"/>
          <w:sz w:val="18"/>
        </w:rPr>
        <w:t> </w:t>
      </w:r>
      <w:r>
        <w:rPr>
          <w:rFonts w:ascii="Calibri" w:hAnsi="Calibri"/>
          <w:sz w:val="18"/>
        </w:rPr>
        <w:t>de</w:t>
      </w:r>
      <w:r>
        <w:rPr>
          <w:rFonts w:ascii="Calibri" w:hAnsi="Calibri"/>
          <w:spacing w:val="-5"/>
          <w:sz w:val="18"/>
        </w:rPr>
        <w:t> </w:t>
      </w:r>
      <w:r>
        <w:rPr>
          <w:rFonts w:ascii="Calibri" w:hAnsi="Calibri"/>
          <w:sz w:val="18"/>
        </w:rPr>
        <w:t>radiodifusoras</w:t>
      </w:r>
      <w:r>
        <w:rPr>
          <w:rFonts w:ascii="Calibri" w:hAnsi="Calibri"/>
          <w:spacing w:val="-3"/>
          <w:sz w:val="18"/>
        </w:rPr>
        <w:t> </w:t>
      </w:r>
      <w:r>
        <w:rPr>
          <w:rFonts w:ascii="Calibri" w:hAnsi="Calibri"/>
          <w:sz w:val="18"/>
        </w:rPr>
        <w:t>(estaciones</w:t>
      </w:r>
      <w:r>
        <w:rPr>
          <w:rFonts w:ascii="Calibri" w:hAnsi="Calibri"/>
          <w:spacing w:val="-3"/>
          <w:sz w:val="18"/>
        </w:rPr>
        <w:t> </w:t>
      </w:r>
      <w:r>
        <w:rPr>
          <w:rFonts w:ascii="Calibri" w:hAnsi="Calibri"/>
          <w:sz w:val="18"/>
        </w:rPr>
        <w:t>de</w:t>
      </w:r>
      <w:r>
        <w:rPr>
          <w:rFonts w:ascii="Calibri" w:hAnsi="Calibri"/>
          <w:spacing w:val="-5"/>
          <w:sz w:val="18"/>
        </w:rPr>
        <w:t> </w:t>
      </w:r>
      <w:r>
        <w:rPr>
          <w:rFonts w:ascii="Calibri" w:hAnsi="Calibri"/>
          <w:sz w:val="18"/>
        </w:rPr>
        <w:t>radiotelefonía</w:t>
      </w:r>
      <w:r>
        <w:rPr>
          <w:rFonts w:ascii="Calibri" w:hAnsi="Calibri"/>
          <w:spacing w:val="-3"/>
          <w:sz w:val="18"/>
        </w:rPr>
        <w:t> </w:t>
      </w:r>
      <w:r>
        <w:rPr>
          <w:rFonts w:ascii="Calibri" w:hAnsi="Calibri"/>
          <w:sz w:val="18"/>
        </w:rPr>
        <w:t>de</w:t>
      </w:r>
      <w:r>
        <w:rPr>
          <w:rFonts w:ascii="Calibri" w:hAnsi="Calibri"/>
          <w:spacing w:val="-5"/>
          <w:sz w:val="18"/>
        </w:rPr>
        <w:t> </w:t>
      </w:r>
      <w:r>
        <w:rPr>
          <w:rFonts w:ascii="Calibri" w:hAnsi="Calibri"/>
          <w:sz w:val="18"/>
        </w:rPr>
        <w:t>divulgación).”</w:t>
      </w:r>
      <w:r>
        <w:rPr>
          <w:rFonts w:ascii="Calibri" w:hAnsi="Calibri"/>
          <w:spacing w:val="-3"/>
          <w:sz w:val="18"/>
        </w:rPr>
        <w:t> </w:t>
      </w:r>
      <w:r>
        <w:rPr>
          <w:rFonts w:ascii="Calibri" w:hAnsi="Calibri"/>
          <w:sz w:val="18"/>
        </w:rPr>
        <w:t>ÁLVAREZ,</w:t>
      </w:r>
      <w:r>
        <w:rPr>
          <w:rFonts w:ascii="Calibri" w:hAnsi="Calibri"/>
          <w:spacing w:val="-4"/>
          <w:sz w:val="18"/>
        </w:rPr>
        <w:t> </w:t>
      </w:r>
      <w:r>
        <w:rPr>
          <w:rFonts w:ascii="Calibri" w:hAnsi="Calibri"/>
          <w:sz w:val="18"/>
        </w:rPr>
        <w:t>Clara</w:t>
      </w:r>
      <w:r>
        <w:rPr>
          <w:rFonts w:ascii="Calibri" w:hAnsi="Calibri"/>
          <w:spacing w:val="-3"/>
          <w:sz w:val="18"/>
        </w:rPr>
        <w:t> </w:t>
      </w:r>
      <w:r>
        <w:rPr>
          <w:rFonts w:ascii="Calibri" w:hAnsi="Calibri"/>
          <w:sz w:val="18"/>
        </w:rPr>
        <w:t>Luz,</w:t>
      </w:r>
      <w:r>
        <w:rPr>
          <w:rFonts w:ascii="Calibri" w:hAnsi="Calibri"/>
          <w:spacing w:val="-3"/>
          <w:sz w:val="18"/>
        </w:rPr>
        <w:t> </w:t>
      </w:r>
      <w:r>
        <w:rPr>
          <w:rFonts w:ascii="Calibri" w:hAnsi="Calibri"/>
          <w:i/>
          <w:sz w:val="18"/>
        </w:rPr>
        <w:t>Óp.</w:t>
      </w:r>
      <w:r>
        <w:rPr>
          <w:rFonts w:ascii="Calibri" w:hAnsi="Calibri"/>
          <w:i/>
          <w:spacing w:val="-5"/>
          <w:sz w:val="18"/>
        </w:rPr>
        <w:t> </w:t>
      </w:r>
      <w:r>
        <w:rPr>
          <w:rFonts w:ascii="Calibri" w:hAnsi="Calibri"/>
          <w:i/>
          <w:sz w:val="18"/>
        </w:rPr>
        <w:t>Cit.</w:t>
      </w:r>
    </w:p>
    <w:p>
      <w:pPr>
        <w:spacing w:line="220" w:lineRule="exact" w:before="0"/>
        <w:ind w:left="264" w:right="0" w:firstLine="0"/>
        <w:jc w:val="both"/>
        <w:rPr>
          <w:rFonts w:ascii="Calibri" w:hAnsi="Calibri"/>
          <w:sz w:val="18"/>
        </w:rPr>
      </w:pPr>
      <w:r>
        <w:rPr>
          <w:rFonts w:ascii="Calibri" w:hAnsi="Calibri"/>
          <w:position w:val="9"/>
          <w:sz w:val="12"/>
        </w:rPr>
        <w:t>52 </w:t>
      </w:r>
      <w:r>
        <w:rPr>
          <w:rFonts w:ascii="Calibri" w:hAnsi="Calibri"/>
          <w:sz w:val="18"/>
        </w:rPr>
        <w:t>CÓRDOVA, Arnaldo, </w:t>
      </w:r>
      <w:r>
        <w:rPr>
          <w:rFonts w:ascii="Calibri" w:hAnsi="Calibri"/>
          <w:i/>
          <w:sz w:val="18"/>
        </w:rPr>
        <w:t>Óp. Cit. </w:t>
      </w:r>
      <w:r>
        <w:rPr>
          <w:rFonts w:ascii="Calibri" w:hAnsi="Calibri"/>
          <w:sz w:val="18"/>
        </w:rPr>
        <w:t>p. 273.</w:t>
      </w:r>
    </w:p>
    <w:p>
      <w:pPr>
        <w:spacing w:after="0" w:line="220"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253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32" w:lineRule="auto" w:before="78"/>
        <w:ind w:left="1393" w:right="115" w:firstLine="0"/>
        <w:jc w:val="both"/>
        <w:rPr>
          <w:sz w:val="14"/>
        </w:rPr>
      </w:pPr>
      <w:r>
        <w:rPr>
          <w:sz w:val="22"/>
        </w:rPr>
        <w:t>Nacido en 1920, el nuevo Estado no resultó democrático, aunque si con identidad nacionalista; autoritario pero ampliamente legitimado, y estable en tanto que contó con grandes apoyos populares, con la conducción de un grupo político-militar hábil y flexible, y con la aceptación, en ocasiones forzada, de Estados Unidos.</w:t>
      </w:r>
      <w:r>
        <w:rPr>
          <w:position w:val="10"/>
          <w:sz w:val="14"/>
        </w:rPr>
        <w:t>53</w:t>
      </w:r>
    </w:p>
    <w:p>
      <w:pPr>
        <w:pStyle w:val="BodyText"/>
        <w:spacing w:before="2"/>
        <w:rPr>
          <w:sz w:val="33"/>
        </w:rPr>
      </w:pPr>
    </w:p>
    <w:p>
      <w:pPr>
        <w:pStyle w:val="BodyText"/>
        <w:spacing w:line="355" w:lineRule="auto"/>
        <w:ind w:left="684" w:right="114" w:firstLine="336"/>
        <w:jc w:val="both"/>
      </w:pPr>
      <w:r>
        <w:rPr/>
        <w:t>Durante su periodo de gobierno al General Álvaro Obregón, le corresponde promover un proyecto de reconciliación nacional, que significaba involucrar a la clase capitalista para que se sumara como colaboradora del nuevo sistema, dispuesta a conceder a los trabajadores las prestaciones que se iban disponiendo para la clase proletaria.</w:t>
      </w:r>
      <w:r>
        <w:rPr>
          <w:position w:val="11"/>
          <w:sz w:val="16"/>
        </w:rPr>
        <w:t>54 </w:t>
      </w:r>
      <w:r>
        <w:rPr/>
        <w:t>Del mismo modo el Gobierno del General Plutarco Elías Calles se caracteriza por la promoción de las instituciones en que se apoyará el nuevo Estado mexicano;  durante su  ejercicio gubernamental se  conforman     las</w:t>
      </w:r>
    </w:p>
    <w:p>
      <w:pPr>
        <w:pStyle w:val="BodyText"/>
        <w:spacing w:line="360" w:lineRule="auto" w:before="7"/>
        <w:ind w:left="684" w:right="116"/>
        <w:jc w:val="both"/>
      </w:pPr>
      <w:r>
        <w:rPr/>
        <w:t>comisiones: Agraria, Bancaria, de Caminos e Irrigación; así como la  Confederación Regional Obrero Mexicana y el Banco de México. A la vez, en materia de telecomunicaciones se promueve la </w:t>
      </w:r>
      <w:r>
        <w:rPr>
          <w:i/>
        </w:rPr>
        <w:t>Ley de Comunicaciones Eléctricas </w:t>
      </w:r>
      <w:r>
        <w:rPr>
          <w:i/>
        </w:rPr>
        <w:t>de 1926, </w:t>
      </w:r>
      <w:r>
        <w:rPr/>
        <w:t>que tiene como finalidad evitar la saturación e interferencia en este  medio por lo que se determina</w:t>
      </w:r>
      <w:r>
        <w:rPr>
          <w:spacing w:val="-17"/>
        </w:rPr>
        <w:t> </w:t>
      </w:r>
      <w:r>
        <w:rPr/>
        <w:t>que:</w:t>
      </w:r>
    </w:p>
    <w:p>
      <w:pPr>
        <w:pStyle w:val="BodyText"/>
        <w:spacing w:before="9"/>
        <w:rPr>
          <w:sz w:val="33"/>
        </w:rPr>
      </w:pPr>
    </w:p>
    <w:p>
      <w:pPr>
        <w:spacing w:line="235" w:lineRule="auto" w:before="0"/>
        <w:ind w:left="1393" w:right="119" w:firstLine="0"/>
        <w:jc w:val="both"/>
        <w:rPr>
          <w:sz w:val="14"/>
        </w:rPr>
      </w:pPr>
      <w:r>
        <w:rPr>
          <w:sz w:val="22"/>
        </w:rPr>
        <w:t>[…] el Congreso de </w:t>
      </w:r>
      <w:r>
        <w:rPr>
          <w:spacing w:val="-3"/>
          <w:sz w:val="22"/>
        </w:rPr>
        <w:t>la </w:t>
      </w:r>
      <w:r>
        <w:rPr>
          <w:sz w:val="22"/>
        </w:rPr>
        <w:t>Unión otorgara facultades extraordinarias al presidente Plutarco Elías Calles para que expidiera una ley en </w:t>
      </w:r>
      <w:r>
        <w:rPr>
          <w:spacing w:val="-3"/>
          <w:sz w:val="22"/>
        </w:rPr>
        <w:t>la </w:t>
      </w:r>
      <w:r>
        <w:rPr>
          <w:sz w:val="22"/>
        </w:rPr>
        <w:t>materia. Así, el 24 de abril  de 1926 se expidió </w:t>
      </w:r>
      <w:r>
        <w:rPr>
          <w:spacing w:val="-3"/>
          <w:sz w:val="22"/>
        </w:rPr>
        <w:t>la </w:t>
      </w:r>
      <w:r>
        <w:rPr>
          <w:sz w:val="22"/>
        </w:rPr>
        <w:t>Ley de Comunicaciones Eléctricas que preveía el concepto de comunicaciones eléctricas dentro de las cuales está </w:t>
      </w:r>
      <w:r>
        <w:rPr>
          <w:spacing w:val="-3"/>
          <w:sz w:val="22"/>
        </w:rPr>
        <w:t>la </w:t>
      </w:r>
      <w:r>
        <w:rPr>
          <w:sz w:val="22"/>
        </w:rPr>
        <w:t>telegrafía, radiotelegrafía, telefonía, radiotelefonía y cualquier otro sistema de transmisión y recepción, con hilos conductores o sin ello, de sonidos, signos o</w:t>
      </w:r>
      <w:r>
        <w:rPr>
          <w:spacing w:val="-35"/>
          <w:sz w:val="22"/>
        </w:rPr>
        <w:t> </w:t>
      </w:r>
      <w:r>
        <w:rPr>
          <w:sz w:val="22"/>
        </w:rPr>
        <w:t>imágenes.</w:t>
      </w:r>
      <w:r>
        <w:rPr>
          <w:position w:val="10"/>
          <w:sz w:val="14"/>
        </w:rPr>
        <w:t>55</w:t>
      </w:r>
    </w:p>
    <w:p>
      <w:pPr>
        <w:pStyle w:val="BodyText"/>
        <w:spacing w:before="1"/>
      </w:pPr>
    </w:p>
    <w:p>
      <w:pPr>
        <w:pStyle w:val="BodyText"/>
        <w:spacing w:line="360" w:lineRule="auto"/>
        <w:ind w:left="684" w:right="113" w:firstLine="336"/>
        <w:jc w:val="both"/>
      </w:pPr>
      <w:r>
        <w:rPr/>
        <w:t>Ahora bien aún cuando estos gobiernos se llamaron pos-revolucionarios, las verdaderas causas que provocaron el movimiento revolucionario de 1910, no fueron atendidas en su naturaleza, puesto que la desigualdad, la inequidad y la pobreza prevalecieron como sustrato de un sistema capitalista en ciernes. Arnaldo Córdova afirma: “La lucha contra los privilegios, de orden político en esencia, no había  abolido  la  desigualdad  real  de  lo  mexicanos,  y  con  el  principio  de   la</w:t>
      </w:r>
    </w:p>
    <w:p>
      <w:pPr>
        <w:pStyle w:val="BodyText"/>
        <w:spacing w:line="328" w:lineRule="auto" w:before="6"/>
        <w:ind w:left="684" w:right="124"/>
        <w:jc w:val="both"/>
        <w:rPr>
          <w:sz w:val="16"/>
        </w:rPr>
      </w:pPr>
      <w:r>
        <w:rPr/>
        <w:t>propiedad privada la nueva sociedad se estructuraba sobre la base del más claro individualismo.”</w:t>
      </w:r>
      <w:r>
        <w:rPr>
          <w:position w:val="11"/>
          <w:sz w:val="16"/>
        </w:rPr>
        <w:t>56</w:t>
      </w:r>
    </w:p>
    <w:p>
      <w:pPr>
        <w:pStyle w:val="BodyText"/>
        <w:spacing w:before="4"/>
        <w:rPr>
          <w:sz w:val="22"/>
        </w:rPr>
      </w:pPr>
      <w:r>
        <w:rPr/>
        <w:pict>
          <v:line style="position:absolute;mso-position-horizontal-relative:page;mso-position-vertical-relative:paragraph;z-index:2512;mso-wrap-distance-left:0;mso-wrap-distance-right:0" from="99.224998pt,15.111508pt" to="243.274998pt,15.111508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53 </w:t>
      </w:r>
      <w:r>
        <w:rPr>
          <w:rFonts w:ascii="Calibri" w:hAnsi="Calibri"/>
          <w:sz w:val="18"/>
        </w:rPr>
        <w:t>Javier Garcíadiego, “La Revolución”, ESCALANTE, Gonzalbo, García Martínez, Bernardo, </w:t>
      </w:r>
      <w:r>
        <w:rPr>
          <w:rFonts w:ascii="Calibri" w:hAnsi="Calibri"/>
          <w:i/>
          <w:sz w:val="18"/>
        </w:rPr>
        <w:t>et. al</w:t>
      </w:r>
      <w:r>
        <w:rPr>
          <w:rFonts w:ascii="Calibri" w:hAnsi="Calibri"/>
          <w:sz w:val="18"/>
        </w:rPr>
        <w:t>., </w:t>
      </w:r>
      <w:r>
        <w:rPr>
          <w:rFonts w:ascii="Calibri" w:hAnsi="Calibri"/>
          <w:i/>
          <w:sz w:val="18"/>
        </w:rPr>
        <w:t>Óp. Cit. </w:t>
      </w:r>
      <w:r>
        <w:rPr>
          <w:rFonts w:ascii="Calibri" w:hAnsi="Calibri"/>
          <w:sz w:val="18"/>
        </w:rPr>
        <w:t>p. 254.</w:t>
      </w:r>
    </w:p>
    <w:p>
      <w:pPr>
        <w:spacing w:line="220" w:lineRule="exact" w:before="0"/>
        <w:ind w:left="684" w:right="114" w:firstLine="0"/>
        <w:jc w:val="left"/>
        <w:rPr>
          <w:rFonts w:ascii="Calibri" w:hAnsi="Calibri"/>
          <w:sz w:val="18"/>
        </w:rPr>
      </w:pPr>
      <w:r>
        <w:rPr>
          <w:rFonts w:ascii="Calibri" w:hAnsi="Calibri"/>
          <w:position w:val="9"/>
          <w:sz w:val="12"/>
        </w:rPr>
        <w:t>54 </w:t>
      </w:r>
      <w:r>
        <w:rPr>
          <w:rFonts w:ascii="Calibri" w:hAnsi="Calibri"/>
          <w:sz w:val="18"/>
        </w:rPr>
        <w:t>CÓRDOVA, Arnaldo, </w:t>
      </w:r>
      <w:r>
        <w:rPr>
          <w:rFonts w:ascii="Calibri" w:hAnsi="Calibri"/>
          <w:i/>
          <w:sz w:val="18"/>
        </w:rPr>
        <w:t>Óp. Cit., </w:t>
      </w:r>
      <w:r>
        <w:rPr>
          <w:rFonts w:ascii="Calibri" w:hAnsi="Calibri"/>
          <w:sz w:val="18"/>
        </w:rPr>
        <w:t>pp. 272-273.</w:t>
      </w:r>
    </w:p>
    <w:p>
      <w:pPr>
        <w:spacing w:line="220" w:lineRule="exact" w:before="0"/>
        <w:ind w:left="684" w:right="114" w:firstLine="0"/>
        <w:jc w:val="left"/>
        <w:rPr>
          <w:rFonts w:ascii="Calibri" w:hAnsi="Calibri"/>
          <w:i/>
          <w:sz w:val="18"/>
        </w:rPr>
      </w:pPr>
      <w:r>
        <w:rPr>
          <w:rFonts w:ascii="Calibri" w:hAnsi="Calibri"/>
          <w:position w:val="9"/>
          <w:sz w:val="12"/>
        </w:rPr>
        <w:t>55 </w:t>
      </w:r>
      <w:r>
        <w:rPr>
          <w:rFonts w:ascii="Calibri" w:hAnsi="Calibri"/>
          <w:sz w:val="18"/>
        </w:rPr>
        <w:t>ÁLVAREZ, Clara Luz, </w:t>
      </w:r>
      <w:r>
        <w:rPr>
          <w:rFonts w:ascii="Calibri" w:hAnsi="Calibri"/>
          <w:i/>
          <w:sz w:val="18"/>
        </w:rPr>
        <w:t>Óp. Cit.</w:t>
      </w:r>
    </w:p>
    <w:p>
      <w:pPr>
        <w:spacing w:line="236" w:lineRule="exact" w:before="0"/>
        <w:ind w:left="684" w:right="114" w:firstLine="0"/>
        <w:jc w:val="left"/>
        <w:rPr>
          <w:rFonts w:ascii="Calibri" w:hAnsi="Calibri"/>
          <w:sz w:val="18"/>
        </w:rPr>
      </w:pPr>
      <w:r>
        <w:rPr>
          <w:rFonts w:ascii="Calibri" w:hAnsi="Calibri"/>
          <w:position w:val="9"/>
          <w:sz w:val="12"/>
        </w:rPr>
        <w:t>56   </w:t>
      </w:r>
      <w:r>
        <w:rPr>
          <w:rFonts w:ascii="Calibri" w:hAnsi="Calibri"/>
          <w:sz w:val="18"/>
        </w:rPr>
        <w:t>CORDOVA, Arnaldo</w:t>
      </w:r>
      <w:r>
        <w:rPr>
          <w:rFonts w:ascii="Calibri" w:hAnsi="Calibri"/>
          <w:i/>
          <w:sz w:val="18"/>
        </w:rPr>
        <w:t>, Óp. Cit</w:t>
      </w:r>
      <w:r>
        <w:rPr>
          <w:rFonts w:ascii="Calibri" w:hAnsi="Calibri"/>
          <w:sz w:val="18"/>
        </w:rPr>
        <w:t>. p. 287.</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258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0" w:lineRule="auto" w:before="70"/>
        <w:ind w:left="264" w:right="220" w:firstLine="404"/>
        <w:jc w:val="both"/>
      </w:pPr>
      <w:r>
        <w:rPr/>
        <w:t>Asimismo, el gobierno durante esta etapa por “[...] sus afanes de consolidación estatal, tuvo grandes conflictos con la otra institución de alcance nacional: la  iglesia católica.”</w:t>
      </w:r>
      <w:r>
        <w:rPr>
          <w:position w:val="11"/>
          <w:sz w:val="16"/>
        </w:rPr>
        <w:t>57 </w:t>
      </w:r>
      <w:r>
        <w:rPr/>
        <w:t>Generándose, por esta controversia, el movimiento armado llamado “guerra</w:t>
      </w:r>
      <w:r>
        <w:rPr>
          <w:spacing w:val="-14"/>
        </w:rPr>
        <w:t> </w:t>
      </w:r>
      <w:r>
        <w:rPr/>
        <w:t>cristera”.</w:t>
      </w:r>
    </w:p>
    <w:p>
      <w:pPr>
        <w:pStyle w:val="BodyText"/>
        <w:spacing w:line="350" w:lineRule="auto" w:before="16"/>
        <w:ind w:left="264" w:right="217" w:firstLine="336"/>
        <w:jc w:val="both"/>
      </w:pPr>
      <w:r>
        <w:rPr/>
        <w:t>Las fuerzas sociales y los grupos en la búsqueda del poder se manifestaron en esta etapa, teniendo su mayor impacto en el Maximato</w:t>
      </w:r>
      <w:r>
        <w:rPr>
          <w:position w:val="11"/>
          <w:sz w:val="16"/>
        </w:rPr>
        <w:t>58 </w:t>
      </w:r>
      <w:r>
        <w:rPr/>
        <w:t>de Plutarco Elías Calles, quien buscó permanecer en el poder hasta lograr la consolidación de los ideales de  la  revolución  mexicana;  manteniendo  en  forma  despótica  autoritaria,  </w:t>
      </w:r>
      <w:r>
        <w:rPr>
          <w:spacing w:val="58"/>
        </w:rPr>
        <w:t> </w:t>
      </w:r>
      <w:r>
        <w:rPr/>
        <w:t>aún</w:t>
      </w:r>
    </w:p>
    <w:p>
      <w:pPr>
        <w:pStyle w:val="BodyText"/>
        <w:spacing w:before="17"/>
        <w:ind w:left="264"/>
      </w:pPr>
      <w:r>
        <w:rPr/>
        <w:t>después de su periodo el poder tras el poder.</w:t>
      </w:r>
    </w:p>
    <w:p>
      <w:pPr>
        <w:pStyle w:val="BodyText"/>
        <w:spacing w:line="360" w:lineRule="auto" w:before="136"/>
        <w:ind w:left="264" w:right="217" w:firstLine="336"/>
        <w:jc w:val="both"/>
      </w:pPr>
      <w:r>
        <w:rPr/>
        <w:t>Después de la primera guerra mundial, la crisis mundial de los 30’s repercutió en México, ante la instauración del socialismo en la URSS, la gran depresión mundial de 1929 y la caída económica de los Estados Unidos de América, la clase política de México organizada en torno al Partido Único Revolucionario emitió un programa que pretendía frenar el descontento social con demandas como: a) el reparto de la tierra; b) la protección de los derechos laborales c) el desarrollo económico-industrial del país, d) la formación del nuevo ciudadano con un proyecto educativo que tuviera como fundamento los principios de la educación socialista.</w:t>
      </w:r>
    </w:p>
    <w:p>
      <w:pPr>
        <w:pStyle w:val="BodyText"/>
        <w:spacing w:line="360" w:lineRule="auto" w:before="6"/>
        <w:ind w:left="264" w:right="213" w:firstLine="336"/>
        <w:jc w:val="both"/>
      </w:pPr>
      <w:r>
        <w:rPr/>
        <w:t>En ese ambiente, el 17 de noviembre de 1929 se llevaron a cabo las elecciones presidenciales extraordinarias, organizadas por el presidente interino Emilio Portes Gil, luego del asesinato del presidente electo Álvaro Obregón. Con el formato de elecciones extraordinarias, Pascual Ortiz Rubio se enfrentó, por una parte, al candidato obregonista Aarón Sáenz y, sobre todo, se enfrentó a la candidatura ciudadana del ex rector de la UNAM, José Vasconcelos Calderón, candidato del Partido Nacional Antirreeleccionista. Esta elección estuvo llena de anormalidades, fue  muy  disputada  y  sus  oponentes  pusieron  en  duda  la  veracidad  de     los</w:t>
      </w:r>
    </w:p>
    <w:p>
      <w:pPr>
        <w:pStyle w:val="BodyText"/>
        <w:spacing w:before="10"/>
        <w:rPr>
          <w:sz w:val="29"/>
        </w:rPr>
      </w:pPr>
      <w:r>
        <w:rPr/>
        <w:pict>
          <v:line style="position:absolute;mso-position-horizontal-relative:page;mso-position-vertical-relative:paragraph;z-index:2560;mso-wrap-distance-left:0;mso-wrap-distance-right:0" from="99.224998pt,19.453918pt" to="243.274998pt,19.453918pt" stroked="true" strokeweight=".599980pt" strokecolor="#000000">
            <w10:wrap type="topAndBottom"/>
          </v:line>
        </w:pict>
      </w:r>
    </w:p>
    <w:p>
      <w:pPr>
        <w:spacing w:line="236" w:lineRule="exact" w:before="47"/>
        <w:ind w:left="264" w:right="0" w:firstLine="0"/>
        <w:jc w:val="both"/>
        <w:rPr>
          <w:rFonts w:ascii="Calibri" w:hAnsi="Calibri"/>
          <w:sz w:val="18"/>
        </w:rPr>
      </w:pPr>
      <w:r>
        <w:rPr>
          <w:rFonts w:ascii="Calibri" w:hAnsi="Calibri"/>
          <w:position w:val="9"/>
          <w:sz w:val="12"/>
        </w:rPr>
        <w:t>57 </w:t>
      </w:r>
      <w:r>
        <w:rPr>
          <w:rFonts w:ascii="Calibri" w:hAnsi="Calibri"/>
          <w:sz w:val="18"/>
        </w:rPr>
        <w:t>. GARCÍADIEGO, Javier, “La Revolución”</w:t>
      </w:r>
      <w:r>
        <w:rPr>
          <w:rFonts w:ascii="Calibri" w:hAnsi="Calibri"/>
          <w:i/>
          <w:sz w:val="18"/>
        </w:rPr>
        <w:t>, </w:t>
      </w:r>
      <w:r>
        <w:rPr>
          <w:rFonts w:ascii="Calibri" w:hAnsi="Calibri"/>
          <w:sz w:val="18"/>
        </w:rPr>
        <w:t>En: ESCALANTE, Gonzalbo, García Martínez, Bernardo, </w:t>
      </w:r>
      <w:r>
        <w:rPr>
          <w:rFonts w:ascii="Calibri" w:hAnsi="Calibri"/>
          <w:i/>
          <w:sz w:val="18"/>
        </w:rPr>
        <w:t>et. al</w:t>
      </w:r>
      <w:r>
        <w:rPr>
          <w:rFonts w:ascii="Calibri" w:hAnsi="Calibri"/>
          <w:sz w:val="18"/>
        </w:rPr>
        <w:t>. </w:t>
      </w:r>
      <w:r>
        <w:rPr>
          <w:rFonts w:ascii="Calibri" w:hAnsi="Calibri"/>
          <w:i/>
          <w:sz w:val="18"/>
        </w:rPr>
        <w:t>Óp. Cit </w:t>
      </w:r>
      <w:r>
        <w:rPr>
          <w:rFonts w:ascii="Calibri" w:hAnsi="Calibri"/>
          <w:sz w:val="18"/>
        </w:rPr>
        <w:t>p. 259.</w:t>
      </w:r>
    </w:p>
    <w:p>
      <w:pPr>
        <w:spacing w:line="220" w:lineRule="exact" w:before="12"/>
        <w:ind w:left="264" w:right="213" w:firstLine="0"/>
        <w:jc w:val="both"/>
        <w:rPr>
          <w:rFonts w:ascii="Calibri" w:hAnsi="Calibri"/>
          <w:sz w:val="18"/>
        </w:rPr>
      </w:pPr>
      <w:r>
        <w:rPr>
          <w:rFonts w:ascii="Calibri" w:hAnsi="Calibri"/>
          <w:position w:val="9"/>
          <w:sz w:val="12"/>
        </w:rPr>
        <w:t>58 </w:t>
      </w:r>
      <w:r>
        <w:rPr>
          <w:rFonts w:ascii="Calibri" w:hAnsi="Calibri"/>
          <w:sz w:val="18"/>
        </w:rPr>
        <w:t>Durante el periodo comprendido entre la salida de Calles de la presidencia y el ascenso de Cárdenas tuvieron lugar  tres gobiernos, dos de ellos interinos y un tercero producto de una elección. Paralelamente se consolidó el primer instrumento político de cohesión vinculado al Estado: el Partido Nacional Revolucionario (PNR), y el general Calles se convirtió en el "Jefe Máximo" de los revolucionarios, cubriendo con su función en el ejercicio del poder una fase de tránsito entre el caudillo político-militar y el partido de masas. POZAS, Ricardo, “El Maximato: El Partido Del Hombre Fuerte, 1929-1934”, </w:t>
      </w:r>
      <w:r>
        <w:rPr>
          <w:rFonts w:ascii="Calibri" w:hAnsi="Calibri"/>
          <w:i/>
          <w:sz w:val="18"/>
        </w:rPr>
        <w:t>Estudios de Historia Moderna y contemporánea de México</w:t>
      </w:r>
      <w:r>
        <w:rPr>
          <w:rFonts w:ascii="Calibri" w:hAnsi="Calibri"/>
          <w:sz w:val="18"/>
        </w:rPr>
        <w:t>, [en línea], consulta el 18/09/2012. disponible en :</w:t>
      </w:r>
      <w:r>
        <w:rPr>
          <w:rFonts w:ascii="Calibri" w:hAnsi="Calibri"/>
          <w:spacing w:val="-27"/>
          <w:sz w:val="18"/>
        </w:rPr>
        <w:t> </w:t>
      </w:r>
      <w:hyperlink r:id="rId27">
        <w:r>
          <w:rPr>
            <w:rFonts w:ascii="Calibri" w:hAnsi="Calibri"/>
            <w:color w:val="0000FF"/>
            <w:sz w:val="18"/>
            <w:u w:val="single" w:color="0000FF"/>
          </w:rPr>
          <w:t>http://www.historicas.unam.mx/moderna/ehmc/ehmc09/114.html</w:t>
        </w:r>
      </w:hyperlink>
    </w:p>
    <w:p>
      <w:pPr>
        <w:spacing w:after="0" w:line="220"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263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5" w:lineRule="auto" w:before="70"/>
        <w:ind w:left="684" w:right="112"/>
        <w:jc w:val="both"/>
        <w:rPr>
          <w:sz w:val="16"/>
        </w:rPr>
      </w:pPr>
      <w:r>
        <w:rPr/>
        <w:t>resultados oficiales que permitieron a Ortiz Rubio convertirse en presidente. Su triunfo electoral ha sido considerado como un fraude en el ámbito de las  elecciones de la historia mexicana. Tras un discutido triunfo se erigió en  presidente de México y tomó posesión el 5 de febrero de 1930. En su gobierno se dio una gran controversia por la intervención de las diferentes fuerzas políticas que imperaban en el país. Su participación en el ámbito de los medios de  comunicación fue promover una ley que regulará las vías de</w:t>
      </w:r>
      <w:r>
        <w:rPr>
          <w:spacing w:val="-33"/>
        </w:rPr>
        <w:t> </w:t>
      </w:r>
      <w:r>
        <w:rPr/>
        <w:t>comunicación.</w:t>
      </w:r>
      <w:r>
        <w:rPr>
          <w:position w:val="11"/>
          <w:sz w:val="16"/>
        </w:rPr>
        <w:t>59</w:t>
      </w:r>
    </w:p>
    <w:p>
      <w:pPr>
        <w:pStyle w:val="BodyText"/>
        <w:spacing w:line="360" w:lineRule="auto"/>
        <w:ind w:left="684" w:right="118" w:firstLine="271"/>
        <w:jc w:val="both"/>
      </w:pPr>
      <w:r>
        <w:rPr/>
        <w:t>En 1934, inicia el gobierno de Lázaro Cárdenas, que se caracteriza por cambios sustanciales en el ámbito de la cultura, dado que se impulsó la educación y las artes, y reorganizó el sistema de enseñanza con el compromiso real del Estado.</w:t>
      </w:r>
    </w:p>
    <w:p>
      <w:pPr>
        <w:pStyle w:val="BodyText"/>
        <w:spacing w:line="350" w:lineRule="auto" w:before="5"/>
        <w:ind w:left="684" w:right="119"/>
        <w:jc w:val="both"/>
      </w:pPr>
      <w:r>
        <w:rPr/>
        <w:t>Pues se dice: “Fue a partir de 1934 cuando la Escuela creció de manera decidida”</w:t>
      </w:r>
      <w:r>
        <w:rPr>
          <w:position w:val="11"/>
          <w:sz w:val="16"/>
        </w:rPr>
        <w:t>60 </w:t>
      </w:r>
      <w:r>
        <w:rPr/>
        <w:t>el régimen cardenista dotó a la mayoría de las comunidades, aún a las más alejadas, con profesores que orientaran a los campesinos y educaran a la niñez.   Igualmente   se   integraron   instituciones   educativas   y   científicas  que</w:t>
      </w:r>
    </w:p>
    <w:p>
      <w:pPr>
        <w:pStyle w:val="BodyText"/>
        <w:spacing w:line="352" w:lineRule="auto" w:before="16"/>
        <w:ind w:left="684" w:right="112"/>
        <w:jc w:val="both"/>
        <w:rPr>
          <w:sz w:val="16"/>
        </w:rPr>
      </w:pPr>
      <w:r>
        <w:rPr/>
        <w:t>respondieron a las necesidades culturales del país en los ámbitos de educación superior, educación secundaria, enseñanza técnica, escuelas de agronomía, y espacios para promover el arte. En el ámbito de la comunicación electrónica </w:t>
      </w:r>
      <w:r>
        <w:rPr>
          <w:rFonts w:ascii="Times New Roman" w:hAnsi="Times New Roman"/>
        </w:rPr>
        <w:t>entre 1933-1934, </w:t>
      </w:r>
      <w:r>
        <w:rPr/>
        <w:t>brindó a Guillermo González Camarena el apoyo necesario para que iniciara  sus experimentos sobre el aparato electrónico denominado televisión.</w:t>
      </w:r>
      <w:r>
        <w:rPr>
          <w:position w:val="11"/>
          <w:sz w:val="16"/>
        </w:rPr>
        <w:t>61</w:t>
      </w:r>
    </w:p>
    <w:p>
      <w:pPr>
        <w:pStyle w:val="BodyText"/>
        <w:spacing w:line="360" w:lineRule="auto"/>
        <w:ind w:left="684" w:right="117" w:firstLine="271"/>
        <w:jc w:val="both"/>
      </w:pPr>
      <w:r>
        <w:rPr/>
        <w:t>Su política de expropiación dio como resultado los cimientos de la nueva clase burguesa de México, pero también una estrategia de inclusión que incorporó a representantes campesinos y obreros en las esferas de la toma de decisiones, a través de la organización de las clases trabajadoras. “La gran movilización de campesinos y de trabajadores industriales en el marco de sindicatos agrarios e</w:t>
      </w:r>
    </w:p>
    <w:p>
      <w:pPr>
        <w:pStyle w:val="BodyText"/>
        <w:rPr>
          <w:sz w:val="20"/>
        </w:rPr>
      </w:pPr>
    </w:p>
    <w:p>
      <w:pPr>
        <w:pStyle w:val="BodyText"/>
        <w:rPr>
          <w:sz w:val="13"/>
        </w:rPr>
      </w:pPr>
      <w:r>
        <w:rPr/>
        <w:pict>
          <v:line style="position:absolute;mso-position-horizontal-relative:page;mso-position-vertical-relative:paragraph;z-index:2608;mso-wrap-distance-left:0;mso-wrap-distance-right:0" from="99.224998pt,9.754899pt" to="243.274998pt,9.754899pt" stroked="true" strokeweight=".599980pt" strokecolor="#000000">
            <w10:wrap type="topAndBottom"/>
          </v:line>
        </w:pict>
      </w:r>
    </w:p>
    <w:p>
      <w:pPr>
        <w:spacing w:before="46"/>
        <w:ind w:left="684" w:right="117" w:firstLine="0"/>
        <w:jc w:val="both"/>
        <w:rPr>
          <w:rFonts w:ascii="Calibri" w:hAnsi="Calibri"/>
          <w:i/>
          <w:sz w:val="18"/>
        </w:rPr>
      </w:pPr>
      <w:r>
        <w:rPr>
          <w:rFonts w:ascii="Calibri" w:hAnsi="Calibri"/>
          <w:position w:val="9"/>
          <w:sz w:val="12"/>
        </w:rPr>
        <w:t>59 </w:t>
      </w:r>
      <w:r>
        <w:rPr>
          <w:rFonts w:ascii="Calibri" w:hAnsi="Calibri"/>
          <w:sz w:val="18"/>
        </w:rPr>
        <w:t>En 1931 se publicó la Ley sobre Vías Generales de Comunicación y Medios de Transporte (LVGC), misma que fue expedida por el Presidente Pascual Ortiz Rubio con fundamento en la facultad que le confirió el Congreso de la Unión. “Esta ley estableció la competencia y jurisdicción federal para la explotación de vías generales de comunicación. Como los estados y municipios habían otorgado anteriormente permisos y concesiones para esos mismos fines, la LVGC concedió un plazo para que los permisionarios y concesionarios estatales y municipales, obtuvieran la concesión o permiso federal.” Véase: ÁLVAREZ, Clara Luz, </w:t>
      </w:r>
      <w:r>
        <w:rPr>
          <w:rFonts w:ascii="Calibri" w:hAnsi="Calibri"/>
          <w:i/>
          <w:sz w:val="18"/>
        </w:rPr>
        <w:t>Óp. Cit.</w:t>
      </w:r>
    </w:p>
    <w:p>
      <w:pPr>
        <w:spacing w:line="204" w:lineRule="exact" w:before="0"/>
        <w:ind w:left="684" w:right="0" w:firstLine="0"/>
        <w:jc w:val="both"/>
        <w:rPr>
          <w:rFonts w:ascii="Calibri" w:hAnsi="Calibri"/>
          <w:sz w:val="18"/>
        </w:rPr>
      </w:pPr>
      <w:r>
        <w:rPr>
          <w:rFonts w:ascii="Calibri" w:hAnsi="Calibri"/>
          <w:position w:val="9"/>
          <w:sz w:val="12"/>
        </w:rPr>
        <w:t>60   </w:t>
      </w:r>
      <w:r>
        <w:rPr>
          <w:rFonts w:ascii="Calibri" w:hAnsi="Calibri"/>
          <w:sz w:val="18"/>
        </w:rPr>
        <w:t>RODRÍGUEZ, Alfonso, </w:t>
      </w:r>
      <w:r>
        <w:rPr>
          <w:rFonts w:ascii="Calibri" w:hAnsi="Calibri"/>
          <w:i/>
          <w:sz w:val="18"/>
        </w:rPr>
        <w:t>et al, Óp. cit., </w:t>
      </w:r>
      <w:r>
        <w:rPr>
          <w:rFonts w:ascii="Calibri" w:hAnsi="Calibri"/>
          <w:sz w:val="18"/>
        </w:rPr>
        <w:t>p. 207.</w:t>
      </w:r>
    </w:p>
    <w:p>
      <w:pPr>
        <w:spacing w:line="220" w:lineRule="exact" w:before="12"/>
        <w:ind w:left="684" w:right="114" w:firstLine="0"/>
        <w:jc w:val="both"/>
        <w:rPr>
          <w:rFonts w:ascii="Calibri" w:hAnsi="Calibri"/>
          <w:sz w:val="18"/>
        </w:rPr>
      </w:pPr>
      <w:r>
        <w:rPr>
          <w:rFonts w:ascii="Calibri" w:hAnsi="Calibri"/>
          <w:position w:val="9"/>
          <w:sz w:val="12"/>
        </w:rPr>
        <w:t>61 </w:t>
      </w:r>
      <w:r>
        <w:rPr>
          <w:rFonts w:ascii="Calibri" w:hAnsi="Calibri"/>
          <w:sz w:val="18"/>
        </w:rPr>
        <w:t>“[…] construida por el propio González Camarena. Se dice que el presidente Lázaro Cárdenas puso a disposición del pionero los estudios de la XEFO del Partido Nacional Revolucionario, asimismo recibió recursos para continuar con la investigación para mejorar la transmisión.” SÁNCHEZ RUIZ, Enrique E., </w:t>
      </w:r>
      <w:r>
        <w:rPr>
          <w:rFonts w:ascii="Calibri" w:hAnsi="Calibri"/>
          <w:i/>
          <w:sz w:val="18"/>
        </w:rPr>
        <w:t>Hacia una cronología de la televisión mexicana. </w:t>
      </w:r>
      <w:r>
        <w:rPr>
          <w:rFonts w:ascii="Calibri" w:hAnsi="Calibri"/>
          <w:i/>
          <w:sz w:val="18"/>
        </w:rPr>
        <w:t>Materiales para estudio de los medios</w:t>
      </w:r>
      <w:r>
        <w:rPr>
          <w:rFonts w:ascii="Calibri" w:hAnsi="Calibri"/>
          <w:sz w:val="18"/>
        </w:rPr>
        <w:t>, [en línea] consulta 12/09/2012, disponible en: </w:t>
      </w:r>
      <w:hyperlink r:id="rId28">
        <w:r>
          <w:rPr>
            <w:rFonts w:ascii="Calibri" w:hAnsi="Calibri"/>
            <w:color w:val="0000FF"/>
            <w:sz w:val="18"/>
            <w:u w:val="single" w:color="0000FF"/>
          </w:rPr>
          <w:t>http://dspace.universia.net/bitstream/2024/1192/1/CRONOLOGIA+DE+LA+TELEVISION+MEXICANA-1.pdf</w:t>
        </w:r>
        <w:r>
          <w:rPr>
            <w:rFonts w:ascii="Calibri" w:hAnsi="Calibri"/>
            <w:sz w:val="18"/>
          </w:rPr>
          <w:t>.</w:t>
        </w:r>
      </w:hyperlink>
    </w:p>
    <w:p>
      <w:pPr>
        <w:spacing w:after="0" w:line="220"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268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45" w:lineRule="auto" w:before="70"/>
        <w:ind w:left="264" w:right="226"/>
        <w:jc w:val="both"/>
        <w:rPr>
          <w:sz w:val="16"/>
        </w:rPr>
      </w:pPr>
      <w:r>
        <w:rPr/>
        <w:t>industriales proporcionó al gobierno un instrumento de gran poder político en su confrontación interior con los propietarios de las haciendas y en sus tratos con los gobiernos extranjeros […]”.</w:t>
      </w:r>
      <w:r>
        <w:rPr>
          <w:position w:val="11"/>
          <w:sz w:val="16"/>
        </w:rPr>
        <w:t>62</w:t>
      </w:r>
    </w:p>
    <w:p>
      <w:pPr>
        <w:pStyle w:val="BodyText"/>
        <w:spacing w:line="360" w:lineRule="auto" w:before="2"/>
        <w:ind w:left="264" w:right="216" w:firstLine="271"/>
        <w:jc w:val="both"/>
      </w:pPr>
      <w:r>
        <w:rPr/>
        <w:t>De 1940 a 1952, la organización del estado mexicano dio como resultado la incorporación de la clase trabajadora a un sistema que se denomina de centro, bajo un esquema mono-partidista. En el ámbito de la educación se logró reducir en un 50% los índices de analfabetismo entre los adultos. Sin embargo, a pesar del notorio avance de la economía en esta etapa, del embrionario crecimiento de la industria que favoreció el llamado milagro mexicano, las condiciones sociales para la clase trabajadora no mejoraron.</w:t>
      </w:r>
    </w:p>
    <w:p>
      <w:pPr>
        <w:pStyle w:val="BodyText"/>
        <w:spacing w:line="360" w:lineRule="auto" w:before="6"/>
        <w:ind w:left="264" w:right="211" w:firstLine="404"/>
        <w:jc w:val="both"/>
      </w:pPr>
      <w:r>
        <w:rPr/>
        <w:t>Sin embargo, con tintes de gran diplomacia, el régimen mexicano dio un giro hacia el corporativismo, que excluyó a los sectores obreros y populares más contestatarios, mejor organizados y situados en los sectores económicos </w:t>
      </w:r>
      <w:r>
        <w:rPr>
          <w:spacing w:val="-2"/>
        </w:rPr>
        <w:t>más </w:t>
      </w:r>
      <w:r>
        <w:rPr/>
        <w:t>estratégicos. Posteriormente a los conflictos de 1958-1959, el pacto nacional- popular se transformó en un pacto corporativo entre el Estado y una fracción de  los sectores populares, con exclusión del resto. “Los agravios acumulados durante el sexenio de Miguel Alemán, aunados a un contexto económico y social  </w:t>
      </w:r>
      <w:r>
        <w:rPr>
          <w:spacing w:val="32"/>
        </w:rPr>
        <w:t> </w:t>
      </w:r>
      <w:r>
        <w:rPr/>
        <w:t>adverso</w:t>
      </w:r>
    </w:p>
    <w:p>
      <w:pPr>
        <w:pStyle w:val="BodyText"/>
        <w:spacing w:line="345" w:lineRule="auto" w:before="2"/>
        <w:ind w:left="264" w:right="218"/>
        <w:jc w:val="both"/>
        <w:rPr>
          <w:sz w:val="16"/>
        </w:rPr>
      </w:pPr>
      <w:r>
        <w:rPr/>
        <w:t>―básicamente la inflación estructural y la provocada por la devaluación de 1954― propiciaron, a finales del sexenio de Ruiz Cortines, el auge de las luchas por democratizar los sindicatos y por lograr nuevos repartos agrarios”..</w:t>
      </w:r>
      <w:r>
        <w:rPr>
          <w:position w:val="11"/>
          <w:sz w:val="16"/>
        </w:rPr>
        <w:t>63</w:t>
      </w:r>
    </w:p>
    <w:p>
      <w:pPr>
        <w:pStyle w:val="BodyText"/>
        <w:spacing w:line="350" w:lineRule="auto" w:before="5"/>
        <w:ind w:left="264" w:right="221" w:firstLine="271"/>
        <w:jc w:val="both"/>
      </w:pPr>
      <w:r>
        <w:rPr/>
        <w:t>De 1939 a 1966, el país obtuvo un progreso económico considerable, “la agricultura creció en números cerrados al 5% y la industria al 7%. El Producto Nacional Bruto (PNB) se incrementó durante todos estos años en un promedio de 6% anual.”</w:t>
      </w:r>
      <w:r>
        <w:rPr>
          <w:position w:val="11"/>
          <w:sz w:val="16"/>
        </w:rPr>
        <w:t>64  </w:t>
      </w:r>
      <w:r>
        <w:rPr/>
        <w:t>Este desarrollo se caracterizó por una mala distribución de la riqueza</w:t>
      </w:r>
    </w:p>
    <w:p>
      <w:pPr>
        <w:pStyle w:val="BodyText"/>
        <w:spacing w:line="360" w:lineRule="auto"/>
        <w:ind w:left="264" w:right="219"/>
        <w:jc w:val="both"/>
      </w:pPr>
      <w:r>
        <w:rPr/>
        <w:t>y por una fuerte injerencia del capital extranjero (a pesar de la expropiación petrolera), lo que sustentaba las bases de la dependencia económica nacional sometida al imperialismo económico industrial.</w:t>
      </w:r>
    </w:p>
    <w:p>
      <w:pPr>
        <w:pStyle w:val="BodyText"/>
        <w:rPr>
          <w:sz w:val="20"/>
        </w:rPr>
      </w:pPr>
    </w:p>
    <w:p>
      <w:pPr>
        <w:pStyle w:val="BodyText"/>
        <w:rPr>
          <w:sz w:val="20"/>
        </w:rPr>
      </w:pPr>
    </w:p>
    <w:p>
      <w:pPr>
        <w:pStyle w:val="BodyText"/>
        <w:spacing w:before="2"/>
        <w:rPr>
          <w:sz w:val="11"/>
        </w:rPr>
      </w:pPr>
      <w:r>
        <w:rPr/>
        <w:pict>
          <v:line style="position:absolute;mso-position-horizontal-relative:page;mso-position-vertical-relative:paragraph;z-index:2656;mso-wrap-distance-left:0;mso-wrap-distance-right:0" from="99.224998pt,8.685840pt" to="243.274998pt,8.685840pt" stroked="true" strokeweight=".60004pt" strokecolor="#000000">
            <w10:wrap type="topAndBottom"/>
          </v:line>
        </w:pict>
      </w:r>
    </w:p>
    <w:p>
      <w:pPr>
        <w:spacing w:line="237" w:lineRule="exact" w:before="46"/>
        <w:ind w:left="264" w:right="0" w:firstLine="0"/>
        <w:jc w:val="left"/>
        <w:rPr>
          <w:rFonts w:ascii="Calibri" w:hAnsi="Calibri"/>
          <w:sz w:val="18"/>
        </w:rPr>
      </w:pPr>
      <w:r>
        <w:rPr>
          <w:rFonts w:ascii="Calibri" w:hAnsi="Calibri"/>
          <w:position w:val="9"/>
          <w:sz w:val="12"/>
        </w:rPr>
        <w:t>62  </w:t>
      </w:r>
      <w:r>
        <w:rPr>
          <w:rFonts w:ascii="Calibri" w:hAnsi="Calibri"/>
          <w:sz w:val="18"/>
        </w:rPr>
        <w:t>WOLF R., Eric, </w:t>
      </w:r>
      <w:r>
        <w:rPr>
          <w:rFonts w:ascii="Calibri" w:hAnsi="Calibri"/>
          <w:i/>
          <w:sz w:val="18"/>
        </w:rPr>
        <w:t>Las luchas campesinas del siglo XX, </w:t>
      </w:r>
      <w:r>
        <w:rPr>
          <w:rFonts w:ascii="Calibri" w:hAnsi="Calibri"/>
          <w:sz w:val="18"/>
        </w:rPr>
        <w:t>Siglo XXI, México, 1987, p. 73.</w:t>
      </w:r>
    </w:p>
    <w:p>
      <w:pPr>
        <w:tabs>
          <w:tab w:pos="1427" w:val="left" w:leader="none"/>
        </w:tabs>
        <w:spacing w:line="235" w:lineRule="exact" w:before="0"/>
        <w:ind w:left="264" w:right="0" w:firstLine="0"/>
        <w:jc w:val="left"/>
        <w:rPr>
          <w:rFonts w:ascii="Calibri" w:hAnsi="Calibri"/>
          <w:sz w:val="18"/>
        </w:rPr>
      </w:pPr>
      <w:r>
        <w:rPr>
          <w:position w:val="9"/>
          <w:sz w:val="12"/>
        </w:rPr>
        <w:t>63   </w:t>
      </w:r>
      <w:r>
        <w:rPr>
          <w:spacing w:val="6"/>
          <w:position w:val="9"/>
          <w:sz w:val="12"/>
        </w:rPr>
        <w:t> </w:t>
      </w:r>
      <w:r>
        <w:rPr>
          <w:rFonts w:ascii="Calibri" w:hAnsi="Calibri"/>
          <w:sz w:val="18"/>
        </w:rPr>
        <w:t>BIZBERG</w:t>
        <w:tab/>
        <w:t>Ilán,   (Profesor-investigador   del   Centro   de   Estudios   Internacionales   de   El   Colegio   de   </w:t>
      </w:r>
      <w:r>
        <w:rPr>
          <w:rFonts w:ascii="Calibri" w:hAnsi="Calibri"/>
          <w:spacing w:val="31"/>
          <w:sz w:val="18"/>
        </w:rPr>
        <w:t> </w:t>
      </w:r>
      <w:r>
        <w:rPr>
          <w:rFonts w:ascii="Calibri" w:hAnsi="Calibri"/>
          <w:sz w:val="18"/>
        </w:rPr>
        <w:t>México.</w:t>
      </w:r>
    </w:p>
    <w:p>
      <w:pPr>
        <w:spacing w:before="0"/>
        <w:ind w:left="264" w:right="210" w:firstLine="0"/>
        <w:jc w:val="left"/>
        <w:rPr>
          <w:rFonts w:ascii="Calibri" w:hAnsi="Calibri"/>
          <w:sz w:val="18"/>
        </w:rPr>
      </w:pPr>
      <w:r>
        <w:rPr>
          <w:rFonts w:ascii="Calibri" w:hAnsi="Calibri"/>
          <w:sz w:val="18"/>
        </w:rPr>
        <w:t>&lt;</w:t>
      </w:r>
      <w:hyperlink r:id="rId29">
        <w:r>
          <w:rPr>
            <w:rFonts w:ascii="Calibri" w:hAnsi="Calibri"/>
            <w:sz w:val="18"/>
          </w:rPr>
          <w:t>ilan@colmex.mx</w:t>
        </w:r>
      </w:hyperlink>
      <w:r>
        <w:rPr>
          <w:rFonts w:ascii="Calibri" w:hAnsi="Calibri"/>
          <w:sz w:val="18"/>
        </w:rPr>
        <w:t>&gt;.),“Una Democracia Vacía. Sociedad Civil, Movimientos Sociales y Democracia”, El Colegio de México, [en línea], consulta el 24/09/2012, disponible en: </w:t>
      </w:r>
      <w:hyperlink r:id="rId30">
        <w:r>
          <w:rPr>
            <w:rFonts w:ascii="Calibri" w:hAnsi="Calibri"/>
            <w:color w:val="0000FF"/>
            <w:sz w:val="18"/>
            <w:u w:val="single" w:color="0000FF"/>
          </w:rPr>
          <w:t>http://cei.colmex.mx/PDFs/Prof%20Bizberg/Movimientos.pdf</w:t>
        </w:r>
        <w:r>
          <w:rPr>
            <w:rFonts w:ascii="Calibri" w:hAnsi="Calibri"/>
            <w:sz w:val="18"/>
          </w:rPr>
          <w:t>.</w:t>
        </w:r>
      </w:hyperlink>
    </w:p>
    <w:p>
      <w:pPr>
        <w:spacing w:line="220" w:lineRule="exact" w:before="0"/>
        <w:ind w:left="264" w:right="0" w:firstLine="0"/>
        <w:jc w:val="left"/>
        <w:rPr>
          <w:rFonts w:ascii="Calibri" w:hAnsi="Calibri"/>
          <w:sz w:val="18"/>
        </w:rPr>
      </w:pPr>
      <w:r>
        <w:rPr>
          <w:rFonts w:ascii="Calibri" w:hAnsi="Calibri"/>
          <w:position w:val="9"/>
          <w:sz w:val="12"/>
        </w:rPr>
        <w:t>64   </w:t>
      </w:r>
      <w:r>
        <w:rPr>
          <w:rFonts w:ascii="Calibri" w:hAnsi="Calibri"/>
          <w:sz w:val="18"/>
        </w:rPr>
        <w:t>RODRÍGUEZ, Alfonso, </w:t>
      </w:r>
      <w:r>
        <w:rPr>
          <w:rFonts w:ascii="Calibri" w:hAnsi="Calibri"/>
          <w:i/>
          <w:sz w:val="18"/>
        </w:rPr>
        <w:t>et al</w:t>
      </w:r>
      <w:r>
        <w:rPr>
          <w:rFonts w:ascii="Calibri" w:hAnsi="Calibri"/>
          <w:sz w:val="18"/>
        </w:rPr>
        <w:t>, </w:t>
      </w:r>
      <w:r>
        <w:rPr>
          <w:rFonts w:ascii="Calibri" w:hAnsi="Calibri"/>
          <w:i/>
          <w:sz w:val="18"/>
        </w:rPr>
        <w:t>Óp. Cit.,  </w:t>
      </w:r>
      <w:r>
        <w:rPr>
          <w:rFonts w:ascii="Calibri" w:hAnsi="Calibri"/>
          <w:sz w:val="18"/>
        </w:rPr>
        <w:t>p. 206.</w:t>
      </w:r>
    </w:p>
    <w:p>
      <w:pPr>
        <w:spacing w:after="0" w:line="220"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272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5" w:firstLine="336"/>
        <w:jc w:val="both"/>
      </w:pPr>
      <w:r>
        <w:rPr/>
        <w:t>Aún con toda la problemática existente, a esta etapa se le ha considerado de desarrollo estabilizador ya que se destacó por el crecimiento, la estabilidad de precios y el tipo de cambio, pero también por el sacrificio de la clase trabajadora, que sucumbió, como comenta Héctor Aguilar Camín, ante:</w:t>
      </w:r>
    </w:p>
    <w:p>
      <w:pPr>
        <w:pStyle w:val="BodyText"/>
      </w:pPr>
    </w:p>
    <w:p>
      <w:pPr>
        <w:spacing w:line="237" w:lineRule="auto" w:before="143"/>
        <w:ind w:left="1393" w:right="112" w:firstLine="0"/>
        <w:jc w:val="both"/>
        <w:rPr>
          <w:sz w:val="14"/>
        </w:rPr>
      </w:pPr>
      <w:r>
        <w:rPr>
          <w:sz w:val="22"/>
        </w:rPr>
        <w:t>[...] </w:t>
      </w:r>
      <w:r>
        <w:rPr>
          <w:spacing w:val="2"/>
          <w:sz w:val="22"/>
        </w:rPr>
        <w:t>el </w:t>
      </w:r>
      <w:r>
        <w:rPr>
          <w:sz w:val="22"/>
        </w:rPr>
        <w:t>sueño de un capitalismo nativo que se rindió pronto a las razones estructurales de </w:t>
      </w:r>
      <w:r>
        <w:rPr>
          <w:spacing w:val="-3"/>
          <w:sz w:val="22"/>
        </w:rPr>
        <w:t>la </w:t>
      </w:r>
      <w:r>
        <w:rPr>
          <w:sz w:val="22"/>
        </w:rPr>
        <w:t>dependencia, </w:t>
      </w:r>
      <w:r>
        <w:rPr>
          <w:spacing w:val="-3"/>
          <w:sz w:val="22"/>
        </w:rPr>
        <w:t>la </w:t>
      </w:r>
      <w:r>
        <w:rPr>
          <w:sz w:val="22"/>
        </w:rPr>
        <w:t>penetración financiera, tecnológica y cultural estadounidense. Y que consolidó con el tiempo las nuevas tendencias desnacionalizadoras, </w:t>
      </w:r>
      <w:r>
        <w:rPr>
          <w:spacing w:val="-3"/>
          <w:sz w:val="22"/>
        </w:rPr>
        <w:t>la </w:t>
      </w:r>
      <w:r>
        <w:rPr>
          <w:sz w:val="22"/>
        </w:rPr>
        <w:t>nueva ocupación del país ya no por vía de los amagos o de las intervenciones militares sino por </w:t>
      </w:r>
      <w:r>
        <w:rPr>
          <w:spacing w:val="-3"/>
          <w:sz w:val="22"/>
        </w:rPr>
        <w:t>la </w:t>
      </w:r>
      <w:r>
        <w:rPr>
          <w:sz w:val="22"/>
        </w:rPr>
        <w:t>puerta menos  espectacular  aunque acaso más decisiva de las finanzas y </w:t>
      </w:r>
      <w:r>
        <w:rPr>
          <w:spacing w:val="-3"/>
          <w:sz w:val="22"/>
        </w:rPr>
        <w:t>la </w:t>
      </w:r>
      <w:r>
        <w:rPr>
          <w:sz w:val="22"/>
        </w:rPr>
        <w:t>industria, </w:t>
      </w:r>
      <w:r>
        <w:rPr>
          <w:spacing w:val="-3"/>
          <w:sz w:val="22"/>
        </w:rPr>
        <w:t>la </w:t>
      </w:r>
      <w:r>
        <w:rPr>
          <w:sz w:val="22"/>
        </w:rPr>
        <w:t>técnica, </w:t>
      </w:r>
      <w:r>
        <w:rPr>
          <w:spacing w:val="-3"/>
          <w:sz w:val="22"/>
        </w:rPr>
        <w:t>la </w:t>
      </w:r>
      <w:r>
        <w:rPr>
          <w:sz w:val="22"/>
        </w:rPr>
        <w:t>comunicación de masas, </w:t>
      </w:r>
      <w:r>
        <w:rPr>
          <w:spacing w:val="-3"/>
          <w:sz w:val="22"/>
        </w:rPr>
        <w:t>la </w:t>
      </w:r>
      <w:r>
        <w:rPr>
          <w:sz w:val="22"/>
        </w:rPr>
        <w:t>institucionalización de ese capitalismo a </w:t>
      </w:r>
      <w:r>
        <w:rPr>
          <w:spacing w:val="-3"/>
          <w:sz w:val="22"/>
        </w:rPr>
        <w:t>la </w:t>
      </w:r>
      <w:r>
        <w:rPr>
          <w:sz w:val="22"/>
        </w:rPr>
        <w:t>vez salvaje y tardío de sólida infraestructura política</w:t>
      </w:r>
      <w:r>
        <w:rPr>
          <w:spacing w:val="-21"/>
          <w:sz w:val="22"/>
        </w:rPr>
        <w:t> </w:t>
      </w:r>
      <w:r>
        <w:rPr>
          <w:sz w:val="22"/>
        </w:rPr>
        <w:t>[...]</w:t>
      </w:r>
      <w:r>
        <w:rPr>
          <w:position w:val="10"/>
          <w:sz w:val="14"/>
        </w:rPr>
        <w:t>65</w:t>
      </w:r>
    </w:p>
    <w:p>
      <w:pPr>
        <w:pStyle w:val="BodyText"/>
        <w:spacing w:before="2"/>
        <w:rPr>
          <w:sz w:val="36"/>
        </w:rPr>
      </w:pPr>
    </w:p>
    <w:p>
      <w:pPr>
        <w:pStyle w:val="BodyText"/>
        <w:spacing w:line="360" w:lineRule="auto"/>
        <w:ind w:left="684" w:right="118" w:firstLine="404"/>
        <w:jc w:val="both"/>
      </w:pPr>
      <w:r>
        <w:rPr/>
        <w:t>Como resultado de estas condiciones, diferentes sectores de la sociedad civil mexicana manifestaron un abierto malestar contra la naturaleza despótico- autoritaria del régimen y además por la falta de equidad del desarrollo socio- económico.</w:t>
      </w:r>
    </w:p>
    <w:p>
      <w:pPr>
        <w:pStyle w:val="BodyText"/>
        <w:spacing w:line="360" w:lineRule="auto" w:before="6"/>
        <w:ind w:left="684" w:right="112" w:firstLine="299"/>
        <w:jc w:val="both"/>
      </w:pPr>
      <w:r>
        <w:rPr/>
        <w:t>Movimientos como el de los maestros en 1958, de los electricistas, de los ferrocarrileros y de los estudiantes en 1968 entre otros, demostraron la ineficiente funcionalidad del Estado, representado por Adolfo López Mateos y Gustavo Díaz Ordaz. Gobiernos que, tuvieron que tomar decisiones importantes, para incorporar</w:t>
      </w:r>
    </w:p>
    <w:p>
      <w:pPr>
        <w:pStyle w:val="BodyText"/>
        <w:spacing w:line="328" w:lineRule="auto" w:before="6"/>
        <w:ind w:left="684" w:right="114"/>
        <w:rPr>
          <w:sz w:val="16"/>
        </w:rPr>
      </w:pPr>
      <w:r>
        <w:rPr/>
        <w:t>al sistema educativo nacional a un mayor numero de mexicanos, utilizando para ello los medios de comunicación masiva.</w:t>
      </w:r>
      <w:r>
        <w:rPr>
          <w:position w:val="11"/>
          <w:sz w:val="16"/>
        </w:rPr>
        <w:t>66</w:t>
      </w:r>
    </w:p>
    <w:p>
      <w:pPr>
        <w:pStyle w:val="BodyText"/>
        <w:spacing w:line="360" w:lineRule="auto" w:before="27"/>
        <w:ind w:left="684" w:right="116" w:firstLine="336"/>
        <w:jc w:val="both"/>
      </w:pPr>
      <w:r>
        <w:rPr/>
        <w:t>Durante el gobierno de Díaz Ordaz se alcanzó un gran desarrollo de la difusión de la señal televisiva a nivel mundial; ya que en virtud de ser el Estado Mexicano la   sede   de   los   Juegos   Olímpicos   de   1968,   se   invirtió   en   materia    </w:t>
      </w:r>
      <w:r>
        <w:rPr>
          <w:spacing w:val="7"/>
        </w:rPr>
        <w:t> </w:t>
      </w:r>
      <w:r>
        <w:rPr/>
        <w:t>de</w:t>
      </w:r>
    </w:p>
    <w:p>
      <w:pPr>
        <w:pStyle w:val="BodyText"/>
        <w:spacing w:before="1"/>
        <w:rPr>
          <w:sz w:val="18"/>
        </w:rPr>
      </w:pPr>
      <w:r>
        <w:rPr/>
        <w:pict>
          <v:line style="position:absolute;mso-position-horizontal-relative:page;mso-position-vertical-relative:paragraph;z-index:2704;mso-wrap-distance-left:0;mso-wrap-distance-right:0" from="99.224998pt,12.653916pt" to="243.274998pt,12.653916pt" stroked="true" strokeweight=".599980pt" strokecolor="#000000">
            <w10:wrap type="topAndBottom"/>
          </v:line>
        </w:pict>
      </w:r>
    </w:p>
    <w:p>
      <w:pPr>
        <w:spacing w:line="236" w:lineRule="exact" w:before="46"/>
        <w:ind w:left="684" w:right="0" w:firstLine="0"/>
        <w:jc w:val="both"/>
        <w:rPr>
          <w:rFonts w:ascii="Calibri" w:hAnsi="Calibri"/>
          <w:sz w:val="18"/>
        </w:rPr>
      </w:pPr>
      <w:r>
        <w:rPr>
          <w:rFonts w:ascii="Calibri" w:hAnsi="Calibri"/>
          <w:position w:val="9"/>
          <w:sz w:val="12"/>
        </w:rPr>
        <w:t>65  </w:t>
      </w:r>
      <w:r>
        <w:rPr>
          <w:rFonts w:ascii="Calibri" w:hAnsi="Calibri"/>
          <w:sz w:val="18"/>
        </w:rPr>
        <w:t>PEREYRA Carlos, Villoro  Luis, e</w:t>
      </w:r>
      <w:r>
        <w:rPr>
          <w:rFonts w:ascii="Calibri" w:hAnsi="Calibri"/>
          <w:i/>
          <w:sz w:val="18"/>
        </w:rPr>
        <w:t>t. al</w:t>
      </w:r>
      <w:r>
        <w:rPr>
          <w:rFonts w:ascii="Calibri" w:hAnsi="Calibri"/>
          <w:sz w:val="18"/>
        </w:rPr>
        <w:t>.  </w:t>
      </w:r>
      <w:r>
        <w:rPr>
          <w:rFonts w:ascii="Calibri" w:hAnsi="Calibri"/>
          <w:i/>
          <w:sz w:val="18"/>
        </w:rPr>
        <w:t>Historia ¿Para Qué?</w:t>
      </w:r>
      <w:r>
        <w:rPr>
          <w:rFonts w:ascii="Calibri" w:hAnsi="Calibri"/>
          <w:sz w:val="18"/>
        </w:rPr>
        <w:t>, Siglo XXI, México, 2000, p. 150.</w:t>
      </w:r>
    </w:p>
    <w:p>
      <w:pPr>
        <w:spacing w:line="220" w:lineRule="exact" w:before="12"/>
        <w:ind w:left="684" w:right="112" w:firstLine="0"/>
        <w:jc w:val="both"/>
        <w:rPr>
          <w:rFonts w:ascii="Calibri" w:hAnsi="Calibri"/>
          <w:sz w:val="18"/>
        </w:rPr>
      </w:pPr>
      <w:r>
        <w:rPr>
          <w:rFonts w:ascii="Calibri" w:hAnsi="Calibri"/>
          <w:position w:val="9"/>
          <w:sz w:val="12"/>
        </w:rPr>
        <w:t>66 </w:t>
      </w:r>
      <w:r>
        <w:rPr>
          <w:rFonts w:ascii="Calibri" w:hAnsi="Calibri"/>
          <w:sz w:val="18"/>
        </w:rPr>
        <w:t>En esta etapa se incorporan los medios de comunicación masiva en su uso educativo; al respecto Sara Núñez de Prado y Clavell y Miguel Zaldívar Dávalos opinan “(…) Entraban en escena los medios de comunicación como vehículos para la extensión de la educación y como la forma más accesible de llegar a todos los sectores de la población. En este ámbito, fueron muy importantes, aunque de éxito mediocre, dentro del mundo de la televisión, la emisión, en 1965, de los</w:t>
      </w:r>
    </w:p>
    <w:p>
      <w:pPr>
        <w:spacing w:before="5"/>
        <w:ind w:left="684" w:right="114" w:firstLine="0"/>
        <w:jc w:val="both"/>
        <w:rPr>
          <w:rFonts w:ascii="Calibri" w:hAnsi="Calibri"/>
          <w:sz w:val="18"/>
        </w:rPr>
      </w:pPr>
      <w:r>
        <w:rPr>
          <w:rFonts w:ascii="Calibri" w:hAnsi="Calibri"/>
          <w:sz w:val="18"/>
        </w:rPr>
        <w:t>programas “Un paso más” y “Yo puedo hacerlo”. Estos programas fueron la piedra angular de un proyecto de alfabetización y de educación primaria a través de la televisión. Igualmente tuvo gran trascendencia, aunque de momento se iniciaba en fase experimental, la emisión de la Telesecundaria, que pretendía acercar la enseñanza secundaria a los jóvenes a través de este medio de comunicación. Así la televisión, una vez que ha entrado en la gran mayoría de los hogares, independientemente de la clase social se sus moradores, se convierte en una red educativa inmensa, sin barreras temporales o geográficas,[…]” Véase: </w:t>
      </w:r>
      <w:r>
        <w:rPr>
          <w:rFonts w:ascii="Calibri" w:hAnsi="Calibri"/>
          <w:i/>
          <w:sz w:val="18"/>
        </w:rPr>
        <w:t>Ámbitos </w:t>
      </w:r>
      <w:r>
        <w:rPr>
          <w:rFonts w:ascii="Calibri" w:hAnsi="Calibri"/>
          <w:sz w:val="18"/>
        </w:rPr>
        <w:t>(Revista Andaluza de Comunicación), “Educación y Medios de Comunicación en México: Una perspectiva histórica”, No. 13-14, Año 2005, (pp.287-307), ISSN (versión impresa): 1139-1979, [en línea] consulta 03/09/2012, disponible en: </w:t>
      </w:r>
      <w:hyperlink r:id="rId31">
        <w:r>
          <w:rPr>
            <w:rFonts w:ascii="Calibri" w:hAnsi="Calibri"/>
            <w:color w:val="0000FF"/>
            <w:sz w:val="18"/>
            <w:u w:val="single" w:color="0000FF"/>
          </w:rPr>
          <w:t>http://redalyc.uaemex.mx/pdf/168/16801416.pdf</w:t>
        </w:r>
        <w:r>
          <w:rPr>
            <w:rFonts w:ascii="Calibri" w:hAnsi="Calibri"/>
            <w:sz w:val="18"/>
          </w:rPr>
          <w:t>.</w:t>
        </w:r>
      </w:hyperlink>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277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5"/>
        <w:jc w:val="both"/>
      </w:pPr>
      <w:r>
        <w:rPr/>
        <w:t>telecomunicaciones, y con el apoyo de tecnología japonesa se construyó la primer antena de telecomunicaciones en la ciudad de Tulancingo, del Estado de Hidalgo, que requirió la instalación de la infraestructura adecuada para el uso de las microondas, la televisión cromática y los satélites de comunicación. Permitiendo: “[...], las transmisiones televisivas, desde México de los XIX Juegos Olímpicos. México no sólo se enorgullecía de haber sido el país sede de las olimpiadas, </w:t>
      </w:r>
      <w:r>
        <w:rPr>
          <w:spacing w:val="56"/>
        </w:rPr>
        <w:t> </w:t>
      </w:r>
      <w:r>
        <w:rPr/>
        <w:t>sino</w:t>
      </w:r>
    </w:p>
    <w:p>
      <w:pPr>
        <w:pStyle w:val="BodyText"/>
        <w:spacing w:line="328" w:lineRule="auto" w:before="6"/>
        <w:ind w:left="264" w:right="221"/>
        <w:jc w:val="both"/>
      </w:pPr>
      <w:r>
        <w:rPr/>
        <w:t>también por la admirable labor que realizaron los técnicos mexicanos en materia de comunicación.” </w:t>
      </w:r>
      <w:r>
        <w:rPr>
          <w:position w:val="11"/>
          <w:sz w:val="16"/>
        </w:rPr>
        <w:t>67   </w:t>
      </w:r>
      <w:r>
        <w:rPr/>
        <w:t>El 10 de octubre de 1968 se inauguró la estación</w:t>
      </w:r>
      <w:r>
        <w:rPr>
          <w:spacing w:val="13"/>
        </w:rPr>
        <w:t> </w:t>
      </w:r>
      <w:r>
        <w:rPr/>
        <w:t>Tulancingo</w:t>
      </w:r>
    </w:p>
    <w:p>
      <w:pPr>
        <w:pStyle w:val="BodyText"/>
        <w:spacing w:line="324" w:lineRule="auto" w:before="27"/>
        <w:ind w:left="264" w:right="221"/>
        <w:jc w:val="both"/>
        <w:rPr>
          <w:sz w:val="16"/>
        </w:rPr>
      </w:pPr>
      <w:r>
        <w:rPr/>
        <w:t>I, la Torre Central de Telecomunicaciones, la Red Federal de Microondas, así como el enlace espacial con el satélite </w:t>
      </w:r>
      <w:r>
        <w:rPr>
          <w:i/>
        </w:rPr>
        <w:t>El pájaro madrugador.</w:t>
      </w:r>
      <w:r>
        <w:rPr>
          <w:position w:val="11"/>
          <w:sz w:val="16"/>
        </w:rPr>
        <w:t>68</w:t>
      </w:r>
    </w:p>
    <w:p>
      <w:pPr>
        <w:pStyle w:val="BodyText"/>
        <w:spacing w:line="360" w:lineRule="auto" w:before="37"/>
        <w:ind w:left="264" w:right="214" w:firstLine="336"/>
        <w:jc w:val="both"/>
      </w:pPr>
      <w:r>
        <w:rPr/>
        <w:t>Los años setenta son el marco histórico del gobierno de Luis Echeverría Álvarez. En esta época las condiciones sociales en México persistían en una gran injusticia social; de beneficio para los empresarios y sobre todo de mala distribución de la riqueza; el poder adquisitivo de los asalariados descendió al nivel de 1939 y la situación para los campesinos era deprimente. Esta década se caracterizó por una gran inconformidad social, que aún con las medidas populistas aplicadas por los gobernantes, no logró sofocar el descontento social, que generó movimientos guerrilleros que, entre otras cosas, proponían cambiar el rumbo de la política nacional. Por otro lado, las condiciones internacionales con eventos como: la Revolución Cubana, la expansión del socialismo internacional, el término de la guerra de Vietnam entre otros, fueron sucesos que generaron en México  un estado de efervescencia política, misma que fue reprimida con dureza por el Estado, que utilizó todos sus recursos para exterminarla. Caso concreto, el movimiento estudiantil  del 10 de junio de  1971, que fue reprimido  por  el    grupo</w:t>
      </w:r>
    </w:p>
    <w:p>
      <w:pPr>
        <w:pStyle w:val="BodyText"/>
        <w:spacing w:before="4"/>
        <w:rPr>
          <w:sz w:val="25"/>
        </w:rPr>
      </w:pPr>
      <w:r>
        <w:rPr/>
        <w:pict>
          <v:line style="position:absolute;mso-position-horizontal-relative:page;mso-position-vertical-relative:paragraph;z-index:2752;mso-wrap-distance-left:0;mso-wrap-distance-right:0" from="99.224998pt,16.853912pt" to="243.274998pt,16.853912pt" stroked="true" strokeweight=".599980pt" strokecolor="#000000">
            <w10:wrap type="topAndBottom"/>
          </v:line>
        </w:pict>
      </w:r>
    </w:p>
    <w:p>
      <w:pPr>
        <w:spacing w:before="46"/>
        <w:ind w:left="264" w:right="220" w:firstLine="0"/>
        <w:jc w:val="both"/>
        <w:rPr>
          <w:rFonts w:ascii="Calibri" w:hAnsi="Calibri"/>
          <w:sz w:val="18"/>
        </w:rPr>
      </w:pPr>
      <w:r>
        <w:rPr>
          <w:rFonts w:ascii="Calibri" w:hAnsi="Calibri"/>
          <w:position w:val="9"/>
          <w:sz w:val="12"/>
        </w:rPr>
        <w:t>67 </w:t>
      </w:r>
      <w:r>
        <w:rPr>
          <w:rFonts w:ascii="Calibri" w:hAnsi="Calibri"/>
          <w:sz w:val="18"/>
        </w:rPr>
        <w:t>SÁNCHEZ Ruiz, Enrique, “Los medios de comunicación masiva en México, 1968.2000” en: BIZBERG, Ilán, MEYER, Lorenzo, et. al., </w:t>
      </w:r>
      <w:r>
        <w:rPr>
          <w:rFonts w:ascii="Calibri" w:hAnsi="Calibri"/>
          <w:i/>
          <w:sz w:val="18"/>
        </w:rPr>
        <w:t>Una Historia Contemporánea de México: Actores</w:t>
      </w:r>
      <w:r>
        <w:rPr>
          <w:rFonts w:ascii="Calibri" w:hAnsi="Calibri"/>
          <w:sz w:val="18"/>
        </w:rPr>
        <w:t>, Océano, México 2005, ISBN-651-9249, pp. 403-406.</w:t>
      </w:r>
    </w:p>
    <w:p>
      <w:pPr>
        <w:spacing w:line="220" w:lineRule="exact" w:before="0"/>
        <w:ind w:left="264" w:right="0" w:firstLine="0"/>
        <w:jc w:val="both"/>
        <w:rPr>
          <w:rFonts w:ascii="Calibri" w:hAnsi="Calibri"/>
          <w:sz w:val="18"/>
        </w:rPr>
      </w:pPr>
      <w:r>
        <w:rPr>
          <w:rFonts w:ascii="Calibri" w:hAnsi="Calibri"/>
          <w:position w:val="9"/>
          <w:sz w:val="12"/>
        </w:rPr>
        <w:t>68     </w:t>
      </w:r>
      <w:r>
        <w:rPr>
          <w:rFonts w:ascii="Calibri" w:hAnsi="Calibri"/>
          <w:sz w:val="18"/>
        </w:rPr>
        <w:t>WORDPRESS,   </w:t>
      </w:r>
      <w:r>
        <w:rPr>
          <w:rFonts w:ascii="Calibri" w:hAnsi="Calibri"/>
          <w:i/>
          <w:sz w:val="18"/>
        </w:rPr>
        <w:t>El   pájaro   madrugador   </w:t>
      </w:r>
      <w:r>
        <w:rPr>
          <w:rFonts w:ascii="Calibri" w:hAnsi="Calibri"/>
          <w:sz w:val="18"/>
        </w:rPr>
        <w:t>10   noviembre   2009,   [en   línea]   consulta   09/09/2012.   Disponible  en:</w:t>
      </w:r>
    </w:p>
    <w:p>
      <w:pPr>
        <w:spacing w:before="0"/>
        <w:ind w:left="264" w:right="210" w:firstLine="0"/>
        <w:jc w:val="both"/>
        <w:rPr>
          <w:rFonts w:ascii="Calibri" w:hAnsi="Calibri"/>
          <w:sz w:val="18"/>
        </w:rPr>
      </w:pPr>
      <w:hyperlink r:id="rId32">
        <w:r>
          <w:rPr>
            <w:rFonts w:ascii="Calibri" w:hAnsi="Calibri"/>
            <w:color w:val="0000FF"/>
            <w:sz w:val="18"/>
            <w:u w:val="single" w:color="0000FF"/>
          </w:rPr>
          <w:t>http://fenixestructura.wordpress.com/2009/10/22/el-esperado-podcast-%c2%a1nuestro-primer-podcast/</w:t>
        </w:r>
        <w:r>
          <w:rPr>
            <w:rFonts w:ascii="Calibri" w:hAnsi="Calibri"/>
            <w:sz w:val="18"/>
          </w:rPr>
          <w:t>.</w:t>
        </w:r>
      </w:hyperlink>
      <w:r>
        <w:rPr>
          <w:rFonts w:ascii="Calibri" w:hAnsi="Calibri"/>
          <w:sz w:val="18"/>
        </w:rPr>
        <w:t> “En abril de 1965 es colocado en órbita el Pájaro Madrugador (</w:t>
      </w:r>
      <w:r>
        <w:rPr>
          <w:rFonts w:ascii="Calibri" w:hAnsi="Calibri"/>
          <w:i/>
          <w:sz w:val="18"/>
        </w:rPr>
        <w:t>Early Bird</w:t>
      </w:r>
      <w:r>
        <w:rPr>
          <w:rFonts w:ascii="Calibri" w:hAnsi="Calibri"/>
          <w:sz w:val="18"/>
        </w:rPr>
        <w:t>), primer satélite comercial de comunicaciones, gracias al cual pueden verse en México la pelea por el campeonato mundial de </w:t>
      </w:r>
      <w:r>
        <w:rPr>
          <w:rFonts w:ascii="Calibri" w:hAnsi="Calibri"/>
          <w:i/>
          <w:sz w:val="18"/>
        </w:rPr>
        <w:t>peso pluma </w:t>
      </w:r>
      <w:r>
        <w:rPr>
          <w:rFonts w:ascii="Calibri" w:hAnsi="Calibri"/>
          <w:sz w:val="18"/>
        </w:rPr>
        <w:t>entre Vicente Saldívar y Howard Winstone (1965), el Campeonato Mundial de Futbol de Inglaterra (1966) y el célebre programa internacional Nuestro Mundo (1967) en el que la televisión mexicana participa transmitiendo en vivo el nacimiento de un niño y un  espectáculo de danza prehispánica. México aún no tiene infraestructura propia para la comunicación vía satélite, por lo que las imágenes provenientes de Europa llegan primero a Estados Unidos y luego se envían a nuestro país por microondas; asimismo, las señales que tienen su origen en México viajan primero vías microondas al país vecino en donde son “subidas” al</w:t>
      </w:r>
      <w:r>
        <w:rPr>
          <w:rFonts w:ascii="Calibri" w:hAnsi="Calibri"/>
          <w:spacing w:val="-20"/>
          <w:sz w:val="18"/>
        </w:rPr>
        <w:t> </w:t>
      </w:r>
      <w:r>
        <w:rPr>
          <w:rFonts w:ascii="Calibri" w:hAnsi="Calibri"/>
          <w:sz w:val="18"/>
        </w:rPr>
        <w:t>satélite”.</w:t>
      </w:r>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282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21"/>
        <w:jc w:val="both"/>
      </w:pPr>
      <w:r>
        <w:rPr/>
        <w:t>paramilitar llamado “los halcones”, manipulado por la prensa, hasta degradarlo a un movimiento de estudiantes agitadores, para generar el apoyo de diferentes sectores sociales hacia el gobierno de la República y sus</w:t>
      </w:r>
      <w:r>
        <w:rPr>
          <w:spacing w:val="-33"/>
        </w:rPr>
        <w:t> </w:t>
      </w:r>
      <w:r>
        <w:rPr/>
        <w:t>políticas.</w:t>
      </w:r>
    </w:p>
    <w:p>
      <w:pPr>
        <w:pStyle w:val="BodyText"/>
        <w:spacing w:line="360" w:lineRule="auto" w:before="2"/>
        <w:ind w:left="684" w:right="114" w:firstLine="336"/>
        <w:jc w:val="both"/>
      </w:pPr>
      <w:r>
        <w:rPr/>
        <w:t>Echeverría con el afán de combatir el descontento e insurrección social promovió la llamada </w:t>
      </w:r>
      <w:r>
        <w:rPr>
          <w:i/>
        </w:rPr>
        <w:t>guerra sucia</w:t>
      </w:r>
      <w:r>
        <w:rPr/>
        <w:t>, permitiendo la presencia de cuerpos policíacos  y del ejército para exterminar los movimientos populares. “No obstante, la violencia del   Estado   generaba   violencia   insurreccional   con   la   aparición   de </w:t>
      </w:r>
      <w:r>
        <w:rPr>
          <w:spacing w:val="7"/>
        </w:rPr>
        <w:t> </w:t>
      </w:r>
      <w:r>
        <w:rPr/>
        <w:t>células</w:t>
      </w:r>
    </w:p>
    <w:p>
      <w:pPr>
        <w:pStyle w:val="BodyText"/>
        <w:spacing w:line="278" w:lineRule="exact"/>
        <w:ind w:left="684"/>
        <w:jc w:val="both"/>
      </w:pPr>
      <w:r>
        <w:rPr/>
        <w:t>guerrilleras urbanas en las grandes ciudades del país.”</w:t>
      </w:r>
      <w:r>
        <w:rPr>
          <w:position w:val="11"/>
          <w:sz w:val="16"/>
        </w:rPr>
        <w:t>69  </w:t>
      </w:r>
      <w:r>
        <w:rPr/>
        <w:t>Y aplicando una   política</w:t>
      </w:r>
    </w:p>
    <w:p>
      <w:pPr>
        <w:pStyle w:val="BodyText"/>
        <w:spacing w:line="360" w:lineRule="auto" w:before="140"/>
        <w:ind w:left="684" w:right="118"/>
        <w:jc w:val="both"/>
      </w:pPr>
      <w:r>
        <w:rPr/>
        <w:t>demagógica y populista trató de sofocar la efervescencia social que se expresó a través de movimientos estudiantiles y la guerrilla que surgió en algunos estados del país como Guerrero y Sinaloa. En materia de economía las condiciones para el país tampoco fueron</w:t>
      </w:r>
      <w:r>
        <w:rPr>
          <w:spacing w:val="-16"/>
        </w:rPr>
        <w:t> </w:t>
      </w:r>
      <w:r>
        <w:rPr/>
        <w:t>mejores.</w:t>
      </w:r>
    </w:p>
    <w:p>
      <w:pPr>
        <w:pStyle w:val="BodyText"/>
      </w:pPr>
    </w:p>
    <w:p>
      <w:pPr>
        <w:spacing w:line="235" w:lineRule="auto" w:before="145"/>
        <w:ind w:left="1393" w:right="123" w:firstLine="0"/>
        <w:jc w:val="both"/>
        <w:rPr>
          <w:sz w:val="14"/>
        </w:rPr>
      </w:pPr>
      <w:r>
        <w:rPr>
          <w:sz w:val="22"/>
        </w:rPr>
        <w:t>A partir de 1971, la economía mexicana entró en una fase de crecimiento lento e inestable del producto interno, de intensas presiones inflacionarias, de agudización del desequilibrio del saldo con el exterior y de aumentos persistentes de los déficit fiscales. Estas tendencias hicieron eclosión a partir de 1975, provocando en 1976 una profunda crisis que se desplegó en una fuerte contracción productiva […]</w:t>
      </w:r>
      <w:r>
        <w:rPr>
          <w:position w:val="10"/>
          <w:sz w:val="14"/>
        </w:rPr>
        <w:t>70</w:t>
      </w:r>
    </w:p>
    <w:p>
      <w:pPr>
        <w:pStyle w:val="BodyText"/>
        <w:spacing w:before="3"/>
        <w:rPr>
          <w:sz w:val="36"/>
        </w:rPr>
      </w:pPr>
    </w:p>
    <w:p>
      <w:pPr>
        <w:pStyle w:val="BodyText"/>
        <w:spacing w:line="360" w:lineRule="auto"/>
        <w:ind w:left="684" w:right="113" w:firstLine="271"/>
        <w:jc w:val="both"/>
      </w:pPr>
      <w:r>
        <w:rPr/>
        <w:t>Como sucesor de Echeverría se eligió a José López Portillo y Pacheco, quien contendió como candidato único para presidente de México por el Partido Revolucionario Institucional, sin ningún candidato opositor para el período correspondiente de 1976 a 1982, resultando electo presidente.</w:t>
      </w:r>
    </w:p>
    <w:p>
      <w:pPr>
        <w:pStyle w:val="BodyText"/>
      </w:pPr>
    </w:p>
    <w:p>
      <w:pPr>
        <w:pStyle w:val="Heading3"/>
        <w:spacing w:before="138"/>
        <w:ind w:left="684"/>
        <w:jc w:val="both"/>
        <w:rPr>
          <w:rFonts w:ascii="Arial" w:hAnsi="Arial"/>
        </w:rPr>
      </w:pPr>
      <w:r>
        <w:rPr>
          <w:rFonts w:ascii="Arial" w:hAnsi="Arial"/>
        </w:rPr>
        <w:t>México en 1980</w:t>
      </w:r>
    </w:p>
    <w:p>
      <w:pPr>
        <w:pStyle w:val="BodyText"/>
        <w:rPr>
          <w:b/>
        </w:rPr>
      </w:pPr>
    </w:p>
    <w:p>
      <w:pPr>
        <w:pStyle w:val="BodyText"/>
        <w:rPr>
          <w:b/>
        </w:rPr>
      </w:pPr>
    </w:p>
    <w:p>
      <w:pPr>
        <w:pStyle w:val="BodyText"/>
        <w:spacing w:line="360" w:lineRule="auto"/>
        <w:ind w:left="684" w:right="114" w:firstLine="404"/>
        <w:jc w:val="both"/>
      </w:pPr>
      <w:r>
        <w:rPr/>
        <w:pict>
          <v:line style="position:absolute;mso-position-horizontal-relative:page;mso-position-vertical-relative:paragraph;z-index:2800;mso-wrap-distance-left:0;mso-wrap-distance-right:0" from="99.224998pt,130.180832pt" to="243.274998pt,130.180832pt" stroked="true" strokeweight=".60004pt" strokecolor="#000000">
            <w10:wrap type="topAndBottom"/>
          </v:line>
        </w:pict>
      </w:r>
      <w:r>
        <w:rPr/>
        <w:t>Aunque, en ese momento histórico el país figuraba como un Estado económicamente poderoso con presencia internacional, las condiciones internas contenían un gran descontento social. Los ochentas son la etapa de la Historia de México considerado principalmente como punto de partida para este trabajo de investigación, en función de que es a fines del siglo XX cuando se consolida la televisión como medio invasivo y determinante para la promoción de la cultura   en</w:t>
      </w:r>
    </w:p>
    <w:p>
      <w:pPr>
        <w:spacing w:line="236" w:lineRule="exact" w:before="46"/>
        <w:ind w:left="684" w:right="114" w:firstLine="0"/>
        <w:jc w:val="left"/>
        <w:rPr>
          <w:rFonts w:ascii="Calibri" w:hAnsi="Calibri"/>
          <w:sz w:val="18"/>
        </w:rPr>
      </w:pPr>
      <w:r>
        <w:rPr>
          <w:rFonts w:ascii="Calibri" w:hAnsi="Calibri"/>
          <w:position w:val="9"/>
          <w:sz w:val="12"/>
        </w:rPr>
        <w:t>69 </w:t>
      </w:r>
      <w:r>
        <w:rPr>
          <w:rFonts w:ascii="Calibri" w:hAnsi="Calibri"/>
          <w:sz w:val="18"/>
        </w:rPr>
        <w:t>DÍAZ Reynoso, Fernando, et al, </w:t>
      </w:r>
      <w:r>
        <w:rPr>
          <w:rFonts w:ascii="Calibri" w:hAnsi="Calibri"/>
          <w:i/>
          <w:sz w:val="18"/>
        </w:rPr>
        <w:t>Historia de México, de los Siglos XIX-XXI</w:t>
      </w:r>
      <w:r>
        <w:rPr>
          <w:rFonts w:ascii="Calibri" w:hAnsi="Calibri"/>
          <w:sz w:val="18"/>
        </w:rPr>
        <w:t>,  UAEM, México, 2005, p. 232.</w:t>
      </w:r>
    </w:p>
    <w:p>
      <w:pPr>
        <w:spacing w:line="236" w:lineRule="exact" w:before="0"/>
        <w:ind w:left="684" w:right="114" w:firstLine="0"/>
        <w:jc w:val="left"/>
        <w:rPr>
          <w:rFonts w:ascii="Calibri" w:hAnsi="Calibri"/>
          <w:sz w:val="18"/>
        </w:rPr>
      </w:pPr>
      <w:r>
        <w:rPr>
          <w:rFonts w:ascii="Calibri" w:hAnsi="Calibri"/>
          <w:position w:val="9"/>
          <w:sz w:val="12"/>
        </w:rPr>
        <w:t>70 </w:t>
      </w:r>
      <w:r>
        <w:rPr>
          <w:rFonts w:ascii="Calibri" w:hAnsi="Calibri"/>
          <w:sz w:val="18"/>
        </w:rPr>
        <w:t>GONZÁLEZ Casanova, Pablo, Florescano, Enrique, (Coordinadores), </w:t>
      </w:r>
      <w:r>
        <w:rPr>
          <w:rFonts w:ascii="Calibri" w:hAnsi="Calibri"/>
          <w:i/>
          <w:sz w:val="18"/>
        </w:rPr>
        <w:t>México, Hoy</w:t>
      </w:r>
      <w:r>
        <w:rPr>
          <w:rFonts w:ascii="Calibri" w:hAnsi="Calibri"/>
          <w:sz w:val="18"/>
        </w:rPr>
        <w:t>, Siglo XXI, México, 1980, p. 19.</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287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4"/>
        <w:jc w:val="both"/>
      </w:pPr>
      <w:r>
        <w:rPr/>
        <w:t>los hogares mexicanos. Esta época se define por movimientos socio-políticos de relevancia internacional, que el estado mexicano no puede evadir, es tan fuerte la problemática internacional que se desarrolla una de las crisis económicas a nivel mundial más graves de los últimos cincuenta años.</w:t>
      </w:r>
    </w:p>
    <w:p>
      <w:pPr>
        <w:pStyle w:val="BodyText"/>
        <w:spacing w:line="360" w:lineRule="auto" w:before="6"/>
        <w:ind w:left="264" w:right="213" w:firstLine="336"/>
        <w:jc w:val="both"/>
      </w:pPr>
      <w:r>
        <w:rPr/>
        <w:t>Así, la instalación del neoliberalismo que se inicia en los 80s, provocó que en muchos países los sueldos bajaran; se presentaran déficits presupuestarios sin precedentes que mortificaron a los gobiernos de la mayoría de los países; las deudas externas en el Tercer Mundo y Europa Oriental estuvieron a punto de salirse de control; los recursos financieros presentaron un gran desequilibrio y los recursos naturales se consumieron sin control. “A pesar de que la crisis económica de los ochenta se ve agravada por los errores económicos, sus raíces yacen en</w:t>
      </w:r>
      <w:r>
        <w:rPr>
          <w:spacing w:val="58"/>
        </w:rPr>
        <w:t> </w:t>
      </w:r>
      <w:r>
        <w:rPr/>
        <w:t>el</w:t>
      </w:r>
    </w:p>
    <w:p>
      <w:pPr>
        <w:pStyle w:val="BodyText"/>
        <w:spacing w:line="278" w:lineRule="exact"/>
        <w:ind w:left="264"/>
        <w:jc w:val="both"/>
        <w:rPr>
          <w:sz w:val="16"/>
        </w:rPr>
      </w:pPr>
      <w:r>
        <w:rPr/>
        <w:t>agotamiento de los recursos, tanto renovables como no renovables.”</w:t>
      </w:r>
      <w:r>
        <w:rPr>
          <w:position w:val="11"/>
          <w:sz w:val="16"/>
        </w:rPr>
        <w:t>71</w:t>
      </w:r>
    </w:p>
    <w:p>
      <w:pPr>
        <w:pStyle w:val="BodyText"/>
        <w:spacing w:line="360" w:lineRule="auto" w:before="140"/>
        <w:ind w:left="264" w:right="213" w:firstLine="336"/>
        <w:jc w:val="both"/>
      </w:pPr>
      <w:r>
        <w:rPr/>
        <w:t>En esta época el sistema mexicano se caracteriza por su capacidad de centralización y concentración del poder, además de su habilidad para controlar y hacer permeable y aparente el desarrollo de su sociedad civil. Después de la Gran Depresión en los ámbitos de la vida económica, social o cultural fueron objeto   de</w:t>
      </w:r>
    </w:p>
    <w:p>
      <w:pPr>
        <w:pStyle w:val="BodyText"/>
        <w:spacing w:line="328" w:lineRule="auto" w:before="6"/>
        <w:ind w:left="264" w:right="215"/>
        <w:jc w:val="both"/>
        <w:rPr>
          <w:sz w:val="16"/>
        </w:rPr>
      </w:pPr>
      <w:r>
        <w:rPr/>
        <w:t>estricto control por parte del Estado, quién asumió la organización directa de las industrias del petróleo, los ferrocarriles, la energía y las telecomunicaciones.</w:t>
      </w:r>
      <w:r>
        <w:rPr>
          <w:position w:val="11"/>
          <w:sz w:val="16"/>
        </w:rPr>
        <w:t>72</w:t>
      </w:r>
    </w:p>
    <w:p>
      <w:pPr>
        <w:pStyle w:val="BodyText"/>
        <w:spacing w:line="360" w:lineRule="auto" w:before="27"/>
        <w:ind w:left="264" w:right="213" w:firstLine="336"/>
        <w:jc w:val="both"/>
      </w:pPr>
      <w:r>
        <w:rPr/>
        <w:t>José López Portillo asumió la presidencia de la República ante una crisis económica, política y social que generaba un Estado en descomposición, que aumentaba por la corrupción y desconfianza de la clase económica interna. Dadas estas circunstancias, López Portillo es considerado como el símbolo del fin de la prosperidad generada a mediados del siglo XX y el comienzo de un desastre que todavía prevalece en México. En esta época, López Portillo se encuentra en el intermedio  de  su  función  como  Presidente  (1976-982),  encabeza  un    Estado</w:t>
      </w:r>
    </w:p>
    <w:p>
      <w:pPr>
        <w:pStyle w:val="BodyText"/>
        <w:spacing w:before="6"/>
        <w:rPr>
          <w:sz w:val="28"/>
        </w:rPr>
      </w:pPr>
      <w:r>
        <w:rPr/>
        <w:pict>
          <v:line style="position:absolute;mso-position-horizontal-relative:page;mso-position-vertical-relative:paragraph;z-index:2848;mso-wrap-distance-left:0;mso-wrap-distance-right:0" from="99.224998pt,18.65391pt" to="243.274998pt,18.65391pt" stroked="true" strokeweight=".599980pt" strokecolor="#000000">
            <w10:wrap type="topAndBottom"/>
          </v:line>
        </w:pict>
      </w:r>
    </w:p>
    <w:p>
      <w:pPr>
        <w:spacing w:before="46"/>
        <w:ind w:left="264" w:right="213" w:firstLine="0"/>
        <w:jc w:val="both"/>
        <w:rPr>
          <w:rFonts w:ascii="Calibri" w:hAnsi="Calibri"/>
          <w:sz w:val="18"/>
        </w:rPr>
      </w:pPr>
      <w:r>
        <w:rPr>
          <w:rFonts w:ascii="Calibri" w:hAnsi="Calibri"/>
          <w:position w:val="9"/>
          <w:sz w:val="12"/>
        </w:rPr>
        <w:t>71 </w:t>
      </w:r>
      <w:r>
        <w:rPr>
          <w:rFonts w:ascii="Calibri" w:hAnsi="Calibri"/>
          <w:sz w:val="18"/>
        </w:rPr>
        <w:t>BROWN, Lester R. “El estado del Mundo en 1984”, Revista </w:t>
      </w:r>
      <w:r>
        <w:rPr>
          <w:rFonts w:ascii="Calibri" w:hAnsi="Calibri"/>
          <w:i/>
          <w:sz w:val="18"/>
        </w:rPr>
        <w:t>Ciencia y Desarrollo</w:t>
      </w:r>
      <w:r>
        <w:rPr>
          <w:rFonts w:ascii="Calibri" w:hAnsi="Calibri"/>
          <w:sz w:val="18"/>
        </w:rPr>
        <w:t>, CONACYT, Enero-Febrero, 1985, Núm. 60, Año X, México, 1985, p. 97.</w:t>
      </w:r>
    </w:p>
    <w:p>
      <w:pPr>
        <w:spacing w:line="221" w:lineRule="exact" w:before="0"/>
        <w:ind w:left="264" w:right="0" w:firstLine="0"/>
        <w:jc w:val="both"/>
        <w:rPr>
          <w:rFonts w:ascii="Calibri" w:hAnsi="Calibri"/>
          <w:sz w:val="18"/>
        </w:rPr>
      </w:pPr>
      <w:r>
        <w:rPr>
          <w:rFonts w:ascii="Calibri" w:hAnsi="Calibri"/>
          <w:position w:val="9"/>
          <w:sz w:val="12"/>
        </w:rPr>
        <w:t>72  </w:t>
      </w:r>
      <w:r>
        <w:rPr>
          <w:rFonts w:ascii="Calibri" w:hAnsi="Calibri"/>
          <w:sz w:val="18"/>
        </w:rPr>
        <w:t>Las telecomunicaciones demuestran en esa etapa su capacidad para comunicar e informar a la población, su auge   es</w:t>
      </w:r>
    </w:p>
    <w:p>
      <w:pPr>
        <w:spacing w:before="0"/>
        <w:ind w:left="264" w:right="221" w:firstLine="0"/>
        <w:jc w:val="both"/>
        <w:rPr>
          <w:rFonts w:ascii="Calibri" w:hAnsi="Calibri"/>
          <w:i/>
          <w:sz w:val="18"/>
        </w:rPr>
      </w:pPr>
      <w:r>
        <w:rPr>
          <w:rFonts w:ascii="Calibri" w:hAnsi="Calibri"/>
          <w:sz w:val="18"/>
        </w:rPr>
        <w:t>notorio y urge legislar al respecto para dar un orden a su crecimiento. “Para los 80s la Red Federal de Microondas comenzó a saturarse y requería atender diversos programas del Gobierno Federal como el de telefonía rural. Ante los análisis realizados por las autoridades, la comunicación vía satélite se presentó como una alternativa. Por ello, México inició sus gestiones ante la Unión Internacional de Telecomunicaciones (“UIT”) para obtener órbitas satelitales. En 1981 México presentó una solicitud a la UIT para el sistema de satélites mexicanos denominado Ilhuicahua que es un vocablo náhuatl que significa “Dios de los Cielos”. Véase: ÁLVAREZ, Clara Luz, </w:t>
      </w:r>
      <w:r>
        <w:rPr>
          <w:rFonts w:ascii="Calibri" w:hAnsi="Calibri"/>
          <w:i/>
          <w:sz w:val="18"/>
        </w:rPr>
        <w:t>Óp. Cit.</w:t>
      </w:r>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292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20"/>
        <w:jc w:val="both"/>
      </w:pPr>
      <w:r>
        <w:rPr/>
        <w:t>debilitado económica y políticamente, por lo que trata de recuperar la confianza de la nación adoptando medidas extremas como: la nacionalización de la Banca, que provocó la fuga de capitales y el endeudamiento gestionado para explotar los mantos petrolíferos.</w:t>
      </w:r>
    </w:p>
    <w:p>
      <w:pPr>
        <w:pStyle w:val="BodyText"/>
        <w:spacing w:line="357" w:lineRule="auto" w:before="6"/>
        <w:ind w:left="684" w:right="129" w:firstLine="336"/>
        <w:jc w:val="both"/>
      </w:pPr>
      <w:r>
        <w:rPr/>
        <w:t>En este período la extracción del petróleo se constituye en la principal fuente  de ingresos del país. Sin embargo como afirma Lester R.</w:t>
      </w:r>
      <w:r>
        <w:rPr>
          <w:spacing w:val="-31"/>
        </w:rPr>
        <w:t> </w:t>
      </w:r>
      <w:r>
        <w:rPr/>
        <w:t>Brown:</w:t>
      </w:r>
    </w:p>
    <w:p>
      <w:pPr>
        <w:pStyle w:val="BodyText"/>
      </w:pPr>
    </w:p>
    <w:p>
      <w:pPr>
        <w:spacing w:line="237" w:lineRule="auto" w:before="145"/>
        <w:ind w:left="1393" w:right="112" w:firstLine="0"/>
        <w:jc w:val="both"/>
        <w:rPr>
          <w:sz w:val="14"/>
        </w:rPr>
      </w:pPr>
      <w:r>
        <w:rPr>
          <w:sz w:val="22"/>
        </w:rPr>
        <w:t>Durante la década de los cincuenta y los sesenta la economía mundial impulsó continuamente la utilización del petróleo, un recurso limitado, colocándose en una trayectoria que, por definición, a la larga no podría sostenerse. El agotamiento de las reservas petroleras y su efecto en los precios mundiales del petróleo, es la amenaza más inmediata a la estabilidad económica del mundo; pero el debilitamiento de los recursos de la tierra cultivable por la erosión puede ser la mayor amenaza a largo plazo.</w:t>
      </w:r>
      <w:r>
        <w:rPr>
          <w:position w:val="10"/>
          <w:sz w:val="14"/>
        </w:rPr>
        <w:t>73</w:t>
      </w:r>
    </w:p>
    <w:p>
      <w:pPr>
        <w:pStyle w:val="BodyText"/>
        <w:spacing w:before="2"/>
        <w:rPr>
          <w:sz w:val="36"/>
        </w:rPr>
      </w:pPr>
    </w:p>
    <w:p>
      <w:pPr>
        <w:pStyle w:val="BodyText"/>
        <w:spacing w:line="360" w:lineRule="auto" w:before="1"/>
        <w:ind w:left="684" w:right="118" w:firstLine="336"/>
        <w:jc w:val="both"/>
      </w:pPr>
      <w:r>
        <w:rPr/>
        <w:t>Entre otras cosas para este gobierno fue necesario enfrentar la problemática que históricamente el Estado había acumulado internamente de subdesarrollo, pobreza, dependencia económica, pero sobre todo una gran corrupción.</w:t>
      </w:r>
    </w:p>
    <w:p>
      <w:pPr>
        <w:pStyle w:val="BodyText"/>
        <w:spacing w:line="360" w:lineRule="auto" w:before="2"/>
        <w:ind w:left="684" w:right="115" w:firstLine="404"/>
        <w:jc w:val="both"/>
      </w:pPr>
      <w:r>
        <w:rPr/>
        <w:t>Buscando soluciones, el gobierno de López Portillo creó o adquirió un  complejo formidable de empresas que producían una gran variedad de bienes y servicios, desde automóviles y películas de cine, hasta azúcar y libros. Empero, México no se escapa de las condiciones económicas y sociales mundiales. Las grandes potencias de esta época orientan su política económica hacia el neoliberalismo, cuya tendencia es: la apertura de mercados nacionales, la disminución y participación de los Estados en la economía a través de la globalización, aumentando el flujo de los capitales y de las mercancías, propuesta que implica la aplicación de medidas impuestas por las grandes corporaciones internacionales.</w:t>
      </w:r>
    </w:p>
    <w:p>
      <w:pPr>
        <w:pStyle w:val="BodyText"/>
        <w:spacing w:line="360" w:lineRule="auto" w:before="6"/>
        <w:ind w:left="684" w:right="119" w:firstLine="336"/>
        <w:jc w:val="both"/>
      </w:pPr>
      <w:r>
        <w:rPr/>
        <w:t>López Portillo en 1982, dada la presión nacional y la incapacidad gubernamental de sostener el tipo de cambio y la salida de capitales, precipita la devaluación antes del cambio de gobierno. Sus asesores le aconsejan estatizar la banca y colocar a los banqueros como responsables de la devaluación ante el pueblo.</w:t>
      </w:r>
    </w:p>
    <w:p>
      <w:pPr>
        <w:pStyle w:val="BodyText"/>
        <w:spacing w:before="8"/>
        <w:rPr>
          <w:sz w:val="17"/>
        </w:rPr>
      </w:pPr>
      <w:r>
        <w:rPr/>
        <w:pict>
          <v:line style="position:absolute;mso-position-horizontal-relative:page;mso-position-vertical-relative:paragraph;z-index:2896;mso-wrap-distance-left:0;mso-wrap-distance-right:0" from="99.224998pt,12.453888pt" to="243.274998pt,12.453888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73 </w:t>
      </w:r>
      <w:r>
        <w:rPr>
          <w:rFonts w:ascii="Calibri" w:hAnsi="Calibri"/>
          <w:sz w:val="18"/>
        </w:rPr>
        <w:t>BROWN, Lester R., </w:t>
      </w:r>
      <w:r>
        <w:rPr>
          <w:rFonts w:ascii="Calibri" w:hAnsi="Calibri"/>
          <w:i/>
          <w:sz w:val="18"/>
        </w:rPr>
        <w:t>Óp. Cit</w:t>
      </w:r>
      <w:r>
        <w:rPr>
          <w:rFonts w:ascii="Calibri" w:hAnsi="Calibri"/>
          <w:sz w:val="18"/>
        </w:rPr>
        <w:t>. pp. 97-98.</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294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6" w:firstLine="336"/>
        <w:jc w:val="both"/>
      </w:pPr>
      <w:r>
        <w:rPr/>
        <w:t>Fue evidente en todo el mundo el quiebre del Estado benefactor e interventor, cuyo poder económico llegó a su límite en las últimas dos décadas del siglo XX. Gran Bretaña y los Estados Unidos ante esta crisis al final de los años setenta, promovieron la revolución neoliberal, que se inició con gran aceptación de los grandes capitalistas. Bajo esta perspectiva estas naciones representantes del gran capital presionaron a los países llamados, en ese momento, países subdesarrollados. “El desarrollo del capitalismo dependiente impulsado por el sistema  político  desvirtuó el  proyecto nacional  y,  además,  ahora  amenaza con</w:t>
      </w:r>
    </w:p>
    <w:p>
      <w:pPr>
        <w:pStyle w:val="BodyText"/>
        <w:spacing w:line="283" w:lineRule="exact"/>
        <w:ind w:left="264"/>
      </w:pPr>
      <w:r>
        <w:rPr/>
        <w:t>devorar  al  Estado  surgido   en   ese  proceso.”</w:t>
      </w:r>
      <w:r>
        <w:rPr>
          <w:position w:val="11"/>
          <w:sz w:val="16"/>
        </w:rPr>
        <w:t>74    </w:t>
      </w:r>
      <w:r>
        <w:rPr/>
        <w:t>Dejando  como  resultado      el</w:t>
      </w:r>
    </w:p>
    <w:p>
      <w:pPr>
        <w:pStyle w:val="BodyText"/>
        <w:tabs>
          <w:tab w:pos="2062" w:val="left" w:leader="none"/>
          <w:tab w:pos="2626" w:val="left" w:leader="none"/>
          <w:tab w:pos="3566" w:val="left" w:leader="none"/>
          <w:tab w:pos="3929" w:val="left" w:leader="none"/>
          <w:tab w:pos="4361" w:val="left" w:leader="none"/>
          <w:tab w:pos="6443" w:val="left" w:leader="none"/>
          <w:tab w:pos="7351" w:val="left" w:leader="none"/>
          <w:tab w:pos="7863" w:val="left" w:leader="none"/>
          <w:tab w:pos="8414" w:val="left" w:leader="none"/>
        </w:tabs>
        <w:spacing w:line="362" w:lineRule="auto" w:before="136"/>
        <w:ind w:left="264" w:right="227"/>
      </w:pPr>
      <w:r>
        <w:rPr/>
        <w:t>fortalecimiento</w:t>
        <w:tab/>
        <w:t>del</w:t>
        <w:tab/>
        <w:t>capital</w:t>
        <w:tab/>
        <w:t>y</w:t>
        <w:tab/>
        <w:t>el</w:t>
        <w:tab/>
        <w:t>empobrecimiento</w:t>
        <w:tab/>
        <w:t>mayor</w:t>
        <w:tab/>
        <w:t>de</w:t>
        <w:tab/>
        <w:t>las</w:t>
        <w:tab/>
      </w:r>
      <w:r>
        <w:rPr>
          <w:spacing w:val="-1"/>
        </w:rPr>
        <w:t>clases </w:t>
      </w:r>
      <w:r>
        <w:rPr/>
        <w:t>desprotegidas.</w:t>
      </w:r>
    </w:p>
    <w:p>
      <w:pPr>
        <w:pStyle w:val="BodyText"/>
        <w:spacing w:line="360" w:lineRule="auto"/>
        <w:ind w:left="264" w:right="214" w:firstLine="271"/>
        <w:jc w:val="both"/>
      </w:pPr>
      <w:r>
        <w:rPr/>
        <w:t>Poniendo de manifiesto la instalación del neoliberalismo como sistema político- social dominante que fundamenta la economía desde la década de los 80s y se desenvuelve arrasando a los países en desarrollo hacia el fracaso y hacia una mayor dependencia económica. Su tendencia, que profundiza la concentración del capital, y aumenta la inestabilidad macroeconómica se demuestra abiertamente en México y Latinoamérica con las continuas crisis financieras, que asedian constantemente a los pobres. Empero es uno de los fenómenos socio-económico- políticos de más impacto en las últimas décadas, que ha puesto en evidencia el agotamiento del Estado tradicional inclusive en los países desarrollados.</w:t>
      </w:r>
    </w:p>
    <w:p>
      <w:pPr>
        <w:pStyle w:val="BodyText"/>
        <w:spacing w:before="11"/>
        <w:rPr>
          <w:sz w:val="35"/>
        </w:rPr>
      </w:pPr>
    </w:p>
    <w:p>
      <w:pPr>
        <w:pStyle w:val="Heading3"/>
        <w:spacing w:before="0"/>
        <w:ind w:left="264"/>
        <w:rPr>
          <w:rFonts w:ascii="Arial" w:hAnsi="Arial"/>
        </w:rPr>
      </w:pPr>
      <w:r>
        <w:rPr>
          <w:rFonts w:ascii="Arial" w:hAnsi="Arial"/>
        </w:rPr>
        <w:t>México de  1982 a 1994</w:t>
      </w:r>
    </w:p>
    <w:p>
      <w:pPr>
        <w:pStyle w:val="BodyText"/>
        <w:rPr>
          <w:b/>
        </w:rPr>
      </w:pPr>
    </w:p>
    <w:p>
      <w:pPr>
        <w:pStyle w:val="BodyText"/>
        <w:spacing w:before="4"/>
        <w:rPr>
          <w:b/>
        </w:rPr>
      </w:pPr>
    </w:p>
    <w:p>
      <w:pPr>
        <w:pStyle w:val="BodyText"/>
        <w:spacing w:line="360" w:lineRule="auto"/>
        <w:ind w:left="264" w:right="219" w:firstLine="271"/>
        <w:jc w:val="both"/>
      </w:pPr>
      <w:r>
        <w:rPr/>
        <w:t>La elección presidencial de 1982, en el preludio de una transformación mundial, tuvo como resultado el nombramiento de Miguel De La Madrid Hurtado como nuevo presidente, quien empezó a desplazar a los grupos tradicionales dentro del aparato estatal, incorporando a un grupo de tecnócratas, quienes tomaron el poder con un nuevo proyecto de estado, basado en la teoría económica neoliberal. Los tecnócratas, ya en el poder, rechazaron las prácticas populistas de los    gobiernos</w:t>
      </w:r>
    </w:p>
    <w:p>
      <w:pPr>
        <w:pStyle w:val="BodyText"/>
        <w:rPr>
          <w:sz w:val="20"/>
        </w:rPr>
      </w:pPr>
    </w:p>
    <w:p>
      <w:pPr>
        <w:pStyle w:val="BodyText"/>
        <w:rPr>
          <w:sz w:val="20"/>
        </w:rPr>
      </w:pPr>
    </w:p>
    <w:p>
      <w:pPr>
        <w:spacing w:before="233"/>
        <w:ind w:left="264" w:right="0" w:firstLine="0"/>
        <w:jc w:val="left"/>
        <w:rPr>
          <w:rFonts w:ascii="Calibri" w:hAnsi="Calibri"/>
          <w:sz w:val="18"/>
        </w:rPr>
      </w:pPr>
      <w:r>
        <w:rPr>
          <w:rFonts w:ascii="Calibri" w:hAnsi="Calibri"/>
          <w:position w:val="11"/>
          <w:sz w:val="16"/>
        </w:rPr>
        <w:t>74 </w:t>
      </w:r>
      <w:r>
        <w:rPr>
          <w:rFonts w:ascii="Calibri" w:hAnsi="Calibri"/>
          <w:sz w:val="18"/>
        </w:rPr>
        <w:t>GONZÁLEZ Casanova, Pablo, Florescano, Enrique, (Coordinadores), </w:t>
      </w:r>
      <w:r>
        <w:rPr>
          <w:rFonts w:ascii="Calibri" w:hAnsi="Calibri"/>
          <w:i/>
          <w:sz w:val="18"/>
        </w:rPr>
        <w:t>Óp. Cit. </w:t>
      </w:r>
      <w:r>
        <w:rPr>
          <w:rFonts w:ascii="Calibri" w:hAnsi="Calibri"/>
          <w:sz w:val="18"/>
        </w:rPr>
        <w:t>p</w:t>
      </w:r>
      <w:r>
        <w:rPr>
          <w:rFonts w:ascii="Calibri" w:hAnsi="Calibri"/>
          <w:i/>
          <w:sz w:val="18"/>
        </w:rPr>
        <w:t>. </w:t>
      </w:r>
      <w:r>
        <w:rPr>
          <w:rFonts w:ascii="Calibri" w:hAnsi="Calibri"/>
          <w:sz w:val="18"/>
        </w:rPr>
        <w:t>294.</w:t>
      </w:r>
    </w:p>
    <w:p>
      <w:pPr>
        <w:spacing w:after="0"/>
        <w:jc w:val="left"/>
        <w:rPr>
          <w:rFonts w:ascii="Calibri" w:hAnsi="Calibri"/>
          <w:sz w:val="18"/>
        </w:rPr>
        <w:sectPr>
          <w:footerReference w:type="default" r:id="rId33"/>
          <w:pgSz w:w="12240" w:h="15840"/>
          <w:pgMar w:footer="892" w:header="0" w:top="520" w:bottom="108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299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684" w:right="126"/>
        <w:jc w:val="both"/>
      </w:pPr>
      <w:r>
        <w:rPr/>
        <w:t>anteriores e iniciaron una reforma económica encauzada hacia una transformación radical de toda la estructura económica.</w:t>
      </w:r>
    </w:p>
    <w:p>
      <w:pPr>
        <w:pStyle w:val="BodyText"/>
      </w:pPr>
    </w:p>
    <w:p>
      <w:pPr>
        <w:spacing w:line="352" w:lineRule="auto" w:before="140"/>
        <w:ind w:left="1393" w:right="110" w:firstLine="0"/>
        <w:jc w:val="both"/>
        <w:rPr>
          <w:sz w:val="14"/>
        </w:rPr>
      </w:pPr>
      <w:r>
        <w:rPr>
          <w:sz w:val="22"/>
        </w:rPr>
        <w:t>Una economía tradicionalmente cerrada fue forzada a abrirse de manera rápida y definitiva a la competencia del mercado internacional; a las fuerzas que dominaban el mercado mundial se les dio la tarea de crear y distribuir el grueso de los bienes, los servicios y, por supuesto, las ganancias de la actividad económica.</w:t>
      </w:r>
      <w:r>
        <w:rPr>
          <w:position w:val="10"/>
          <w:sz w:val="14"/>
        </w:rPr>
        <w:t>75</w:t>
      </w:r>
    </w:p>
    <w:p>
      <w:pPr>
        <w:pStyle w:val="BodyText"/>
        <w:spacing w:before="2"/>
        <w:rPr>
          <w:sz w:val="36"/>
        </w:rPr>
      </w:pPr>
    </w:p>
    <w:p>
      <w:pPr>
        <w:pStyle w:val="BodyText"/>
        <w:spacing w:line="355" w:lineRule="auto"/>
        <w:ind w:left="684" w:right="114" w:firstLine="336"/>
        <w:jc w:val="both"/>
        <w:rPr>
          <w:sz w:val="16"/>
        </w:rPr>
      </w:pPr>
      <w:r>
        <w:rPr/>
        <w:t>Algunos fenómenos como la devaluación del peso frente al dólar, la fuga de capitales (surgida durante el gobierno de José López Portillo) y la baja producción de empleos fueron las condiciones que enfrentó el gobierno de Miguel De La Madrid Hurtado (1982-1988). Situación que lo obligó a adoptar las medidas sugeridas por las instituciones económicas mundiales: Banco Mundial y Fondo Monetario Internacional. </w:t>
      </w:r>
      <w:r>
        <w:rPr>
          <w:position w:val="11"/>
          <w:sz w:val="16"/>
        </w:rPr>
        <w:t>76</w:t>
      </w:r>
    </w:p>
    <w:p>
      <w:pPr>
        <w:pStyle w:val="BodyText"/>
        <w:spacing w:line="355" w:lineRule="auto"/>
        <w:ind w:left="684" w:right="117" w:firstLine="271"/>
        <w:jc w:val="both"/>
      </w:pPr>
      <w:r>
        <w:rPr/>
        <w:t>Estas circunstancias aumentaron la molestia de la población, de tal manera que a partir de 1982 la oposición no es un movimiento aislado ni un asunto de corporaciones o grupos marginales sino una expresión tácita de los efectos negativos de la depresión económica y de la reestructuración política,</w:t>
      </w:r>
      <w:r>
        <w:rPr>
          <w:position w:val="11"/>
          <w:sz w:val="16"/>
        </w:rPr>
        <w:t>77 </w:t>
      </w:r>
      <w:r>
        <w:rPr/>
        <w:t>que impacta a los mexicanos en todos los órdenes de la vida: a agricultores y campesinos, así como a trabajadores y jornaleros, a la clase media, profesionistas y pequeños industriales, a los burócratas y a grupos marginales desempleados  </w:t>
      </w:r>
      <w:r>
        <w:rPr>
          <w:spacing w:val="55"/>
        </w:rPr>
        <w:t> </w:t>
      </w:r>
      <w:r>
        <w:rPr/>
        <w:t>o</w:t>
      </w:r>
    </w:p>
    <w:p>
      <w:pPr>
        <w:pStyle w:val="BodyText"/>
        <w:spacing w:line="360" w:lineRule="auto" w:before="11"/>
        <w:ind w:left="684" w:right="122"/>
        <w:jc w:val="both"/>
      </w:pPr>
      <w:r>
        <w:rPr/>
        <w:t>subempleados que viven en los barrios bajos. Los alcances sobre individuos y grupos se revelaron de maneras y en grados distintos, pero toda la red social recibe el impacto del fracaso estructural de un sistema económico puesto en marcha cincuenta años antes.</w:t>
      </w:r>
    </w:p>
    <w:p>
      <w:pPr>
        <w:pStyle w:val="BodyText"/>
        <w:spacing w:line="357" w:lineRule="auto" w:before="6"/>
        <w:ind w:left="684" w:right="122" w:firstLine="336"/>
        <w:jc w:val="both"/>
      </w:pPr>
      <w:r>
        <w:rPr/>
        <w:t>Como consecuencia, desde 1982, el Estado empezó a transferir sus responsabilidades económicas y parte de sus privilegios a la empresa privada.  Es</w:t>
      </w:r>
    </w:p>
    <w:p>
      <w:pPr>
        <w:pStyle w:val="BodyText"/>
        <w:rPr>
          <w:sz w:val="20"/>
        </w:rPr>
      </w:pPr>
    </w:p>
    <w:p>
      <w:pPr>
        <w:pStyle w:val="BodyText"/>
        <w:spacing w:before="3"/>
        <w:rPr>
          <w:sz w:val="13"/>
        </w:rPr>
      </w:pPr>
      <w:r>
        <w:rPr/>
        <w:pict>
          <v:line style="position:absolute;mso-position-horizontal-relative:page;mso-position-vertical-relative:paragraph;z-index:2968;mso-wrap-distance-left:0;mso-wrap-distance-right:0" from="99.224998pt,9.918931pt" to="243.274998pt,9.918931pt" stroked="true" strokeweight=".60004pt" strokecolor="#000000">
            <w10:wrap type="topAndBottom"/>
          </v:line>
        </w:pict>
      </w:r>
    </w:p>
    <w:p>
      <w:pPr>
        <w:spacing w:before="48"/>
        <w:ind w:left="684" w:right="110" w:firstLine="0"/>
        <w:jc w:val="both"/>
        <w:rPr>
          <w:rFonts w:ascii="Calibri" w:hAnsi="Calibri"/>
          <w:sz w:val="18"/>
        </w:rPr>
      </w:pPr>
      <w:r>
        <w:rPr>
          <w:position w:val="9"/>
          <w:sz w:val="12"/>
        </w:rPr>
        <w:t>75 </w:t>
      </w:r>
      <w:r>
        <w:rPr>
          <w:rFonts w:ascii="Calibri" w:hAnsi="Calibri"/>
          <w:sz w:val="18"/>
        </w:rPr>
        <w:t>MEYER, Lorenzo</w:t>
      </w:r>
      <w:r>
        <w:rPr>
          <w:rFonts w:ascii="Calibri" w:hAnsi="Calibri"/>
          <w:i/>
          <w:sz w:val="18"/>
        </w:rPr>
        <w:t>, La prolongada Transición Mexicana, ¿Del autoritarismo hacia donde? </w:t>
      </w:r>
      <w:r>
        <w:rPr>
          <w:rFonts w:ascii="Calibri" w:hAnsi="Calibri"/>
          <w:sz w:val="18"/>
        </w:rPr>
        <w:t>[en línea], consulta el 12/04/2011, disponible en: </w:t>
      </w:r>
      <w:hyperlink r:id="rId35">
        <w:r>
          <w:rPr>
            <w:rFonts w:ascii="Calibri" w:hAnsi="Calibri"/>
            <w:color w:val="0000FF"/>
            <w:sz w:val="18"/>
            <w:u w:val="single" w:color="0000FF"/>
          </w:rPr>
          <w:t>http://www.cepc.es/rap/Publicaciones/Revistas/3/REPNE_074_353.pdf </w:t>
        </w:r>
      </w:hyperlink>
      <w:r>
        <w:rPr>
          <w:rFonts w:ascii="Calibri" w:hAnsi="Calibri"/>
          <w:sz w:val="18"/>
        </w:rPr>
        <w:t>.</w:t>
      </w:r>
    </w:p>
    <w:p>
      <w:pPr>
        <w:spacing w:line="220" w:lineRule="exact" w:before="0"/>
        <w:ind w:left="684" w:right="0" w:firstLine="0"/>
        <w:jc w:val="both"/>
        <w:rPr>
          <w:rFonts w:ascii="Calibri" w:hAnsi="Calibri"/>
          <w:i/>
          <w:sz w:val="18"/>
        </w:rPr>
      </w:pPr>
      <w:r>
        <w:rPr>
          <w:position w:val="9"/>
          <w:sz w:val="12"/>
        </w:rPr>
        <w:t>76 </w:t>
      </w:r>
      <w:r>
        <w:rPr>
          <w:rFonts w:ascii="Calibri" w:hAnsi="Calibri"/>
          <w:sz w:val="18"/>
        </w:rPr>
        <w:t>Véase, ARIAS, Marta y VERA, José María, </w:t>
      </w:r>
      <w:r>
        <w:rPr>
          <w:rFonts w:ascii="Calibri" w:hAnsi="Calibri"/>
          <w:i/>
          <w:sz w:val="18"/>
        </w:rPr>
        <w:t>Banco mundial y Fondo  Monetario Internacional ¿Una ayuda para los países</w:t>
      </w:r>
    </w:p>
    <w:p>
      <w:pPr>
        <w:spacing w:line="203" w:lineRule="exact" w:before="0"/>
        <w:ind w:left="684" w:right="0" w:firstLine="0"/>
        <w:jc w:val="both"/>
        <w:rPr>
          <w:rFonts w:ascii="Calibri" w:hAnsi="Calibri"/>
          <w:sz w:val="18"/>
        </w:rPr>
      </w:pPr>
      <w:r>
        <w:rPr>
          <w:rFonts w:ascii="Calibri" w:hAnsi="Calibri"/>
          <w:i/>
          <w:sz w:val="18"/>
        </w:rPr>
        <w:t>pobres, </w:t>
      </w:r>
      <w:r>
        <w:rPr>
          <w:rFonts w:ascii="Calibri" w:hAnsi="Calibri"/>
          <w:sz w:val="18"/>
        </w:rPr>
        <w:t>[en línea] consulta 05/06/2012, disponible en: </w:t>
      </w:r>
      <w:hyperlink r:id="rId36">
        <w:r>
          <w:rPr>
            <w:rFonts w:ascii="Calibri" w:hAnsi="Calibri"/>
            <w:color w:val="0000FF"/>
            <w:sz w:val="18"/>
            <w:u w:val="single" w:color="0000FF"/>
          </w:rPr>
          <w:t>http://www.fespinal.com/espinal/llib/es112.pdf</w:t>
        </w:r>
      </w:hyperlink>
    </w:p>
    <w:p>
      <w:pPr>
        <w:spacing w:line="220" w:lineRule="exact" w:before="12"/>
        <w:ind w:left="684" w:right="112" w:firstLine="0"/>
        <w:jc w:val="both"/>
        <w:rPr>
          <w:sz w:val="18"/>
        </w:rPr>
      </w:pPr>
      <w:r>
        <w:rPr>
          <w:rFonts w:ascii="Calibri" w:hAnsi="Calibri"/>
          <w:position w:val="9"/>
          <w:sz w:val="12"/>
        </w:rPr>
        <w:t>77 </w:t>
      </w:r>
      <w:r>
        <w:rPr>
          <w:rFonts w:ascii="Calibri" w:hAnsi="Calibri"/>
          <w:sz w:val="18"/>
        </w:rPr>
        <w:t>La transición de un estado paternalista, protector, clientelar a la apertura incipiente de un sistema de partidos; de un mercado protegido a uno abierto; de un Estado centralista a una economía guiada por la iniciativa privada, nacional y extranjera, causó un gran impacto en el mercado interno</w:t>
      </w:r>
      <w:r>
        <w:rPr>
          <w:sz w:val="18"/>
        </w:rPr>
        <w:t>.</w:t>
      </w:r>
    </w:p>
    <w:p>
      <w:pPr>
        <w:spacing w:after="0" w:line="220" w:lineRule="exact"/>
        <w:jc w:val="both"/>
        <w:rPr>
          <w:sz w:val="18"/>
        </w:rPr>
        <w:sectPr>
          <w:footerReference w:type="default" r:id="rId34"/>
          <w:pgSz w:w="12240" w:h="15840"/>
          <w:pgMar w:footer="876" w:header="0" w:top="520" w:bottom="1060" w:left="1300" w:right="1300"/>
          <w:pgNumType w:start="41"/>
        </w:sectPr>
      </w:pPr>
    </w:p>
    <w:p>
      <w:pPr>
        <w:pStyle w:val="Heading3"/>
      </w:pPr>
      <w:r>
        <w:rPr/>
        <w:pict>
          <v:line style="position:absolute;mso-position-horizontal-relative:page;mso-position-vertical-relative:paragraph;z-index:304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21"/>
        <w:jc w:val="both"/>
      </w:pPr>
      <w:r>
        <w:rPr/>
        <w:t>aquí donde vamos a encontrar el auge de las empresas televisivas, que reciben algunos beneficios directos del Estado, convirtiéndose en aliados del sistema y artífices directos de su reestructuración.</w:t>
      </w:r>
    </w:p>
    <w:p>
      <w:pPr>
        <w:pStyle w:val="BodyText"/>
        <w:spacing w:line="360" w:lineRule="auto" w:before="2"/>
        <w:ind w:left="264" w:right="213" w:firstLine="336"/>
        <w:jc w:val="both"/>
      </w:pPr>
      <w:r>
        <w:rPr/>
        <w:t>Esta transformación, simplemente puso a México a tono con el ambiente internacional que le rodeaba. Para sistematizar la intervención del gobierno federal en  materia  de  medios  de  comunicación,  durante  el  sexenio  de  Miguel  De La</w:t>
      </w:r>
    </w:p>
    <w:p>
      <w:pPr>
        <w:pStyle w:val="BodyText"/>
        <w:spacing w:line="328" w:lineRule="auto" w:before="6"/>
        <w:ind w:left="264" w:right="213"/>
        <w:jc w:val="both"/>
        <w:rPr>
          <w:sz w:val="16"/>
        </w:rPr>
      </w:pPr>
      <w:r>
        <w:rPr/>
        <w:t>Madrid se crearon los Institutos Nacionales de la Radio, la Televisión y el Cine, al mismo tiempo que se funda el Instituto Mexicano de la Televisión.</w:t>
      </w:r>
      <w:r>
        <w:rPr>
          <w:position w:val="11"/>
          <w:sz w:val="16"/>
        </w:rPr>
        <w:t>78</w:t>
      </w:r>
    </w:p>
    <w:p>
      <w:pPr>
        <w:pStyle w:val="BodyText"/>
        <w:spacing w:line="360" w:lineRule="auto" w:before="27"/>
        <w:ind w:left="264" w:right="218" w:firstLine="271"/>
        <w:jc w:val="both"/>
      </w:pPr>
      <w:r>
        <w:rPr/>
        <w:t>En cuanto a política interior, la presión internacional y de algunos grupos internos a favor de concluir el largo período del autoritarismo del México pos- revolucionario, fue reforzada por la crisis económica, que se inició en 1982, y por el debilitamiento de la legitimidad del régimen. Aunque a estas alturas la cultura política mexicana estaba todavía llena de valores autoritarios, la sociedad política permanecía débil y la élite política había probado su habilidad para regenerar los apoyos internos y externos. En esos momentos el objetivo del grupo en el poder era hacer compatible el autoritarismo con la reforma económica; de hecho, se pretendía hacer del primero una condición para lograr la segunda. “La finalidad de los nuevos autoritarios mexicanos pareciera ser combinar un mercado </w:t>
      </w:r>
      <w:r>
        <w:rPr>
          <w:spacing w:val="38"/>
        </w:rPr>
        <w:t> </w:t>
      </w:r>
      <w:r>
        <w:rPr/>
        <w:t>económico</w:t>
      </w:r>
    </w:p>
    <w:p>
      <w:pPr>
        <w:pStyle w:val="BodyText"/>
        <w:spacing w:line="282" w:lineRule="exact"/>
        <w:ind w:left="264"/>
        <w:jc w:val="both"/>
        <w:rPr>
          <w:sz w:val="16"/>
        </w:rPr>
      </w:pPr>
      <w:r>
        <w:rPr/>
        <w:t>abierto con uno político protegido, al menos por un tiempo”.</w:t>
      </w:r>
      <w:r>
        <w:rPr>
          <w:position w:val="11"/>
          <w:sz w:val="16"/>
        </w:rPr>
        <w:t>79</w:t>
      </w:r>
    </w:p>
    <w:p>
      <w:pPr>
        <w:pStyle w:val="BodyText"/>
        <w:spacing w:line="360" w:lineRule="auto" w:before="136"/>
        <w:ind w:left="264" w:right="217" w:firstLine="271"/>
        <w:jc w:val="both"/>
      </w:pPr>
      <w:r>
        <w:rPr/>
        <w:pict>
          <v:line style="position:absolute;mso-position-horizontal-relative:page;mso-position-vertical-relative:paragraph;z-index:3016;mso-wrap-distance-left:0;mso-wrap-distance-right:0" from="99.224998pt,115.975861pt" to="243.274998pt,115.975861pt" stroked="true" strokeweight=".599980pt" strokecolor="#000000">
            <w10:wrap type="topAndBottom"/>
          </v:line>
        </w:pict>
      </w:r>
      <w:r>
        <w:rPr/>
        <w:t>Además durante la administración de Miguel De La Madrid Hurtado el número de paraestatales se redujo de 1155 a 413. Ante la severa crisis económica </w:t>
      </w:r>
      <w:r>
        <w:rPr>
          <w:spacing w:val="2"/>
        </w:rPr>
        <w:t>(que </w:t>
      </w:r>
      <w:r>
        <w:rPr/>
        <w:t>alcanzó el 3,100% de devaluación del peso) se establecieron los Pactos de Crecimiento Económico con los diversos sectores sociales, mediante los cuales el gobierno  subsidiaba  parte  de  los   precios  de  los  productos  básicos  y       </w:t>
      </w:r>
      <w:r>
        <w:rPr>
          <w:spacing w:val="22"/>
        </w:rPr>
        <w:t> </w:t>
      </w:r>
      <w:r>
        <w:rPr/>
        <w:t>los</w:t>
      </w:r>
    </w:p>
    <w:p>
      <w:pPr>
        <w:spacing w:before="46"/>
        <w:ind w:left="264" w:right="220" w:firstLine="0"/>
        <w:jc w:val="both"/>
        <w:rPr>
          <w:rFonts w:ascii="Calibri" w:hAnsi="Calibri"/>
          <w:sz w:val="18"/>
        </w:rPr>
      </w:pPr>
      <w:r>
        <w:rPr>
          <w:rFonts w:ascii="Calibri" w:hAnsi="Calibri"/>
          <w:position w:val="9"/>
          <w:sz w:val="12"/>
        </w:rPr>
        <w:t>78 </w:t>
      </w:r>
      <w:r>
        <w:rPr>
          <w:rFonts w:ascii="Calibri" w:hAnsi="Calibri"/>
          <w:sz w:val="18"/>
        </w:rPr>
        <w:t>“Los orígenes de esta empresa se remontan a 1983 cuando se creó la empresa Televisión de la República Mexicana (TRM) durante el gobierno de Miguel de la Madrid, quien un año antes (1982) decide anexar la recién disuelta Televisión Rural Mexicana y los canales 13 (que venía funcionando desde 1968) y 22 en la Ciudad de México, además de otras  redes estatales de televisión al recién formado Instituto Mexicano de la Televisión. En 1983, también se creó el Instituto Mexicano de la Radio (IMER) y el Instituto Mexicano de Cinematografía</w:t>
      </w:r>
      <w:r>
        <w:rPr>
          <w:rFonts w:ascii="Calibri" w:hAnsi="Calibri"/>
          <w:spacing w:val="-23"/>
          <w:sz w:val="18"/>
        </w:rPr>
        <w:t> </w:t>
      </w:r>
      <w:r>
        <w:rPr>
          <w:rFonts w:ascii="Calibri" w:hAnsi="Calibri"/>
          <w:sz w:val="18"/>
        </w:rPr>
        <w:t>(IMCINE).</w:t>
      </w:r>
    </w:p>
    <w:p>
      <w:pPr>
        <w:spacing w:before="0"/>
        <w:ind w:left="264" w:right="211" w:firstLine="119"/>
        <w:jc w:val="both"/>
        <w:rPr>
          <w:rFonts w:ascii="Calibri" w:hAnsi="Calibri"/>
          <w:sz w:val="18"/>
        </w:rPr>
      </w:pPr>
      <w:r>
        <w:rPr>
          <w:rFonts w:ascii="Calibri" w:hAnsi="Calibri"/>
          <w:sz w:val="18"/>
        </w:rPr>
        <w:t>En 1985, el Instituto cambia su nombre a Imevisión, para su identificación con fines comerciales y financieros, y el 15 de mayo de ese mismo año sale al aire el Canal 7 de la Ciudad de México; la creación de este canal obligó a mover, por cuestiones técnicas, el canal 8 de Televisa convirtiéndolo en canal 9. En ese año Imevisión empieza a operar las redes nacionales de los canales 7 y 13, el 22 del Distrito Federal, y comercialmente, el 11 del Instituto Politécnico Nacional.” WIKIPEDIA, “Historia de IMEVISIÓN”, [en línea] consulta 12/09/2012, disponible en: </w:t>
      </w:r>
      <w:hyperlink r:id="rId37">
        <w:r>
          <w:rPr>
            <w:rFonts w:ascii="Calibri" w:hAnsi="Calibri"/>
            <w:color w:val="0000FF"/>
            <w:sz w:val="18"/>
            <w:u w:val="single" w:color="0000FF"/>
          </w:rPr>
          <w:t>http://es.wikipedia.org/wiki/Imevisi%C3%B3n</w:t>
        </w:r>
        <w:r>
          <w:rPr>
            <w:rFonts w:ascii="Calibri" w:hAnsi="Calibri"/>
            <w:sz w:val="18"/>
          </w:rPr>
          <w:t>.</w:t>
        </w:r>
      </w:hyperlink>
    </w:p>
    <w:p>
      <w:pPr>
        <w:spacing w:line="220" w:lineRule="exact" w:before="0"/>
        <w:ind w:left="264" w:right="0" w:firstLine="0"/>
        <w:jc w:val="both"/>
        <w:rPr>
          <w:rFonts w:ascii="Calibri" w:hAnsi="Calibri"/>
          <w:sz w:val="18"/>
        </w:rPr>
      </w:pPr>
      <w:r>
        <w:rPr>
          <w:rFonts w:ascii="Calibri" w:hAnsi="Calibri"/>
          <w:position w:val="9"/>
          <w:sz w:val="12"/>
        </w:rPr>
        <w:t>79  </w:t>
      </w:r>
      <w:r>
        <w:rPr>
          <w:rFonts w:ascii="Calibri" w:hAnsi="Calibri"/>
          <w:sz w:val="18"/>
        </w:rPr>
        <w:t>EVELYN  STEVENS:  </w:t>
      </w:r>
      <w:r>
        <w:rPr>
          <w:rFonts w:ascii="Calibri" w:hAnsi="Calibri"/>
          <w:i/>
          <w:sz w:val="18"/>
        </w:rPr>
        <w:t>Protest  and Response  in  México,  </w:t>
      </w:r>
      <w:r>
        <w:rPr>
          <w:rFonts w:ascii="Calibri" w:hAnsi="Calibri"/>
          <w:sz w:val="18"/>
        </w:rPr>
        <w:t>Cambridge, Mass., The M1T  Press, 1974.  Citado  por    MEYER,</w:t>
      </w:r>
    </w:p>
    <w:p>
      <w:pPr>
        <w:spacing w:before="0"/>
        <w:ind w:left="264" w:right="0" w:firstLine="0"/>
        <w:jc w:val="both"/>
        <w:rPr>
          <w:rFonts w:ascii="Calibri" w:hAnsi="Calibri"/>
          <w:sz w:val="18"/>
        </w:rPr>
      </w:pPr>
      <w:r>
        <w:rPr>
          <w:rFonts w:ascii="Calibri" w:hAnsi="Calibri"/>
          <w:sz w:val="18"/>
        </w:rPr>
        <w:t>Lorenzo, </w:t>
      </w:r>
      <w:r>
        <w:rPr>
          <w:rFonts w:ascii="Calibri" w:hAnsi="Calibri"/>
          <w:i/>
          <w:sz w:val="18"/>
        </w:rPr>
        <w:t>Óp. Cit</w:t>
      </w:r>
      <w:r>
        <w:rPr>
          <w:rFonts w:ascii="Calibri" w:hAnsi="Calibri"/>
          <w:sz w:val="18"/>
        </w:rPr>
        <w:t>.</w:t>
      </w:r>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308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20"/>
        <w:jc w:val="both"/>
      </w:pPr>
      <w:r>
        <w:rPr/>
        <w:t>productores/distribuidores se comprometían a no aumentarlos. Uno de los objetivos del plan nacional de gobierno era establecer las bases para una mayor presencia de los estados en la vida</w:t>
      </w:r>
      <w:r>
        <w:rPr>
          <w:spacing w:val="-24"/>
        </w:rPr>
        <w:t> </w:t>
      </w:r>
      <w:r>
        <w:rPr/>
        <w:t>nacional.</w:t>
      </w:r>
    </w:p>
    <w:p>
      <w:pPr>
        <w:pStyle w:val="BodyText"/>
        <w:spacing w:before="1"/>
        <w:rPr>
          <w:sz w:val="34"/>
        </w:rPr>
      </w:pPr>
    </w:p>
    <w:p>
      <w:pPr>
        <w:spacing w:line="235" w:lineRule="auto" w:before="0"/>
        <w:ind w:left="1365" w:right="113" w:firstLine="0"/>
        <w:jc w:val="both"/>
        <w:rPr>
          <w:sz w:val="14"/>
        </w:rPr>
      </w:pPr>
      <w:r>
        <w:rPr>
          <w:sz w:val="22"/>
        </w:rPr>
        <w:t>“[...] uno de los principios del PND</w:t>
      </w:r>
      <w:r>
        <w:rPr>
          <w:position w:val="10"/>
          <w:sz w:val="14"/>
        </w:rPr>
        <w:t>80 </w:t>
      </w:r>
      <w:r>
        <w:rPr>
          <w:sz w:val="22"/>
        </w:rPr>
        <w:t>fue la denominada </w:t>
      </w:r>
      <w:r>
        <w:rPr>
          <w:i/>
          <w:sz w:val="22"/>
        </w:rPr>
        <w:t>racionalidad funcional </w:t>
      </w:r>
      <w:r>
        <w:rPr>
          <w:sz w:val="22"/>
        </w:rPr>
        <w:t>que, entre otras cosas, buscaba promover la descentralización de la vida nacional y ser un componente importante de diversos proyectos modernizadores. Pretendía también servir como un nuevo instrumento de asignación y distribución de recursos en el corto y mediano plazos (Poder Ejecutivo Federal, 1983).</w:t>
      </w:r>
      <w:r>
        <w:rPr>
          <w:position w:val="10"/>
          <w:sz w:val="14"/>
        </w:rPr>
        <w:t>81</w:t>
      </w:r>
    </w:p>
    <w:p>
      <w:pPr>
        <w:pStyle w:val="BodyText"/>
        <w:spacing w:before="3"/>
        <w:rPr>
          <w:sz w:val="36"/>
        </w:rPr>
      </w:pPr>
    </w:p>
    <w:p>
      <w:pPr>
        <w:pStyle w:val="BodyText"/>
        <w:spacing w:line="350" w:lineRule="auto"/>
        <w:ind w:left="684" w:right="114" w:firstLine="404"/>
        <w:jc w:val="both"/>
      </w:pPr>
      <w:r>
        <w:rPr/>
        <w:t>En enero de 1986, después de aproximadamente tres años de negociaciones, México ingresó al GATT (General Agreement on Tariffs and Trade)</w:t>
      </w:r>
      <w:r>
        <w:rPr>
          <w:position w:val="11"/>
          <w:sz w:val="16"/>
        </w:rPr>
        <w:t>82 </w:t>
      </w:r>
      <w:r>
        <w:rPr/>
        <w:t>lo que se convirtió en uno de los puntos importantes de esta administración y el fortalecimiento del proceso neoliberal.  Asimismo  se renegoció la deuda    externa</w:t>
      </w:r>
    </w:p>
    <w:p>
      <w:pPr>
        <w:pStyle w:val="BodyText"/>
        <w:spacing w:line="360" w:lineRule="auto" w:before="17"/>
        <w:ind w:left="684" w:right="121"/>
        <w:jc w:val="both"/>
      </w:pPr>
      <w:r>
        <w:rPr/>
        <w:t>aplicando un plan de austeridad en el gasto. Con la finalidad de iniciar la renovación moral de la sociedad se promovió la campaña anticorrupción en los cargos públicos, la cual permitió detectar algunos funcionarios que habían incurrido en serios problemas de corrupción durante el gobierno de José López Portillo.</w:t>
      </w:r>
    </w:p>
    <w:p>
      <w:pPr>
        <w:pStyle w:val="BodyText"/>
        <w:spacing w:line="360" w:lineRule="auto" w:before="2"/>
        <w:ind w:left="684" w:right="120" w:firstLine="271"/>
        <w:jc w:val="both"/>
      </w:pPr>
      <w:r>
        <w:rPr/>
        <w:t>El fin de los 70s se caracteriza por la caída en los precios del petróleo y otras materias primas, junto con el alza en las tasas de interés de la deuda externa; acciones que llevaron a países como México a una aguda crisis económica durante los primeros años de la década siguiente. </w:t>
      </w:r>
      <w:r>
        <w:rPr>
          <w:spacing w:val="4"/>
        </w:rPr>
        <w:t>En </w:t>
      </w:r>
      <w:r>
        <w:rPr/>
        <w:t>este caso México tenía la segunda deuda externa más grande: su deuda llegaba a </w:t>
      </w:r>
      <w:r>
        <w:rPr>
          <w:spacing w:val="-2"/>
        </w:rPr>
        <w:t>más </w:t>
      </w:r>
      <w:r>
        <w:rPr/>
        <w:t>de 100.000 millones de dólares en</w:t>
      </w:r>
      <w:r>
        <w:rPr>
          <w:spacing w:val="-12"/>
        </w:rPr>
        <w:t> </w:t>
      </w:r>
      <w:r>
        <w:rPr/>
        <w:t>1988.</w:t>
      </w:r>
    </w:p>
    <w:p>
      <w:pPr>
        <w:pStyle w:val="BodyText"/>
        <w:spacing w:line="360" w:lineRule="auto" w:before="2"/>
        <w:ind w:left="684" w:right="115" w:firstLine="271"/>
        <w:jc w:val="both"/>
      </w:pPr>
      <w:r>
        <w:rPr/>
        <w:pict>
          <v:line style="position:absolute;mso-position-horizontal-relative:page;mso-position-vertical-relative:paragraph;z-index:3064;mso-wrap-distance-left:0;mso-wrap-distance-right:0" from="99.224998pt,128.885849pt" to="243.274998pt,128.885849pt" stroked="true" strokeweight=".60004pt" strokecolor="#000000">
            <w10:wrap type="topAndBottom"/>
          </v:line>
        </w:pict>
      </w:r>
      <w:r>
        <w:rPr/>
        <w:t>Para dar solución a este problema, y para contener la inflación y el estancamiento, la administración de Miguel de la Madrid Hurtado y la de Carlos Salinas de Gortari promovieron una economía moderada, para gradualmente abrir las puertas al mercado y al capital internacional atendiendo las sugerencias del FMI. Esta medida repercutió en la sociedad mexicana causando una prolongada depresión y una reducción drástica del nivel general de vida, sobre todo el de   las</w:t>
      </w:r>
    </w:p>
    <w:p>
      <w:pPr>
        <w:spacing w:line="236" w:lineRule="exact" w:before="46"/>
        <w:ind w:left="684" w:right="114" w:firstLine="0"/>
        <w:jc w:val="left"/>
        <w:rPr>
          <w:rFonts w:ascii="Calibri"/>
          <w:sz w:val="18"/>
        </w:rPr>
      </w:pPr>
      <w:r>
        <w:rPr>
          <w:rFonts w:ascii="Calibri"/>
          <w:position w:val="9"/>
          <w:sz w:val="12"/>
        </w:rPr>
        <w:t>80 </w:t>
      </w:r>
      <w:r>
        <w:rPr>
          <w:rFonts w:ascii="Calibri"/>
          <w:sz w:val="18"/>
        </w:rPr>
        <w:t>Pacto Nacional de Desarrollo.</w:t>
      </w:r>
    </w:p>
    <w:p>
      <w:pPr>
        <w:spacing w:line="220" w:lineRule="exact" w:before="12"/>
        <w:ind w:left="684" w:right="114" w:firstLine="0"/>
        <w:jc w:val="left"/>
        <w:rPr>
          <w:rFonts w:ascii="Calibri" w:hAnsi="Calibri"/>
          <w:sz w:val="18"/>
        </w:rPr>
      </w:pPr>
      <w:r>
        <w:rPr>
          <w:rFonts w:ascii="Calibri" w:hAnsi="Calibri"/>
          <w:position w:val="9"/>
          <w:sz w:val="12"/>
        </w:rPr>
        <w:t>81</w:t>
      </w:r>
      <w:r>
        <w:rPr>
          <w:rFonts w:ascii="Calibri" w:hAnsi="Calibri"/>
          <w:sz w:val="18"/>
        </w:rPr>
        <w:t>ALCÁNTARA, Armando, “Políticas Educativas y Neoliberalismo en México: 1982-2006</w:t>
      </w:r>
      <w:r>
        <w:rPr>
          <w:rFonts w:ascii="Calibri" w:hAnsi="Calibri"/>
          <w:i/>
          <w:sz w:val="18"/>
        </w:rPr>
        <w:t>”, </w:t>
      </w:r>
      <w:r>
        <w:rPr>
          <w:rFonts w:ascii="Calibri" w:hAnsi="Calibri"/>
          <w:sz w:val="18"/>
        </w:rPr>
        <w:t>[en línea] consulta el 23/04/2011,  </w:t>
      </w:r>
      <w:hyperlink r:id="rId38">
        <w:r>
          <w:rPr>
            <w:rFonts w:ascii="Calibri" w:hAnsi="Calibri"/>
            <w:color w:val="0000FF"/>
            <w:sz w:val="18"/>
            <w:u w:val="single" w:color="0000FF"/>
          </w:rPr>
          <w:t>http://www.rieoei.org/rie48a07.pdf </w:t>
        </w:r>
      </w:hyperlink>
      <w:r>
        <w:rPr>
          <w:rFonts w:ascii="Calibri" w:hAnsi="Calibri"/>
          <w:sz w:val="18"/>
        </w:rPr>
        <w:t>.</w:t>
      </w:r>
    </w:p>
    <w:p>
      <w:pPr>
        <w:spacing w:line="224" w:lineRule="exact" w:before="0"/>
        <w:ind w:left="684" w:right="114" w:firstLine="0"/>
        <w:jc w:val="left"/>
        <w:rPr>
          <w:rFonts w:ascii="Calibri" w:hAnsi="Calibri"/>
          <w:sz w:val="18"/>
        </w:rPr>
      </w:pPr>
      <w:r>
        <w:rPr>
          <w:rFonts w:ascii="Calibri" w:hAnsi="Calibri"/>
          <w:position w:val="9"/>
          <w:sz w:val="12"/>
        </w:rPr>
        <w:t>82 </w:t>
      </w:r>
      <w:r>
        <w:rPr>
          <w:rFonts w:ascii="Calibri" w:hAnsi="Calibri"/>
          <w:sz w:val="18"/>
        </w:rPr>
        <w:t>Acuerdo General sobre Aranceles y Comercio, hoy  Organización Mundial de Comercio ( OMC ).</w:t>
      </w:r>
    </w:p>
    <w:p>
      <w:pPr>
        <w:spacing w:after="0" w:line="224"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313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pPr>
      <w:r>
        <w:rPr/>
        <w:t>clases populares. Carlos Pereyra, en relación a la situación del capitalismo internacional que somete a las naciones bajo su dependencia, comenta:</w:t>
      </w:r>
    </w:p>
    <w:p>
      <w:pPr>
        <w:pStyle w:val="BodyText"/>
        <w:rPr>
          <w:sz w:val="34"/>
        </w:rPr>
      </w:pPr>
    </w:p>
    <w:p>
      <w:pPr>
        <w:spacing w:line="235" w:lineRule="auto" w:before="1"/>
        <w:ind w:left="973" w:right="212" w:firstLine="0"/>
        <w:jc w:val="both"/>
        <w:rPr>
          <w:sz w:val="14"/>
        </w:rPr>
      </w:pPr>
      <w:r>
        <w:rPr>
          <w:sz w:val="22"/>
        </w:rPr>
        <w:t>Con el grado de integración alcanzado por los monopolios trasnacionales, la burguesía local y el sector público, más el nivel de diferenciación y contraposición que ya tienen los intereses específicos de las clases sociales en México, quedó anulada toda posibilidad de un verdadero desarrollo nacional en el marco de las relaciones capitalistas de producción.</w:t>
      </w:r>
      <w:r>
        <w:rPr>
          <w:position w:val="10"/>
          <w:sz w:val="14"/>
        </w:rPr>
        <w:t>83</w:t>
      </w:r>
    </w:p>
    <w:p>
      <w:pPr>
        <w:pStyle w:val="BodyText"/>
        <w:spacing w:before="1"/>
        <w:rPr>
          <w:sz w:val="33"/>
        </w:rPr>
      </w:pPr>
    </w:p>
    <w:p>
      <w:pPr>
        <w:pStyle w:val="BodyText"/>
        <w:spacing w:line="360" w:lineRule="auto"/>
        <w:ind w:left="264" w:right="215" w:firstLine="472"/>
        <w:jc w:val="both"/>
      </w:pPr>
      <w:r>
        <w:rPr/>
        <w:t>En materia de educación este gobierno se fundamentó en el Plan Nacional de Desarrollo (PND), cuyo programa sectorial denominado Programa Nacional de Educación, Cultura, Recreación y Deporte 1983-1988, consideraba que las causas del rezago educativo en México eran: lo precario de los servicios educativos en zonas deprimidas, la marginalidad económica y social, el desuso de la lectura y la escritura y la insuficiencia, en épocas pasadas, de los servicios educativos, particularmente los de nivel primario. Derivado de esto se establecieron para el sector educativo tres propuestas básicas: a) promover el desarrollo integral del individuo y de la sociedad mexicana, b) ampliar el acceso de todos los mexicanos a las oportunidades educativas, culturales, deportivas y de recreación </w:t>
      </w:r>
      <w:r>
        <w:rPr>
          <w:spacing w:val="-3"/>
        </w:rPr>
        <w:t>y, </w:t>
      </w:r>
      <w:r>
        <w:rPr/>
        <w:t>c) mejorar la prestación de los servicios en estas</w:t>
      </w:r>
      <w:r>
        <w:rPr>
          <w:spacing w:val="-21"/>
        </w:rPr>
        <w:t> </w:t>
      </w:r>
      <w:r>
        <w:rPr/>
        <w:t>áreas.</w:t>
      </w:r>
    </w:p>
    <w:p>
      <w:pPr>
        <w:pStyle w:val="BodyText"/>
        <w:spacing w:line="360" w:lineRule="auto" w:before="2"/>
        <w:ind w:left="264" w:right="216" w:firstLine="271"/>
        <w:jc w:val="both"/>
      </w:pPr>
      <w:r>
        <w:rPr/>
        <w:t>Para el período comprendido de 1988-1994, Carlos Salinas de Gortari, candidato por el Partido Revolucionario Institucional (PRI) asume la presidencia de la República. Su actividad se patentiza en algunas acciones realizadas por su gobierno como son: el establecimiento del Programa Solidaridad en 1988, que consistió en: apoyo para las clases populares; trabajo para disminuir la deuda externa; reorganización de la economía interna para la disminución de la deuda; promoción de la reducción de tres ceros a la moneda y la disminución de la Tasa del IVA de un 15% a un 10%. Asimismo estableció las bases para reanudar las relaciones Estado-Iglesia. En materia de economía promovió la re-privatización de la Banca y puso a la venta las empresas paraestatales, justificado en</w:t>
      </w:r>
      <w:r>
        <w:rPr>
          <w:spacing w:val="-38"/>
        </w:rPr>
        <w:t> </w:t>
      </w:r>
      <w:r>
        <w:rPr/>
        <w:t>que:</w:t>
      </w:r>
    </w:p>
    <w:p>
      <w:pPr>
        <w:pStyle w:val="BodyText"/>
      </w:pPr>
    </w:p>
    <w:p>
      <w:pPr>
        <w:spacing w:before="141"/>
        <w:ind w:left="973" w:right="219" w:firstLine="0"/>
        <w:jc w:val="both"/>
        <w:rPr>
          <w:sz w:val="22"/>
        </w:rPr>
      </w:pPr>
      <w:r>
        <w:rPr>
          <w:sz w:val="22"/>
        </w:rPr>
        <w:t>Las empresas del Estado operaban con un déficit y sobrevivían del erario público o de los recursos petroleros cundo éstas debían de subsistir por si mismas y  apoyar</w:t>
      </w:r>
    </w:p>
    <w:p>
      <w:pPr>
        <w:pStyle w:val="BodyText"/>
        <w:spacing w:before="5"/>
        <w:rPr>
          <w:sz w:val="15"/>
        </w:rPr>
      </w:pPr>
      <w:r>
        <w:rPr/>
        <w:pict>
          <v:line style="position:absolute;mso-position-horizontal-relative:page;mso-position-vertical-relative:paragraph;z-index:3112;mso-wrap-distance-left:0;mso-wrap-distance-right:0" from="99.224998pt,11.168922pt" to="243.274998pt,11.168922pt" stroked="true" strokeweight=".60004pt" strokecolor="#000000">
            <w10:wrap type="topAndBottom"/>
          </v:line>
        </w:pict>
      </w:r>
    </w:p>
    <w:p>
      <w:pPr>
        <w:spacing w:before="46"/>
        <w:ind w:left="264" w:right="0" w:firstLine="0"/>
        <w:jc w:val="left"/>
        <w:rPr>
          <w:rFonts w:ascii="Calibri" w:hAnsi="Calibri"/>
          <w:sz w:val="18"/>
        </w:rPr>
      </w:pPr>
      <w:r>
        <w:rPr>
          <w:rFonts w:ascii="Calibri" w:hAnsi="Calibri"/>
          <w:position w:val="9"/>
          <w:sz w:val="12"/>
        </w:rPr>
        <w:t>83 </w:t>
      </w:r>
      <w:r>
        <w:rPr>
          <w:rFonts w:ascii="Calibri" w:hAnsi="Calibri"/>
          <w:sz w:val="18"/>
        </w:rPr>
        <w:t>GONZÁLEZ Casanova, Pablo, Florescano, Enrique, (Coordinadores)</w:t>
      </w:r>
      <w:r>
        <w:rPr>
          <w:rFonts w:ascii="Calibri" w:hAnsi="Calibri"/>
          <w:i/>
          <w:sz w:val="18"/>
        </w:rPr>
        <w:t>, Óp. Cit. </w:t>
      </w:r>
      <w:r>
        <w:rPr>
          <w:rFonts w:ascii="Calibri" w:hAnsi="Calibri"/>
          <w:sz w:val="18"/>
        </w:rPr>
        <w:t>p</w:t>
      </w:r>
      <w:r>
        <w:rPr>
          <w:rFonts w:ascii="Calibri" w:hAnsi="Calibri"/>
          <w:i/>
          <w:sz w:val="18"/>
        </w:rPr>
        <w:t>. </w:t>
      </w:r>
      <w:r>
        <w:rPr>
          <w:rFonts w:ascii="Calibri" w:hAnsi="Calibri"/>
          <w:sz w:val="18"/>
        </w:rPr>
        <w:t>303.</w:t>
      </w:r>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318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35" w:lineRule="auto" w:before="76"/>
        <w:ind w:left="1393" w:right="113" w:firstLine="0"/>
        <w:jc w:val="both"/>
        <w:rPr>
          <w:sz w:val="14"/>
        </w:rPr>
      </w:pPr>
      <w:r>
        <w:rPr>
          <w:sz w:val="22"/>
        </w:rPr>
        <w:t>en los programas de desarrollo social, dada la situación de dichas empresas estatales, Salinas emprende la desincorporación de las empresas públicas para lograr un impacto que benefició en la reducción de la deuda interna heredada por varios sexenios en un monto de 14, 500 millones de dólares y reduciendo también las transferencias del PIB de un 6 % en 1987 a un 2 % en 1991, así como evitar la inyección de recursos a empresas que ya no eran viables para el Estado”.</w:t>
      </w:r>
      <w:r>
        <w:rPr>
          <w:position w:val="10"/>
          <w:sz w:val="14"/>
        </w:rPr>
        <w:t>84</w:t>
      </w:r>
    </w:p>
    <w:p>
      <w:pPr>
        <w:pStyle w:val="BodyText"/>
        <w:spacing w:before="3"/>
        <w:rPr>
          <w:sz w:val="36"/>
        </w:rPr>
      </w:pPr>
    </w:p>
    <w:p>
      <w:pPr>
        <w:pStyle w:val="BodyText"/>
        <w:spacing w:line="360" w:lineRule="auto"/>
        <w:ind w:left="684" w:right="113" w:firstLine="336"/>
        <w:jc w:val="both"/>
      </w:pPr>
      <w:r>
        <w:rPr/>
        <w:t>Otra de las medidas importantes para la transformación económica  del país, fue la propuesta hecha a mediados de 1990 al gobierno de los Estados Unidos para suscribir un Tratado de Libre Comercio entre ambos países (TLC). Con la perspectiva de la integración de la economía mexicana a la norteamericana y canadiense, planteado como un hecho casi indispensable; dada la nueva política de apertura de las fronteras a la inversión y al comercio internacional, pues el mercado más importante para México era el de los Estados Unidos.</w:t>
      </w:r>
    </w:p>
    <w:p>
      <w:pPr>
        <w:pStyle w:val="BodyText"/>
        <w:spacing w:line="278" w:lineRule="exact"/>
        <w:ind w:left="684" w:firstLine="336"/>
        <w:jc w:val="both"/>
      </w:pPr>
      <w:r>
        <w:rPr/>
        <w:t>En relación a las nuevas tecnologías de la información,</w:t>
      </w:r>
      <w:r>
        <w:rPr>
          <w:position w:val="11"/>
          <w:sz w:val="16"/>
        </w:rPr>
        <w:t>85  </w:t>
      </w:r>
      <w:r>
        <w:rPr/>
        <w:t>durante este  sexenio</w:t>
      </w:r>
    </w:p>
    <w:p>
      <w:pPr>
        <w:pStyle w:val="BodyText"/>
        <w:spacing w:line="345" w:lineRule="auto" w:before="140"/>
        <w:ind w:left="684" w:right="116"/>
        <w:jc w:val="both"/>
      </w:pPr>
      <w:r>
        <w:rPr/>
        <w:t>se dio apertura para que se insertaran en la vida cultural de México. Empezando por la venta de la paraestatal Telmex, que se subastó en 1990, argumentando su bajo rendimiento y costos de operación.</w:t>
      </w:r>
      <w:r>
        <w:rPr>
          <w:position w:val="11"/>
          <w:sz w:val="16"/>
        </w:rPr>
        <w:t>86 </w:t>
      </w:r>
      <w:r>
        <w:rPr/>
        <w:t>Evento que permitió la modernización y actualización en materia de telecomunicaciones y en el avance de la tecnología del país. Además de la venta de IMEVISIÓN, </w:t>
      </w:r>
      <w:r>
        <w:rPr>
          <w:position w:val="11"/>
          <w:sz w:val="16"/>
        </w:rPr>
        <w:t>87 </w:t>
      </w:r>
      <w:r>
        <w:rPr/>
        <w:t>que se constituyó en </w:t>
      </w:r>
      <w:r>
        <w:rPr>
          <w:spacing w:val="2"/>
        </w:rPr>
        <w:t>TV</w:t>
      </w:r>
      <w:r>
        <w:rPr>
          <w:spacing w:val="-15"/>
        </w:rPr>
        <w:t> </w:t>
      </w:r>
      <w:r>
        <w:rPr/>
        <w:t>Azteca.</w:t>
      </w:r>
    </w:p>
    <w:p>
      <w:pPr>
        <w:pStyle w:val="BodyText"/>
        <w:spacing w:line="360" w:lineRule="auto" w:before="2"/>
        <w:ind w:left="684" w:right="119" w:firstLine="336"/>
        <w:jc w:val="both"/>
      </w:pPr>
      <w:r>
        <w:rPr/>
        <w:pict>
          <v:line style="position:absolute;mso-position-horizontal-relative:page;mso-position-vertical-relative:paragraph;z-index:3160;mso-wrap-distance-left:0;mso-wrap-distance-right:0" from="99.224998pt,86.655884pt" to="243.274998pt,86.655884pt" stroked="true" strokeweight=".599980pt" strokecolor="#000000">
            <w10:wrap type="topAndBottom"/>
          </v:line>
        </w:pict>
      </w:r>
      <w:r>
        <w:rPr/>
        <w:t>No obstante el éxito aparente del gobierno de Carlos Salinas de Gortari se vió obscurecido por los sucesos políticos, que en el ocaso de su gobierno acontecieron, dejando en evidencia la ineficiencia del mismo, pues como comenta Alcántara:</w:t>
      </w:r>
    </w:p>
    <w:p>
      <w:pPr>
        <w:spacing w:before="46"/>
        <w:ind w:left="684" w:right="111" w:firstLine="0"/>
        <w:jc w:val="both"/>
        <w:rPr>
          <w:rFonts w:ascii="Calibri" w:hAnsi="Calibri"/>
          <w:sz w:val="18"/>
        </w:rPr>
      </w:pPr>
      <w:r>
        <w:rPr>
          <w:rFonts w:ascii="Calibri" w:hAnsi="Calibri"/>
          <w:position w:val="9"/>
          <w:sz w:val="12"/>
        </w:rPr>
        <w:t>84 </w:t>
      </w:r>
      <w:r>
        <w:rPr>
          <w:rFonts w:ascii="Calibri" w:hAnsi="Calibri"/>
          <w:sz w:val="18"/>
        </w:rPr>
        <w:t>BERNARDO, López Manuel, “La política económica de Carlos Salinas de Gortari de 1988 a 1994”, </w:t>
      </w:r>
      <w:r>
        <w:rPr>
          <w:rFonts w:ascii="Calibri" w:hAnsi="Calibri"/>
          <w:i/>
          <w:sz w:val="18"/>
        </w:rPr>
        <w:t>Monografías.com, </w:t>
      </w:r>
      <w:r>
        <w:rPr>
          <w:rFonts w:ascii="Calibri" w:hAnsi="Calibri"/>
          <w:sz w:val="18"/>
        </w:rPr>
        <w:t>[en línea] consulta 10/09/2012, disponible en: </w:t>
      </w:r>
      <w:hyperlink r:id="rId39">
        <w:r>
          <w:rPr>
            <w:rFonts w:ascii="Calibri" w:hAnsi="Calibri"/>
            <w:color w:val="0000FF"/>
            <w:sz w:val="18"/>
            <w:u w:val="single" w:color="0000FF"/>
          </w:rPr>
          <w:t>http://www.monografias.com/trabajos87/politica-economica-carlos-salinas-</w:t>
        </w:r>
      </w:hyperlink>
      <w:r>
        <w:rPr>
          <w:rFonts w:ascii="Calibri" w:hAnsi="Calibri"/>
          <w:color w:val="0000FF"/>
          <w:sz w:val="18"/>
          <w:u w:val="single" w:color="0000FF"/>
        </w:rPr>
        <w:t> </w:t>
      </w:r>
      <w:hyperlink r:id="rId39">
        <w:r>
          <w:rPr>
            <w:rFonts w:ascii="Calibri" w:hAnsi="Calibri"/>
            <w:color w:val="0000FF"/>
            <w:sz w:val="18"/>
            <w:u w:val="single" w:color="0000FF"/>
          </w:rPr>
          <w:t>gortari-1988-1994/politica-economica-carlos-salinas-gortari-1988-1994.shtml</w:t>
        </w:r>
        <w:r>
          <w:rPr>
            <w:rFonts w:ascii="Calibri" w:hAnsi="Calibri"/>
            <w:sz w:val="18"/>
          </w:rPr>
          <w:t>.</w:t>
        </w:r>
      </w:hyperlink>
    </w:p>
    <w:p>
      <w:pPr>
        <w:spacing w:line="218" w:lineRule="exact" w:before="0"/>
        <w:ind w:left="684" w:right="0" w:firstLine="0"/>
        <w:jc w:val="both"/>
        <w:rPr>
          <w:rFonts w:ascii="Calibri" w:hAnsi="Calibri"/>
          <w:sz w:val="18"/>
        </w:rPr>
      </w:pPr>
      <w:r>
        <w:rPr>
          <w:rFonts w:ascii="Calibri" w:hAnsi="Calibri"/>
          <w:position w:val="9"/>
          <w:sz w:val="12"/>
        </w:rPr>
        <w:t>85  </w:t>
      </w:r>
      <w:r>
        <w:rPr>
          <w:rFonts w:ascii="Calibri" w:hAnsi="Calibri"/>
          <w:sz w:val="18"/>
        </w:rPr>
        <w:t>Véase a  Gómez  Mont, Carmen, “Nuevas  Tecnologías de Información  en  México  (1980-1991)”,  [en  línea], consulta</w:t>
      </w:r>
    </w:p>
    <w:p>
      <w:pPr>
        <w:spacing w:before="0"/>
        <w:ind w:left="684" w:right="126" w:firstLine="0"/>
        <w:jc w:val="both"/>
        <w:rPr>
          <w:rFonts w:ascii="Calibri" w:hAnsi="Calibri"/>
          <w:sz w:val="18"/>
        </w:rPr>
      </w:pPr>
      <w:r>
        <w:rPr>
          <w:rFonts w:ascii="Calibri" w:hAnsi="Calibri"/>
          <w:sz w:val="18"/>
        </w:rPr>
        <w:t>18/09/2012, disponible en: ccdoc.iteso.mx/cat.aspx?cmn=download&amp;ID=1086&amp;N=1, quien afirma que: “Al analizar las NTI se hace referencia a redes: microondas, satélites, cables coaxiales y fibras ópticas; aparatos: teléfono, televisión y sus variantes: vía microondas, vía cable coaxial, vía fibra óptica y vía satélite; videocaseteras, videojuegos y la microcomputadora.”</w:t>
      </w:r>
    </w:p>
    <w:p>
      <w:pPr>
        <w:spacing w:line="220" w:lineRule="exact" w:before="0"/>
        <w:ind w:left="684" w:right="0" w:firstLine="0"/>
        <w:jc w:val="both"/>
        <w:rPr>
          <w:rFonts w:ascii="Calibri" w:hAnsi="Calibri"/>
          <w:sz w:val="18"/>
        </w:rPr>
      </w:pPr>
      <w:r>
        <w:rPr>
          <w:rFonts w:ascii="Calibri" w:hAnsi="Calibri"/>
          <w:position w:val="9"/>
          <w:sz w:val="12"/>
        </w:rPr>
        <w:t>86  </w:t>
      </w:r>
      <w:r>
        <w:rPr>
          <w:rFonts w:ascii="Calibri" w:hAnsi="Calibri"/>
          <w:sz w:val="18"/>
        </w:rPr>
        <w:t>“La  solución  que encontró  el gobierno  fue reprivatizar  el sector  a  fin  de que capitales  nacionales  y     extranjeros</w:t>
      </w:r>
    </w:p>
    <w:p>
      <w:pPr>
        <w:spacing w:before="0"/>
        <w:ind w:left="684" w:right="121" w:firstLine="0"/>
        <w:jc w:val="both"/>
        <w:rPr>
          <w:rFonts w:ascii="Calibri" w:hAnsi="Calibri"/>
          <w:i/>
          <w:sz w:val="18"/>
        </w:rPr>
      </w:pPr>
      <w:r>
        <w:rPr>
          <w:rFonts w:ascii="Calibri" w:hAnsi="Calibri"/>
          <w:sz w:val="18"/>
        </w:rPr>
        <w:t>inyectaran recursos a uno de los terrenos estratégicos de la economía mundial. En 1990 el gobierno decidió enajenar su participación accionaria en Télmex poniendo en venta el 20.4% de las acciones del capital social de la empresa. Este concurso fue ganado por el Grupo Carso encabezado por Carlos Slim con Southwestern Bell (de Estados Unidos) y France Telecomm (de Francia). Con este hecho se iniciaba la reprivatización de la compañía telefónica con una fuerte presencia de grupos internacionales, si se considera que parte de las acciones fue también a la Bolsa de Nueva York. Es importante subrayar que los trabajadores de la empresa adquirieron sólo el 4.4% de las acciones.”, Gómez Mont Carmen, </w:t>
      </w:r>
      <w:r>
        <w:rPr>
          <w:rFonts w:ascii="Calibri" w:hAnsi="Calibri"/>
          <w:i/>
          <w:sz w:val="18"/>
        </w:rPr>
        <w:t>Ibíd.</w:t>
      </w:r>
    </w:p>
    <w:p>
      <w:pPr>
        <w:spacing w:line="220" w:lineRule="exact" w:before="0"/>
        <w:ind w:left="684" w:right="0" w:firstLine="0"/>
        <w:jc w:val="both"/>
        <w:rPr>
          <w:rFonts w:ascii="Calibri" w:hAnsi="Calibri"/>
          <w:sz w:val="18"/>
        </w:rPr>
      </w:pPr>
      <w:r>
        <w:rPr>
          <w:rFonts w:ascii="Calibri" w:hAnsi="Calibri"/>
          <w:position w:val="9"/>
          <w:sz w:val="12"/>
        </w:rPr>
        <w:t>87  </w:t>
      </w:r>
      <w:r>
        <w:rPr>
          <w:rFonts w:ascii="Calibri" w:hAnsi="Calibri"/>
          <w:sz w:val="18"/>
        </w:rPr>
        <w:t>Durante el gobierno de Carlos Salinas de Gortari, en 1993 se desincorporó el llamado paquete de medios, en donde se</w:t>
      </w:r>
    </w:p>
    <w:p>
      <w:pPr>
        <w:spacing w:before="0"/>
        <w:ind w:left="684" w:right="126" w:firstLine="0"/>
        <w:jc w:val="both"/>
        <w:rPr>
          <w:rFonts w:ascii="Calibri" w:hAnsi="Calibri"/>
          <w:sz w:val="18"/>
        </w:rPr>
      </w:pPr>
      <w:r>
        <w:rPr>
          <w:rFonts w:ascii="Calibri" w:hAnsi="Calibri"/>
          <w:sz w:val="18"/>
        </w:rPr>
        <w:t>vendió la televisora IMEVISIÓN, que a la postre fue transformada en lo que hoy se conoce como TV Azteca, con los canales 7 y 13.</w:t>
      </w:r>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323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1"/>
        </w:rPr>
      </w:pPr>
    </w:p>
    <w:p>
      <w:pPr>
        <w:spacing w:line="237" w:lineRule="auto" w:before="75"/>
        <w:ind w:left="973" w:right="213" w:firstLine="0"/>
        <w:jc w:val="both"/>
        <w:rPr>
          <w:sz w:val="14"/>
        </w:rPr>
      </w:pPr>
      <w:r>
        <w:rPr>
          <w:sz w:val="22"/>
        </w:rPr>
        <w:t>En contraposición a estos intentos por integrar al país de manera plena al capitalismo global, a principios del último año de </w:t>
      </w:r>
      <w:r>
        <w:rPr>
          <w:spacing w:val="-3"/>
          <w:sz w:val="22"/>
        </w:rPr>
        <w:t>la </w:t>
      </w:r>
      <w:r>
        <w:rPr>
          <w:sz w:val="22"/>
        </w:rPr>
        <w:t>administración salinista surgió  a </w:t>
      </w:r>
      <w:r>
        <w:rPr>
          <w:spacing w:val="-3"/>
          <w:sz w:val="22"/>
        </w:rPr>
        <w:t>la </w:t>
      </w:r>
      <w:r>
        <w:rPr>
          <w:sz w:val="22"/>
        </w:rPr>
        <w:t>luz pública el Ejército Zapatista de Liberación Nacional (EZLN), enarbolando como banderas </w:t>
      </w:r>
      <w:r>
        <w:rPr>
          <w:spacing w:val="-3"/>
          <w:sz w:val="22"/>
        </w:rPr>
        <w:t>la </w:t>
      </w:r>
      <w:r>
        <w:rPr>
          <w:sz w:val="22"/>
        </w:rPr>
        <w:t>reivindicación y </w:t>
      </w:r>
      <w:r>
        <w:rPr>
          <w:spacing w:val="2"/>
          <w:sz w:val="22"/>
        </w:rPr>
        <w:t>el </w:t>
      </w:r>
      <w:r>
        <w:rPr>
          <w:sz w:val="22"/>
        </w:rPr>
        <w:t>reconocimiento de los pueblos indígenas. Pocos meses más tarde, en marzo de 1994, fue asesinado quien era el candidato oficial a </w:t>
      </w:r>
      <w:r>
        <w:rPr>
          <w:spacing w:val="-3"/>
          <w:sz w:val="22"/>
        </w:rPr>
        <w:t>la </w:t>
      </w:r>
      <w:r>
        <w:rPr>
          <w:sz w:val="22"/>
        </w:rPr>
        <w:t>presidencia de </w:t>
      </w:r>
      <w:r>
        <w:rPr>
          <w:spacing w:val="-3"/>
          <w:sz w:val="22"/>
        </w:rPr>
        <w:t>la </w:t>
      </w:r>
      <w:r>
        <w:rPr>
          <w:sz w:val="22"/>
        </w:rPr>
        <w:t>República, Luis Donaldo Colosio. El entonces coordinador de </w:t>
      </w:r>
      <w:r>
        <w:rPr>
          <w:spacing w:val="-3"/>
          <w:sz w:val="22"/>
        </w:rPr>
        <w:t>la </w:t>
      </w:r>
      <w:r>
        <w:rPr>
          <w:sz w:val="22"/>
        </w:rPr>
        <w:t>campaña y ex secretario de Educación Pública, Ernesto Zedillo, ocupó su lugar, triunfando en las elecciones celebradas el mismo</w:t>
      </w:r>
      <w:r>
        <w:rPr>
          <w:spacing w:val="-34"/>
          <w:sz w:val="22"/>
        </w:rPr>
        <w:t> </w:t>
      </w:r>
      <w:r>
        <w:rPr>
          <w:sz w:val="22"/>
        </w:rPr>
        <w:t>año.</w:t>
      </w:r>
      <w:r>
        <w:rPr>
          <w:position w:val="10"/>
          <w:sz w:val="14"/>
        </w:rPr>
        <w:t>88</w:t>
      </w:r>
    </w:p>
    <w:p>
      <w:pPr>
        <w:pStyle w:val="BodyText"/>
        <w:spacing w:before="2"/>
        <w:rPr>
          <w:sz w:val="36"/>
        </w:rPr>
      </w:pPr>
    </w:p>
    <w:p>
      <w:pPr>
        <w:pStyle w:val="BodyText"/>
        <w:spacing w:line="352" w:lineRule="auto"/>
        <w:ind w:left="264" w:right="218" w:firstLine="336"/>
        <w:jc w:val="both"/>
      </w:pPr>
      <w:r>
        <w:rPr/>
        <w:t>Aún cuando los voceros del Gobierno de Carlos Salinas de Gortari aseguraban que el país estaba a un paso del primer mundo, movimientos de protesta como el levantamiento del Ejército Zapatista, el Barzón en 1993 y otros que enarbolando demandas sociales y políticas exigían “fortalecer los derechos de los pueblos de indios”</w:t>
      </w:r>
      <w:r>
        <w:rPr>
          <w:position w:val="11"/>
          <w:sz w:val="16"/>
        </w:rPr>
        <w:t>89 </w:t>
      </w:r>
      <w:r>
        <w:rPr/>
        <w:t>demostraron el descontento social.</w:t>
      </w:r>
    </w:p>
    <w:p>
      <w:pPr>
        <w:pStyle w:val="BodyText"/>
        <w:spacing w:line="360" w:lineRule="auto"/>
        <w:ind w:left="264" w:right="213" w:firstLine="336"/>
        <w:jc w:val="both"/>
      </w:pPr>
      <w:r>
        <w:rPr/>
        <w:t>Ernesto Zedillo Ponce de León es nombrado Presidente de la República en uno de los momentos más conflictivos de la vida nacional. La crisis política derivada de un prolongado gobierno monopartidista y de los reclamos internacionales para la apertura económica y política, son los sucesos que de inicio tiene que enfrentar su gobierno. Además, la crisis financiera que se dibujaba en una disminución de la economía interna y una gran deuda externa, obligaron a su gobierno a tomar decisiones importantes de ajustes económicos como la libre flotación del peso frente al dólar que provocó el quiebre del mercado interno, la pérdida de miles de compañías y en consecuencia un gran desempleo. Acciones que impactaron a nivel internacional. México ante la situación económica internacional y con el auspicio del capital extranjero promueve abiertamente el desplazamiento del Estado benefactor y regulador. “La política económica atenta contra    el consenso</w:t>
      </w:r>
    </w:p>
    <w:p>
      <w:pPr>
        <w:pStyle w:val="BodyText"/>
        <w:spacing w:line="331" w:lineRule="auto" w:before="2"/>
        <w:ind w:left="264" w:right="210"/>
        <w:rPr>
          <w:sz w:val="16"/>
        </w:rPr>
      </w:pPr>
      <w:r>
        <w:rPr/>
        <w:t>del que todavía disfruta el Estado y lo obliga a reprimir los brotes de descontento en perjuicio directo de su legitimidad.”</w:t>
      </w:r>
      <w:r>
        <w:rPr>
          <w:position w:val="11"/>
          <w:sz w:val="16"/>
        </w:rPr>
        <w:t>90</w:t>
      </w:r>
    </w:p>
    <w:p>
      <w:pPr>
        <w:pStyle w:val="BodyText"/>
        <w:spacing w:line="360" w:lineRule="auto" w:before="20"/>
        <w:ind w:left="264" w:right="223" w:firstLine="336"/>
        <w:jc w:val="both"/>
      </w:pPr>
      <w:r>
        <w:rPr/>
        <w:t>En esta etapa de la vida nacional se elaboró un Programa de Desarrollo Educativo que consideraba la necesidad de dar a la educación su peso específico, como factor estratégico del desarrollo, teniendo como premisa ampliar en forma</w:t>
      </w:r>
    </w:p>
    <w:p>
      <w:pPr>
        <w:pStyle w:val="BodyText"/>
        <w:spacing w:before="11"/>
        <w:rPr>
          <w:sz w:val="14"/>
        </w:rPr>
      </w:pPr>
      <w:r>
        <w:rPr/>
        <w:pict>
          <v:line style="position:absolute;mso-position-horizontal-relative:page;mso-position-vertical-relative:paragraph;z-index:3208;mso-wrap-distance-left:0;mso-wrap-distance-right:0" from="99.224998pt,10.848917pt" to="243.274998pt,10.848917pt" stroked="true" strokeweight=".599980pt" strokecolor="#000000">
            <w10:wrap type="topAndBottom"/>
          </v:line>
        </w:pict>
      </w:r>
    </w:p>
    <w:p>
      <w:pPr>
        <w:spacing w:line="236" w:lineRule="exact" w:before="46"/>
        <w:ind w:left="264" w:right="0" w:firstLine="0"/>
        <w:jc w:val="left"/>
        <w:rPr>
          <w:rFonts w:ascii="Calibri" w:hAnsi="Calibri"/>
          <w:i/>
          <w:sz w:val="18"/>
        </w:rPr>
      </w:pPr>
      <w:r>
        <w:rPr>
          <w:rFonts w:ascii="Calibri" w:hAnsi="Calibri"/>
          <w:position w:val="9"/>
          <w:sz w:val="12"/>
        </w:rPr>
        <w:t>88 </w:t>
      </w:r>
      <w:r>
        <w:rPr>
          <w:rFonts w:ascii="Calibri" w:hAnsi="Calibri"/>
          <w:sz w:val="18"/>
        </w:rPr>
        <w:t>ALCÁNTARA, Armando, </w:t>
      </w:r>
      <w:r>
        <w:rPr>
          <w:rFonts w:ascii="Calibri" w:hAnsi="Calibri"/>
          <w:i/>
          <w:sz w:val="18"/>
        </w:rPr>
        <w:t>Óp. Cit.</w:t>
      </w:r>
    </w:p>
    <w:p>
      <w:pPr>
        <w:spacing w:line="221" w:lineRule="exact" w:before="0"/>
        <w:ind w:left="264" w:right="0" w:firstLine="0"/>
        <w:jc w:val="left"/>
        <w:rPr>
          <w:rFonts w:ascii="Calibri" w:hAnsi="Calibri"/>
          <w:sz w:val="18"/>
        </w:rPr>
      </w:pPr>
      <w:r>
        <w:rPr>
          <w:rFonts w:ascii="Calibri" w:hAnsi="Calibri"/>
          <w:position w:val="9"/>
          <w:sz w:val="12"/>
        </w:rPr>
        <w:t>89 </w:t>
      </w:r>
      <w:r>
        <w:rPr>
          <w:rFonts w:ascii="Calibri" w:hAnsi="Calibri"/>
          <w:sz w:val="18"/>
        </w:rPr>
        <w:t>ABOITES Aguilar, Luis, “El último tramo”, ESCALANTE, Gonzalbo, García Martínez, Bernardo, </w:t>
      </w:r>
      <w:r>
        <w:rPr>
          <w:rFonts w:ascii="Calibri" w:hAnsi="Calibri"/>
          <w:i/>
          <w:sz w:val="18"/>
        </w:rPr>
        <w:t>et. al</w:t>
      </w:r>
      <w:r>
        <w:rPr>
          <w:rFonts w:ascii="Calibri" w:hAnsi="Calibri"/>
          <w:sz w:val="18"/>
        </w:rPr>
        <w:t>.  </w:t>
      </w:r>
      <w:r>
        <w:rPr>
          <w:rFonts w:ascii="Calibri" w:hAnsi="Calibri"/>
          <w:i/>
          <w:sz w:val="18"/>
        </w:rPr>
        <w:t>Op. Cit</w:t>
      </w:r>
      <w:r>
        <w:rPr>
          <w:rFonts w:ascii="Calibri" w:hAnsi="Calibri"/>
          <w:sz w:val="18"/>
        </w:rPr>
        <w:t>. p.  262.</w:t>
      </w:r>
    </w:p>
    <w:p>
      <w:pPr>
        <w:spacing w:line="295" w:lineRule="exact" w:before="0"/>
        <w:ind w:left="264" w:right="0" w:firstLine="0"/>
        <w:jc w:val="left"/>
        <w:rPr>
          <w:rFonts w:ascii="Calibri" w:hAnsi="Calibri"/>
          <w:sz w:val="18"/>
        </w:rPr>
      </w:pPr>
      <w:r>
        <w:rPr>
          <w:rFonts w:ascii="Calibri" w:hAnsi="Calibri"/>
          <w:position w:val="11"/>
          <w:sz w:val="16"/>
        </w:rPr>
        <w:t>90 </w:t>
      </w:r>
      <w:r>
        <w:rPr>
          <w:rFonts w:ascii="Calibri" w:hAnsi="Calibri"/>
          <w:sz w:val="18"/>
        </w:rPr>
        <w:t>GONZÁLEZ Casanova, Pablo, Florescano, Enrique, (Coordinadores)</w:t>
      </w:r>
      <w:r>
        <w:rPr>
          <w:rFonts w:ascii="Calibri" w:hAnsi="Calibri"/>
          <w:i/>
          <w:sz w:val="18"/>
        </w:rPr>
        <w:t>, Op. Cit. </w:t>
      </w:r>
      <w:r>
        <w:rPr>
          <w:rFonts w:ascii="Calibri" w:hAnsi="Calibri"/>
          <w:sz w:val="18"/>
        </w:rPr>
        <w:t>p</w:t>
      </w:r>
      <w:r>
        <w:rPr>
          <w:rFonts w:ascii="Calibri" w:hAnsi="Calibri"/>
          <w:i/>
          <w:sz w:val="18"/>
        </w:rPr>
        <w:t>. </w:t>
      </w:r>
      <w:r>
        <w:rPr>
          <w:rFonts w:ascii="Calibri" w:hAnsi="Calibri"/>
          <w:sz w:val="18"/>
        </w:rPr>
        <w:t>302.</w:t>
      </w:r>
    </w:p>
    <w:p>
      <w:pPr>
        <w:spacing w:after="0" w:line="295"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328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7"/>
        <w:jc w:val="both"/>
      </w:pPr>
      <w:r>
        <w:rPr/>
        <w:t>creciente la cobertura de los servicios educativos para hacer extensivos los beneficios de la educación a todos los mexicanos, independientemente de su ubicación geográfica y condición económico-social, con la finalidad de aumentar la competitividad en materia de mano de obra calificada. Por otro lado:</w:t>
      </w:r>
    </w:p>
    <w:p>
      <w:pPr>
        <w:pStyle w:val="BodyText"/>
        <w:spacing w:before="9"/>
        <w:rPr>
          <w:sz w:val="33"/>
        </w:rPr>
      </w:pPr>
    </w:p>
    <w:p>
      <w:pPr>
        <w:spacing w:line="235" w:lineRule="auto" w:before="0"/>
        <w:ind w:left="1393" w:right="118" w:firstLine="0"/>
        <w:jc w:val="both"/>
        <w:rPr>
          <w:sz w:val="14"/>
        </w:rPr>
      </w:pPr>
      <w:r>
        <w:rPr>
          <w:sz w:val="22"/>
        </w:rPr>
        <w:t>Con Zedillo ocurrió la crisis de diciembre de 1994 (Costó al país más de 300 mil millones de pesos. Estiman economistas del PRI), la fuga de capitales, la devaluación del peso, el Fobaproa-IPAB, la quiebra masiva de pequeñas y medianas empresas, el aumento del desempleo y la carestía. También la reanudación de la guerra en el sureste mexicano, la militarización de zonas indígenas, el incumplimiento de los acuerdos de San Andrés, las matanzas de Aguas Blancas y El Charco, en Guerrero. La matanza de Acteal en Chiapas. </w:t>
      </w:r>
      <w:r>
        <w:rPr>
          <w:position w:val="10"/>
          <w:sz w:val="14"/>
        </w:rPr>
        <w:t>91</w:t>
      </w:r>
    </w:p>
    <w:p>
      <w:pPr>
        <w:pStyle w:val="BodyText"/>
        <w:spacing w:before="3"/>
        <w:rPr>
          <w:sz w:val="36"/>
        </w:rPr>
      </w:pPr>
    </w:p>
    <w:p>
      <w:pPr>
        <w:pStyle w:val="BodyText"/>
        <w:spacing w:line="360" w:lineRule="auto"/>
        <w:ind w:left="684" w:right="113" w:firstLine="336"/>
        <w:jc w:val="both"/>
      </w:pPr>
      <w:r>
        <w:rPr/>
        <w:t>Durante este sexenio, para dar solución a los problemas que surgieron  después de la devaluación de diciembre de 1994, llamada </w:t>
      </w:r>
      <w:r>
        <w:rPr>
          <w:i/>
        </w:rPr>
        <w:t>el error de diciembre,  </w:t>
      </w:r>
      <w:r>
        <w:rPr/>
        <w:t>se creó el FOBAPROA (Fondo Bancario de Protección al Ahorro) para proteger a la Banca Nacional contra los deudores. Se gestionaron préstamos ante los Estados Unidos que permitieron restablecer la economía interna, con el compromiso de aplicar las medidas sugeridas por el Fondo Monetario Internacional y bajo la condición de mejorar el sistema democrático. Ernesto Zedillo, obligado por las condiciones en que recibió apoyo del Fondo Monetario Internacional (FMI) tuvo que promover, ante el compromiso de desarrollo democrático del país, las elecciones de estado que favorecieran la alternancia, además de tomar las medidas necesarias para mejorar la economía interna. También le corresponde reconocer el triunfo electoral de un partido de oposición al suyo en los diferentes niveles de gobierno, y entregar la banda presidencial a un candidato de otro partido. Asimismo para solucionar la economía interna acudió a préstamos</w:t>
      </w:r>
      <w:r>
        <w:rPr>
          <w:spacing w:val="-18"/>
        </w:rPr>
        <w:t> </w:t>
      </w:r>
      <w:r>
        <w:rPr/>
        <w:t>internacionales.</w:t>
      </w:r>
    </w:p>
    <w:p>
      <w:pPr>
        <w:pStyle w:val="BodyText"/>
      </w:pPr>
    </w:p>
    <w:p>
      <w:pPr>
        <w:spacing w:line="240" w:lineRule="auto" w:before="140"/>
        <w:ind w:left="1365" w:right="118" w:firstLine="0"/>
        <w:jc w:val="both"/>
        <w:rPr>
          <w:sz w:val="22"/>
        </w:rPr>
      </w:pPr>
      <w:r>
        <w:rPr>
          <w:sz w:val="22"/>
        </w:rPr>
        <w:t>Por último, la Carta Intención que firmó el gobierno del presidente Ernesto Zedillo con las autoridades del FMI fue por 12 070 millones de Derechos Especiales de Giro (DEG), pero el monto del paquete de ayuda global negociado con el gobierno del presidente William Clinton fue por 47.9 mil millones de dólares. El crédito otorgado por el FMI al gobierno de México, se gestionó en la Carta del 26 de enero de 1995 enviada por las autoridades financieras mexicanas y se limita a pedir un</w:t>
      </w:r>
    </w:p>
    <w:p>
      <w:pPr>
        <w:pStyle w:val="BodyText"/>
        <w:spacing w:before="4"/>
        <w:rPr>
          <w:sz w:val="13"/>
        </w:rPr>
      </w:pPr>
      <w:r>
        <w:rPr/>
        <w:pict>
          <v:line style="position:absolute;mso-position-horizontal-relative:page;mso-position-vertical-relative:paragraph;z-index:3256;mso-wrap-distance-left:0;mso-wrap-distance-right:0" from="99.224998pt,9.968925pt" to="243.274998pt,9.968925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91 </w:t>
      </w:r>
      <w:r>
        <w:rPr>
          <w:rFonts w:ascii="Calibri" w:hAnsi="Calibri"/>
          <w:sz w:val="18"/>
        </w:rPr>
        <w:t>GARCÍA Jiménez, Ricardo, “Balance del Sexenio de Ernesto Zedillo”, [en línea] consulta 05/05/2011, disponible en: </w:t>
      </w:r>
      <w:hyperlink r:id="rId40">
        <w:r>
          <w:rPr>
            <w:rFonts w:ascii="Calibri" w:hAnsi="Calibri"/>
            <w:color w:val="0000FF"/>
            <w:sz w:val="18"/>
            <w:u w:val="single" w:color="0000FF"/>
          </w:rPr>
          <w:t>http://www.eumed.net/cursecon/ecolat///mx/2005/rgj.htm</w:t>
        </w:r>
        <w:r>
          <w:rPr>
            <w:rFonts w:ascii="Calibri" w:hAnsi="Calibri"/>
            <w:sz w:val="18"/>
          </w:rPr>
          <w:t>.</w:t>
        </w:r>
      </w:hyperlink>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332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228" w:lineRule="auto" w:before="83"/>
        <w:ind w:left="945" w:right="214" w:firstLine="0"/>
        <w:jc w:val="both"/>
        <w:rPr>
          <w:sz w:val="14"/>
        </w:rPr>
      </w:pPr>
      <w:r>
        <w:rPr>
          <w:sz w:val="22"/>
        </w:rPr>
        <w:t>crédito por 5.2 mil millones de dólares, solicitud que las autoridades del FMI ampliaron a 12 mil millones de DEG y posteriormente terminó en el mayor crédito otorgado por las autoridades financieras de Estados Unidos.</w:t>
      </w:r>
      <w:r>
        <w:rPr>
          <w:position w:val="10"/>
          <w:sz w:val="14"/>
        </w:rPr>
        <w:t>92</w:t>
      </w:r>
    </w:p>
    <w:p>
      <w:pPr>
        <w:pStyle w:val="BodyText"/>
        <w:spacing w:before="5"/>
        <w:rPr>
          <w:sz w:val="36"/>
        </w:rPr>
      </w:pPr>
    </w:p>
    <w:p>
      <w:pPr>
        <w:pStyle w:val="BodyText"/>
        <w:spacing w:line="360" w:lineRule="auto"/>
        <w:ind w:left="264" w:right="218" w:firstLine="336"/>
        <w:jc w:val="both"/>
      </w:pPr>
      <w:r>
        <w:rPr/>
        <w:t>Sin embargo, la falta de credibilidad en el sistema, la insurrección del EZLN en Chiapas, la inseguridad, fueron algunos de los problemas que no superó su gobierno. Haciendo un balance de la política de este sexenio desde la óptica del EZLN en uno de sus comunicados dice que este gobierno se caracteriza por:</w:t>
      </w:r>
    </w:p>
    <w:p>
      <w:pPr>
        <w:pStyle w:val="BodyText"/>
      </w:pPr>
    </w:p>
    <w:p>
      <w:pPr>
        <w:spacing w:line="235" w:lineRule="auto" w:before="145"/>
        <w:ind w:left="973" w:right="213" w:firstLine="0"/>
        <w:jc w:val="both"/>
        <w:rPr>
          <w:sz w:val="14"/>
        </w:rPr>
      </w:pPr>
      <w:r>
        <w:rPr>
          <w:sz w:val="22"/>
        </w:rPr>
        <w:t>La proliferación de grupos armados activos, lazos más estrechos entre el crimen organizado y el gobierno federal, impunidad para los delincuentes de cuello  blanco, aumento del narcotráfico. Además, </w:t>
      </w:r>
      <w:r>
        <w:rPr>
          <w:spacing w:val="-3"/>
          <w:sz w:val="22"/>
        </w:rPr>
        <w:t>la </w:t>
      </w:r>
      <w:r>
        <w:rPr>
          <w:sz w:val="22"/>
        </w:rPr>
        <w:t>entrada de </w:t>
      </w:r>
      <w:r>
        <w:rPr>
          <w:spacing w:val="-3"/>
          <w:sz w:val="22"/>
        </w:rPr>
        <w:t>la </w:t>
      </w:r>
      <w:r>
        <w:rPr>
          <w:sz w:val="22"/>
        </w:rPr>
        <w:t>Policía Federal Preventiva a </w:t>
      </w:r>
      <w:r>
        <w:rPr>
          <w:spacing w:val="-3"/>
          <w:sz w:val="22"/>
        </w:rPr>
        <w:t>la </w:t>
      </w:r>
      <w:r>
        <w:rPr>
          <w:sz w:val="22"/>
        </w:rPr>
        <w:t>UNAM y los intentos recurrentes de privatización del patrimonio cultural, </w:t>
      </w:r>
      <w:r>
        <w:rPr>
          <w:spacing w:val="-3"/>
          <w:sz w:val="22"/>
        </w:rPr>
        <w:t>la </w:t>
      </w:r>
      <w:r>
        <w:rPr>
          <w:sz w:val="22"/>
        </w:rPr>
        <w:t>educación superior, </w:t>
      </w:r>
      <w:r>
        <w:rPr>
          <w:spacing w:val="-3"/>
          <w:sz w:val="22"/>
        </w:rPr>
        <w:t>la </w:t>
      </w:r>
      <w:r>
        <w:rPr>
          <w:sz w:val="22"/>
        </w:rPr>
        <w:t>industria eléctrica y </w:t>
      </w:r>
      <w:r>
        <w:rPr>
          <w:spacing w:val="2"/>
          <w:sz w:val="22"/>
        </w:rPr>
        <w:t>el </w:t>
      </w:r>
      <w:r>
        <w:rPr>
          <w:sz w:val="22"/>
        </w:rPr>
        <w:t>petróleo [...] En suma, </w:t>
      </w:r>
      <w:r>
        <w:rPr>
          <w:spacing w:val="-3"/>
          <w:sz w:val="22"/>
        </w:rPr>
        <w:t>la </w:t>
      </w:r>
      <w:r>
        <w:rPr>
          <w:sz w:val="22"/>
        </w:rPr>
        <w:t>destrucción de México como país libre y soberano [...]</w:t>
      </w:r>
      <w:r>
        <w:rPr>
          <w:spacing w:val="-30"/>
          <w:sz w:val="22"/>
        </w:rPr>
        <w:t> </w:t>
      </w:r>
      <w:r>
        <w:rPr>
          <w:position w:val="10"/>
          <w:sz w:val="14"/>
        </w:rPr>
        <w:t>93</w:t>
      </w:r>
    </w:p>
    <w:p>
      <w:pPr>
        <w:pStyle w:val="BodyText"/>
        <w:spacing w:before="3"/>
        <w:rPr>
          <w:sz w:val="36"/>
        </w:rPr>
      </w:pPr>
    </w:p>
    <w:p>
      <w:pPr>
        <w:pStyle w:val="BodyText"/>
        <w:spacing w:line="360" w:lineRule="auto" w:before="1"/>
        <w:ind w:left="264" w:right="212"/>
        <w:jc w:val="both"/>
      </w:pPr>
      <w:r>
        <w:rPr/>
        <w:t>Estas fueron algunas de las características del gobierno de Ernesto Zedillo Ponce de León, aunado a la falta de esclarecimiento de los crímenes políticos sucedidos en el preámbulo de su periodo de gobierno.</w:t>
      </w:r>
    </w:p>
    <w:p>
      <w:pPr>
        <w:pStyle w:val="BodyText"/>
        <w:spacing w:line="360" w:lineRule="auto"/>
        <w:ind w:left="264" w:right="218" w:firstLine="404"/>
        <w:jc w:val="both"/>
      </w:pPr>
      <w:r>
        <w:rPr/>
        <w:t>Por otro lado, en esta etapa se consolida la cadena televisiva </w:t>
      </w:r>
      <w:r>
        <w:rPr>
          <w:i/>
        </w:rPr>
        <w:t>TV Azteca </w:t>
      </w:r>
      <w:r>
        <w:rPr/>
        <w:t>propiedad de Ricardo Salinas Pliego, quien la adquirió en una operación de compra-venta con el gobierno mexicano en 1993. Esta empresa de comunicación televisiva, compite con Televisa; logra su más amplia cobertura también a fines del siglo XX, promoviendo los canales abiertos TV Azteca (canal 13) y el Canal 7, que lograron en poco tiempo insertarse en el gusto de la población, bajo un estilo abierto, competitivo y dinámico.</w:t>
      </w:r>
    </w:p>
    <w:p>
      <w:pPr>
        <w:pStyle w:val="BodyText"/>
      </w:pPr>
    </w:p>
    <w:p>
      <w:pPr>
        <w:pStyle w:val="Heading3"/>
        <w:spacing w:before="138"/>
        <w:ind w:left="264"/>
        <w:jc w:val="both"/>
        <w:rPr>
          <w:rFonts w:ascii="Arial"/>
        </w:rPr>
      </w:pPr>
      <w:r>
        <w:rPr>
          <w:rFonts w:ascii="Arial"/>
        </w:rPr>
        <w:t>MEXICO 2000-2008</w:t>
      </w:r>
    </w:p>
    <w:p>
      <w:pPr>
        <w:pStyle w:val="BodyText"/>
        <w:rPr>
          <w:b/>
        </w:rPr>
      </w:pPr>
    </w:p>
    <w:p>
      <w:pPr>
        <w:pStyle w:val="BodyText"/>
        <w:spacing w:before="4"/>
        <w:rPr>
          <w:b/>
        </w:rPr>
      </w:pPr>
    </w:p>
    <w:p>
      <w:pPr>
        <w:pStyle w:val="BodyText"/>
        <w:spacing w:line="357" w:lineRule="auto"/>
        <w:ind w:left="264" w:right="217" w:firstLine="271"/>
        <w:jc w:val="both"/>
      </w:pPr>
      <w:r>
        <w:rPr/>
        <w:t>El gobierno de Vicente Fox (2000-2006) fue el primero en provenir de un partido político de oposición, el conservador Partido Acción Nacional (PAN), después    de</w:t>
      </w:r>
    </w:p>
    <w:p>
      <w:pPr>
        <w:pStyle w:val="BodyText"/>
        <w:rPr>
          <w:sz w:val="20"/>
        </w:rPr>
      </w:pPr>
    </w:p>
    <w:p>
      <w:pPr>
        <w:pStyle w:val="BodyText"/>
        <w:spacing w:before="7"/>
        <w:rPr>
          <w:sz w:val="13"/>
        </w:rPr>
      </w:pPr>
      <w:r>
        <w:rPr/>
        <w:pict>
          <v:line style="position:absolute;mso-position-horizontal-relative:page;mso-position-vertical-relative:paragraph;z-index:3304;mso-wrap-distance-left:0;mso-wrap-distance-right:0" from="99.224998pt,10.118928pt" to="243.274998pt,10.118928pt" stroked="true" strokeweight=".60004pt" strokecolor="#000000">
            <w10:wrap type="topAndBottom"/>
          </v:line>
        </w:pict>
      </w:r>
    </w:p>
    <w:p>
      <w:pPr>
        <w:spacing w:before="46"/>
        <w:ind w:left="264" w:right="216" w:firstLine="0"/>
        <w:jc w:val="both"/>
        <w:rPr>
          <w:rFonts w:ascii="Calibri" w:hAnsi="Calibri"/>
          <w:sz w:val="18"/>
        </w:rPr>
      </w:pPr>
      <w:r>
        <w:rPr>
          <w:rFonts w:ascii="Calibri" w:hAnsi="Calibri"/>
          <w:position w:val="9"/>
          <w:sz w:val="12"/>
        </w:rPr>
        <w:t>92 </w:t>
      </w:r>
      <w:r>
        <w:rPr>
          <w:rFonts w:ascii="Calibri" w:hAnsi="Calibri"/>
          <w:sz w:val="18"/>
        </w:rPr>
        <w:t>ARANDA Izguerra, C. José, “Las relaciones de México con el Fondo Monetario Internacional”, </w:t>
      </w:r>
      <w:r>
        <w:rPr>
          <w:rFonts w:ascii="Calibri" w:hAnsi="Calibri"/>
          <w:i/>
          <w:sz w:val="18"/>
        </w:rPr>
        <w:t>Carta de Políticas </w:t>
      </w:r>
      <w:r>
        <w:rPr>
          <w:rFonts w:ascii="Calibri" w:hAnsi="Calibri"/>
          <w:i/>
          <w:sz w:val="18"/>
        </w:rPr>
        <w:t>Públicas</w:t>
      </w:r>
      <w:r>
        <w:rPr>
          <w:rFonts w:ascii="Calibri" w:hAnsi="Calibri"/>
          <w:sz w:val="18"/>
        </w:rPr>
        <w:t>, Coordinación de publicaciones, Facultad de Economía, [en línea] Consulta el 02/05/2012, disponible en: </w:t>
      </w:r>
      <w:hyperlink r:id="rId41">
        <w:r>
          <w:rPr>
            <w:rFonts w:ascii="Calibri" w:hAnsi="Calibri"/>
            <w:color w:val="0000FF"/>
            <w:sz w:val="18"/>
            <w:u w:val="single" w:color="0000FF"/>
          </w:rPr>
          <w:t>http://www.economia.unam.mx/publicaciones/carta/06.html</w:t>
        </w:r>
        <w:r>
          <w:rPr>
            <w:rFonts w:ascii="Calibri" w:hAnsi="Calibri"/>
            <w:sz w:val="18"/>
          </w:rPr>
          <w:t>.</w:t>
        </w:r>
      </w:hyperlink>
    </w:p>
    <w:p>
      <w:pPr>
        <w:spacing w:line="220" w:lineRule="exact" w:before="0"/>
        <w:ind w:left="264" w:right="0" w:firstLine="0"/>
        <w:jc w:val="both"/>
        <w:rPr>
          <w:rFonts w:ascii="Calibri" w:hAnsi="Calibri"/>
          <w:sz w:val="18"/>
        </w:rPr>
      </w:pPr>
      <w:r>
        <w:rPr>
          <w:rFonts w:ascii="Calibri" w:hAnsi="Calibri"/>
          <w:position w:val="9"/>
          <w:sz w:val="12"/>
        </w:rPr>
        <w:t>93  </w:t>
      </w:r>
      <w:r>
        <w:rPr>
          <w:rFonts w:ascii="Calibri" w:hAnsi="Calibri"/>
          <w:sz w:val="18"/>
        </w:rPr>
        <w:t>GARCÍA  Jiménez,  Ricardo,  “Balance  del   sexenio  de  Ernesto  Zedillo”,  </w:t>
      </w:r>
      <w:r>
        <w:rPr>
          <w:rFonts w:ascii="Calibri" w:hAnsi="Calibri"/>
          <w:i/>
          <w:sz w:val="18"/>
        </w:rPr>
        <w:t>Revista  académica  de  economía  </w:t>
      </w:r>
      <w:r>
        <w:rPr>
          <w:rFonts w:ascii="Calibri" w:hAnsi="Calibri"/>
          <w:sz w:val="18"/>
        </w:rPr>
        <w:t>[en  línea]</w:t>
      </w:r>
    </w:p>
    <w:p>
      <w:pPr>
        <w:spacing w:before="0"/>
        <w:ind w:left="264" w:right="0" w:firstLine="0"/>
        <w:jc w:val="both"/>
        <w:rPr>
          <w:rFonts w:ascii="Calibri"/>
          <w:sz w:val="18"/>
        </w:rPr>
      </w:pPr>
      <w:r>
        <w:rPr>
          <w:rFonts w:ascii="Calibri"/>
          <w:sz w:val="18"/>
        </w:rPr>
        <w:t>consulta el 22/03/2012, disponible en: http/</w:t>
      </w:r>
      <w:hyperlink r:id="rId40">
        <w:r>
          <w:rPr>
            <w:rFonts w:ascii="Calibri"/>
            <w:sz w:val="18"/>
          </w:rPr>
          <w:t>www.eumed.net/cursecon/ecolat/mx/2005/rgj.htm.</w:t>
        </w:r>
      </w:hyperlink>
      <w:r>
        <w:rPr>
          <w:rFonts w:ascii="Calibri"/>
          <w:sz w:val="18"/>
        </w:rPr>
        <w:t> ISSN 1696-8352.</w:t>
      </w:r>
    </w:p>
    <w:p>
      <w:pPr>
        <w:spacing w:after="0"/>
        <w:jc w:val="both"/>
        <w:rPr>
          <w:rFonts w:asci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335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5"/>
        <w:jc w:val="both"/>
      </w:pPr>
      <w:r>
        <w:rPr/>
        <w:t>casi siete décadas de dominio del Partido Revolucionario Institucional, por lo tanto se convierte en el primer presidente de la alternancia. Sus principales logros fueron: control de la inflación en un 4.48% en promedio en su sexenio, disminución de la deuda externa de 76,011.4 millones de dólares en el año 2000 a 64,342.2 millones de dólares en el 2006, aumento de las reservas internacionales de 33,555 millones de dólares en el año 2000 a 68,701 millones de dólares en el 2006; incremento  en  el  gasto   en   desarrollo   social,   créditos  para  vivienda </w:t>
      </w:r>
      <w:r>
        <w:rPr>
          <w:spacing w:val="55"/>
        </w:rPr>
        <w:t> </w:t>
      </w:r>
      <w:r>
        <w:rPr/>
        <w:t>nueva,</w:t>
      </w:r>
    </w:p>
    <w:p>
      <w:pPr>
        <w:pStyle w:val="BodyText"/>
        <w:spacing w:line="278" w:lineRule="exact"/>
        <w:ind w:left="684"/>
        <w:jc w:val="both"/>
        <w:rPr>
          <w:sz w:val="16"/>
        </w:rPr>
      </w:pPr>
      <w:r>
        <w:rPr/>
        <w:t>transparencia y acceso a la información pública con la creación del IFAI.</w:t>
      </w:r>
      <w:r>
        <w:rPr>
          <w:position w:val="11"/>
          <w:sz w:val="16"/>
        </w:rPr>
        <w:t>94</w:t>
      </w:r>
    </w:p>
    <w:p>
      <w:pPr>
        <w:pStyle w:val="BodyText"/>
        <w:spacing w:line="360" w:lineRule="auto" w:before="140"/>
        <w:ind w:left="684" w:right="117" w:firstLine="336"/>
        <w:jc w:val="both"/>
      </w:pPr>
      <w:r>
        <w:rPr/>
        <w:t>En materia de educación, al inicio del período 2001-2006 estaba matriculado en la escuela básica, uno de cada cuatro mexicanos, y la población de ese nivel representaba el 79% del total de estudiantes escolarizados. Por esos años, poco </w:t>
      </w:r>
      <w:r>
        <w:rPr>
          <w:spacing w:val="-2"/>
        </w:rPr>
        <w:t>más </w:t>
      </w:r>
      <w:r>
        <w:rPr/>
        <w:t>de la mitad de la población indígena de 15 años o más, no tenía estudios completos de educación primaria. En el nivel de educación media superior (preparatoria o bachillerato), de cada cien jóvenes que terminaban </w:t>
      </w:r>
      <w:r>
        <w:rPr>
          <w:spacing w:val="4"/>
        </w:rPr>
        <w:t>la </w:t>
      </w:r>
      <w:r>
        <w:rPr/>
        <w:t>secundaria, noventa y tres ingresaban a las escuelas de educación media superior. En el ámbito de educación superior, en este período, uno de cada cinco jóvenes en  edad de asistir a una institución de educación superior lo conseguía, y los porcentajes correspondientes a los grandes centros urbanos y las entidades con mayor población rural, mostraban grandes</w:t>
      </w:r>
      <w:r>
        <w:rPr>
          <w:spacing w:val="-22"/>
        </w:rPr>
        <w:t> </w:t>
      </w:r>
      <w:r>
        <w:rPr/>
        <w:t>contrastes.</w:t>
      </w:r>
    </w:p>
    <w:p>
      <w:pPr>
        <w:pStyle w:val="BodyText"/>
        <w:spacing w:before="9"/>
      </w:pPr>
    </w:p>
    <w:p>
      <w:pPr>
        <w:spacing w:line="230" w:lineRule="auto" w:before="0"/>
        <w:ind w:left="1393" w:right="115" w:firstLine="0"/>
        <w:jc w:val="both"/>
        <w:rPr>
          <w:sz w:val="14"/>
        </w:rPr>
      </w:pPr>
      <w:r>
        <w:rPr>
          <w:sz w:val="22"/>
        </w:rPr>
        <w:t>Los retos y problemas que enfrentaba la educación superior eran semejantes a los de los niveles educativos que la antecedían: en primer lugar, el acceso, equidad y cobertura; en segundo lugar, la calidad y, por último, la integración, coordinación y gestión del sistema. Para superarlos y alcanzar los propósitos específicos de este nivel educativo, el PNE</w:t>
      </w:r>
      <w:r>
        <w:rPr>
          <w:position w:val="10"/>
          <w:sz w:val="14"/>
        </w:rPr>
        <w:t>95 </w:t>
      </w:r>
      <w:r>
        <w:rPr>
          <w:sz w:val="22"/>
        </w:rPr>
        <w:t>proponía un número muy considerable de objetivos y líneas de acción.</w:t>
      </w:r>
      <w:r>
        <w:rPr>
          <w:position w:val="10"/>
          <w:sz w:val="14"/>
        </w:rPr>
        <w:t>96</w:t>
      </w:r>
    </w:p>
    <w:p>
      <w:pPr>
        <w:pStyle w:val="BodyText"/>
        <w:rPr>
          <w:sz w:val="36"/>
        </w:rPr>
      </w:pPr>
    </w:p>
    <w:p>
      <w:pPr>
        <w:pStyle w:val="BodyText"/>
        <w:spacing w:line="360" w:lineRule="auto"/>
        <w:ind w:left="684" w:right="117" w:firstLine="336"/>
        <w:jc w:val="both"/>
      </w:pPr>
      <w:r>
        <w:rPr/>
        <w:t>Asimismo este periodo gubernamental se destaca por una excesiva demagogia e incumplimiento de las promesas de campaña, por un incorrecto manejo de la política exterior, así como por la falta de formalidad que caracterizaron al Presidente de la República al romper con el protocolo de un mandatario.</w:t>
      </w:r>
    </w:p>
    <w:p>
      <w:pPr>
        <w:pStyle w:val="BodyText"/>
        <w:spacing w:before="4"/>
        <w:rPr>
          <w:sz w:val="15"/>
        </w:rPr>
      </w:pPr>
    </w:p>
    <w:p>
      <w:pPr>
        <w:spacing w:before="78"/>
        <w:ind w:left="684" w:right="116" w:firstLine="0"/>
        <w:jc w:val="both"/>
        <w:rPr>
          <w:rFonts w:ascii="Calibri" w:hAnsi="Calibri"/>
          <w:sz w:val="18"/>
        </w:rPr>
      </w:pPr>
      <w:r>
        <w:rPr>
          <w:rFonts w:ascii="Calibri" w:hAnsi="Calibri"/>
          <w:position w:val="9"/>
          <w:sz w:val="12"/>
        </w:rPr>
        <w:t>94 </w:t>
      </w:r>
      <w:r>
        <w:rPr>
          <w:rFonts w:ascii="Calibri" w:hAnsi="Calibri"/>
          <w:sz w:val="18"/>
        </w:rPr>
        <w:t>ORNELAS Delgado, Jaime, “La Economía Mexicana en el Gobierno de Vicente Fox”, </w:t>
      </w:r>
      <w:r>
        <w:rPr>
          <w:rFonts w:ascii="Calibri" w:hAnsi="Calibri"/>
          <w:i/>
          <w:sz w:val="18"/>
        </w:rPr>
        <w:t>Aportes</w:t>
      </w:r>
      <w:r>
        <w:rPr>
          <w:rFonts w:ascii="Calibri" w:hAnsi="Calibri"/>
          <w:sz w:val="18"/>
        </w:rPr>
        <w:t>, enero-abril año/Vol. XII, Núm 034, Benemérita Universidad Autónoma de Puebla, [en línea] consulta 25/05/2012, disponible en: </w:t>
      </w:r>
      <w:hyperlink r:id="rId43">
        <w:r>
          <w:rPr>
            <w:rFonts w:ascii="Calibri" w:hAnsi="Calibri"/>
            <w:color w:val="0000FF"/>
            <w:sz w:val="18"/>
            <w:u w:val="single" w:color="0000FF"/>
          </w:rPr>
          <w:t>http://redalyc.uaemex.mx/pdf/376/37603408.pdf</w:t>
        </w:r>
        <w:r>
          <w:rPr>
            <w:rFonts w:ascii="Calibri" w:hAnsi="Calibri"/>
            <w:sz w:val="18"/>
          </w:rPr>
          <w:t>.</w:t>
        </w:r>
      </w:hyperlink>
    </w:p>
    <w:p>
      <w:pPr>
        <w:spacing w:line="204" w:lineRule="exact" w:before="0"/>
        <w:ind w:left="684" w:right="0" w:firstLine="0"/>
        <w:jc w:val="both"/>
        <w:rPr>
          <w:rFonts w:ascii="Calibri" w:hAnsi="Calibri"/>
          <w:sz w:val="18"/>
        </w:rPr>
      </w:pPr>
      <w:r>
        <w:rPr>
          <w:rFonts w:ascii="Calibri" w:hAnsi="Calibri"/>
          <w:position w:val="9"/>
          <w:sz w:val="12"/>
        </w:rPr>
        <w:t>95   </w:t>
      </w:r>
      <w:r>
        <w:rPr>
          <w:rFonts w:ascii="Calibri" w:hAnsi="Calibri"/>
          <w:sz w:val="18"/>
        </w:rPr>
        <w:t>Plan Nacional de Educación (PNE).</w:t>
      </w:r>
    </w:p>
    <w:p>
      <w:pPr>
        <w:spacing w:line="236" w:lineRule="exact" w:before="0"/>
        <w:ind w:left="684" w:right="0" w:firstLine="0"/>
        <w:jc w:val="both"/>
        <w:rPr>
          <w:rFonts w:ascii="Calibri" w:hAnsi="Calibri"/>
          <w:i/>
          <w:sz w:val="18"/>
        </w:rPr>
      </w:pPr>
      <w:r>
        <w:rPr>
          <w:rFonts w:ascii="Calibri" w:hAnsi="Calibri"/>
          <w:position w:val="9"/>
          <w:sz w:val="12"/>
        </w:rPr>
        <w:t>96 </w:t>
      </w:r>
      <w:r>
        <w:rPr>
          <w:rFonts w:ascii="Calibri" w:hAnsi="Calibri"/>
          <w:sz w:val="18"/>
        </w:rPr>
        <w:t>ÁLCANTARA, Armando, </w:t>
      </w:r>
      <w:r>
        <w:rPr>
          <w:rFonts w:ascii="Calibri" w:hAnsi="Calibri"/>
          <w:i/>
          <w:sz w:val="18"/>
        </w:rPr>
        <w:t>Óp. Cit.</w:t>
      </w:r>
    </w:p>
    <w:p>
      <w:pPr>
        <w:spacing w:after="0" w:line="236" w:lineRule="exact"/>
        <w:jc w:val="both"/>
        <w:rPr>
          <w:rFonts w:ascii="Calibri" w:hAnsi="Calibri"/>
          <w:sz w:val="18"/>
        </w:rPr>
        <w:sectPr>
          <w:footerReference w:type="default" r:id="rId42"/>
          <w:pgSz w:w="12240" w:h="15840"/>
          <w:pgMar w:footer="876" w:header="0" w:top="520" w:bottom="1060" w:left="1300" w:right="1300"/>
          <w:pgNumType w:start="49"/>
        </w:sectPr>
      </w:pPr>
    </w:p>
    <w:p>
      <w:pPr>
        <w:pStyle w:val="Heading3"/>
      </w:pPr>
      <w:r>
        <w:rPr/>
        <w:pict>
          <v:line style="position:absolute;mso-position-horizontal-relative:page;mso-position-vertical-relative:paragraph;z-index:337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before="70"/>
        <w:ind w:left="596" w:right="0" w:firstLine="0"/>
        <w:jc w:val="left"/>
        <w:rPr>
          <w:b/>
          <w:sz w:val="24"/>
        </w:rPr>
      </w:pPr>
      <w:r>
        <w:rPr>
          <w:b/>
          <w:sz w:val="24"/>
        </w:rPr>
        <w:t>México En La Globalización</w:t>
      </w:r>
    </w:p>
    <w:p>
      <w:pPr>
        <w:pStyle w:val="BodyText"/>
        <w:rPr>
          <w:b/>
        </w:rPr>
      </w:pPr>
    </w:p>
    <w:p>
      <w:pPr>
        <w:pStyle w:val="BodyText"/>
        <w:spacing w:before="4"/>
        <w:rPr>
          <w:b/>
        </w:rPr>
      </w:pPr>
    </w:p>
    <w:p>
      <w:pPr>
        <w:pStyle w:val="BodyText"/>
        <w:spacing w:line="352" w:lineRule="auto"/>
        <w:ind w:left="264" w:right="217" w:firstLine="271"/>
        <w:jc w:val="both"/>
        <w:rPr>
          <w:sz w:val="16"/>
        </w:rPr>
      </w:pPr>
      <w:r>
        <w:rPr/>
        <w:t>Así es como México ha llegado al Siglo XXI, desgastado, sometido a una nueva forma de explotación que se configura en el neoliberalismo y el imperialismo de mercado. En un profuso espectro globalizador que deteriora la economía interna y hace ineficientes los estados en vías de desarrollo. “Muchos de los nuevos  estados latinoamericanos han cancelado ya los viejos instrumentos del Estado benefactor, pero no cuentan con los nuevos de un Estado regulador y normativo.”</w:t>
      </w:r>
      <w:r>
        <w:rPr>
          <w:position w:val="11"/>
          <w:sz w:val="16"/>
        </w:rPr>
        <w:t>97 </w:t>
      </w:r>
      <w:r>
        <w:rPr/>
        <w:t>Así, desde esta situación real, la población que no tiene acceso a los beneficios del nuevo sistema globalizador y colonizador queda desprotegida, en  un contexto que limita sus aspiraciones a mejores condiciones de</w:t>
      </w:r>
      <w:r>
        <w:rPr>
          <w:spacing w:val="-33"/>
        </w:rPr>
        <w:t> </w:t>
      </w:r>
      <w:r>
        <w:rPr/>
        <w:t>vida.</w:t>
      </w:r>
      <w:r>
        <w:rPr>
          <w:position w:val="11"/>
          <w:sz w:val="16"/>
        </w:rPr>
        <w:t>98</w:t>
      </w:r>
    </w:p>
    <w:p>
      <w:pPr>
        <w:pStyle w:val="BodyText"/>
        <w:spacing w:line="360" w:lineRule="auto"/>
        <w:ind w:left="264" w:right="215" w:firstLine="271"/>
        <w:jc w:val="both"/>
      </w:pPr>
      <w:r>
        <w:rPr/>
        <w:t>Por otro lado, en el ámbito político, el sistema mexicano sufrió transformaciones importantes, dado un contexto de cambios internacionales, la caída del muro de Berlín, la perestroika, los movimientos sociales de Centroamérica, etc. por lo que el sistema, prácticamente mono-partidista con tendencias despótico – autoritarias quedó rebasado por las nuevas tendencias democrático-liberales. De ahí que, siguiendo las sugerencias de las naciones e instituciones internacionales que rigen el mercado y la economía internacional, México tuvo que incorporarse a la corriente neoliberal, procediendo a una reforma política más acorde con los  nuevos tiempos que incentivó la aparición de nuevos partidos, con una mayor participación de los mismos. Obteniendo triunfos electorales en algunos otros niveles de gobierno, por ejemplo: gubernaturas, presidencias municipales, diputaciones federales y</w:t>
      </w:r>
      <w:r>
        <w:rPr>
          <w:spacing w:val="-22"/>
        </w:rPr>
        <w:t> </w:t>
      </w:r>
      <w:r>
        <w:rPr/>
        <w:t>locales.</w:t>
      </w:r>
    </w:p>
    <w:p>
      <w:pPr>
        <w:pStyle w:val="BodyText"/>
        <w:spacing w:line="360" w:lineRule="auto" w:before="2"/>
        <w:ind w:left="264" w:right="217" w:firstLine="336"/>
        <w:jc w:val="both"/>
      </w:pPr>
      <w:r>
        <w:rPr/>
        <w:t>Asimismo, la moda neoliberal incorporada a las naciones latinoamericanas en esta época, se instaló como un adefesio que no encuadra en la decoración del paisaje. Se inicia con una obligada apertura de mercado, una obsesiva búsqueda de la salud financiera,</w:t>
      </w:r>
      <w:r>
        <w:rPr>
          <w:spacing w:val="50"/>
        </w:rPr>
        <w:t> </w:t>
      </w:r>
      <w:r>
        <w:rPr/>
        <w:t>con</w:t>
      </w:r>
      <w:r>
        <w:rPr>
          <w:spacing w:val="51"/>
        </w:rPr>
        <w:t> </w:t>
      </w:r>
      <w:r>
        <w:rPr/>
        <w:t>una inserción en condiciones de desventaja en los</w:t>
      </w:r>
    </w:p>
    <w:p>
      <w:pPr>
        <w:pStyle w:val="BodyText"/>
        <w:rPr>
          <w:sz w:val="20"/>
        </w:rPr>
      </w:pPr>
    </w:p>
    <w:p>
      <w:pPr>
        <w:pStyle w:val="BodyText"/>
        <w:rPr>
          <w:sz w:val="20"/>
        </w:rPr>
      </w:pPr>
    </w:p>
    <w:p>
      <w:pPr>
        <w:pStyle w:val="BodyText"/>
        <w:spacing w:before="2"/>
        <w:rPr>
          <w:sz w:val="22"/>
        </w:rPr>
      </w:pPr>
    </w:p>
    <w:p>
      <w:pPr>
        <w:spacing w:line="236" w:lineRule="exact" w:before="0"/>
        <w:ind w:left="264" w:right="0" w:firstLine="0"/>
        <w:jc w:val="both"/>
        <w:rPr>
          <w:rFonts w:ascii="Calibri" w:hAnsi="Calibri"/>
          <w:sz w:val="18"/>
        </w:rPr>
      </w:pPr>
      <w:r>
        <w:rPr>
          <w:rFonts w:ascii="Calibri" w:hAnsi="Calibri"/>
          <w:position w:val="9"/>
          <w:sz w:val="12"/>
        </w:rPr>
        <w:t>97 </w:t>
      </w:r>
      <w:r>
        <w:rPr>
          <w:rFonts w:ascii="Calibri" w:hAnsi="Calibri"/>
          <w:sz w:val="18"/>
        </w:rPr>
        <w:t>REYES Heroles, Federico, </w:t>
      </w:r>
      <w:r>
        <w:rPr>
          <w:rFonts w:ascii="Calibri" w:hAnsi="Calibri"/>
          <w:i/>
          <w:sz w:val="18"/>
        </w:rPr>
        <w:t>Memorial del mañana</w:t>
      </w:r>
      <w:r>
        <w:rPr>
          <w:rFonts w:ascii="Calibri" w:hAnsi="Calibri"/>
          <w:sz w:val="18"/>
        </w:rPr>
        <w:t>, Taurus, México, 1999, p. 70.</w:t>
      </w:r>
    </w:p>
    <w:p>
      <w:pPr>
        <w:spacing w:line="220" w:lineRule="exact" w:before="12"/>
        <w:ind w:left="264" w:right="213" w:firstLine="0"/>
        <w:jc w:val="both"/>
        <w:rPr>
          <w:sz w:val="18"/>
        </w:rPr>
      </w:pPr>
      <w:r>
        <w:rPr>
          <w:rFonts w:ascii="Calibri" w:hAnsi="Calibri"/>
          <w:position w:val="9"/>
          <w:sz w:val="12"/>
        </w:rPr>
        <w:t>98 </w:t>
      </w:r>
      <w:r>
        <w:rPr>
          <w:rFonts w:ascii="Calibri" w:hAnsi="Calibri"/>
          <w:sz w:val="18"/>
        </w:rPr>
        <w:t>No obstante para Reyes Heroles el proceso de globalización y el sistema neoliberal implican a largo plazo la solución a las necesidades de las clases desprotegidas, siempre y cuando se mejore la economía interna, sin embargo al igual que las grandes utopías esto requiere un cambio de estructuras y del modelo colonizador promovido por los grandes capitales extranjeros</w:t>
      </w:r>
      <w:r>
        <w:rPr>
          <w:sz w:val="18"/>
        </w:rPr>
        <w:t>.</w:t>
      </w:r>
    </w:p>
    <w:p>
      <w:pPr>
        <w:spacing w:after="0" w:line="220" w:lineRule="exact"/>
        <w:jc w:val="both"/>
        <w:rPr>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342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684" w:right="114"/>
      </w:pPr>
      <w:r>
        <w:rPr/>
        <w:t>mercados globales a partir de un sector que busca ser eficiente y moderno. Al respecto, Federico Reyes Heroles comenta:</w:t>
      </w:r>
    </w:p>
    <w:p>
      <w:pPr>
        <w:pStyle w:val="BodyText"/>
      </w:pPr>
    </w:p>
    <w:p>
      <w:pPr>
        <w:spacing w:line="235" w:lineRule="auto" w:before="148"/>
        <w:ind w:left="1393" w:right="114" w:firstLine="0"/>
        <w:jc w:val="both"/>
        <w:rPr>
          <w:sz w:val="14"/>
        </w:rPr>
      </w:pPr>
      <w:r>
        <w:rPr>
          <w:sz w:val="22"/>
        </w:rPr>
        <w:t>En la mayoría de los países latinoamericanos, los mercados nacionales no han terminado de establecerse. Con frecuencia, las carencias de infraestructura básica hacen del mercado una verdadera ficción. Los agentes económicos nacionales ni remotamente tienen la capacidad para sustituir al Estado. Las disparidades, las diferencias y, porque no decirlo, las injusticias ancestrales se ven acentuadas, agravadas, por las consecuencias de las medidas de apertura.</w:t>
      </w:r>
      <w:r>
        <w:rPr>
          <w:position w:val="10"/>
          <w:sz w:val="14"/>
        </w:rPr>
        <w:t>99</w:t>
      </w:r>
    </w:p>
    <w:p>
      <w:pPr>
        <w:pStyle w:val="BodyText"/>
        <w:spacing w:before="11"/>
        <w:rPr>
          <w:sz w:val="35"/>
        </w:rPr>
      </w:pPr>
    </w:p>
    <w:p>
      <w:pPr>
        <w:pStyle w:val="BodyText"/>
        <w:spacing w:line="360" w:lineRule="auto"/>
        <w:ind w:left="684" w:right="118" w:firstLine="336"/>
        <w:jc w:val="both"/>
      </w:pPr>
      <w:r>
        <w:rPr/>
        <w:t>Y en un marco político de incipiente proceso democrático se elige en el 2006 a otro candidato del Partido Acción Nacional (PAN), a Felipe Calderón Hinojosa, quien toma el poder el primero de diciembre de 2006. Bajo un proyecto que auspicia su partido y bajo los lineamientos del capitalismo internacional tomó medidas modernizadoras y emprende una lucha contra el narcotráfico que le han llevado a instalar al ejército en las calles, en esta guerra que pretende corregir los errores del sistema de impartición de justicia que impera en el país.</w:t>
      </w:r>
    </w:p>
    <w:p>
      <w:pPr>
        <w:pStyle w:val="BodyText"/>
        <w:spacing w:line="360" w:lineRule="auto" w:before="6"/>
        <w:ind w:left="684" w:right="117" w:firstLine="336"/>
        <w:jc w:val="both"/>
      </w:pPr>
      <w:r>
        <w:rPr/>
        <w:t>Por otro lado, en el contexto internacional, la disminución del Estado regulador ha traído como resultado el desconcierto ante las medidas tomadas por el capital, que ponen en peligro la economía de países desarrollado pero principalmente de las llamadas economías emergentes, o en vías de desarrollo.</w:t>
      </w:r>
    </w:p>
    <w:p>
      <w:pPr>
        <w:pStyle w:val="BodyText"/>
        <w:spacing w:before="10"/>
        <w:rPr>
          <w:sz w:val="35"/>
        </w:rPr>
      </w:pPr>
    </w:p>
    <w:p>
      <w:pPr>
        <w:spacing w:line="355" w:lineRule="auto" w:before="0"/>
        <w:ind w:left="1393" w:right="115" w:firstLine="240"/>
        <w:jc w:val="both"/>
        <w:rPr>
          <w:sz w:val="14"/>
        </w:rPr>
      </w:pPr>
      <w:r>
        <w:rPr>
          <w:sz w:val="22"/>
        </w:rPr>
        <w:t>El avance de la crisis en Estados Unidos ha propiciado que se caiga en una grave desaceleración mundial. A diario se manifiestan señales negativas de las condiciones en la economía global, se prevé que la actual crisis económica se convierta, a partir de 2009, en una "recesión mundial”. Su núcleo es la economía norteamericana.</w:t>
      </w:r>
      <w:r>
        <w:rPr>
          <w:position w:val="10"/>
          <w:sz w:val="14"/>
        </w:rPr>
        <w:t>100</w:t>
      </w:r>
    </w:p>
    <w:p>
      <w:pPr>
        <w:pStyle w:val="BodyText"/>
        <w:spacing w:before="10"/>
        <w:rPr>
          <w:sz w:val="35"/>
        </w:rPr>
      </w:pPr>
    </w:p>
    <w:p>
      <w:pPr>
        <w:pStyle w:val="BodyText"/>
        <w:spacing w:line="360" w:lineRule="auto"/>
        <w:ind w:left="684" w:right="119" w:firstLine="336"/>
        <w:jc w:val="both"/>
      </w:pPr>
      <w:r>
        <w:rPr/>
        <w:t>Así en México la crisis económica muestra su cara </w:t>
      </w:r>
      <w:r>
        <w:rPr>
          <w:spacing w:val="-2"/>
        </w:rPr>
        <w:t>más </w:t>
      </w:r>
      <w:r>
        <w:rPr/>
        <w:t>cruel, la pobreza alimentaria que para 2008 había aumentado de un 18.2% desde el 13.8% de  2006, según el  más reciente reporte del  Consejo  Nacional de Evaluación de   </w:t>
      </w:r>
      <w:r>
        <w:rPr>
          <w:spacing w:val="60"/>
        </w:rPr>
        <w:t> </w:t>
      </w:r>
      <w:r>
        <w:rPr/>
        <w:t>la</w:t>
      </w:r>
    </w:p>
    <w:p>
      <w:pPr>
        <w:pStyle w:val="BodyText"/>
        <w:spacing w:before="3"/>
        <w:rPr>
          <w:sz w:val="14"/>
        </w:rPr>
      </w:pPr>
      <w:r>
        <w:rPr/>
        <w:pict>
          <v:line style="position:absolute;mso-position-horizontal-relative:page;mso-position-vertical-relative:paragraph;z-index:3400;mso-wrap-distance-left:0;mso-wrap-distance-right:0" from="99.224998pt,10.463885pt" to="243.274998pt,10.463885pt" stroked="true" strokeweight=".60004pt" strokecolor="#000000">
            <w10:wrap type="topAndBottom"/>
          </v:line>
        </w:pict>
      </w:r>
    </w:p>
    <w:p>
      <w:pPr>
        <w:spacing w:line="236" w:lineRule="exact" w:before="46"/>
        <w:ind w:left="684" w:right="0" w:firstLine="0"/>
        <w:jc w:val="both"/>
        <w:rPr>
          <w:rFonts w:ascii="Calibri" w:hAnsi="Calibri"/>
          <w:sz w:val="18"/>
        </w:rPr>
      </w:pPr>
      <w:r>
        <w:rPr>
          <w:rFonts w:ascii="Calibri" w:hAnsi="Calibri"/>
          <w:position w:val="9"/>
          <w:sz w:val="12"/>
        </w:rPr>
        <w:t>99 </w:t>
      </w:r>
      <w:r>
        <w:rPr>
          <w:rFonts w:ascii="Calibri" w:hAnsi="Calibri"/>
          <w:sz w:val="18"/>
        </w:rPr>
        <w:t>REYES Heroles, </w:t>
      </w:r>
      <w:r>
        <w:rPr>
          <w:rFonts w:ascii="Calibri" w:hAnsi="Calibri"/>
          <w:i/>
          <w:sz w:val="18"/>
        </w:rPr>
        <w:t>Óp. Cit. </w:t>
      </w:r>
      <w:r>
        <w:rPr>
          <w:rFonts w:ascii="Calibri" w:hAnsi="Calibri"/>
          <w:sz w:val="18"/>
        </w:rPr>
        <w:t>p. 70.</w:t>
      </w:r>
    </w:p>
    <w:p>
      <w:pPr>
        <w:spacing w:line="220" w:lineRule="exact" w:before="12"/>
        <w:ind w:left="684" w:right="114" w:firstLine="0"/>
        <w:jc w:val="both"/>
        <w:rPr>
          <w:rFonts w:ascii="Calibri" w:hAnsi="Calibri"/>
          <w:sz w:val="18"/>
        </w:rPr>
      </w:pPr>
      <w:r>
        <w:rPr>
          <w:rFonts w:ascii="Calibri" w:hAnsi="Calibri"/>
          <w:position w:val="9"/>
          <w:sz w:val="12"/>
        </w:rPr>
        <w:t>100 </w:t>
      </w:r>
      <w:r>
        <w:rPr>
          <w:rFonts w:ascii="Calibri" w:hAnsi="Calibri"/>
          <w:sz w:val="18"/>
        </w:rPr>
        <w:t>HERNÁNDEZ Contreras, Fernando, GARCÍA, Jesús Fernando, </w:t>
      </w:r>
      <w:r>
        <w:rPr>
          <w:rFonts w:ascii="Calibri" w:hAnsi="Calibri"/>
          <w:i/>
          <w:sz w:val="18"/>
        </w:rPr>
        <w:t>et. al.</w:t>
      </w:r>
      <w:r>
        <w:rPr>
          <w:rFonts w:ascii="Calibri" w:hAnsi="Calibri"/>
          <w:sz w:val="18"/>
        </w:rPr>
        <w:t>, “El impacto de la recesión mundial en la economía del gigante asiático”, Universidad Autónoma de Tamaulipas, Facultad de Comercio, Administración y Ciencias Sociales, Nuevo Laredo, Tam., México, [en línea] consulta el 22/03/2012, disponible en: </w:t>
      </w:r>
      <w:hyperlink r:id="rId45">
        <w:r>
          <w:rPr>
            <w:rFonts w:ascii="Calibri" w:hAnsi="Calibri"/>
            <w:color w:val="0000FF"/>
            <w:sz w:val="18"/>
            <w:u w:val="single" w:color="0000FF"/>
          </w:rPr>
          <w:t>http://www.eumed.net/rev/china/10/cgir.htm</w:t>
        </w:r>
        <w:r>
          <w:rPr>
            <w:rFonts w:ascii="Calibri" w:hAnsi="Calibri"/>
            <w:sz w:val="18"/>
          </w:rPr>
          <w:t>.</w:t>
        </w:r>
      </w:hyperlink>
    </w:p>
    <w:p>
      <w:pPr>
        <w:spacing w:after="0" w:line="220" w:lineRule="exact"/>
        <w:jc w:val="both"/>
        <w:rPr>
          <w:rFonts w:ascii="Calibri" w:hAnsi="Calibri"/>
          <w:sz w:val="18"/>
        </w:rPr>
        <w:sectPr>
          <w:footerReference w:type="default" r:id="rId44"/>
          <w:pgSz w:w="12240" w:h="15840"/>
          <w:pgMar w:footer="876" w:header="0" w:top="520" w:bottom="1060" w:left="1300" w:right="1300"/>
          <w:pgNumType w:start="51"/>
        </w:sectPr>
      </w:pPr>
    </w:p>
    <w:p>
      <w:pPr>
        <w:pStyle w:val="Heading3"/>
      </w:pPr>
      <w:r>
        <w:rPr/>
        <w:pict>
          <v:line style="position:absolute;mso-position-horizontal-relative:page;mso-position-vertical-relative:paragraph;z-index:347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4"/>
        <w:ind w:left="264" w:right="210"/>
        <w:jc w:val="both"/>
      </w:pPr>
      <w:r>
        <w:rPr/>
        <w:t>Política de Desarrollo Social (Coneval).</w:t>
      </w:r>
      <w:r>
        <w:rPr>
          <w:rFonts w:ascii="Calibri" w:hAnsi="Calibri"/>
          <w:position w:val="10"/>
          <w:sz w:val="13"/>
        </w:rPr>
        <w:t>101 </w:t>
      </w:r>
      <w:r>
        <w:rPr/>
        <w:t>Al cierre del año pasado el CONEVAL estima que 19.5 millones de personas tienen ingresos insuficientes para adquirir una canasta básica de alimentos, incluso si los destinaran exclusivamente para ese</w:t>
      </w:r>
      <w:r>
        <w:rPr>
          <w:spacing w:val="-8"/>
        </w:rPr>
        <w:t> </w:t>
      </w:r>
      <w:r>
        <w:rPr/>
        <w:t>fin.</w:t>
      </w:r>
    </w:p>
    <w:p>
      <w:pPr>
        <w:pStyle w:val="BodyText"/>
      </w:pPr>
    </w:p>
    <w:p>
      <w:pPr>
        <w:pStyle w:val="Heading3"/>
        <w:numPr>
          <w:ilvl w:val="0"/>
          <w:numId w:val="4"/>
        </w:numPr>
        <w:tabs>
          <w:tab w:pos="708" w:val="left" w:leader="none"/>
        </w:tabs>
        <w:spacing w:line="362" w:lineRule="auto" w:before="206" w:after="0"/>
        <w:ind w:left="264" w:right="209" w:firstLine="0"/>
        <w:jc w:val="both"/>
        <w:rPr>
          <w:rFonts w:ascii="Arial" w:hAnsi="Arial"/>
        </w:rPr>
      </w:pPr>
      <w:r>
        <w:rPr>
          <w:rFonts w:ascii="Arial" w:hAnsi="Arial"/>
        </w:rPr>
        <w:t>Aspectos histórico-sociales y económicos de Honduras: Análisis geográfico, político y</w:t>
      </w:r>
      <w:r>
        <w:rPr>
          <w:rFonts w:ascii="Arial" w:hAnsi="Arial"/>
          <w:spacing w:val="-12"/>
        </w:rPr>
        <w:t> </w:t>
      </w:r>
      <w:r>
        <w:rPr>
          <w:rFonts w:ascii="Arial" w:hAnsi="Arial"/>
        </w:rPr>
        <w:t>demográfico</w:t>
      </w:r>
    </w:p>
    <w:p>
      <w:pPr>
        <w:pStyle w:val="BodyText"/>
        <w:rPr>
          <w:b/>
        </w:rPr>
      </w:pPr>
    </w:p>
    <w:p>
      <w:pPr>
        <w:pStyle w:val="BodyText"/>
        <w:spacing w:line="355" w:lineRule="auto" w:before="143"/>
        <w:ind w:left="264" w:right="215" w:firstLine="336"/>
        <w:jc w:val="both"/>
      </w:pPr>
      <w:r>
        <w:rPr/>
        <w:t>Honduras es uno de los países que constituye Latinoamérica, con un pasado común a todos los países de esta región geográfica: de origen y dominación. Históricamente comparte características culturales, étnicas y económicas con México. Ubicado en la parte centro del continente presenta características históricas, políticas, económicas y sociales que al decir de Rafael Heliodoro Valle “encierra un sentido y sentimiento de nacionalidad, es decir, un sentimiento de individualidad histórica”.</w:t>
      </w:r>
      <w:r>
        <w:rPr>
          <w:position w:val="11"/>
          <w:sz w:val="16"/>
        </w:rPr>
        <w:t>102 </w:t>
      </w:r>
      <w:r>
        <w:rPr/>
        <w:t>Así, Sierra Fonseca afirma:</w:t>
      </w:r>
    </w:p>
    <w:p>
      <w:pPr>
        <w:spacing w:before="244"/>
        <w:ind w:left="973" w:right="220" w:firstLine="0"/>
        <w:jc w:val="both"/>
        <w:rPr>
          <w:sz w:val="22"/>
        </w:rPr>
      </w:pPr>
      <w:r>
        <w:rPr>
          <w:sz w:val="22"/>
        </w:rPr>
        <w:t>Los valles, a diferencia de las montañas, que son difíciles y violentas, representan el potencial de desarrollo de Honduras y son el lugar hacia donde debe converger, según este autor, el poblamiento y la dinámica de desarrollo nacional.</w:t>
      </w:r>
    </w:p>
    <w:p>
      <w:pPr>
        <w:spacing w:line="235" w:lineRule="auto" w:before="3"/>
        <w:ind w:left="973" w:right="220" w:firstLine="0"/>
        <w:jc w:val="both"/>
        <w:rPr>
          <w:sz w:val="14"/>
        </w:rPr>
      </w:pPr>
      <w:r>
        <w:rPr>
          <w:sz w:val="22"/>
        </w:rPr>
        <w:t>En la exégesis de la geografía hondureña elaborada por Rafael Heliodoro Valle, más allá de la severidad de las montañas, de la belleza de los valles, de los ríos y de las islas, lo significativo, lo vislumbrante y atractivo de Honduras es que al conjugar todos estos elementos se produce la riqueza propia del país: su paisaje: “Honduras posee un vasto tesoro en su alacena de paisajes”</w:t>
      </w:r>
      <w:r>
        <w:rPr>
          <w:position w:val="10"/>
          <w:sz w:val="14"/>
        </w:rPr>
        <w:t>103</w:t>
      </w:r>
    </w:p>
    <w:p>
      <w:pPr>
        <w:pStyle w:val="BodyText"/>
        <w:spacing w:before="3"/>
        <w:rPr>
          <w:sz w:val="36"/>
        </w:rPr>
      </w:pPr>
    </w:p>
    <w:p>
      <w:pPr>
        <w:pStyle w:val="BodyText"/>
        <w:spacing w:line="360" w:lineRule="auto"/>
        <w:ind w:left="264" w:right="214" w:firstLine="271"/>
        <w:jc w:val="both"/>
      </w:pPr>
      <w:r>
        <w:rPr/>
        <w:t>La República de Honduras se encuentra ubicada en la parte centro del Istmo de Centroamérica. Su capital es Tegucigalpa, contando con una superficie de  112,492 Km2, por su tamaño ocupa el segundo lugar de Centroamérica; su </w:t>
      </w:r>
      <w:r>
        <w:rPr>
          <w:spacing w:val="31"/>
        </w:rPr>
        <w:t> </w:t>
      </w:r>
      <w:r>
        <w:rPr/>
        <w:t>forma</w:t>
      </w:r>
    </w:p>
    <w:p>
      <w:pPr>
        <w:pStyle w:val="BodyText"/>
        <w:rPr>
          <w:sz w:val="20"/>
        </w:rPr>
      </w:pPr>
    </w:p>
    <w:p>
      <w:pPr>
        <w:pStyle w:val="BodyText"/>
        <w:spacing w:before="3"/>
        <w:rPr>
          <w:sz w:val="19"/>
        </w:rPr>
      </w:pPr>
      <w:r>
        <w:rPr/>
        <w:pict>
          <v:line style="position:absolute;mso-position-horizontal-relative:page;mso-position-vertical-relative:paragraph;z-index:3448;mso-wrap-distance-left:0;mso-wrap-distance-right:0" from="99.224998pt,13.35489pt" to="243.274998pt,13.35489pt" stroked="true" strokeweight=".599980pt" strokecolor="#000000">
            <w10:wrap type="topAndBottom"/>
          </v:line>
        </w:pict>
      </w:r>
    </w:p>
    <w:p>
      <w:pPr>
        <w:spacing w:before="48"/>
        <w:ind w:left="264" w:right="209" w:firstLine="0"/>
        <w:jc w:val="both"/>
        <w:rPr>
          <w:rFonts w:ascii="Calibri" w:hAnsi="Calibri"/>
          <w:sz w:val="18"/>
        </w:rPr>
      </w:pPr>
      <w:r>
        <w:rPr>
          <w:position w:val="9"/>
          <w:sz w:val="12"/>
        </w:rPr>
        <w:t>101 </w:t>
      </w:r>
      <w:r>
        <w:rPr>
          <w:rFonts w:ascii="Calibri" w:hAnsi="Calibri"/>
          <w:sz w:val="18"/>
        </w:rPr>
        <w:t>CNNExpansión.com </w:t>
      </w:r>
      <w:r>
        <w:rPr>
          <w:sz w:val="18"/>
        </w:rPr>
        <w:t>“</w:t>
      </w:r>
      <w:r>
        <w:rPr>
          <w:rFonts w:ascii="Calibri" w:hAnsi="Calibri"/>
          <w:sz w:val="18"/>
        </w:rPr>
        <w:t>¿Cuantos pobres tiene México? Más de 50 millones de pobres en México”, [en línea] Consulta </w:t>
      </w:r>
      <w:r>
        <w:rPr>
          <w:rFonts w:ascii="Calibri" w:hAnsi="Calibri"/>
          <w:spacing w:val="-3"/>
          <w:sz w:val="18"/>
        </w:rPr>
        <w:t>el </w:t>
      </w:r>
      <w:r>
        <w:rPr>
          <w:rFonts w:ascii="Calibri" w:hAnsi="Calibri"/>
          <w:sz w:val="18"/>
        </w:rPr>
        <w:t>12/05/2012, disponible en: </w:t>
      </w:r>
      <w:hyperlink r:id="rId46">
        <w:r>
          <w:rPr>
            <w:rFonts w:ascii="Calibri" w:hAnsi="Calibri"/>
            <w:color w:val="0000FF"/>
            <w:sz w:val="18"/>
            <w:u w:val="single" w:color="0000FF"/>
          </w:rPr>
          <w:t>http://www.sitesmexico.com/notas/2009/julio/pobres-mexico-millones.htm</w:t>
        </w:r>
        <w:r>
          <w:rPr>
            <w:rFonts w:ascii="Calibri" w:hAnsi="Calibri"/>
            <w:sz w:val="18"/>
          </w:rPr>
          <w:t>.</w:t>
        </w:r>
      </w:hyperlink>
      <w:r>
        <w:rPr>
          <w:rFonts w:ascii="Calibri" w:hAnsi="Calibri"/>
          <w:sz w:val="18"/>
        </w:rPr>
        <w:t> "La pobreza  por ingresos sigue siendo elevada en México y aumentó debido al entorno económico adverso a nivel internacional y nacional", dijo en un comunicado de prensa la Coneval. Unos 7.2 millones de esos pobres habitan en zonas </w:t>
      </w:r>
      <w:r>
        <w:rPr>
          <w:rFonts w:ascii="Calibri" w:hAnsi="Calibri"/>
          <w:spacing w:val="2"/>
          <w:sz w:val="18"/>
        </w:rPr>
        <w:t>urbanas, </w:t>
      </w:r>
      <w:r>
        <w:rPr>
          <w:rFonts w:ascii="Calibri" w:hAnsi="Calibri"/>
          <w:sz w:val="18"/>
        </w:rPr>
        <w:t>mientras que 12.2 millones residían en el área rural. Las estadísticas se basan en la Encuesta Nacional de Ingreso Gasto de</w:t>
      </w:r>
      <w:r>
        <w:rPr>
          <w:rFonts w:ascii="Calibri" w:hAnsi="Calibri"/>
          <w:spacing w:val="-5"/>
          <w:sz w:val="18"/>
        </w:rPr>
        <w:t> </w:t>
      </w:r>
      <w:r>
        <w:rPr>
          <w:rFonts w:ascii="Calibri" w:hAnsi="Calibri"/>
          <w:sz w:val="18"/>
        </w:rPr>
        <w:t>los</w:t>
      </w:r>
      <w:r>
        <w:rPr>
          <w:rFonts w:ascii="Calibri" w:hAnsi="Calibri"/>
          <w:spacing w:val="-2"/>
          <w:sz w:val="18"/>
        </w:rPr>
        <w:t> </w:t>
      </w:r>
      <w:r>
        <w:rPr>
          <w:rFonts w:ascii="Calibri" w:hAnsi="Calibri"/>
          <w:sz w:val="18"/>
        </w:rPr>
        <w:t>Hogares</w:t>
      </w:r>
      <w:r>
        <w:rPr>
          <w:rFonts w:ascii="Calibri" w:hAnsi="Calibri"/>
          <w:spacing w:val="-2"/>
          <w:sz w:val="18"/>
        </w:rPr>
        <w:t> </w:t>
      </w:r>
      <w:r>
        <w:rPr>
          <w:rFonts w:ascii="Calibri" w:hAnsi="Calibri"/>
          <w:sz w:val="18"/>
        </w:rPr>
        <w:t>publicada</w:t>
      </w:r>
      <w:r>
        <w:rPr>
          <w:rFonts w:ascii="Calibri" w:hAnsi="Calibri"/>
          <w:spacing w:val="-2"/>
          <w:sz w:val="18"/>
        </w:rPr>
        <w:t> </w:t>
      </w:r>
      <w:r>
        <w:rPr>
          <w:rFonts w:ascii="Calibri" w:hAnsi="Calibri"/>
          <w:sz w:val="18"/>
        </w:rPr>
        <w:t>por</w:t>
      </w:r>
      <w:r>
        <w:rPr>
          <w:rFonts w:ascii="Calibri" w:hAnsi="Calibri"/>
          <w:spacing w:val="-2"/>
          <w:sz w:val="18"/>
        </w:rPr>
        <w:t> </w:t>
      </w:r>
      <w:r>
        <w:rPr>
          <w:rFonts w:ascii="Calibri" w:hAnsi="Calibri"/>
          <w:sz w:val="18"/>
        </w:rPr>
        <w:t>el</w:t>
      </w:r>
      <w:r>
        <w:rPr>
          <w:rFonts w:ascii="Calibri" w:hAnsi="Calibri"/>
          <w:spacing w:val="-5"/>
          <w:sz w:val="18"/>
        </w:rPr>
        <w:t> </w:t>
      </w:r>
      <w:r>
        <w:rPr>
          <w:rFonts w:ascii="Calibri" w:hAnsi="Calibri"/>
          <w:sz w:val="18"/>
        </w:rPr>
        <w:t>Instituto</w:t>
      </w:r>
      <w:r>
        <w:rPr>
          <w:rFonts w:ascii="Calibri" w:hAnsi="Calibri"/>
          <w:spacing w:val="-3"/>
          <w:sz w:val="18"/>
        </w:rPr>
        <w:t> </w:t>
      </w:r>
      <w:r>
        <w:rPr>
          <w:rFonts w:ascii="Calibri" w:hAnsi="Calibri"/>
          <w:sz w:val="18"/>
        </w:rPr>
        <w:t>Nacional</w:t>
      </w:r>
      <w:r>
        <w:rPr>
          <w:rFonts w:ascii="Calibri" w:hAnsi="Calibri"/>
          <w:spacing w:val="-5"/>
          <w:sz w:val="18"/>
        </w:rPr>
        <w:t> </w:t>
      </w:r>
      <w:r>
        <w:rPr>
          <w:rFonts w:ascii="Calibri" w:hAnsi="Calibri"/>
          <w:sz w:val="18"/>
        </w:rPr>
        <w:t>de</w:t>
      </w:r>
      <w:r>
        <w:rPr>
          <w:rFonts w:ascii="Calibri" w:hAnsi="Calibri"/>
          <w:spacing w:val="-5"/>
          <w:sz w:val="18"/>
        </w:rPr>
        <w:t> </w:t>
      </w:r>
      <w:r>
        <w:rPr>
          <w:rFonts w:ascii="Calibri" w:hAnsi="Calibri"/>
          <w:sz w:val="18"/>
        </w:rPr>
        <w:t>Estadística</w:t>
      </w:r>
      <w:r>
        <w:rPr>
          <w:rFonts w:ascii="Calibri" w:hAnsi="Calibri"/>
          <w:spacing w:val="-2"/>
          <w:sz w:val="18"/>
        </w:rPr>
        <w:t> </w:t>
      </w:r>
      <w:r>
        <w:rPr>
          <w:rFonts w:ascii="Calibri" w:hAnsi="Calibri"/>
          <w:sz w:val="18"/>
        </w:rPr>
        <w:t>y</w:t>
      </w:r>
      <w:r>
        <w:rPr>
          <w:rFonts w:ascii="Calibri" w:hAnsi="Calibri"/>
          <w:spacing w:val="-5"/>
          <w:sz w:val="18"/>
        </w:rPr>
        <w:t> </w:t>
      </w:r>
      <w:r>
        <w:rPr>
          <w:rFonts w:ascii="Calibri" w:hAnsi="Calibri"/>
          <w:sz w:val="18"/>
        </w:rPr>
        <w:t>Geografía</w:t>
      </w:r>
      <w:r>
        <w:rPr>
          <w:rFonts w:ascii="Calibri" w:hAnsi="Calibri"/>
          <w:spacing w:val="-2"/>
          <w:sz w:val="18"/>
        </w:rPr>
        <w:t> </w:t>
      </w:r>
      <w:r>
        <w:rPr>
          <w:rFonts w:ascii="Calibri" w:hAnsi="Calibri"/>
          <w:sz w:val="18"/>
        </w:rPr>
        <w:t>(INEGI)”.</w:t>
      </w:r>
    </w:p>
    <w:p>
      <w:pPr>
        <w:spacing w:line="220" w:lineRule="exact" w:before="0"/>
        <w:ind w:left="264" w:right="0" w:firstLine="0"/>
        <w:jc w:val="both"/>
        <w:rPr>
          <w:rFonts w:ascii="Calibri" w:hAnsi="Calibri"/>
          <w:sz w:val="18"/>
        </w:rPr>
      </w:pPr>
      <w:r>
        <w:rPr>
          <w:rFonts w:ascii="Calibri" w:hAnsi="Calibri"/>
          <w:position w:val="9"/>
          <w:sz w:val="12"/>
        </w:rPr>
        <w:t>102  </w:t>
      </w:r>
      <w:r>
        <w:rPr>
          <w:rFonts w:ascii="Calibri" w:hAnsi="Calibri"/>
          <w:sz w:val="18"/>
        </w:rPr>
        <w:t>SIERRA  Fonseca, Rolando,  “Honduras como interpretación”, Colección cuadernos de visión del país, 13,    Honduras,</w:t>
      </w:r>
    </w:p>
    <w:p>
      <w:pPr>
        <w:spacing w:before="0"/>
        <w:ind w:left="264" w:right="209" w:firstLine="0"/>
        <w:jc w:val="both"/>
        <w:rPr>
          <w:rFonts w:ascii="Calibri" w:hAnsi="Calibri"/>
          <w:sz w:val="18"/>
        </w:rPr>
      </w:pPr>
      <w:r>
        <w:rPr>
          <w:rFonts w:ascii="Calibri" w:hAnsi="Calibri"/>
          <w:sz w:val="18"/>
        </w:rPr>
        <w:t>2003, [en línea] consulta el 02/05/2012, disponible en: </w:t>
      </w:r>
      <w:hyperlink r:id="rId47">
        <w:r>
          <w:rPr>
            <w:rFonts w:ascii="Calibri" w:hAnsi="Calibri"/>
            <w:color w:val="0000FF"/>
            <w:sz w:val="18"/>
            <w:u w:val="single" w:color="0000FF"/>
          </w:rPr>
          <w:t>http://www.undp.un.hn/publicaciones/colecciones/VP_13.pdf</w:t>
        </w:r>
        <w:r>
          <w:rPr>
            <w:rFonts w:ascii="Calibri" w:hAnsi="Calibri"/>
            <w:sz w:val="18"/>
          </w:rPr>
          <w:t>.</w:t>
        </w:r>
      </w:hyperlink>
      <w:r>
        <w:rPr>
          <w:rFonts w:ascii="Calibri" w:hAnsi="Calibri"/>
          <w:sz w:val="18"/>
        </w:rPr>
        <w:t> ISBN 99926-667-1-4.</w:t>
      </w:r>
    </w:p>
    <w:p>
      <w:pPr>
        <w:spacing w:line="220" w:lineRule="exact" w:before="0"/>
        <w:ind w:left="264" w:right="0" w:firstLine="0"/>
        <w:jc w:val="both"/>
        <w:rPr>
          <w:sz w:val="18"/>
        </w:rPr>
      </w:pPr>
      <w:r>
        <w:rPr>
          <w:rFonts w:ascii="Calibri"/>
          <w:position w:val="9"/>
          <w:sz w:val="12"/>
        </w:rPr>
        <w:t>103 </w:t>
      </w:r>
      <w:r>
        <w:rPr>
          <w:rFonts w:ascii="Calibri"/>
          <w:sz w:val="18"/>
        </w:rPr>
        <w:t>SIERRA Fonseca, Rolando, </w:t>
      </w:r>
      <w:r>
        <w:rPr>
          <w:rFonts w:ascii="Calibri"/>
          <w:i/>
          <w:sz w:val="18"/>
        </w:rPr>
        <w:t>Op. Cit. </w:t>
      </w:r>
      <w:r>
        <w:rPr>
          <w:sz w:val="18"/>
        </w:rPr>
        <w:t>p. 14</w:t>
      </w:r>
    </w:p>
    <w:p>
      <w:pPr>
        <w:spacing w:after="0" w:line="220" w:lineRule="exact"/>
        <w:jc w:val="both"/>
        <w:rPr>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352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684" w:right="128"/>
        <w:jc w:val="both"/>
      </w:pPr>
      <w:r>
        <w:rPr/>
        <w:t>de gobierno es la República, con sufragio universal; se constituye en tres poderes: ejecutivo, legislativo y judicial. Está dividida en 18 departamentos.</w:t>
      </w:r>
    </w:p>
    <w:p>
      <w:pPr>
        <w:pStyle w:val="BodyText"/>
        <w:spacing w:line="360" w:lineRule="auto" w:before="8"/>
        <w:ind w:left="684" w:right="120" w:firstLine="404"/>
        <w:jc w:val="both"/>
      </w:pPr>
      <w:r>
        <w:rPr/>
        <w:t>Según el informe sobre Desarrollo Humano del Programa de las Naciones Unidas para el Desarrollo (PNUD), el índice de desarrollo humano de Honduras se encuentra en el lugar 117 (2007). En cuanto a la deuda externa, de la cual los organismos de crédito internacional condonaron un 60%, se incrementó de 2003 a 2004 en más de 100 millones de dólares, y para 2007 ascendió a 3,871 millones de dólares, ésta corresponde a un 82% del PIB y un 72 % de las</w:t>
      </w:r>
      <w:r>
        <w:rPr>
          <w:spacing w:val="-31"/>
        </w:rPr>
        <w:t> </w:t>
      </w:r>
      <w:r>
        <w:rPr/>
        <w:t>importaciones.</w:t>
      </w:r>
    </w:p>
    <w:p>
      <w:pPr>
        <w:pStyle w:val="BodyText"/>
        <w:spacing w:line="352" w:lineRule="auto" w:before="6"/>
        <w:ind w:left="684" w:right="117" w:firstLine="336"/>
        <w:jc w:val="both"/>
        <w:rPr>
          <w:sz w:val="16"/>
        </w:rPr>
      </w:pPr>
      <w:r>
        <w:rPr/>
        <w:t>En cuanto a la distribución de la riqueza, un 20 % de la población concentra el 80 % de la riqueza y un 59 % de la población se encuentra debajo de la línea de la pobreza (PNUD). La corrupción en Honduras la coloca en la posición número 106 de los países del mundo con un nivel de percepción alto en materia de corrupción. En el contexto centroamericano aparece como el país más corrupto.</w:t>
      </w:r>
      <w:r>
        <w:rPr>
          <w:position w:val="11"/>
          <w:sz w:val="16"/>
        </w:rPr>
        <w:t>104</w:t>
      </w:r>
    </w:p>
    <w:p>
      <w:pPr>
        <w:pStyle w:val="BodyText"/>
        <w:spacing w:line="269" w:lineRule="exact"/>
        <w:ind w:left="684" w:firstLine="271"/>
        <w:jc w:val="both"/>
      </w:pPr>
      <w:r>
        <w:rPr/>
        <w:t>Su  población  es  de  8.296.693  (Julio  2012)  habitantes,</w:t>
      </w:r>
      <w:r>
        <w:rPr>
          <w:position w:val="11"/>
          <w:sz w:val="16"/>
        </w:rPr>
        <w:t>105   </w:t>
      </w:r>
      <w:r>
        <w:rPr/>
        <w:t>conformada    por</w:t>
      </w:r>
    </w:p>
    <w:p>
      <w:pPr>
        <w:pStyle w:val="BodyText"/>
        <w:spacing w:line="360" w:lineRule="auto" w:before="140"/>
        <w:ind w:left="684" w:right="122"/>
        <w:jc w:val="both"/>
      </w:pPr>
      <w:r>
        <w:rPr/>
        <w:t>mestizos, amerindios, africanos y blancos. El 54.5 % de población se ubica en el medio rural y 45.5 % es población urbana; su densidad de población es de 72 hab/km2, su idioma oficial es el español, también se hablan lenguas indígenas de las siguientes etnias: chortís, lencas, pech, tolupanes, tawahkas, mismitos, garífunas. Su religión principal es la católica con un 97% y un 3% de protestantes. Su porcentaje de población alfabetizada es de un 80 %.</w:t>
      </w:r>
    </w:p>
    <w:p>
      <w:pPr>
        <w:pStyle w:val="BodyText"/>
        <w:spacing w:line="360" w:lineRule="auto" w:before="6"/>
        <w:ind w:left="684" w:right="118" w:firstLine="271"/>
        <w:jc w:val="both"/>
      </w:pPr>
      <w:r>
        <w:rPr/>
        <w:t>En 2008, Honduras contaba con una alta tasa demográfica, figurando como una de las naciones que registra un aumento considerable de población (según datos del Fondo de Población de las Naciones Unidas (FNUAP).</w:t>
      </w:r>
    </w:p>
    <w:p>
      <w:pPr>
        <w:pStyle w:val="BodyText"/>
      </w:pPr>
    </w:p>
    <w:p>
      <w:pPr>
        <w:spacing w:before="141"/>
        <w:ind w:left="1393" w:right="114" w:firstLine="0"/>
        <w:jc w:val="left"/>
        <w:rPr>
          <w:sz w:val="22"/>
        </w:rPr>
      </w:pPr>
      <w:r>
        <w:rPr>
          <w:sz w:val="22"/>
        </w:rPr>
        <w:t>Los hogares que viven en pobreza representan el 60 por ciento, en tanto que el porcentaje de hijos promedio por mujer es de 3,3.</w:t>
      </w:r>
    </w:p>
    <w:p>
      <w:pPr>
        <w:spacing w:before="0"/>
        <w:ind w:left="1393" w:right="114" w:firstLine="0"/>
        <w:jc w:val="left"/>
        <w:rPr>
          <w:sz w:val="22"/>
        </w:rPr>
      </w:pPr>
      <w:r>
        <w:rPr>
          <w:sz w:val="22"/>
        </w:rPr>
        <w:t>Los nacimientos por cada 1000 mujeres entre los 15 y 19 años suman 1023, y el promedio de hijos deseados por mujer es de 2,3 por ciento […]</w:t>
      </w:r>
    </w:p>
    <w:p>
      <w:pPr>
        <w:spacing w:before="3"/>
        <w:ind w:left="1393" w:right="114" w:firstLine="0"/>
        <w:jc w:val="left"/>
        <w:rPr>
          <w:sz w:val="22"/>
        </w:rPr>
      </w:pPr>
      <w:r>
        <w:rPr>
          <w:sz w:val="22"/>
        </w:rPr>
        <w:t>El FNUAP también señala en su informe sobre Honduras, que entre los 50 y 90 del siglo pasado en este país se registraron tasas de crecimiento superiores al tres por</w:t>
      </w: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3496;mso-wrap-distance-left:0;mso-wrap-distance-right:0" from="99.224998pt,10.380877pt" to="243.274998pt,10.380877pt" stroked="true" strokeweight=".60004pt" strokecolor="#000000">
            <w10:wrap type="topAndBottom"/>
          </v:line>
        </w:pict>
      </w:r>
    </w:p>
    <w:p>
      <w:pPr>
        <w:spacing w:before="48"/>
        <w:ind w:left="684" w:right="114" w:firstLine="0"/>
        <w:jc w:val="left"/>
        <w:rPr>
          <w:rFonts w:ascii="Calibri" w:hAnsi="Calibri"/>
          <w:sz w:val="18"/>
        </w:rPr>
      </w:pPr>
      <w:r>
        <w:rPr>
          <w:position w:val="9"/>
          <w:sz w:val="12"/>
        </w:rPr>
        <w:t>104 </w:t>
      </w:r>
      <w:r>
        <w:rPr>
          <w:rFonts w:ascii="Calibri" w:hAnsi="Calibri"/>
          <w:sz w:val="18"/>
        </w:rPr>
        <w:t>OLIVERA, Mauricio Nihil, “Honduras una sentencia de pobreza”</w:t>
      </w:r>
      <w:r>
        <w:rPr>
          <w:rFonts w:ascii="Calibri" w:hAnsi="Calibri"/>
          <w:i/>
          <w:sz w:val="18"/>
        </w:rPr>
        <w:t>, ONG Comparte</w:t>
      </w:r>
      <w:r>
        <w:rPr>
          <w:rFonts w:ascii="Calibri" w:hAnsi="Calibri"/>
          <w:sz w:val="18"/>
        </w:rPr>
        <w:t>, [en línea] consulta el 02/11/2008, disponible en: </w:t>
      </w:r>
      <w:hyperlink r:id="rId48">
        <w:r>
          <w:rPr>
            <w:rFonts w:ascii="Calibri" w:hAnsi="Calibri"/>
            <w:color w:val="0000FF"/>
            <w:sz w:val="18"/>
            <w:u w:val="single" w:color="0000FF"/>
          </w:rPr>
          <w:t>www.comparte.org/accion/Dossier%Honduras.pdf</w:t>
        </w:r>
        <w:r>
          <w:rPr>
            <w:rFonts w:ascii="Calibri" w:hAnsi="Calibri"/>
            <w:sz w:val="18"/>
          </w:rPr>
          <w:t>.</w:t>
        </w:r>
      </w:hyperlink>
    </w:p>
    <w:p>
      <w:pPr>
        <w:tabs>
          <w:tab w:pos="2236" w:val="left" w:leader="none"/>
          <w:tab w:pos="3307" w:val="left" w:leader="none"/>
          <w:tab w:pos="4900" w:val="left" w:leader="none"/>
          <w:tab w:pos="5416" w:val="left" w:leader="none"/>
          <w:tab w:pos="6147" w:val="left" w:leader="none"/>
          <w:tab w:pos="7050" w:val="left" w:leader="none"/>
          <w:tab w:pos="8244" w:val="left" w:leader="none"/>
          <w:tab w:pos="9279" w:val="left" w:leader="none"/>
        </w:tabs>
        <w:spacing w:line="220" w:lineRule="exact" w:before="0"/>
        <w:ind w:left="684" w:right="0" w:firstLine="0"/>
        <w:jc w:val="left"/>
        <w:rPr>
          <w:rFonts w:ascii="Calibri" w:hAnsi="Calibri"/>
          <w:sz w:val="18"/>
        </w:rPr>
      </w:pPr>
      <w:r>
        <w:rPr>
          <w:rFonts w:ascii="Calibri" w:hAnsi="Calibri"/>
          <w:position w:val="9"/>
          <w:sz w:val="12"/>
        </w:rPr>
        <w:t>105</w:t>
      </w:r>
      <w:r>
        <w:rPr>
          <w:rFonts w:ascii="Calibri" w:hAnsi="Calibri"/>
          <w:sz w:val="18"/>
        </w:rPr>
        <w:t>INDEX-MUNDI,</w:t>
        <w:tab/>
        <w:t>“Honduras</w:t>
        <w:tab/>
        <w:t>Población”,(2012)</w:t>
        <w:tab/>
      </w:r>
      <w:r>
        <w:rPr>
          <w:rFonts w:ascii="Calibri" w:hAnsi="Calibri"/>
          <w:spacing w:val="-2"/>
          <w:sz w:val="18"/>
        </w:rPr>
        <w:t>[en</w:t>
        <w:tab/>
      </w:r>
      <w:r>
        <w:rPr>
          <w:rFonts w:ascii="Calibri" w:hAnsi="Calibri"/>
          <w:sz w:val="18"/>
        </w:rPr>
        <w:t>línea],</w:t>
        <w:tab/>
        <w:t>consulta</w:t>
        <w:tab/>
        <w:t>22/03/2012,</w:t>
        <w:tab/>
        <w:t>disponible</w:t>
        <w:tab/>
        <w:t>en:</w:t>
      </w:r>
    </w:p>
    <w:p>
      <w:pPr>
        <w:spacing w:before="0"/>
        <w:ind w:left="684" w:right="114" w:firstLine="0"/>
        <w:jc w:val="left"/>
        <w:rPr>
          <w:rFonts w:ascii="Calibri"/>
          <w:sz w:val="18"/>
        </w:rPr>
      </w:pPr>
      <w:r>
        <w:rPr/>
        <w:pict>
          <v:line style="position:absolute;mso-position-horizontal-relative:page;mso-position-vertical-relative:paragraph;z-index:-137608" from="315.299988pt,9.869348pt" to="317.499988pt,9.869348pt" stroked="true" strokeweight=".599980pt" strokecolor="#800000">
            <w10:wrap type="none"/>
          </v:line>
        </w:pict>
      </w:r>
      <w:hyperlink r:id="rId49">
        <w:r>
          <w:rPr>
            <w:rFonts w:ascii="Calibri"/>
            <w:color w:val="0000FF"/>
            <w:sz w:val="18"/>
            <w:u w:val="single" w:color="0000FF"/>
          </w:rPr>
          <w:t>http://www.indexmundi.com/es/honduras/poblacion.html</w:t>
        </w:r>
        <w:r>
          <w:rPr>
            <w:rFonts w:ascii="Calibri"/>
            <w:color w:val="800000"/>
            <w:sz w:val="18"/>
          </w:rPr>
          <w:t>,</w:t>
        </w:r>
      </w:hyperlink>
    </w:p>
    <w:p>
      <w:pPr>
        <w:spacing w:after="0"/>
        <w:jc w:val="left"/>
        <w:rPr>
          <w:rFonts w:asci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359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252" w:lineRule="exact" w:before="77"/>
        <w:ind w:left="973" w:right="210" w:firstLine="0"/>
        <w:jc w:val="left"/>
        <w:rPr>
          <w:sz w:val="14"/>
        </w:rPr>
      </w:pPr>
      <w:r>
        <w:rPr>
          <w:sz w:val="22"/>
        </w:rPr>
        <w:t>ciento anual, mientras que al cerrar el 2008 se espera que haya descendido al 2.2 por ciento.</w:t>
      </w:r>
      <w:r>
        <w:rPr>
          <w:position w:val="10"/>
          <w:sz w:val="14"/>
        </w:rPr>
        <w:t>106</w:t>
      </w:r>
    </w:p>
    <w:p>
      <w:pPr>
        <w:pStyle w:val="BodyText"/>
        <w:spacing w:before="9"/>
        <w:rPr>
          <w:sz w:val="35"/>
        </w:rPr>
      </w:pPr>
    </w:p>
    <w:p>
      <w:pPr>
        <w:pStyle w:val="BodyText"/>
        <w:spacing w:line="360" w:lineRule="auto" w:before="1"/>
        <w:ind w:left="264" w:right="214" w:firstLine="336"/>
        <w:jc w:val="both"/>
      </w:pPr>
      <w:r>
        <w:rPr/>
        <w:t>En Honduras existe libertad de culto y aún cuando su población es predominantemente cristiana y mayoritariamente católica se han incrementado considerablemente en los últimos tiempos el número de grupos evangélicos, sin embargo en las últimas décadas también han surgido corrientes ateístas y gnosticistas.</w:t>
      </w:r>
    </w:p>
    <w:p>
      <w:pPr>
        <w:pStyle w:val="BodyText"/>
      </w:pPr>
    </w:p>
    <w:p>
      <w:pPr>
        <w:pStyle w:val="Heading3"/>
        <w:spacing w:before="138"/>
        <w:ind w:left="681"/>
        <w:rPr>
          <w:rFonts w:ascii="Arial" w:hAnsi="Arial"/>
        </w:rPr>
      </w:pPr>
      <w:r>
        <w:rPr>
          <w:rFonts w:ascii="Arial" w:hAnsi="Arial"/>
        </w:rPr>
        <w:t>Honduras: ámbito político social</w:t>
      </w:r>
    </w:p>
    <w:p>
      <w:pPr>
        <w:pStyle w:val="BodyText"/>
        <w:rPr>
          <w:b/>
        </w:rPr>
      </w:pPr>
    </w:p>
    <w:p>
      <w:pPr>
        <w:pStyle w:val="BodyText"/>
        <w:spacing w:before="4"/>
        <w:rPr>
          <w:b/>
        </w:rPr>
      </w:pPr>
    </w:p>
    <w:p>
      <w:pPr>
        <w:pStyle w:val="BodyText"/>
        <w:spacing w:line="350" w:lineRule="auto"/>
        <w:ind w:left="264" w:right="214" w:firstLine="336"/>
        <w:jc w:val="both"/>
        <w:rPr>
          <w:sz w:val="16"/>
        </w:rPr>
      </w:pPr>
      <w:r>
        <w:rPr/>
        <w:t>Honduras es uno de los países más pobres del continente, conocido como una república bananera. Adjetivo que se le atribuye desde principios del siglo XX, al igual que a otras naciones centroamericanas, y se dice de ella que “Cultiva más plátanos, ha cedido con la mayor avenencia al abrazo económico del Tío  Sam.”</w:t>
      </w:r>
      <w:r>
        <w:rPr>
          <w:position w:val="11"/>
          <w:sz w:val="16"/>
        </w:rPr>
        <w:t>107</w:t>
      </w:r>
    </w:p>
    <w:p>
      <w:pPr>
        <w:pStyle w:val="BodyText"/>
        <w:spacing w:line="360" w:lineRule="auto"/>
        <w:ind w:left="264" w:right="216"/>
        <w:jc w:val="both"/>
      </w:pPr>
      <w:r>
        <w:rPr/>
        <w:t>Es así que gran parte del desarrollo social-económico-político de este país se vincula al cultivo de esta fruta tropical y a las relaciones de dependencia con Estados Unidos de América, su historia lo descubre como un gobierno que ha demostrado una dignidad y probidad muy bajas, que ponen en peligro el bienestar social y el futuro de la nación.</w:t>
      </w:r>
    </w:p>
    <w:p>
      <w:pPr>
        <w:pStyle w:val="BodyText"/>
        <w:spacing w:line="355" w:lineRule="auto" w:before="2"/>
        <w:ind w:left="264" w:right="215" w:firstLine="332"/>
        <w:jc w:val="both"/>
      </w:pPr>
      <w:r>
        <w:rPr/>
        <w:t>Todavía a mediados del siglo pasado las grandes empresas fruteras de Estados Unidos tenían un dominio total en cuanto a producción y explotación de este cultivo, “en 1925, el banano representaba 88 % de las exportaciones. La otra cara de la economía enclave y de la presencia tentacular de las bananeras es que Honduras carece de una burguesía hegemónica capaz de desarrollar el país en beneficio propio.”</w:t>
      </w:r>
      <w:r>
        <w:rPr>
          <w:position w:val="11"/>
          <w:sz w:val="16"/>
        </w:rPr>
        <w:t>108 </w:t>
      </w:r>
      <w:r>
        <w:rPr/>
        <w:t>Siendo la base de su economía este monocultivo, determina algunas de sus estructuras sociales y políticas, tales como la organización de  </w:t>
      </w:r>
      <w:r>
        <w:rPr>
          <w:spacing w:val="37"/>
        </w:rPr>
        <w:t> </w:t>
      </w:r>
      <w:r>
        <w:rPr/>
        <w:t>los</w:t>
      </w:r>
    </w:p>
    <w:p>
      <w:pPr>
        <w:pStyle w:val="BodyText"/>
        <w:spacing w:before="11"/>
        <w:ind w:left="264"/>
        <w:jc w:val="both"/>
      </w:pPr>
      <w:r>
        <w:rPr/>
        <w:t>obreros, el sistema político autoritario, entre otros. Característica de   dependencia</w:t>
      </w:r>
    </w:p>
    <w:p>
      <w:pPr>
        <w:pStyle w:val="BodyText"/>
        <w:rPr>
          <w:sz w:val="20"/>
        </w:rPr>
      </w:pPr>
    </w:p>
    <w:p>
      <w:pPr>
        <w:pStyle w:val="BodyText"/>
        <w:spacing w:before="8"/>
        <w:rPr>
          <w:sz w:val="15"/>
        </w:rPr>
      </w:pPr>
      <w:r>
        <w:rPr/>
        <w:pict>
          <v:line style="position:absolute;mso-position-horizontal-relative:page;mso-position-vertical-relative:paragraph;z-index:3568;mso-wrap-distance-left:0;mso-wrap-distance-right:0" from="99.224998pt,11.287982pt" to="243.274998pt,11.287982pt" stroked="true" strokeweight=".60004pt" strokecolor="#000000">
            <w10:wrap type="topAndBottom"/>
          </v:line>
        </w:pict>
      </w:r>
    </w:p>
    <w:p>
      <w:pPr>
        <w:spacing w:before="46"/>
        <w:ind w:left="304" w:right="0" w:firstLine="0"/>
        <w:jc w:val="both"/>
        <w:rPr>
          <w:rFonts w:ascii="Calibri" w:hAnsi="Calibri"/>
          <w:sz w:val="18"/>
        </w:rPr>
      </w:pPr>
      <w:r>
        <w:rPr>
          <w:rFonts w:ascii="Calibri" w:hAnsi="Calibri"/>
          <w:position w:val="9"/>
          <w:sz w:val="12"/>
        </w:rPr>
        <w:t>106  </w:t>
      </w:r>
      <w:r>
        <w:rPr>
          <w:rFonts w:ascii="Calibri" w:hAnsi="Calibri"/>
          <w:sz w:val="18"/>
        </w:rPr>
        <w:t>NOTIGEX, </w:t>
      </w:r>
      <w:r>
        <w:rPr>
          <w:rFonts w:ascii="Calibri" w:hAnsi="Calibri"/>
          <w:i/>
          <w:sz w:val="18"/>
        </w:rPr>
        <w:t>Noticias del Grupo extra</w:t>
      </w:r>
      <w:r>
        <w:rPr>
          <w:rFonts w:ascii="Calibri" w:hAnsi="Calibri"/>
          <w:sz w:val="18"/>
        </w:rPr>
        <w:t>,  “Honduras tiene 7,5 millones de habitantes y sigue con alta tasa   demográfica”,</w:t>
      </w:r>
    </w:p>
    <w:p>
      <w:pPr>
        <w:tabs>
          <w:tab w:pos="3941" w:val="left" w:leader="none"/>
        </w:tabs>
        <w:spacing w:before="0"/>
        <w:ind w:left="264" w:right="217" w:firstLine="0"/>
        <w:jc w:val="both"/>
        <w:rPr>
          <w:rFonts w:ascii="Calibri" w:hAnsi="Calibri"/>
          <w:sz w:val="18"/>
        </w:rPr>
      </w:pPr>
      <w:r>
        <w:rPr>
          <w:rFonts w:ascii="Calibri" w:hAnsi="Calibri"/>
          <w:sz w:val="18"/>
        </w:rPr>
        <w:t>11          de          julio        </w:t>
      </w:r>
      <w:r>
        <w:rPr>
          <w:rFonts w:ascii="Calibri" w:hAnsi="Calibri"/>
          <w:spacing w:val="15"/>
          <w:sz w:val="18"/>
        </w:rPr>
        <w:t> </w:t>
      </w:r>
      <w:r>
        <w:rPr>
          <w:rFonts w:ascii="Calibri" w:hAnsi="Calibri"/>
          <w:sz w:val="18"/>
        </w:rPr>
        <w:t>de        </w:t>
      </w:r>
      <w:r>
        <w:rPr>
          <w:rFonts w:ascii="Calibri" w:hAnsi="Calibri"/>
          <w:spacing w:val="32"/>
          <w:sz w:val="18"/>
        </w:rPr>
        <w:t> </w:t>
      </w:r>
      <w:r>
        <w:rPr>
          <w:rFonts w:ascii="Calibri" w:hAnsi="Calibri"/>
          <w:sz w:val="18"/>
        </w:rPr>
        <w:t>2008,</w:t>
        <w:tab/>
        <w:t>[en          línea]          consulta          25/02/2009,       </w:t>
      </w:r>
      <w:r>
        <w:rPr>
          <w:rFonts w:ascii="Calibri" w:hAnsi="Calibri"/>
          <w:spacing w:val="31"/>
          <w:sz w:val="18"/>
        </w:rPr>
        <w:t> </w:t>
      </w:r>
      <w:r>
        <w:rPr>
          <w:rFonts w:ascii="Calibri" w:hAnsi="Calibri"/>
          <w:sz w:val="18"/>
        </w:rPr>
        <w:t>disponible        </w:t>
      </w:r>
      <w:r>
        <w:rPr>
          <w:rFonts w:ascii="Calibri" w:hAnsi="Calibri"/>
          <w:spacing w:val="26"/>
          <w:sz w:val="18"/>
        </w:rPr>
        <w:t> </w:t>
      </w:r>
      <w:r>
        <w:rPr>
          <w:rFonts w:ascii="Calibri" w:hAnsi="Calibri"/>
          <w:sz w:val="18"/>
        </w:rPr>
        <w:t>en: </w:t>
      </w:r>
      <w:hyperlink r:id="rId50">
        <w:r>
          <w:rPr>
            <w:rFonts w:ascii="Calibri" w:hAnsi="Calibri"/>
            <w:color w:val="0000FF"/>
            <w:sz w:val="18"/>
            <w:u w:val="single" w:color="0000FF"/>
          </w:rPr>
          <w:t>http://www.diarioextra.com/notigex/show_news.php?subaction=showfull&amp;id=1215814783&amp;archive=1215852083&amp;tem </w:t>
        </w:r>
      </w:hyperlink>
      <w:hyperlink r:id="rId50">
        <w:r>
          <w:rPr>
            <w:rFonts w:ascii="Calibri" w:hAnsi="Calibri"/>
            <w:color w:val="0000FF"/>
            <w:sz w:val="18"/>
            <w:u w:val="single" w:color="0000FF"/>
          </w:rPr>
          <w:t>plate</w:t>
        </w:r>
      </w:hyperlink>
      <w:r>
        <w:rPr>
          <w:rFonts w:ascii="Calibri" w:hAnsi="Calibri"/>
          <w:color w:val="800000"/>
          <w:sz w:val="18"/>
        </w:rPr>
        <w:t>=.</w:t>
      </w:r>
    </w:p>
    <w:p>
      <w:pPr>
        <w:spacing w:line="205" w:lineRule="exact" w:before="0"/>
        <w:ind w:left="264" w:right="0" w:firstLine="0"/>
        <w:jc w:val="both"/>
        <w:rPr>
          <w:rFonts w:ascii="Calibri" w:hAnsi="Calibri"/>
          <w:sz w:val="18"/>
        </w:rPr>
      </w:pPr>
      <w:r>
        <w:rPr>
          <w:rFonts w:ascii="Calibri" w:hAnsi="Calibri"/>
          <w:position w:val="9"/>
          <w:sz w:val="12"/>
        </w:rPr>
        <w:t>107 </w:t>
      </w:r>
      <w:r>
        <w:rPr>
          <w:rFonts w:ascii="Calibri" w:hAnsi="Calibri"/>
          <w:sz w:val="18"/>
        </w:rPr>
        <w:t>BUCKLEY, Tom, </w:t>
      </w:r>
      <w:r>
        <w:rPr>
          <w:rFonts w:ascii="Calibri" w:hAnsi="Calibri"/>
          <w:i/>
          <w:sz w:val="18"/>
        </w:rPr>
        <w:t>Vecinos Violentos</w:t>
      </w:r>
      <w:r>
        <w:rPr>
          <w:rFonts w:ascii="Calibri" w:hAnsi="Calibri"/>
          <w:sz w:val="18"/>
        </w:rPr>
        <w:t>, Edivisión, México, 1986, p. 268</w:t>
      </w:r>
    </w:p>
    <w:p>
      <w:pPr>
        <w:spacing w:line="235" w:lineRule="exact" w:before="0"/>
        <w:ind w:left="264" w:right="0" w:firstLine="0"/>
        <w:jc w:val="both"/>
        <w:rPr>
          <w:rFonts w:ascii="Calibri" w:hAnsi="Calibri"/>
          <w:sz w:val="18"/>
        </w:rPr>
      </w:pPr>
      <w:r>
        <w:rPr>
          <w:position w:val="9"/>
          <w:sz w:val="12"/>
        </w:rPr>
        <w:t>108 </w:t>
      </w:r>
      <w:r>
        <w:rPr>
          <w:rFonts w:ascii="Calibri" w:hAnsi="Calibri"/>
          <w:sz w:val="18"/>
        </w:rPr>
        <w:t>ROUQUIÉ, Alaín, ( coordinador ), </w:t>
      </w:r>
      <w:r>
        <w:rPr>
          <w:rFonts w:ascii="Calibri" w:hAnsi="Calibri"/>
          <w:i/>
          <w:sz w:val="18"/>
        </w:rPr>
        <w:t>Las fuerzas políticas en América Central</w:t>
      </w:r>
      <w:r>
        <w:rPr>
          <w:rFonts w:ascii="Calibri" w:hAnsi="Calibri"/>
          <w:sz w:val="18"/>
        </w:rPr>
        <w:t>, Fondo de Cultura Económica, México, 1994</w:t>
      </w:r>
    </w:p>
    <w:p>
      <w:pPr>
        <w:spacing w:after="0" w:line="235"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364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5"/>
        <w:jc w:val="both"/>
      </w:pPr>
      <w:r>
        <w:rPr/>
        <w:t>promovida por el gobierno de Estados Unidos, que comparte con la mayoría de los países de Centro América, como un espacio regulado y ordenado a partir de sus premisas imperialistas y de control para evitar en la segunda mitad del siglo XX la proliferación de los estados comunistas.</w:t>
      </w:r>
    </w:p>
    <w:p>
      <w:pPr>
        <w:pStyle w:val="BodyText"/>
        <w:spacing w:line="360" w:lineRule="auto" w:before="6"/>
        <w:ind w:left="684" w:right="116" w:firstLine="404"/>
        <w:jc w:val="both"/>
      </w:pPr>
      <w:r>
        <w:rPr/>
        <w:t>En materia de comunicaciones, en el caso de la radio, en Honduras comienza en 1928, cuando la compañía estadounidense Tela Railroad Company establece Tropical radio, la primera estación radial comercial en Honduras, HRN que comienza a transmitir a nivel nacional en 1933.</w:t>
      </w:r>
    </w:p>
    <w:p>
      <w:pPr>
        <w:pStyle w:val="BodyText"/>
      </w:pPr>
    </w:p>
    <w:p>
      <w:pPr>
        <w:pStyle w:val="Heading3"/>
        <w:spacing w:before="138"/>
        <w:ind w:left="684"/>
        <w:jc w:val="both"/>
        <w:rPr>
          <w:rFonts w:ascii="Arial" w:hAnsi="Arial"/>
        </w:rPr>
      </w:pPr>
      <w:r>
        <w:rPr>
          <w:rFonts w:ascii="Arial" w:hAnsi="Arial"/>
        </w:rPr>
        <w:t>Honduras: aspecto político – militar</w:t>
      </w:r>
    </w:p>
    <w:p>
      <w:pPr>
        <w:pStyle w:val="BodyText"/>
        <w:rPr>
          <w:b/>
        </w:rPr>
      </w:pPr>
    </w:p>
    <w:p>
      <w:pPr>
        <w:pStyle w:val="BodyText"/>
        <w:spacing w:before="4"/>
        <w:rPr>
          <w:b/>
        </w:rPr>
      </w:pPr>
    </w:p>
    <w:p>
      <w:pPr>
        <w:pStyle w:val="BodyText"/>
        <w:spacing w:line="360" w:lineRule="auto"/>
        <w:ind w:left="684" w:right="117" w:firstLine="271"/>
        <w:jc w:val="both"/>
      </w:pPr>
      <w:r>
        <w:rPr/>
        <w:t>El desarrollo de este Estado se vincula con un sistema bipartidista de liberales y conservadores, sin embargo las propuestas de ambos partidos y formas de gobierno son tan parecidas que parecieran ser un solo partido conservador. Su última guerra civil sucedió en 1924 y se considera que es hasta 1954 cuando Honduras entra al siglo XX. Ese año es el fin del período dictatorial de Tiburcio Carías que tomó el poder desde 1933 hasta 1948, y siguió gobernando atrás del poder de Juan Manuel Gálvez (1949 – 1954). “En ese lapso, el desarrollo del  país</w:t>
      </w:r>
    </w:p>
    <w:p>
      <w:pPr>
        <w:pStyle w:val="BodyText"/>
        <w:spacing w:line="282" w:lineRule="exact"/>
        <w:ind w:left="684"/>
        <w:jc w:val="both"/>
      </w:pPr>
      <w:r>
        <w:rPr/>
        <w:t>estuvo estancado y las libertades aplastadas bajo la bota militar”;</w:t>
      </w:r>
      <w:r>
        <w:rPr>
          <w:position w:val="11"/>
          <w:sz w:val="16"/>
        </w:rPr>
        <w:t>109  </w:t>
      </w:r>
      <w:r>
        <w:rPr/>
        <w:t>los </w:t>
      </w:r>
      <w:r>
        <w:rPr>
          <w:spacing w:val="50"/>
        </w:rPr>
        <w:t> </w:t>
      </w:r>
      <w:r>
        <w:rPr/>
        <w:t>principios</w:t>
      </w:r>
    </w:p>
    <w:p>
      <w:pPr>
        <w:pStyle w:val="BodyText"/>
        <w:spacing w:line="362" w:lineRule="auto" w:before="101"/>
        <w:ind w:left="684" w:right="118"/>
        <w:jc w:val="both"/>
      </w:pPr>
      <w:r>
        <w:rPr/>
        <w:t>de este gobierno eran “encierro, destierro o entierro”,</w:t>
      </w:r>
      <w:r>
        <w:rPr>
          <w:position w:val="11"/>
          <w:sz w:val="16"/>
        </w:rPr>
        <w:t>110 </w:t>
      </w:r>
      <w:r>
        <w:rPr/>
        <w:t>lo que refleja su política y su falta de respeto a las libertades individuales.</w:t>
      </w:r>
    </w:p>
    <w:p>
      <w:pPr>
        <w:pStyle w:val="BodyText"/>
        <w:spacing w:line="360" w:lineRule="auto"/>
        <w:ind w:left="684" w:right="116" w:firstLine="271"/>
        <w:jc w:val="both"/>
      </w:pPr>
      <w:r>
        <w:rPr/>
        <w:t>El estado hondureño se caracteriza por una gran presencia del gobierno de los militares. De 1954 a 1980 en Honduras solamente se realizaron dos elecciones potenciales; en 1954 el candidato del Partido Liberal, Villeda Morales, aventajó a sus opositores pero no logró la mayoría requerida constitucionalmente, el presidente interino Lozano Díaz se declaró Jefe Supremo del Estado y disolvió el Parlamento; en 1956 se da un golpe de Estado y se declara a Villeda como Presidente. En 1971 el Partido Nacional y el Partido Liberal de Honduras firmaron un</w:t>
      </w:r>
      <w:r>
        <w:rPr>
          <w:spacing w:val="56"/>
        </w:rPr>
        <w:t> </w:t>
      </w:r>
      <w:r>
        <w:rPr/>
        <w:t>Pacto</w:t>
      </w:r>
      <w:r>
        <w:rPr>
          <w:spacing w:val="60"/>
        </w:rPr>
        <w:t> </w:t>
      </w:r>
      <w:r>
        <w:rPr/>
        <w:t>de</w:t>
      </w:r>
      <w:r>
        <w:rPr>
          <w:spacing w:val="56"/>
        </w:rPr>
        <w:t> </w:t>
      </w:r>
      <w:r>
        <w:rPr/>
        <w:t>Unidad</w:t>
      </w:r>
      <w:r>
        <w:rPr>
          <w:spacing w:val="60"/>
        </w:rPr>
        <w:t> </w:t>
      </w:r>
      <w:r>
        <w:rPr/>
        <w:t>para</w:t>
      </w:r>
      <w:r>
        <w:rPr>
          <w:spacing w:val="56"/>
        </w:rPr>
        <w:t> </w:t>
      </w:r>
      <w:r>
        <w:rPr/>
        <w:t>convocar</w:t>
      </w:r>
      <w:r>
        <w:rPr>
          <w:spacing w:val="62"/>
        </w:rPr>
        <w:t> </w:t>
      </w:r>
      <w:r>
        <w:rPr/>
        <w:t>a</w:t>
      </w:r>
      <w:r>
        <w:rPr>
          <w:spacing w:val="56"/>
        </w:rPr>
        <w:t> </w:t>
      </w:r>
      <w:r>
        <w:rPr/>
        <w:t>nuevas</w:t>
      </w:r>
      <w:r>
        <w:rPr>
          <w:spacing w:val="58"/>
        </w:rPr>
        <w:t> </w:t>
      </w:r>
      <w:r>
        <w:rPr/>
        <w:t>elecciones.</w:t>
      </w:r>
      <w:r>
        <w:rPr>
          <w:spacing w:val="59"/>
        </w:rPr>
        <w:t> </w:t>
      </w:r>
      <w:r>
        <w:rPr/>
        <w:t>Es</w:t>
      </w:r>
      <w:r>
        <w:rPr>
          <w:spacing w:val="58"/>
        </w:rPr>
        <w:t> </w:t>
      </w:r>
      <w:r>
        <w:rPr/>
        <w:t>el</w:t>
      </w:r>
      <w:r>
        <w:rPr>
          <w:spacing w:val="57"/>
        </w:rPr>
        <w:t> </w:t>
      </w:r>
      <w:r>
        <w:rPr/>
        <w:t>candidato</w:t>
      </w:r>
      <w:r>
        <w:rPr>
          <w:spacing w:val="56"/>
        </w:rPr>
        <w:t> </w:t>
      </w:r>
      <w:r>
        <w:rPr/>
        <w:t>del</w:t>
      </w:r>
    </w:p>
    <w:p>
      <w:pPr>
        <w:pStyle w:val="BodyText"/>
        <w:rPr>
          <w:sz w:val="20"/>
        </w:rPr>
      </w:pPr>
    </w:p>
    <w:p>
      <w:pPr>
        <w:pStyle w:val="BodyText"/>
        <w:spacing w:before="6"/>
      </w:pPr>
      <w:r>
        <w:rPr/>
        <w:pict>
          <v:line style="position:absolute;mso-position-horizontal-relative:page;mso-position-vertical-relative:paragraph;z-index:3616;mso-wrap-distance-left:0;mso-wrap-distance-right:0" from="99.224998pt,16.349861pt" to="243.274998pt,16.349861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109 </w:t>
      </w:r>
      <w:r>
        <w:rPr>
          <w:rFonts w:ascii="Calibri" w:hAnsi="Calibri"/>
          <w:i/>
          <w:sz w:val="18"/>
        </w:rPr>
        <w:t>Ibíd</w:t>
      </w:r>
      <w:r>
        <w:rPr>
          <w:rFonts w:ascii="Calibri" w:hAnsi="Calibri"/>
          <w:sz w:val="18"/>
        </w:rPr>
        <w:t>., p. 147</w:t>
      </w:r>
    </w:p>
    <w:p>
      <w:pPr>
        <w:spacing w:line="236" w:lineRule="exact" w:before="0"/>
        <w:ind w:left="684" w:right="114" w:firstLine="0"/>
        <w:jc w:val="left"/>
        <w:rPr>
          <w:rFonts w:ascii="Calibri" w:hAnsi="Calibri"/>
          <w:i/>
          <w:sz w:val="18"/>
        </w:rPr>
      </w:pPr>
      <w:r>
        <w:rPr>
          <w:rFonts w:ascii="Calibri" w:hAnsi="Calibri"/>
          <w:position w:val="9"/>
          <w:sz w:val="12"/>
        </w:rPr>
        <w:t>110 </w:t>
      </w:r>
      <w:r>
        <w:rPr>
          <w:rFonts w:ascii="Calibri" w:hAnsi="Calibri"/>
          <w:i/>
          <w:sz w:val="18"/>
        </w:rPr>
        <w:t>Ídem.</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368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right="222"/>
        <w:jc w:val="both"/>
      </w:pPr>
      <w:r>
        <w:rPr/>
        <w:t>Partido Nacional, Ramón Ernesto Cruz, quien ganó la contienda electoral, sin embargo su gobierno terminó en 1972, una vez más, por un golpe de estado.</w:t>
      </w:r>
    </w:p>
    <w:p>
      <w:pPr>
        <w:pStyle w:val="BodyText"/>
        <w:spacing w:line="355" w:lineRule="auto" w:before="8"/>
        <w:ind w:left="264" w:right="213" w:firstLine="271"/>
        <w:jc w:val="both"/>
      </w:pPr>
      <w:r>
        <w:rPr/>
        <w:t>El General López Arellano, en el poder desde 1963 promovió la celebración de elecciones, pero el descontento popular había aumentado después de </w:t>
      </w:r>
      <w:r>
        <w:rPr>
          <w:i/>
        </w:rPr>
        <w:t>la guerra </w:t>
      </w:r>
      <w:r>
        <w:rPr>
          <w:i/>
        </w:rPr>
        <w:t>del fútbol</w:t>
      </w:r>
      <w:r>
        <w:rPr/>
        <w:t>, </w:t>
      </w:r>
      <w:r>
        <w:rPr>
          <w:position w:val="11"/>
          <w:sz w:val="16"/>
        </w:rPr>
        <w:t>111 </w:t>
      </w:r>
      <w:r>
        <w:rPr/>
        <w:t>y en 1972 López Arellano derrocó a su sucesor. Dos años más tarde el dictador es acusado de estar implicado en un soborno de la United Brands (sucesora de la United Fruit), y es derrocado por las Fuerzas Armadas que apoyaron al coronel Juan Alberto Melgar Castro, y con un </w:t>
      </w:r>
      <w:r>
        <w:rPr>
          <w:i/>
        </w:rPr>
        <w:t>conocido </w:t>
      </w:r>
      <w:r>
        <w:rPr/>
        <w:t>golpe de estado toman el</w:t>
      </w:r>
      <w:r>
        <w:rPr>
          <w:spacing w:val="-16"/>
        </w:rPr>
        <w:t> </w:t>
      </w:r>
      <w:r>
        <w:rPr/>
        <w:t>poder.</w:t>
      </w:r>
    </w:p>
    <w:p>
      <w:pPr>
        <w:pStyle w:val="BodyText"/>
        <w:spacing w:line="360" w:lineRule="auto" w:before="7"/>
        <w:ind w:left="264" w:right="215" w:firstLine="336"/>
        <w:jc w:val="both"/>
      </w:pPr>
      <w:r>
        <w:rPr/>
        <w:t>Melgar Castro inició un programa de reformas. Tres años más tarde es destituido también por un golpe de estado, dirigido por el General Policarpo Paz García, quien asume el poder en 1978. Durante este gobierno, de fines de la década de los 70’s y durante 1980, se presentó el problema de la inestabilidad política de sus países vecinos (el movimiento Sandinista y la guerrilla en El Salvador),  acontecimiento  que  llevó  a  Honduras  a  una  alianza  con Anastasio</w:t>
      </w:r>
    </w:p>
    <w:p>
      <w:pPr>
        <w:pStyle w:val="BodyText"/>
        <w:spacing w:line="350" w:lineRule="auto" w:before="2"/>
        <w:ind w:left="264" w:right="217"/>
        <w:jc w:val="both"/>
      </w:pPr>
      <w:r>
        <w:rPr/>
        <w:t>Somoza, dictador de Nicaragua; permitiendo que en Honduras se estableciera una base de la contra-nicaragüense,</w:t>
      </w:r>
      <w:r>
        <w:rPr>
          <w:position w:val="11"/>
          <w:sz w:val="16"/>
        </w:rPr>
        <w:t>112 </w:t>
      </w:r>
      <w:r>
        <w:rPr/>
        <w:t>promoviendo al mismo tiempo una alianza con Colombia para bloquear por mar el movimiento nicaragüense. Con la aprobación y apoyo del gobierno de Estados Unidos.</w:t>
      </w:r>
    </w:p>
    <w:p>
      <w:pPr>
        <w:pStyle w:val="BodyText"/>
      </w:pPr>
    </w:p>
    <w:p>
      <w:pPr>
        <w:spacing w:line="240" w:lineRule="auto" w:before="151"/>
        <w:ind w:left="973" w:right="211" w:firstLine="0"/>
        <w:jc w:val="both"/>
        <w:rPr>
          <w:sz w:val="22"/>
        </w:rPr>
      </w:pPr>
      <w:r>
        <w:rPr>
          <w:sz w:val="22"/>
        </w:rPr>
        <w:t>La idea de un bloqueo naval a Nicaragua había sido defendida en 1981 por el Secretario de Estado norteamericano, el General Alexander Haig, pero no había prosperado por </w:t>
      </w:r>
      <w:r>
        <w:rPr>
          <w:spacing w:val="-3"/>
          <w:sz w:val="22"/>
        </w:rPr>
        <w:t>la </w:t>
      </w:r>
      <w:r>
        <w:rPr>
          <w:sz w:val="22"/>
        </w:rPr>
        <w:t>oposición del Director de </w:t>
      </w:r>
      <w:r>
        <w:rPr>
          <w:spacing w:val="-3"/>
          <w:sz w:val="22"/>
        </w:rPr>
        <w:t>la </w:t>
      </w:r>
      <w:r>
        <w:rPr>
          <w:sz w:val="22"/>
        </w:rPr>
        <w:t>CIA William Casey. La idea de un bloqueo también había sido defendida por el presidente colombiano, Turbay Ayala, en marzo de 1982, cuando propuso </w:t>
      </w:r>
      <w:r>
        <w:rPr>
          <w:spacing w:val="-3"/>
          <w:sz w:val="22"/>
        </w:rPr>
        <w:t>la </w:t>
      </w:r>
      <w:r>
        <w:rPr>
          <w:sz w:val="22"/>
        </w:rPr>
        <w:t>creación de una “fuerza naval interamericana para bloquear </w:t>
      </w:r>
      <w:r>
        <w:rPr>
          <w:spacing w:val="-3"/>
          <w:sz w:val="22"/>
        </w:rPr>
        <w:t>la </w:t>
      </w:r>
      <w:r>
        <w:rPr>
          <w:sz w:val="22"/>
        </w:rPr>
        <w:t>transferencia de armas de Cuba y Nicaragua a El Salvador”. Independientemente de estos planes, entre julio y septiembre de  </w:t>
      </w:r>
      <w:r>
        <w:rPr>
          <w:spacing w:val="37"/>
          <w:sz w:val="22"/>
        </w:rPr>
        <w:t> </w:t>
      </w:r>
      <w:r>
        <w:rPr>
          <w:sz w:val="22"/>
        </w:rPr>
        <w:t>1983</w:t>
      </w:r>
    </w:p>
    <w:p>
      <w:pPr>
        <w:pStyle w:val="BodyText"/>
        <w:spacing w:before="3"/>
        <w:rPr>
          <w:sz w:val="10"/>
        </w:rPr>
      </w:pPr>
      <w:r>
        <w:rPr/>
        <w:pict>
          <v:line style="position:absolute;mso-position-horizontal-relative:page;mso-position-vertical-relative:paragraph;z-index:3664;mso-wrap-distance-left:0;mso-wrap-distance-right:0" from="99.224998pt,8.16892pt" to="243.274998pt,8.16892pt" stroked="true" strokeweight=".60004pt" strokecolor="#000000">
            <w10:wrap type="topAndBottom"/>
          </v:line>
        </w:pict>
      </w:r>
    </w:p>
    <w:p>
      <w:pPr>
        <w:tabs>
          <w:tab w:pos="1296" w:val="left" w:leader="none"/>
          <w:tab w:pos="2087" w:val="left" w:leader="none"/>
          <w:tab w:pos="2735" w:val="left" w:leader="none"/>
          <w:tab w:pos="3613" w:val="left" w:leader="none"/>
          <w:tab w:pos="4316" w:val="left" w:leader="none"/>
          <w:tab w:pos="5187" w:val="left" w:leader="none"/>
          <w:tab w:pos="6271" w:val="left" w:leader="none"/>
          <w:tab w:pos="7650" w:val="left" w:leader="none"/>
          <w:tab w:pos="8868" w:val="left" w:leader="none"/>
        </w:tabs>
        <w:spacing w:before="48"/>
        <w:ind w:left="264" w:right="213" w:firstLine="0"/>
        <w:jc w:val="both"/>
        <w:rPr>
          <w:rFonts w:ascii="Calibri" w:hAnsi="Calibri"/>
          <w:sz w:val="18"/>
        </w:rPr>
      </w:pPr>
      <w:r>
        <w:rPr>
          <w:position w:val="9"/>
          <w:sz w:val="12"/>
        </w:rPr>
        <w:t>111 </w:t>
      </w:r>
      <w:r>
        <w:rPr>
          <w:rFonts w:ascii="Calibri" w:hAnsi="Calibri"/>
          <w:sz w:val="18"/>
        </w:rPr>
        <w:t>Véase: ARIEH Gerstein, Jorge, “El conflicto entre Honduras y el Salvador: Análisis de sus causas”, </w:t>
      </w:r>
      <w:r>
        <w:rPr>
          <w:rFonts w:ascii="Calibri" w:hAnsi="Calibri"/>
          <w:i/>
          <w:sz w:val="18"/>
        </w:rPr>
        <w:t>El Colegio de  </w:t>
      </w:r>
      <w:r>
        <w:rPr>
          <w:rFonts w:ascii="Calibri" w:hAnsi="Calibri"/>
          <w:i/>
          <w:sz w:val="18"/>
        </w:rPr>
        <w:t>México</w:t>
      </w:r>
      <w:r>
        <w:rPr>
          <w:rFonts w:ascii="Calibri" w:hAnsi="Calibri"/>
          <w:sz w:val="18"/>
        </w:rPr>
        <w:t>,</w:t>
        <w:tab/>
        <w:t>Julio</w:t>
        <w:tab/>
        <w:t>de</w:t>
        <w:tab/>
        <w:t>1970,</w:t>
        <w:tab/>
        <w:t>[en</w:t>
        <w:tab/>
        <w:t>línea]</w:t>
        <w:tab/>
        <w:t>consulta</w:t>
        <w:tab/>
        <w:t>24/07/2012,</w:t>
        <w:tab/>
        <w:t>disponible</w:t>
        <w:tab/>
        <w:t>en: </w:t>
      </w:r>
      <w:r>
        <w:rPr>
          <w:rFonts w:ascii="Calibri" w:hAnsi="Calibri"/>
          <w:color w:val="0000FF"/>
          <w:sz w:val="18"/>
          <w:u w:val="single" w:color="0000FF"/>
        </w:rPr>
        <w:t>http://codex.colmex.mx:8991/exlibris/aleph/a18_1/apache_media/1SGS3QERMRRSVXTXBY6BGQV33155PM.pdf</w:t>
      </w:r>
      <w:r>
        <w:rPr>
          <w:rFonts w:ascii="Calibri" w:hAnsi="Calibri"/>
          <w:sz w:val="18"/>
        </w:rPr>
        <w:t>.</w:t>
      </w:r>
    </w:p>
    <w:p>
      <w:pPr>
        <w:spacing w:line="272" w:lineRule="exact" w:before="0"/>
        <w:ind w:left="264" w:right="0" w:firstLine="0"/>
        <w:jc w:val="both"/>
        <w:rPr>
          <w:rFonts w:ascii="Calibri" w:hAnsi="Calibri"/>
          <w:sz w:val="18"/>
        </w:rPr>
      </w:pPr>
      <w:r>
        <w:rPr>
          <w:rFonts w:ascii="Times New Roman" w:hAnsi="Times New Roman"/>
          <w:position w:val="11"/>
          <w:sz w:val="16"/>
        </w:rPr>
        <w:t>112  </w:t>
      </w:r>
      <w:r>
        <w:rPr>
          <w:rFonts w:ascii="Times New Roman" w:hAnsi="Times New Roman"/>
          <w:sz w:val="24"/>
        </w:rPr>
        <w:t>“</w:t>
      </w:r>
      <w:r>
        <w:rPr>
          <w:rFonts w:ascii="Calibri" w:hAnsi="Calibri"/>
          <w:sz w:val="18"/>
        </w:rPr>
        <w:t>Durante años, una de las acusaciones más persistentes de la Administración Reagan contra Nicaragua se  concreta</w:t>
      </w:r>
    </w:p>
    <w:p>
      <w:pPr>
        <w:spacing w:before="5"/>
        <w:ind w:left="264" w:right="214" w:firstLine="0"/>
        <w:jc w:val="both"/>
        <w:rPr>
          <w:rFonts w:ascii="Calibri" w:hAnsi="Calibri"/>
          <w:sz w:val="18"/>
        </w:rPr>
      </w:pPr>
      <w:r>
        <w:rPr>
          <w:rFonts w:ascii="Calibri" w:hAnsi="Calibri"/>
          <w:sz w:val="18"/>
        </w:rPr>
        <w:t>en la fórmula: "Nicaragua es otra Cuba". De aquí se sacan las consecuencias y se han diseñado las estrategias tanto retóricas como militares. Estas últimas tienen su punto más clave en la militarización de Honduras. La Administración Reagan trata, en respuesta, de hacer de Honduras "otra Nicaragua" (como era la incondicional Nicaragua somocista, sólo que enormemente más equipada para una guerra de "contención contrainsurgente"). La tendencia principal ha consistido en preparar en Honduras, a través de maniobras casi permanentes, una infraestructura militar complementaria de la base norteamericana en el Canal de Panamá”. Revista </w:t>
      </w:r>
      <w:r>
        <w:rPr>
          <w:rFonts w:ascii="Calibri" w:hAnsi="Calibri"/>
          <w:i/>
          <w:sz w:val="18"/>
        </w:rPr>
        <w:t>Envío</w:t>
      </w:r>
      <w:r>
        <w:rPr>
          <w:rFonts w:ascii="Calibri" w:hAnsi="Calibri"/>
          <w:sz w:val="18"/>
        </w:rPr>
        <w:t>, NO. 35, (1984) Honduras: militarización y desnacionalización, [en línea], consulta 16/03/2011, disponible en: </w:t>
      </w:r>
      <w:hyperlink r:id="rId51">
        <w:r>
          <w:rPr>
            <w:rFonts w:ascii="Calibri" w:hAnsi="Calibri"/>
            <w:color w:val="0000FF"/>
            <w:sz w:val="18"/>
            <w:u w:val="single" w:color="0000FF"/>
          </w:rPr>
          <w:t>http://www.envio.org.ni/articulo/2653</w:t>
        </w:r>
        <w:r>
          <w:rPr>
            <w:rFonts w:ascii="Calibri" w:hAnsi="Calibri"/>
            <w:sz w:val="18"/>
          </w:rPr>
          <w:t>.</w:t>
        </w:r>
      </w:hyperlink>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373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68" w:lineRule="exact" w:before="64"/>
        <w:ind w:left="1393" w:right="125" w:firstLine="0"/>
        <w:jc w:val="both"/>
        <w:rPr>
          <w:sz w:val="16"/>
        </w:rPr>
      </w:pPr>
      <w:r>
        <w:rPr>
          <w:sz w:val="22"/>
        </w:rPr>
        <w:t>Estados Unidos ejecutó las primeras maniobras militares en aguas de los océanos Atlántico y Pacífico, cuyo objetivo era un bloqueo naval en Centroamérica. </w:t>
      </w:r>
      <w:r>
        <w:rPr>
          <w:position w:val="11"/>
          <w:sz w:val="16"/>
        </w:rPr>
        <w:t>113</w:t>
      </w:r>
    </w:p>
    <w:p>
      <w:pPr>
        <w:pStyle w:val="BodyText"/>
        <w:spacing w:before="3"/>
        <w:rPr>
          <w:sz w:val="36"/>
        </w:rPr>
      </w:pPr>
    </w:p>
    <w:p>
      <w:pPr>
        <w:pStyle w:val="BodyText"/>
        <w:spacing w:line="360" w:lineRule="auto"/>
        <w:ind w:left="684" w:right="117"/>
        <w:jc w:val="both"/>
      </w:pPr>
      <w:r>
        <w:rPr/>
        <w:t>Una vez ocurrido el derrocamiento de Somoza en 1979, en medio de una fuerte inestabilidad, y ajustado problemas con otro vecino, El Salvador, los militares hondureños que hasta entonces gobernaban con mano de hierro, plantearon proyectos para restituir el país a la democracia, restableciendo relaciones diplomáticas con los países limítrofes. El 30 de octubre de 1980 Honduras firmó en Lima un tratado de paz con el Salvador que puso fin a once años de hostilidades.</w:t>
      </w:r>
    </w:p>
    <w:p>
      <w:pPr>
        <w:pStyle w:val="BodyText"/>
      </w:pPr>
    </w:p>
    <w:p>
      <w:pPr>
        <w:pStyle w:val="Heading3"/>
        <w:spacing w:before="138"/>
        <w:ind w:left="684"/>
        <w:jc w:val="both"/>
        <w:rPr>
          <w:rFonts w:ascii="Arial" w:hAnsi="Arial"/>
        </w:rPr>
      </w:pPr>
      <w:r>
        <w:rPr>
          <w:rFonts w:ascii="Arial" w:hAnsi="Arial"/>
        </w:rPr>
        <w:t>Honduras en la década de los 80's</w:t>
      </w:r>
    </w:p>
    <w:p>
      <w:pPr>
        <w:pStyle w:val="BodyText"/>
        <w:rPr>
          <w:b/>
        </w:rPr>
      </w:pPr>
    </w:p>
    <w:p>
      <w:pPr>
        <w:pStyle w:val="BodyText"/>
        <w:spacing w:before="4"/>
        <w:rPr>
          <w:b/>
        </w:rPr>
      </w:pPr>
    </w:p>
    <w:p>
      <w:pPr>
        <w:pStyle w:val="BodyText"/>
        <w:spacing w:line="355" w:lineRule="auto"/>
        <w:ind w:left="684" w:right="119" w:firstLine="204"/>
        <w:jc w:val="both"/>
        <w:rPr>
          <w:sz w:val="16"/>
        </w:rPr>
      </w:pPr>
      <w:r>
        <w:rPr/>
        <w:t>En el aspecto económico entre 1980 y 1990, el Producto Interno Bruto por habitante disminuyó en -0.9%y en los noventas apenas subió a 0.4%, estimándose para 1999 también un decrecimiento de -3%. Lo que demuestra que la población perdió bienestar. La población mantuvo una tasa de crecimiento medio anual alrededor del 3%, siendo la urbana la de mayor expansión. Ya que la población urbana pasó de un 36% en 1980, a un 49.4% para 1997.</w:t>
      </w:r>
      <w:r>
        <w:rPr>
          <w:position w:val="11"/>
          <w:sz w:val="16"/>
        </w:rPr>
        <w:t>114</w:t>
      </w:r>
    </w:p>
    <w:p>
      <w:pPr>
        <w:pStyle w:val="BodyText"/>
        <w:spacing w:before="4"/>
        <w:rPr>
          <w:sz w:val="35"/>
        </w:rPr>
      </w:pPr>
    </w:p>
    <w:p>
      <w:pPr>
        <w:spacing w:line="237" w:lineRule="auto" w:before="0"/>
        <w:ind w:left="1393" w:right="116" w:firstLine="0"/>
        <w:jc w:val="both"/>
        <w:rPr>
          <w:sz w:val="14"/>
        </w:rPr>
      </w:pPr>
      <w:r>
        <w:rPr>
          <w:sz w:val="22"/>
        </w:rPr>
        <w:t>El gasto social por habitante era de US$ 60.00 en el bienio 1996-97, en tanto que en América Latina el gasto social per cápita era de US$ 457.00 en </w:t>
      </w:r>
      <w:r>
        <w:rPr>
          <w:spacing w:val="-3"/>
          <w:sz w:val="22"/>
        </w:rPr>
        <w:t>la </w:t>
      </w:r>
      <w:r>
        <w:rPr>
          <w:sz w:val="22"/>
        </w:rPr>
        <w:t>última década. En cuanto a </w:t>
      </w:r>
      <w:r>
        <w:rPr>
          <w:spacing w:val="-3"/>
          <w:sz w:val="22"/>
        </w:rPr>
        <w:t>la </w:t>
      </w:r>
      <w:r>
        <w:rPr>
          <w:sz w:val="22"/>
        </w:rPr>
        <w:t>evolución del gasto social per cápita a largo plazo en Honduras presenta cifras similares al período 1980-81, es decir en las últimas dos décadas el crecimiento ha sido nulo. (Informe sobre Desarrollo Humano, Honduras 1999). Esta baja inversión social se refleja en los altos índices de desnutrición infantil (en promedio de 42% en 1997 no muy diferente que en 1986, 41%); una escolaridad promedio de apenas 4.74 años y un analfabetismo de 33% en promedio, solo para mencionar algunos</w:t>
      </w:r>
      <w:r>
        <w:rPr>
          <w:spacing w:val="-29"/>
          <w:sz w:val="22"/>
        </w:rPr>
        <w:t> </w:t>
      </w:r>
      <w:r>
        <w:rPr>
          <w:sz w:val="22"/>
        </w:rPr>
        <w:t>indicadores.</w:t>
      </w:r>
      <w:r>
        <w:rPr>
          <w:position w:val="10"/>
          <w:sz w:val="14"/>
        </w:rPr>
        <w:t>115</w:t>
      </w:r>
    </w:p>
    <w:p>
      <w:pPr>
        <w:pStyle w:val="BodyText"/>
        <w:spacing w:before="2"/>
        <w:rPr>
          <w:sz w:val="36"/>
        </w:rPr>
      </w:pPr>
    </w:p>
    <w:p>
      <w:pPr>
        <w:pStyle w:val="BodyText"/>
        <w:spacing w:line="360" w:lineRule="auto"/>
        <w:ind w:left="684" w:right="118" w:firstLine="336"/>
        <w:jc w:val="both"/>
      </w:pPr>
      <w:r>
        <w:rPr/>
        <w:t>En materia política se instaló una asamblea constituyente en abril de 1980 y las elecciones generales fueron celebradas en noviembre de 1981. Se aprobó una reforma a la constitución en 1982; el candidato del Partido Liberal, Roberto  Suazo</w:t>
      </w:r>
    </w:p>
    <w:p>
      <w:pPr>
        <w:pStyle w:val="BodyText"/>
        <w:spacing w:before="2"/>
        <w:rPr>
          <w:sz w:val="12"/>
        </w:rPr>
      </w:pPr>
      <w:r>
        <w:rPr/>
        <w:pict>
          <v:line style="position:absolute;mso-position-horizontal-relative:page;mso-position-vertical-relative:paragraph;z-index:3712;mso-wrap-distance-left:0;mso-wrap-distance-right:0" from="99.224998pt,9.283893pt" to="243.274998pt,9.283893pt" stroked="true" strokeweight=".60004pt" strokecolor="#000000">
            <w10:wrap type="topAndBottom"/>
          </v:line>
        </w:pict>
      </w:r>
    </w:p>
    <w:p>
      <w:pPr>
        <w:spacing w:before="48"/>
        <w:ind w:left="684" w:right="114" w:firstLine="0"/>
        <w:jc w:val="left"/>
        <w:rPr>
          <w:rFonts w:ascii="Calibri" w:hAnsi="Calibri"/>
          <w:sz w:val="18"/>
        </w:rPr>
      </w:pPr>
      <w:r>
        <w:rPr>
          <w:position w:val="9"/>
          <w:sz w:val="12"/>
        </w:rPr>
        <w:t>113</w:t>
      </w:r>
      <w:r>
        <w:rPr>
          <w:rFonts w:ascii="Calibri" w:hAnsi="Calibri"/>
          <w:sz w:val="18"/>
        </w:rPr>
        <w:t>ZAMORA, Augusto, </w:t>
      </w:r>
      <w:r>
        <w:rPr>
          <w:rFonts w:ascii="Calibri" w:hAnsi="Calibri"/>
          <w:i/>
          <w:sz w:val="18"/>
        </w:rPr>
        <w:t>“</w:t>
      </w:r>
      <w:r>
        <w:rPr>
          <w:rFonts w:ascii="Calibri" w:hAnsi="Calibri"/>
          <w:sz w:val="18"/>
        </w:rPr>
        <w:t>Conflicto Honduras-Nicaragua: Claves necesarias”</w:t>
      </w:r>
      <w:r>
        <w:rPr>
          <w:rFonts w:ascii="Calibri" w:hAnsi="Calibri"/>
          <w:i/>
          <w:sz w:val="18"/>
        </w:rPr>
        <w:t>, Revista Envío</w:t>
      </w:r>
      <w:r>
        <w:rPr>
          <w:rFonts w:ascii="Calibri" w:hAnsi="Calibri"/>
          <w:sz w:val="18"/>
        </w:rPr>
        <w:t>, [en línea] Consulta 08/02/2011, disponible en: </w:t>
      </w:r>
      <w:hyperlink r:id="rId52">
        <w:r>
          <w:rPr>
            <w:rFonts w:ascii="Calibri" w:hAnsi="Calibri"/>
            <w:color w:val="0000FF"/>
            <w:sz w:val="18"/>
            <w:u w:val="single" w:color="0000FF"/>
          </w:rPr>
          <w:t>http://www.envio.org.ni/articulo/987</w:t>
        </w:r>
        <w:r>
          <w:rPr>
            <w:rFonts w:ascii="Calibri" w:hAnsi="Calibri"/>
            <w:sz w:val="18"/>
          </w:rPr>
          <w:t>.</w:t>
        </w:r>
      </w:hyperlink>
    </w:p>
    <w:p>
      <w:pPr>
        <w:spacing w:line="204" w:lineRule="exact" w:before="0"/>
        <w:ind w:left="684" w:right="114" w:firstLine="0"/>
        <w:jc w:val="left"/>
        <w:rPr>
          <w:rFonts w:ascii="Calibri" w:hAnsi="Calibri"/>
          <w:i/>
          <w:sz w:val="18"/>
        </w:rPr>
      </w:pPr>
      <w:r>
        <w:rPr>
          <w:rFonts w:ascii="Calibri" w:hAnsi="Calibri"/>
          <w:position w:val="9"/>
          <w:sz w:val="12"/>
        </w:rPr>
        <w:t>114 </w:t>
      </w:r>
      <w:r>
        <w:rPr>
          <w:rFonts w:ascii="Calibri" w:hAnsi="Calibri"/>
          <w:i/>
          <w:sz w:val="18"/>
        </w:rPr>
        <w:t>Ídem.</w:t>
      </w:r>
    </w:p>
    <w:p>
      <w:pPr>
        <w:spacing w:line="220" w:lineRule="exact" w:before="12"/>
        <w:ind w:left="684" w:right="114" w:firstLine="0"/>
        <w:jc w:val="left"/>
        <w:rPr>
          <w:rFonts w:ascii="Calibri" w:hAnsi="Calibri"/>
          <w:sz w:val="18"/>
        </w:rPr>
      </w:pPr>
      <w:r>
        <w:rPr>
          <w:rFonts w:ascii="Calibri" w:hAnsi="Calibri"/>
          <w:position w:val="9"/>
          <w:sz w:val="12"/>
        </w:rPr>
        <w:t>115 </w:t>
      </w:r>
      <w:r>
        <w:rPr>
          <w:rFonts w:ascii="Calibri" w:hAnsi="Calibri"/>
          <w:sz w:val="18"/>
        </w:rPr>
        <w:t>FALCK, Mayra y Díaz Arrivillaga, Efraín, </w:t>
      </w:r>
      <w:r>
        <w:rPr>
          <w:rFonts w:ascii="Calibri" w:hAnsi="Calibri"/>
          <w:i/>
          <w:sz w:val="18"/>
        </w:rPr>
        <w:t>“</w:t>
      </w:r>
      <w:r>
        <w:rPr>
          <w:rFonts w:ascii="Calibri" w:hAnsi="Calibri"/>
          <w:sz w:val="18"/>
        </w:rPr>
        <w:t>Equidad y Pobreza Rural en Honduras. Realidad y Propuestas”</w:t>
      </w:r>
      <w:r>
        <w:rPr>
          <w:rFonts w:ascii="Calibri" w:hAnsi="Calibri"/>
          <w:i/>
          <w:sz w:val="18"/>
        </w:rPr>
        <w:t>, [</w:t>
      </w:r>
      <w:r>
        <w:rPr>
          <w:rFonts w:ascii="Calibri" w:hAnsi="Calibri"/>
          <w:sz w:val="18"/>
        </w:rPr>
        <w:t>en línea], consulta 24/04/2012, disponible en: </w:t>
      </w:r>
      <w:hyperlink r:id="rId53">
        <w:r>
          <w:rPr>
            <w:rFonts w:ascii="Calibri" w:hAnsi="Calibri"/>
            <w:color w:val="0000FF"/>
            <w:sz w:val="18"/>
            <w:u w:val="single" w:color="0000FF"/>
          </w:rPr>
          <w:t>http://www.mayra-falck.rds.hn/doc/enfoquedesarrollorural/equidad_pobreza.pdf</w:t>
        </w:r>
        <w:r>
          <w:rPr>
            <w:rFonts w:ascii="Calibri" w:hAnsi="Calibri"/>
            <w:sz w:val="18"/>
          </w:rPr>
          <w:t>.</w:t>
        </w:r>
      </w:hyperlink>
    </w:p>
    <w:p>
      <w:pPr>
        <w:spacing w:before="4"/>
        <w:ind w:left="684" w:right="114" w:firstLine="0"/>
        <w:jc w:val="left"/>
        <w:rPr>
          <w:rFonts w:ascii="Calibri"/>
          <w:sz w:val="18"/>
        </w:rPr>
      </w:pPr>
      <w:r>
        <w:rPr>
          <w:rFonts w:ascii="Calibri"/>
          <w:sz w:val="18"/>
        </w:rPr>
        <w:t>p. 5</w:t>
      </w:r>
    </w:p>
    <w:p>
      <w:pPr>
        <w:spacing w:after="0"/>
        <w:jc w:val="left"/>
        <w:rPr>
          <w:rFonts w:asci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378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0" w:lineRule="auto" w:before="70"/>
        <w:ind w:left="264" w:right="213"/>
        <w:jc w:val="both"/>
      </w:pPr>
      <w:r>
        <w:rPr/>
        <w:t>Córdoba ganó las elecciones. No obstante en este período Honduras inició una etapa en que “las Fuerzas Armadas marcarían a fuego de armas uno de sus períodos históricos más sangrientos. Un período en que los militares tomaron decisiones  políticas  y  administrativas  en  varias  instituciones  del  Estado”.</w:t>
      </w:r>
      <w:r>
        <w:rPr>
          <w:position w:val="11"/>
          <w:sz w:val="16"/>
        </w:rPr>
        <w:t>116 </w:t>
      </w:r>
      <w:r>
        <w:rPr/>
        <w:t>El</w:t>
      </w:r>
    </w:p>
    <w:p>
      <w:pPr>
        <w:pStyle w:val="BodyText"/>
        <w:spacing w:line="360" w:lineRule="auto"/>
        <w:ind w:left="264" w:right="217"/>
        <w:jc w:val="both"/>
      </w:pPr>
      <w:r>
        <w:rPr/>
        <w:t>mismo Suazo Córdoba aceptó ya lejos del poder que </w:t>
      </w:r>
      <w:r>
        <w:rPr>
          <w:i/>
        </w:rPr>
        <w:t>sólo fue una figura </w:t>
      </w:r>
      <w:r>
        <w:rPr>
          <w:i/>
        </w:rPr>
        <w:t>decorativa</w:t>
      </w:r>
      <w:r>
        <w:rPr/>
        <w:t>, decía. Esta etapa se caracteriza además, porque las fuerzas armadas gozaban de altos privilegios y altos presupuestos; cometían abusos de autoridad, detenciones ilegales, desapariciones de opositores políticos, control de las comunicaciones, reclutamientos forzosos, pactos de silencio y complicidad o chantaje con los partidos políticos.</w:t>
      </w:r>
    </w:p>
    <w:p>
      <w:pPr>
        <w:pStyle w:val="BodyText"/>
        <w:spacing w:line="360" w:lineRule="auto" w:before="6"/>
        <w:ind w:left="264" w:right="217" w:firstLine="336"/>
        <w:jc w:val="both"/>
      </w:pPr>
      <w:r>
        <w:rPr/>
        <w:t>Los jefes militares tenían facultades para opinar en materia de política exterior, economía política, ciencias sociales, ciencias naturales, negocios e inversiones y resolvían “pacíficamente” los conflictos sociales y políticos del país. En los batallones se firmaban los pactos de caballeros, a la vez que del Estado Mayor salían las partes concertadas, enfocadas por el cañón de los fusiles, involucrándose en todos los ámbitos de la vida política y económica del país. Colocándoles en un estado de privilegio que impedía rindieran cuentas o fueran cuestionados por sus acciones autoritarias.</w:t>
      </w:r>
    </w:p>
    <w:p>
      <w:pPr>
        <w:pStyle w:val="BodyText"/>
        <w:spacing w:line="360" w:lineRule="auto" w:before="6"/>
        <w:ind w:left="264" w:right="210" w:firstLine="336"/>
        <w:jc w:val="both"/>
      </w:pPr>
      <w:r>
        <w:rPr/>
        <w:t>Asimismo, controlaban medios de comunicación y administraban instituciones claves como: la empresa Hondureña de Telecomunicaciones, la policía nacional, la policía de tránsito, la policía de hacienda, la dirección de población y política migratoria, la empresa nacional portuaria, las aduanas terrestres, aéreas y marítimas, la dirección de aeronáutica civil, la armería, y el Instituto Cartográfico Nacional, entre</w:t>
      </w:r>
      <w:r>
        <w:rPr>
          <w:spacing w:val="-13"/>
        </w:rPr>
        <w:t> </w:t>
      </w:r>
      <w:r>
        <w:rPr/>
        <w:t>otras.</w:t>
      </w:r>
    </w:p>
    <w:p>
      <w:pPr>
        <w:pStyle w:val="BodyText"/>
        <w:spacing w:line="360" w:lineRule="auto" w:before="6"/>
        <w:ind w:left="264" w:right="215" w:firstLine="336"/>
        <w:jc w:val="both"/>
      </w:pPr>
      <w:r>
        <w:rPr/>
        <w:t>Durante el gobierno de Suazo Córdoba se aprobó el aumento de precios en artículos de consumo popular, a la vez se promulgó una ley anti-terrorista que prohibió el derecho de huelga, por ser considerado subversivo. Grupos paramilitares de exterminio actuaban con impunidad y las desapariciones de opositores políticos se tornaron en fenómenos comunes.</w:t>
      </w: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3760;mso-wrap-distance-left:0;mso-wrap-distance-right:0" from="99.224998pt,11.260841pt" to="243.274998pt,11.260841pt" stroked="true" strokeweight=".60004pt" strokecolor="#000000">
            <w10:wrap type="topAndBottom"/>
          </v:line>
        </w:pict>
      </w:r>
    </w:p>
    <w:p>
      <w:pPr>
        <w:spacing w:before="46"/>
        <w:ind w:left="264" w:right="0" w:firstLine="0"/>
        <w:jc w:val="left"/>
        <w:rPr>
          <w:rFonts w:ascii="Calibri" w:hAnsi="Calibri"/>
          <w:sz w:val="18"/>
        </w:rPr>
      </w:pPr>
      <w:r>
        <w:rPr>
          <w:rFonts w:ascii="Calibri" w:hAnsi="Calibri"/>
          <w:position w:val="9"/>
          <w:sz w:val="12"/>
        </w:rPr>
        <w:t>116 </w:t>
      </w:r>
      <w:r>
        <w:rPr>
          <w:rFonts w:ascii="Calibri" w:hAnsi="Calibri"/>
          <w:sz w:val="18"/>
        </w:rPr>
        <w:t>OLIVERA, Mauricio Nihil, </w:t>
      </w:r>
      <w:r>
        <w:rPr>
          <w:rFonts w:ascii="Calibri" w:hAnsi="Calibri"/>
          <w:i/>
          <w:sz w:val="18"/>
        </w:rPr>
        <w:t>Óp. Cit</w:t>
      </w:r>
      <w:r>
        <w:rPr>
          <w:rFonts w:ascii="Calibri" w:hAnsi="Calibri"/>
          <w:sz w:val="18"/>
        </w:rPr>
        <w:t>., p. 21</w:t>
      </w:r>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383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8" w:firstLine="404"/>
        <w:jc w:val="both"/>
      </w:pPr>
      <w:r>
        <w:rPr/>
        <w:t>Suazo confiaba en que contaba con el apoyo estadounidense para ayudarles en el caso de una severa recesión económica. Y ante el panorama de la amenaza planteada por el gobierno sandinista revolucionario en Nicaragua y la guerra civil en El Salvador, la cooperación de Estados Unidos, para frenar cualquier manifestación rebelde, con apoyos en materia política-militar no se hizo esperar.  El apoyo fue complementado con ambiciosos proyectos de desarrollo social y económico patrocinados por la Agencia estadounidense para el Desarrollo Internacional (USAID). Honduras consiguió ser el anfitrión de la misión del Cuerpo de Paz más grande del mundo y las ayudas de agencias no gubernamentales y voluntarios internacionales</w:t>
      </w:r>
      <w:r>
        <w:rPr>
          <w:spacing w:val="-25"/>
        </w:rPr>
        <w:t> </w:t>
      </w:r>
      <w:r>
        <w:rPr/>
        <w:t>proliferaron.</w:t>
      </w:r>
    </w:p>
    <w:p>
      <w:pPr>
        <w:pStyle w:val="BodyText"/>
        <w:spacing w:line="360" w:lineRule="auto" w:before="5"/>
        <w:ind w:left="684" w:right="121" w:firstLine="336"/>
        <w:jc w:val="both"/>
      </w:pPr>
      <w:r>
        <w:rPr/>
        <w:t>Sin embargo, los militares mantuvieron su influencia en la vida política. Durante ese período el país fue ocupado, literalmente, por las tropas de los  Estados Unidos, los agentes de la CIA, el Departamento de Estado y las fuerzas mercenarias anti-sandinistas. En esos cuatro años el país sirvió para entrenar tropas contrainsurgentes de El Salvador y Guatemala, mientras unidades locales eran formadas por la Escuela de las Américas en Estados Unidos y Panamá en técnicas de vigilancia, infiltración, penetración, seguimiento, tortura, desaparición y asesinatos.</w:t>
      </w:r>
    </w:p>
    <w:p>
      <w:pPr>
        <w:pStyle w:val="BodyText"/>
        <w:spacing w:line="352" w:lineRule="auto" w:before="6"/>
        <w:ind w:left="684" w:right="118" w:firstLine="340"/>
        <w:jc w:val="both"/>
        <w:rPr>
          <w:sz w:val="16"/>
        </w:rPr>
      </w:pPr>
      <w:r>
        <w:rPr/>
        <w:t>En julio de ese mismo año, Honduras sufrió las consecuencias del Plan de Ajuste Económico (PAE), que produjo la devaluación de la moneda nacional y un elevado coste social. Las medidas del PAE se centraban en cuestiones de  reajuste financiero, el pago puntual de la deuda externa y la apertura total de las fronteras.</w:t>
      </w:r>
      <w:r>
        <w:rPr>
          <w:position w:val="11"/>
          <w:sz w:val="16"/>
        </w:rPr>
        <w:t>117</w:t>
      </w:r>
    </w:p>
    <w:p>
      <w:pPr>
        <w:pStyle w:val="BodyText"/>
        <w:spacing w:line="360" w:lineRule="auto"/>
        <w:ind w:left="684" w:right="118" w:firstLine="340"/>
        <w:jc w:val="both"/>
      </w:pPr>
      <w:r>
        <w:rPr/>
        <w:t>El 28 de noviembre de 1993, Honduras celebró elecciones generales. El candidato del Partido Liberal, Carlos Roberto Reina ganó las elecciones al obtener el 53.6 % de los votos, frente al candidato del Partido Nacional, Oswaldo Ramos</w:t>
      </w:r>
    </w:p>
    <w:p>
      <w:pPr>
        <w:pStyle w:val="BodyText"/>
        <w:spacing w:line="328" w:lineRule="auto" w:before="6"/>
        <w:ind w:left="684" w:right="117"/>
        <w:rPr>
          <w:sz w:val="16"/>
        </w:rPr>
      </w:pPr>
      <w:r>
        <w:rPr/>
        <w:t>Soto. Reina aseguró que llevaría a cabo una “transformación pacífica de Honduras mediante la revolución moral”.</w:t>
      </w:r>
      <w:r>
        <w:rPr>
          <w:position w:val="11"/>
          <w:sz w:val="16"/>
        </w:rPr>
        <w:t>118</w:t>
      </w:r>
    </w:p>
    <w:p>
      <w:pPr>
        <w:pStyle w:val="BodyText"/>
        <w:rPr>
          <w:sz w:val="20"/>
        </w:rPr>
      </w:pPr>
    </w:p>
    <w:p>
      <w:pPr>
        <w:pStyle w:val="BodyText"/>
        <w:spacing w:before="3"/>
      </w:pPr>
      <w:r>
        <w:rPr/>
        <w:pict>
          <v:line style="position:absolute;mso-position-horizontal-relative:page;mso-position-vertical-relative:paragraph;z-index:3808;mso-wrap-distance-left:0;mso-wrap-distance-right:0" from="99.224998pt,16.202480pt" to="243.274998pt,16.202480pt" stroked="true" strokeweight=".60004pt" strokecolor="#000000">
            <w10:wrap type="topAndBottom"/>
          </v:line>
        </w:pict>
      </w:r>
    </w:p>
    <w:p>
      <w:pPr>
        <w:tabs>
          <w:tab w:pos="5063" w:val="left" w:leader="none"/>
          <w:tab w:pos="9283" w:val="left" w:leader="none"/>
        </w:tabs>
        <w:spacing w:before="46"/>
        <w:ind w:left="684" w:right="115" w:firstLine="0"/>
        <w:jc w:val="both"/>
        <w:rPr>
          <w:rFonts w:ascii="Calibri" w:hAnsi="Calibri"/>
          <w:sz w:val="18"/>
        </w:rPr>
      </w:pPr>
      <w:r>
        <w:rPr>
          <w:rFonts w:ascii="Calibri" w:hAnsi="Calibri"/>
          <w:position w:val="9"/>
          <w:sz w:val="12"/>
        </w:rPr>
        <w:t>117 </w:t>
      </w:r>
      <w:r>
        <w:rPr>
          <w:rFonts w:ascii="Calibri" w:hAnsi="Calibri"/>
          <w:sz w:val="18"/>
        </w:rPr>
        <w:t>HONDURAS (Ministerio de Asuntos Exteriores y de Cooperación), </w:t>
      </w:r>
      <w:r>
        <w:rPr>
          <w:rFonts w:ascii="Calibri" w:hAnsi="Calibri"/>
          <w:i/>
          <w:sz w:val="18"/>
        </w:rPr>
        <w:t>Monografía de Honduras</w:t>
      </w:r>
      <w:r>
        <w:rPr>
          <w:rFonts w:ascii="Calibri" w:hAnsi="Calibri"/>
          <w:sz w:val="18"/>
        </w:rPr>
        <w:t>, [en línea] consulta 04/06/2012,</w:t>
        <w:tab/>
        <w:t>disponible</w:t>
        <w:tab/>
        <w:t>en: </w:t>
      </w:r>
      <w:hyperlink r:id="rId54">
        <w:r>
          <w:rPr>
            <w:rFonts w:ascii="Calibri" w:hAnsi="Calibri"/>
            <w:color w:val="0000FF"/>
            <w:sz w:val="18"/>
            <w:u w:val="single" w:color="0000FF"/>
          </w:rPr>
          <w:t>http://www.maec.es/es/MenuPpal/Paises/ArbolPaises/Honduras/Monografia/Documents/Honduras.pdf</w:t>
        </w:r>
        <w:r>
          <w:rPr>
            <w:rFonts w:ascii="Calibri" w:hAnsi="Calibri"/>
            <w:sz w:val="18"/>
          </w:rPr>
          <w:t>.</w:t>
        </w:r>
      </w:hyperlink>
    </w:p>
    <w:p>
      <w:pPr>
        <w:spacing w:line="220" w:lineRule="exact" w:before="0"/>
        <w:ind w:left="684" w:right="0" w:firstLine="0"/>
        <w:jc w:val="both"/>
        <w:rPr>
          <w:rFonts w:ascii="Calibri" w:hAnsi="Calibri"/>
          <w:i/>
          <w:sz w:val="18"/>
        </w:rPr>
      </w:pPr>
      <w:r>
        <w:rPr>
          <w:rFonts w:ascii="Calibri" w:hAnsi="Calibri"/>
          <w:i/>
          <w:position w:val="9"/>
          <w:sz w:val="12"/>
        </w:rPr>
        <w:t>118 </w:t>
      </w:r>
      <w:r>
        <w:rPr>
          <w:rFonts w:ascii="Calibri" w:hAnsi="Calibri"/>
          <w:i/>
          <w:sz w:val="18"/>
        </w:rPr>
        <w:t>Ídem.</w:t>
      </w:r>
    </w:p>
    <w:p>
      <w:pPr>
        <w:spacing w:after="0" w:line="220"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388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0" w:lineRule="auto" w:before="70"/>
        <w:ind w:left="264" w:right="216" w:firstLine="340"/>
        <w:jc w:val="both"/>
        <w:rPr>
          <w:sz w:val="16"/>
        </w:rPr>
      </w:pPr>
      <w:r>
        <w:rPr/>
        <w:t>El 24 de enero de 1994, el presidente electo de Honduras anunció la relación de los ministros de su Gobierno, integrada por empresarios, banqueros, políticos y académicos, asumiendo la presidencia el día 27 para un período de cuatro años.</w:t>
      </w:r>
      <w:r>
        <w:rPr>
          <w:position w:val="11"/>
          <w:sz w:val="16"/>
        </w:rPr>
        <w:t>119</w:t>
      </w:r>
    </w:p>
    <w:p>
      <w:pPr>
        <w:pStyle w:val="BodyText"/>
        <w:spacing w:before="4"/>
        <w:rPr>
          <w:sz w:val="35"/>
        </w:rPr>
      </w:pPr>
    </w:p>
    <w:p>
      <w:pPr>
        <w:pStyle w:val="Heading3"/>
        <w:spacing w:before="1"/>
        <w:ind w:left="264"/>
        <w:jc w:val="both"/>
        <w:rPr>
          <w:rFonts w:ascii="Arial"/>
        </w:rPr>
      </w:pPr>
      <w:r>
        <w:rPr>
          <w:rFonts w:ascii="Arial"/>
        </w:rPr>
        <w:t>Honduras - Estados Unidos</w:t>
      </w:r>
    </w:p>
    <w:p>
      <w:pPr>
        <w:pStyle w:val="BodyText"/>
        <w:rPr>
          <w:b/>
        </w:rPr>
      </w:pPr>
    </w:p>
    <w:p>
      <w:pPr>
        <w:pStyle w:val="BodyText"/>
        <w:spacing w:before="4"/>
        <w:rPr>
          <w:b/>
        </w:rPr>
      </w:pPr>
    </w:p>
    <w:p>
      <w:pPr>
        <w:pStyle w:val="BodyText"/>
        <w:spacing w:line="360" w:lineRule="auto"/>
        <w:ind w:left="264" w:right="213" w:firstLine="404"/>
        <w:jc w:val="both"/>
      </w:pPr>
      <w:r>
        <w:rPr/>
        <w:t>¿Por qué hablar de Honduras-Estados Unidos? Este apartado es importante dada la relación tan estrecha que estos países han tenido desde el siglo XIX hasta la fecha. La constitución de este territorio-nación en colonia bananera de Estados Unidos de América (EUA), en la que se invirtió una gran cantidad de capital americano, le dio a Honduras una impronta de Estado-colonia, cuyo destino se mueve hasta la fecha de acuerdo a los intereses del país colonizador. Así, en el contexto del siglo XX este país se conforma como una base militar de EUA, contra Nicaragua  y  contra  cualquier  movimiento  socialista,  con  recursos  propios     y</w:t>
      </w:r>
    </w:p>
    <w:p>
      <w:pPr>
        <w:pStyle w:val="BodyText"/>
        <w:spacing w:line="355" w:lineRule="auto" w:before="2"/>
        <w:ind w:left="264" w:right="219"/>
        <w:jc w:val="both"/>
      </w:pPr>
      <w:r>
        <w:rPr/>
        <w:t>extranjeros, explica un documento de la COFADEH (Comité de Familiares de Detenidos Desaparecidos en Honduras).</w:t>
      </w:r>
      <w:r>
        <w:rPr>
          <w:position w:val="11"/>
          <w:sz w:val="16"/>
        </w:rPr>
        <w:t>120 </w:t>
      </w:r>
      <w:r>
        <w:rPr/>
        <w:t>Honduras se convirtió en la base de operaciones del gobierno de Ronald Reagan. El ejército de Estados Unidos lideró la guerrilla antisandinista (la contra nicaragüense) y luchó contra el gobierno sandinista de Nicaragua durante casi diez años. Situación que se demostró cuando el congreso de Estados Unidos suspende en 1989 el respaldo económico a la contra debido al escándalo</w:t>
      </w:r>
      <w:r>
        <w:rPr>
          <w:spacing w:val="-19"/>
        </w:rPr>
        <w:t> </w:t>
      </w:r>
      <w:r>
        <w:rPr/>
        <w:t>IRANCONTRA.</w:t>
      </w:r>
    </w:p>
    <w:p>
      <w:pPr>
        <w:pStyle w:val="BodyText"/>
      </w:pPr>
    </w:p>
    <w:p>
      <w:pPr>
        <w:spacing w:line="237" w:lineRule="auto" w:before="148"/>
        <w:ind w:left="973" w:right="214" w:firstLine="0"/>
        <w:jc w:val="both"/>
        <w:rPr>
          <w:sz w:val="14"/>
        </w:rPr>
      </w:pPr>
      <w:r>
        <w:rPr>
          <w:sz w:val="22"/>
        </w:rPr>
        <w:t>Se calcula que en 1983 el Pentágono tenía 1200 soldados en Honduras, que además de actuar en operativos bélicos, daban asesoría e instrucción militar, apoyo logístico y construían obras de infraestructura para combatir </w:t>
      </w:r>
      <w:r>
        <w:rPr>
          <w:spacing w:val="2"/>
          <w:sz w:val="22"/>
        </w:rPr>
        <w:t>el </w:t>
      </w:r>
      <w:r>
        <w:rPr>
          <w:sz w:val="22"/>
        </w:rPr>
        <w:t>movimiento sandinista. La población hondureña sufrió el robo y contrabando de los contra. </w:t>
      </w:r>
      <w:r>
        <w:rPr>
          <w:spacing w:val="4"/>
          <w:sz w:val="22"/>
        </w:rPr>
        <w:t>Sin </w:t>
      </w:r>
      <w:r>
        <w:rPr>
          <w:sz w:val="22"/>
        </w:rPr>
        <w:t>embargo el gobierno hondureño encubrió y apoyó </w:t>
      </w:r>
      <w:r>
        <w:rPr>
          <w:spacing w:val="-3"/>
          <w:sz w:val="22"/>
        </w:rPr>
        <w:t>la </w:t>
      </w:r>
      <w:r>
        <w:rPr>
          <w:sz w:val="22"/>
        </w:rPr>
        <w:t>actividad de los contra y en muchas ocasiones se les quitó </w:t>
      </w:r>
      <w:r>
        <w:rPr>
          <w:spacing w:val="-3"/>
          <w:sz w:val="22"/>
        </w:rPr>
        <w:t>la </w:t>
      </w:r>
      <w:r>
        <w:rPr>
          <w:sz w:val="22"/>
        </w:rPr>
        <w:t>tierra a los campesinos para asentarlos. 20 000 hondureños fueron desplazados de guerra, situación insostenible que fue denunciada por APROHCAFÉ, </w:t>
      </w:r>
      <w:r>
        <w:rPr>
          <w:spacing w:val="-3"/>
          <w:sz w:val="22"/>
        </w:rPr>
        <w:t>la </w:t>
      </w:r>
      <w:r>
        <w:rPr>
          <w:sz w:val="22"/>
        </w:rPr>
        <w:t>Asociación de productores hondureños del café.</w:t>
      </w:r>
      <w:r>
        <w:rPr>
          <w:position w:val="10"/>
          <w:sz w:val="14"/>
        </w:rPr>
        <w:t>121</w:t>
      </w:r>
    </w:p>
    <w:p>
      <w:pPr>
        <w:pStyle w:val="BodyText"/>
        <w:spacing w:before="2"/>
        <w:rPr>
          <w:sz w:val="16"/>
        </w:rPr>
      </w:pPr>
      <w:r>
        <w:rPr/>
        <w:pict>
          <v:line style="position:absolute;mso-position-horizontal-relative:page;mso-position-vertical-relative:paragraph;z-index:3856;mso-wrap-distance-left:0;mso-wrap-distance-right:0" from="99.224998pt,11.592237pt" to="243.274998pt,11.592237pt" stroked="true" strokeweight=".60004pt" strokecolor="#000000">
            <w10:wrap type="topAndBottom"/>
          </v:line>
        </w:pict>
      </w:r>
    </w:p>
    <w:p>
      <w:pPr>
        <w:spacing w:line="236" w:lineRule="exact" w:before="46"/>
        <w:ind w:left="264" w:right="0" w:firstLine="0"/>
        <w:jc w:val="left"/>
        <w:rPr>
          <w:rFonts w:ascii="Calibri" w:hAnsi="Calibri"/>
          <w:i/>
          <w:sz w:val="18"/>
        </w:rPr>
      </w:pPr>
      <w:r>
        <w:rPr>
          <w:rFonts w:ascii="Calibri" w:hAnsi="Calibri"/>
          <w:i/>
          <w:position w:val="9"/>
          <w:sz w:val="12"/>
        </w:rPr>
        <w:t>119 </w:t>
      </w:r>
      <w:r>
        <w:rPr>
          <w:rFonts w:ascii="Calibri" w:hAnsi="Calibri"/>
          <w:i/>
          <w:sz w:val="18"/>
        </w:rPr>
        <w:t>Ídem.</w:t>
      </w:r>
    </w:p>
    <w:p>
      <w:pPr>
        <w:spacing w:line="220" w:lineRule="exact" w:before="0"/>
        <w:ind w:left="264" w:right="0" w:firstLine="0"/>
        <w:jc w:val="left"/>
        <w:rPr>
          <w:rFonts w:ascii="Calibri" w:hAnsi="Calibri"/>
          <w:sz w:val="18"/>
        </w:rPr>
      </w:pPr>
      <w:r>
        <w:rPr>
          <w:rFonts w:ascii="Calibri" w:hAnsi="Calibri"/>
          <w:position w:val="9"/>
          <w:sz w:val="12"/>
        </w:rPr>
        <w:t>120 </w:t>
      </w:r>
      <w:r>
        <w:rPr>
          <w:rFonts w:ascii="Calibri" w:hAnsi="Calibri"/>
          <w:sz w:val="18"/>
        </w:rPr>
        <w:t>OLIVERA, Mauricio Nihil, </w:t>
      </w:r>
      <w:r>
        <w:rPr>
          <w:rFonts w:ascii="Calibri" w:hAnsi="Calibri"/>
          <w:i/>
          <w:sz w:val="18"/>
        </w:rPr>
        <w:t>Óp. Cit</w:t>
      </w:r>
      <w:r>
        <w:rPr>
          <w:rFonts w:ascii="Calibri" w:hAnsi="Calibri"/>
          <w:sz w:val="18"/>
        </w:rPr>
        <w:t>. p. 21</w:t>
      </w:r>
    </w:p>
    <w:p>
      <w:pPr>
        <w:spacing w:line="236" w:lineRule="exact" w:before="0"/>
        <w:ind w:left="264" w:right="0" w:firstLine="0"/>
        <w:jc w:val="left"/>
        <w:rPr>
          <w:rFonts w:ascii="Calibri" w:hAnsi="Calibri"/>
          <w:sz w:val="18"/>
        </w:rPr>
      </w:pPr>
      <w:r>
        <w:rPr>
          <w:rFonts w:ascii="Calibri" w:hAnsi="Calibri"/>
          <w:position w:val="9"/>
          <w:sz w:val="12"/>
        </w:rPr>
        <w:t>121 </w:t>
      </w:r>
      <w:r>
        <w:rPr>
          <w:rFonts w:ascii="Calibri" w:hAnsi="Calibri"/>
          <w:i/>
          <w:sz w:val="18"/>
        </w:rPr>
        <w:t>Ibíd., </w:t>
      </w:r>
      <w:r>
        <w:rPr>
          <w:rFonts w:ascii="Calibri" w:hAnsi="Calibri"/>
          <w:sz w:val="18"/>
        </w:rPr>
        <w:t>p. 24</w:t>
      </w:r>
    </w:p>
    <w:p>
      <w:pPr>
        <w:spacing w:after="0" w:line="236" w:lineRule="exact"/>
        <w:jc w:val="left"/>
        <w:rPr>
          <w:rFonts w:ascii="Calibri" w:hAnsi="Calibri"/>
          <w:sz w:val="18"/>
        </w:rPr>
        <w:sectPr>
          <w:footerReference w:type="default" r:id="rId55"/>
          <w:pgSz w:w="12240" w:h="15840"/>
          <w:pgMar w:footer="876" w:header="0" w:top="520" w:bottom="1060" w:left="1720" w:right="1200"/>
          <w:pgNumType w:start="6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392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5"/>
        <w:rPr>
          <w:rFonts w:ascii="Cambria"/>
          <w:sz w:val="19"/>
        </w:rPr>
      </w:pPr>
    </w:p>
    <w:p>
      <w:pPr>
        <w:pStyle w:val="BodyText"/>
        <w:spacing w:line="360" w:lineRule="auto"/>
        <w:ind w:left="684" w:right="119" w:firstLine="336"/>
        <w:jc w:val="both"/>
      </w:pPr>
      <w:r>
        <w:rPr/>
        <w:t>Aproximadamente 15 000 efectivos pertenecientes a la contra nicaragüense se ubicaron en Honduras, además de 30 000 refugiados de guerra. En 1985, 700 soldados norteamericanos realizaron maniobras en la frontera nicaragüense, Estados Unidos agradeció las facilidades otorgadas a la fuerza aérea hondureña, brindando apoyo para renovar sus aviones de combate. Trescientos millones de dólares sirvieron para duplicar las fuerzas de combate y renovar su equipo aéreo. Entre noviembre de 1985 y enero de 1986 los norteamericanos llegaron a pagar hasta un millón de dólares por los servicios prestados, dinero que favoreció la corrupción del gobierno hondureño, quedando en manos de Walter López Reyes, general de la fuerza aérea.</w:t>
      </w:r>
    </w:p>
    <w:p>
      <w:pPr>
        <w:pStyle w:val="BodyText"/>
        <w:spacing w:line="360" w:lineRule="auto" w:before="2"/>
        <w:ind w:left="684" w:right="115" w:firstLine="404"/>
        <w:jc w:val="both"/>
      </w:pPr>
      <w:r>
        <w:rPr/>
        <w:t>En las elecciones de 1985 triunfó el liberal José Azcona de Hoyo, con el apoyo de los militares hondureños. Es en esta época que la administración de Suazo Córdoba logra la primera transferencia pacífica del poder entre presidentes civiles en más de 30 años. Azcona Hoyo pidió ayuda a Washington para que los contras pudieran abandonar el país y trató de estimular la inversión extranjera.</w:t>
      </w:r>
    </w:p>
    <w:p>
      <w:pPr>
        <w:pStyle w:val="BodyText"/>
        <w:spacing w:line="360" w:lineRule="auto" w:before="6"/>
        <w:ind w:left="684" w:right="125" w:firstLine="336"/>
        <w:jc w:val="both"/>
      </w:pPr>
      <w:r>
        <w:rPr/>
        <w:t>El manejo de la ayuda norteamericana desató una corrupción desenfrenada, principalmente en las Fuerzas Armadas quienes haciendo uso del poder</w:t>
      </w:r>
      <w:r>
        <w:rPr>
          <w:spacing w:val="-34"/>
        </w:rPr>
        <w:t> </w:t>
      </w:r>
      <w:r>
        <w:rPr/>
        <w:t>usurpado, distribuyeron en forma arbitraria e inequitativa, lo que estaba destinado para disminuir la pobreza del</w:t>
      </w:r>
      <w:r>
        <w:rPr>
          <w:spacing w:val="-20"/>
        </w:rPr>
        <w:t> </w:t>
      </w:r>
      <w:r>
        <w:rPr/>
        <w:t>país.</w:t>
      </w:r>
    </w:p>
    <w:p>
      <w:pPr>
        <w:pStyle w:val="BodyText"/>
        <w:spacing w:line="360" w:lineRule="auto" w:before="6"/>
        <w:ind w:left="684" w:right="113" w:firstLine="336"/>
        <w:jc w:val="both"/>
      </w:pPr>
      <w:r>
        <w:rPr/>
        <w:t>El plan de privatizaciones y reducción del gasto público fracasó y en el sector agropecuario el desempleo alcanzó a 90 % de los trabajadores. En 1986, la Corte Interamericana de Derechos Humanos realiza el primer juicio contra el Estado por desaparición forzada de personas, abierto y sentenciado en 1987 y 1988 lo que</w:t>
      </w:r>
    </w:p>
    <w:p>
      <w:pPr>
        <w:pStyle w:val="BodyText"/>
        <w:spacing w:line="328" w:lineRule="auto" w:before="6"/>
        <w:ind w:left="684" w:right="114"/>
        <w:rPr>
          <w:sz w:val="16"/>
        </w:rPr>
      </w:pPr>
      <w:r>
        <w:rPr/>
        <w:t>esto sentó las bases para combatir la postura militarista que hasta entonces había predominado en este país.</w:t>
      </w:r>
      <w:r>
        <w:rPr>
          <w:position w:val="11"/>
          <w:sz w:val="16"/>
        </w:rPr>
        <w:t>122</w:t>
      </w:r>
    </w:p>
    <w:p>
      <w:pPr>
        <w:pStyle w:val="BodyText"/>
        <w:spacing w:before="10"/>
        <w:rPr>
          <w:sz w:val="37"/>
        </w:rPr>
      </w:pPr>
    </w:p>
    <w:p>
      <w:pPr>
        <w:pStyle w:val="Heading3"/>
        <w:spacing w:before="0"/>
        <w:ind w:left="888" w:right="114"/>
        <w:rPr>
          <w:rFonts w:ascii="Arial"/>
        </w:rPr>
      </w:pPr>
      <w:r>
        <w:rPr>
          <w:rFonts w:ascii="Arial"/>
        </w:rPr>
        <w:t>Honduras: 1990</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2"/>
        </w:rPr>
      </w:pPr>
      <w:r>
        <w:rPr/>
        <w:pict>
          <v:line style="position:absolute;mso-position-horizontal-relative:page;mso-position-vertical-relative:paragraph;z-index:3904;mso-wrap-distance-left:0;mso-wrap-distance-right:0" from="99.224998pt,9.555916pt" to="243.274998pt,9.555916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122 </w:t>
      </w:r>
      <w:r>
        <w:rPr>
          <w:rFonts w:ascii="Calibri" w:hAnsi="Calibri"/>
          <w:i/>
          <w:sz w:val="18"/>
        </w:rPr>
        <w:t>Ídem</w:t>
      </w:r>
      <w:r>
        <w:rPr>
          <w:rFonts w:ascii="Calibri" w:hAnsi="Calibri"/>
          <w:sz w:val="18"/>
        </w:rPr>
        <w:t>.</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395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4" w:firstLine="336"/>
        <w:jc w:val="both"/>
      </w:pPr>
      <w:r>
        <w:rPr/>
        <w:t>En 1990, Rafael Callejas miembro del Partido Nacional, triunfó en unas elecciones que fueron calificadas de fraudulentas por los organismos internacionales. Respaldado por Estados Unidos y los círculos empresariales, Callejas decidió liberalizar la economía. Su gobierno aumentó los impuestos, y aumentó los precios de los combustibles y devaluó la moneda.</w:t>
      </w:r>
    </w:p>
    <w:p>
      <w:pPr>
        <w:pStyle w:val="BodyText"/>
        <w:spacing w:line="360" w:lineRule="auto" w:before="2"/>
        <w:ind w:left="264" w:right="216" w:firstLine="336"/>
        <w:jc w:val="both"/>
      </w:pPr>
      <w:r>
        <w:rPr/>
        <w:t>El mismo año, tras la derrota sandinista en las elecciones nicaragüenses, la administración Bush redujo sensiblemente la ayuda económica a Honduras. Callejas se acercó entonces a las Fuerzas Armadas para prevenir una agudización del malestar social. En diciembre, el gobierno decretó la amnistía para los detenidos y perseguidos políticos y anunció que no habría más noches oscuras para los desaparecidos. Junto con estas amnistías, Callejas se encargó de que todos los militares denunciados por violaciones a los derechos humanos fueran ascendidos a cargos visibles en las Fuerzas Armadas, empezando por el primer comandante del Batallón de la Muerte 3-16, Luis Alonso Discua Elvir. El Comité Hondureño de Defensa de los Derechos Humanos denunció el asesinato político a opositores y otros abusos cometidos por los militares.</w:t>
      </w:r>
    </w:p>
    <w:p>
      <w:pPr>
        <w:pStyle w:val="BodyText"/>
        <w:spacing w:line="360" w:lineRule="auto" w:before="6"/>
        <w:ind w:left="264" w:right="215" w:firstLine="336"/>
        <w:jc w:val="both"/>
      </w:pPr>
      <w:r>
        <w:rPr/>
        <w:t>Asimismo, tomó medidas para abolir la ley anti-terrorismo y creó el marco de concertación política sin exclusiones. El 12 de enero de 1991, después de ocho años en el exilio, regresaron a Honduras algunos dirigentes políticos de izquierda exiliados, anunciando el fin de la lucha armada. En octubre de 1991, las Fuerzas Populares Revolucionarias Lorenzo Zelaya se acogieron al decreto y renunciaron  a la lucha</w:t>
      </w:r>
      <w:r>
        <w:rPr>
          <w:spacing w:val="-13"/>
        </w:rPr>
        <w:t> </w:t>
      </w:r>
      <w:r>
        <w:rPr/>
        <w:t>armada.</w:t>
      </w:r>
    </w:p>
    <w:p>
      <w:pPr>
        <w:pStyle w:val="BodyText"/>
        <w:spacing w:line="360" w:lineRule="auto" w:before="6"/>
        <w:ind w:left="264" w:right="213" w:firstLine="336"/>
        <w:jc w:val="both"/>
      </w:pPr>
      <w:r>
        <w:rPr/>
        <w:t>El programa de ajuste del gobierno de Callejas permitió negociar la deuda externa de 3500 millones de dólares. Las nuevas leyes agrarias autorizaron la venta de tierras expropiadas, lo que favoreció la especulación de las empresas agrícolas trasnacionales. El aumento del poder militar y la inestabilidad política se sumó a la debilidad de la economía, que perdió la aportación de dólares proporcionados por la ayuda militar norteamericana. A pesar de las reformas económicas de la administración de Callejas, la insatisfacción pública por el aumento de la vida y por la corrupción aparentemente extendida del gobierno se vio expresada en las urnas.</w:t>
      </w:r>
    </w:p>
    <w:p>
      <w:pPr>
        <w:spacing w:after="0" w:line="360" w:lineRule="auto"/>
        <w:jc w:val="both"/>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00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5" w:firstLine="336"/>
        <w:jc w:val="both"/>
      </w:pPr>
      <w:r>
        <w:rPr/>
        <w:t>En las elecciones celebradas en noviembre de 1993, el liberal Carlos Roberto Reina, destacado defensor de los derechos humanos, triunfó. Su política estuvo orientada a disminuir la influencia del ejército en la vida nacional. Para ello, redujo los presupuestos de defensa, nombró a civiles en los altos mandos de la policía y suprimió, bajo la presión popular, el servicio militar obligatorio, sustituyéndolo por uno voluntario y democrático. Pero en agosto de 1994, y cediendo a las presiones militares, el gobierno aceptó un llamado temporal a filas para llenar 7 000 vacantes en las Fuerzas Armadas. A finales de 1994, el gobierno disolvió oficialmente a la temida Dirección Nacional de Investigaciones, el antiguamente brazo torturador de las Fuerzas Armadas.</w:t>
      </w:r>
    </w:p>
    <w:p>
      <w:pPr>
        <w:pStyle w:val="BodyText"/>
        <w:spacing w:line="350" w:lineRule="auto" w:before="5"/>
        <w:ind w:left="684" w:right="121" w:firstLine="404"/>
        <w:jc w:val="both"/>
      </w:pPr>
      <w:r>
        <w:rPr/>
        <w:t>Carlos Roberto Reina fue forzado a negociar impunidad con la deteriorada cúpula militar del Batallón 3.16</w:t>
      </w:r>
      <w:r>
        <w:rPr>
          <w:position w:val="11"/>
          <w:sz w:val="16"/>
        </w:rPr>
        <w:t>123</w:t>
      </w:r>
      <w:r>
        <w:rPr/>
        <w:t>, pero aún así pudo impulsar antes de dejar el poder, la supresión del cargo de comandante en Jefe (paralelo al presidente) y el deliberativo  Consejo  Superior  (paralelo  al  congreso  Nacional)  de  las  Fuerzas</w:t>
      </w:r>
    </w:p>
    <w:p>
      <w:pPr>
        <w:pStyle w:val="BodyText"/>
        <w:spacing w:line="360" w:lineRule="auto" w:before="16"/>
        <w:ind w:left="684" w:right="119"/>
        <w:jc w:val="both"/>
      </w:pPr>
      <w:r>
        <w:rPr/>
        <w:t>Armadas. Además de eliminar el cargo militar en la Secretaría de Defensa, ascendió a figura constitucional permanente al Comisionado Nacional de los Derechos Humanos. Para esa época, más de dos docenas de militares habían huido de Honduras, esquivando la justicia.</w:t>
      </w:r>
    </w:p>
    <w:p>
      <w:pPr>
        <w:pStyle w:val="BodyText"/>
        <w:spacing w:line="360" w:lineRule="auto" w:before="6"/>
        <w:ind w:left="684" w:right="117" w:firstLine="404"/>
        <w:jc w:val="right"/>
      </w:pPr>
      <w:r>
        <w:rPr/>
        <w:t>Dada la situación de la efervescencia política de Centroamérica, con</w:t>
      </w:r>
      <w:r>
        <w:rPr>
          <w:spacing w:val="63"/>
        </w:rPr>
        <w:t> </w:t>
      </w:r>
      <w:r>
        <w:rPr/>
        <w:t>alto</w:t>
      </w:r>
      <w:r>
        <w:rPr>
          <w:w w:val="99"/>
        </w:rPr>
        <w:t> </w:t>
      </w:r>
      <w:r>
        <w:rPr/>
        <w:t>impacto en Honduras, en enero de 1995, entró en funciones la Unidad de</w:t>
      </w:r>
      <w:r>
        <w:rPr>
          <w:w w:val="99"/>
        </w:rPr>
        <w:t> </w:t>
      </w:r>
      <w:r>
        <w:rPr/>
        <w:t>Investigación Criminal, conducida por civiles, que substituyó a la policía secreta</w:t>
      </w:r>
      <w:r>
        <w:rPr>
          <w:w w:val="99"/>
        </w:rPr>
        <w:t> </w:t>
      </w:r>
      <w:r>
        <w:rPr/>
        <w:t>desarticulada el año anterior. El nuevo cuerpo, integrado inicialmente</w:t>
      </w:r>
      <w:r>
        <w:rPr>
          <w:spacing w:val="52"/>
        </w:rPr>
        <w:t> </w:t>
      </w:r>
      <w:r>
        <w:rPr/>
        <w:t>por 1,500</w:t>
      </w:r>
      <w:r>
        <w:rPr>
          <w:w w:val="99"/>
        </w:rPr>
        <w:t> </w:t>
      </w:r>
      <w:r>
        <w:rPr/>
        <w:t>agentes, recibió entrenamiento de la policía israelí y del FBI de Estados Unidos.</w:t>
      </w:r>
      <w:r>
        <w:rPr>
          <w:w w:val="100"/>
        </w:rPr>
        <w:t> </w:t>
      </w:r>
      <w:r>
        <w:rPr/>
        <w:t>En ese tiempo casi 50 personas eran asesinadas cada día en territorio hondureño.</w:t>
      </w:r>
      <w:r>
        <w:rPr>
          <w:w w:val="100"/>
        </w:rPr>
        <w:t> </w:t>
      </w:r>
      <w:r>
        <w:rPr/>
        <w:t>La Suprema Corte de Justicia revocó la inmunidad del ex presidente Callejas para</w:t>
      </w:r>
      <w:r>
        <w:rPr>
          <w:spacing w:val="47"/>
        </w:rPr>
        <w:t> </w:t>
      </w:r>
      <w:r>
        <w:rPr/>
        <w:t>que declarara sobre falsificación de documentos y apropiación</w:t>
      </w:r>
      <w:r>
        <w:rPr>
          <w:spacing w:val="51"/>
        </w:rPr>
        <w:t> </w:t>
      </w:r>
      <w:r>
        <w:rPr/>
        <w:t>de</w:t>
      </w:r>
      <w:r>
        <w:rPr>
          <w:spacing w:val="51"/>
        </w:rPr>
        <w:t> </w:t>
      </w:r>
      <w:r>
        <w:rPr/>
        <w:t>fondos públicos. El propio Reina fue alcanzado por su ofensiva contra la corrupción    (fue</w:t>
      </w:r>
    </w:p>
    <w:p>
      <w:pPr>
        <w:pStyle w:val="BodyText"/>
        <w:spacing w:before="2"/>
        <w:ind w:left="684"/>
        <w:jc w:val="both"/>
      </w:pPr>
      <w:r>
        <w:rPr/>
        <w:t>investigado por usar fondos estatales para resolver un asunto privado).</w:t>
      </w:r>
    </w:p>
    <w:p>
      <w:pPr>
        <w:pStyle w:val="BodyText"/>
        <w:rPr>
          <w:sz w:val="20"/>
        </w:rPr>
      </w:pPr>
    </w:p>
    <w:p>
      <w:pPr>
        <w:pStyle w:val="BodyText"/>
        <w:rPr>
          <w:sz w:val="20"/>
        </w:rPr>
      </w:pPr>
    </w:p>
    <w:p>
      <w:pPr>
        <w:pStyle w:val="BodyText"/>
        <w:rPr>
          <w:sz w:val="28"/>
        </w:rPr>
      </w:pPr>
      <w:r>
        <w:rPr/>
        <w:pict>
          <v:line style="position:absolute;mso-position-horizontal-relative:page;mso-position-vertical-relative:paragraph;z-index:3976;mso-wrap-distance-left:0;mso-wrap-distance-right:0" from="99.224998pt,18.353966pt" to="243.274998pt,18.353966pt" stroked="true" strokeweight=".60004pt" strokecolor="#000000">
            <w10:wrap type="topAndBottom"/>
          </v:line>
        </w:pict>
      </w:r>
    </w:p>
    <w:p>
      <w:pPr>
        <w:spacing w:line="254" w:lineRule="auto" w:before="48"/>
        <w:ind w:left="684" w:right="114" w:firstLine="0"/>
        <w:jc w:val="left"/>
        <w:rPr>
          <w:rFonts w:ascii="Calibri" w:hAnsi="Calibri"/>
          <w:sz w:val="18"/>
        </w:rPr>
      </w:pPr>
      <w:r>
        <w:rPr>
          <w:rFonts w:ascii="Calibri" w:hAnsi="Calibri"/>
          <w:position w:val="11"/>
          <w:sz w:val="16"/>
        </w:rPr>
        <w:t>123 </w:t>
      </w:r>
      <w:r>
        <w:rPr>
          <w:rFonts w:ascii="Calibri" w:hAnsi="Calibri"/>
          <w:sz w:val="18"/>
        </w:rPr>
        <w:t>Véase: EL PAIS, (09/08/1998) El Batallón 3-16, [en línea], consulta 10 de octubre de 2009, disponible en: </w:t>
      </w:r>
      <w:hyperlink r:id="rId56">
        <w:r>
          <w:rPr>
            <w:rFonts w:ascii="Calibri" w:hAnsi="Calibri"/>
            <w:color w:val="0000FF"/>
            <w:sz w:val="18"/>
            <w:u w:val="single" w:color="0000FF"/>
          </w:rPr>
          <w:t>http://elpais.com/diario/1998/08/09/internacional/902613613_850215.html</w:t>
        </w:r>
        <w:r>
          <w:rPr>
            <w:rFonts w:ascii="Calibri" w:hAnsi="Calibri"/>
            <w:sz w:val="18"/>
          </w:rPr>
          <w:t>.</w:t>
        </w:r>
      </w:hyperlink>
    </w:p>
    <w:p>
      <w:pPr>
        <w:spacing w:after="0" w:line="254" w:lineRule="auto"/>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404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4" w:firstLine="336"/>
        <w:jc w:val="both"/>
      </w:pPr>
      <w:r>
        <w:rPr/>
        <w:t>En el terreno económico, y como consecuencia de la caída de  las exportaciones de banano a la Comunidad Europea, la compañía bananera estadounidense Tela Railroad Company cerró cuatro establecimientos aduciendo que no eran rentables, además de suspender por tres meses a tres mil  empleados. Los trabajadores sindicalizados se declararon en huelga. Después de varios días de tensión, el gobierno decretó el fin de la huelga y obligó a la compañía a suspender el cierre de las fincas y a retroceder en su medida de suspensión colectiva. Pero la empresa negoció con el sindicato (SITRATERCO)</w:t>
      </w:r>
      <w:r>
        <w:rPr>
          <w:spacing w:val="41"/>
        </w:rPr>
        <w:t> </w:t>
      </w:r>
      <w:r>
        <w:rPr/>
        <w:t>la</w:t>
      </w:r>
    </w:p>
    <w:p>
      <w:pPr>
        <w:pStyle w:val="BodyText"/>
        <w:spacing w:line="328" w:lineRule="auto" w:before="6"/>
        <w:ind w:left="264" w:right="227"/>
        <w:jc w:val="both"/>
        <w:rPr>
          <w:sz w:val="16"/>
        </w:rPr>
      </w:pPr>
      <w:r>
        <w:rPr/>
        <w:t>re-admisión de 1200 trabajadores; sin embargo fueron suspendidas mil mujeres trabajadoras.</w:t>
      </w:r>
      <w:r>
        <w:rPr>
          <w:position w:val="11"/>
          <w:sz w:val="16"/>
        </w:rPr>
        <w:t>124</w:t>
      </w:r>
    </w:p>
    <w:p>
      <w:pPr>
        <w:pStyle w:val="BodyText"/>
        <w:spacing w:line="355" w:lineRule="auto" w:before="27"/>
        <w:ind w:left="264" w:right="218" w:firstLine="336"/>
        <w:jc w:val="both"/>
        <w:rPr>
          <w:sz w:val="16"/>
        </w:rPr>
      </w:pPr>
      <w:r>
        <w:rPr/>
        <w:t>A raíz de la sequía registrada en la primera mitad del año, 90 municipios del país perdieron más de 60% de sus cultivos de subsistencia. Ante el peligro de hambruna que amenazaba a más de un millón y medio de personas, las autoridades solicitaron la asistencia de la FAO, ésta otorgó una ayuda de 900 mil dólares para el desarrollo agrícola de las regiones declaradas en estado de emergencia. La sequía afectó también los bosques: la superficie forestada bajó de 36 % en 1980 a menos del 27% del territorio total en 1995.</w:t>
      </w:r>
      <w:r>
        <w:rPr>
          <w:position w:val="11"/>
          <w:sz w:val="16"/>
        </w:rPr>
        <w:t>125</w:t>
      </w:r>
    </w:p>
    <w:p>
      <w:pPr>
        <w:pStyle w:val="BodyText"/>
        <w:spacing w:line="360" w:lineRule="auto"/>
        <w:ind w:left="264" w:right="214" w:firstLine="336"/>
        <w:jc w:val="both"/>
      </w:pPr>
      <w:r>
        <w:rPr/>
        <w:t>En materia de educación, en los últimos años se han ejecutado y puesto en marcha un conjunto de iniciativas, que constituyen un esfuerzo coherente para mejorar la calidad de la educación. Parte importante de este esfuerzo es el cambio de paradigma de la gestión, iniciado por la Secretaría de Educación (SE) dentro del marco de la política de modernización del Estado. Por otra parte, en atención a lo  anterior,  durante  1996  se  dio   impulso  al  proceso   de    </w:t>
      </w:r>
      <w:r>
        <w:rPr>
          <w:spacing w:val="60"/>
        </w:rPr>
        <w:t> </w:t>
      </w:r>
      <w:r>
        <w:rPr/>
        <w:t>desconcentración,</w:t>
      </w:r>
    </w:p>
    <w:p>
      <w:pPr>
        <w:pStyle w:val="BodyText"/>
        <w:spacing w:line="328" w:lineRule="auto" w:before="2"/>
        <w:ind w:left="264" w:right="219"/>
        <w:jc w:val="both"/>
        <w:rPr>
          <w:sz w:val="16"/>
        </w:rPr>
      </w:pPr>
      <w:r>
        <w:rPr/>
        <w:t>creándose las Direcciones Departamentales de Educación y </w:t>
      </w:r>
      <w:r>
        <w:rPr>
          <w:spacing w:val="2"/>
        </w:rPr>
        <w:t>las </w:t>
      </w:r>
      <w:r>
        <w:rPr/>
        <w:t>direcciones distritales.</w:t>
      </w:r>
      <w:r>
        <w:rPr>
          <w:position w:val="11"/>
          <w:sz w:val="16"/>
        </w:rPr>
        <w:t>126 </w:t>
      </w:r>
      <w:r>
        <w:rPr/>
        <w:t>En cuanto a telecomunicaciones en este año se promueve la telefonía</w:t>
      </w:r>
      <w:r>
        <w:rPr>
          <w:spacing w:val="-12"/>
        </w:rPr>
        <w:t> </w:t>
      </w:r>
      <w:r>
        <w:rPr/>
        <w:t>móvil.</w:t>
      </w:r>
      <w:r>
        <w:rPr>
          <w:position w:val="11"/>
          <w:sz w:val="16"/>
        </w:rPr>
        <w:t>127</w:t>
      </w:r>
    </w:p>
    <w:p>
      <w:pPr>
        <w:pStyle w:val="BodyText"/>
        <w:rPr>
          <w:sz w:val="20"/>
        </w:rPr>
      </w:pPr>
    </w:p>
    <w:p>
      <w:pPr>
        <w:pStyle w:val="BodyText"/>
        <w:spacing w:before="7"/>
      </w:pPr>
      <w:r>
        <w:rPr/>
        <w:pict>
          <v:line style="position:absolute;mso-position-horizontal-relative:page;mso-position-vertical-relative:paragraph;z-index:4024;mso-wrap-distance-left:0;mso-wrap-distance-right:0" from="99.224998pt,16.422514pt" to="243.274998pt,16.422514pt" stroked="true" strokeweight=".599980pt" strokecolor="#000000">
            <w10:wrap type="topAndBottom"/>
          </v:line>
        </w:pict>
      </w:r>
    </w:p>
    <w:p>
      <w:pPr>
        <w:spacing w:line="236" w:lineRule="exact" w:before="46"/>
        <w:ind w:left="264" w:right="0" w:firstLine="0"/>
        <w:jc w:val="left"/>
        <w:rPr>
          <w:rFonts w:ascii="Calibri" w:hAnsi="Calibri"/>
          <w:i/>
          <w:sz w:val="18"/>
        </w:rPr>
      </w:pPr>
      <w:r>
        <w:rPr>
          <w:rFonts w:ascii="Calibri" w:hAnsi="Calibri"/>
          <w:position w:val="9"/>
          <w:sz w:val="12"/>
        </w:rPr>
        <w:t>124 </w:t>
      </w:r>
      <w:r>
        <w:rPr>
          <w:rFonts w:ascii="Calibri" w:hAnsi="Calibri"/>
          <w:i/>
          <w:sz w:val="18"/>
        </w:rPr>
        <w:t>Ídem.</w:t>
      </w:r>
    </w:p>
    <w:p>
      <w:pPr>
        <w:spacing w:line="221" w:lineRule="exact" w:before="0"/>
        <w:ind w:left="264" w:right="0" w:firstLine="0"/>
        <w:jc w:val="left"/>
        <w:rPr>
          <w:rFonts w:ascii="Calibri" w:hAnsi="Calibri"/>
          <w:i/>
          <w:sz w:val="18"/>
        </w:rPr>
      </w:pPr>
      <w:r>
        <w:rPr>
          <w:rFonts w:ascii="Calibri" w:hAnsi="Calibri"/>
          <w:position w:val="9"/>
          <w:sz w:val="12"/>
        </w:rPr>
        <w:t>125 </w:t>
      </w:r>
      <w:r>
        <w:rPr>
          <w:rFonts w:ascii="Calibri" w:hAnsi="Calibri"/>
          <w:i/>
          <w:sz w:val="18"/>
        </w:rPr>
        <w:t>Ídem.</w:t>
      </w:r>
    </w:p>
    <w:p>
      <w:pPr>
        <w:spacing w:line="295" w:lineRule="exact" w:before="0"/>
        <w:ind w:left="264" w:right="0" w:firstLine="0"/>
        <w:jc w:val="left"/>
        <w:rPr>
          <w:rFonts w:ascii="Calibri" w:hAnsi="Calibri"/>
          <w:sz w:val="18"/>
        </w:rPr>
      </w:pPr>
      <w:r>
        <w:rPr>
          <w:rFonts w:ascii="Calibri" w:hAnsi="Calibri"/>
          <w:position w:val="11"/>
          <w:sz w:val="16"/>
        </w:rPr>
        <w:t>126 </w:t>
      </w:r>
      <w:r>
        <w:rPr>
          <w:rFonts w:ascii="Calibri" w:hAnsi="Calibri"/>
          <w:sz w:val="18"/>
        </w:rPr>
        <w:t>UNESCO, </w:t>
      </w:r>
      <w:r>
        <w:rPr>
          <w:rFonts w:ascii="Calibri" w:hAnsi="Calibri"/>
          <w:i/>
          <w:sz w:val="18"/>
        </w:rPr>
        <w:t>INFORME NACIONAL SOBRE EL DESARROLLO DE LA EDUCACIÓN</w:t>
      </w:r>
      <w:r>
        <w:rPr>
          <w:rFonts w:ascii="Calibri" w:hAnsi="Calibri"/>
          <w:sz w:val="18"/>
        </w:rPr>
        <w:t>. “El Sistema Educativo Hondureño a    fines</w:t>
      </w:r>
    </w:p>
    <w:p>
      <w:pPr>
        <w:tabs>
          <w:tab w:pos="747" w:val="left" w:leader="none"/>
          <w:tab w:pos="1351" w:val="left" w:leader="none"/>
          <w:tab w:pos="1842" w:val="left" w:leader="none"/>
          <w:tab w:pos="2381" w:val="left" w:leader="none"/>
          <w:tab w:pos="3088" w:val="left" w:leader="none"/>
          <w:tab w:pos="3532" w:val="left" w:leader="none"/>
          <w:tab w:pos="4585" w:val="left" w:leader="none"/>
          <w:tab w:pos="5084" w:val="left" w:leader="none"/>
          <w:tab w:pos="5795" w:val="left" w:leader="none"/>
          <w:tab w:pos="6678" w:val="left" w:leader="none"/>
          <w:tab w:pos="7849" w:val="left" w:leader="none"/>
          <w:tab w:pos="8859" w:val="left" w:leader="none"/>
        </w:tabs>
        <w:spacing w:before="12"/>
        <w:ind w:left="264" w:right="226" w:firstLine="0"/>
        <w:jc w:val="left"/>
        <w:rPr>
          <w:rFonts w:ascii="Calibri" w:hAnsi="Calibri"/>
          <w:sz w:val="18"/>
        </w:rPr>
      </w:pPr>
      <w:r>
        <w:rPr>
          <w:rFonts w:ascii="Calibri" w:hAnsi="Calibri"/>
          <w:sz w:val="18"/>
        </w:rPr>
        <w:t>del</w:t>
        <w:tab/>
        <w:t>Siglo</w:t>
        <w:tab/>
        <w:t>XX,</w:t>
        <w:tab/>
        <w:t>una</w:t>
        <w:tab/>
        <w:t>Visión</w:t>
        <w:tab/>
        <w:t>de</w:t>
        <w:tab/>
        <w:t>Conjunto”,</w:t>
        <w:tab/>
        <w:t>[en</w:t>
        <w:tab/>
        <w:t>línea],</w:t>
        <w:tab/>
        <w:t>consulta</w:t>
        <w:tab/>
        <w:t>09/04/2011,</w:t>
        <w:tab/>
        <w:t>disponible</w:t>
        <w:tab/>
        <w:t>en: </w:t>
      </w:r>
      <w:hyperlink r:id="rId57">
        <w:r>
          <w:rPr>
            <w:rFonts w:ascii="Calibri" w:hAnsi="Calibri"/>
            <w:color w:val="0000FF"/>
            <w:sz w:val="18"/>
            <w:u w:val="single" w:color="0000FF"/>
          </w:rPr>
          <w:t>http://www.ibe.unesco.org/International/ICE/natrap/Honduras.pdf</w:t>
        </w:r>
        <w:r>
          <w:rPr>
            <w:rFonts w:ascii="Calibri" w:hAnsi="Calibri"/>
            <w:sz w:val="18"/>
          </w:rPr>
          <w:t>.</w:t>
        </w:r>
      </w:hyperlink>
    </w:p>
    <w:p>
      <w:pPr>
        <w:spacing w:line="220" w:lineRule="exact" w:before="0"/>
        <w:ind w:left="264" w:right="0" w:firstLine="0"/>
        <w:jc w:val="left"/>
        <w:rPr>
          <w:rFonts w:ascii="Calibri" w:hAnsi="Calibri"/>
          <w:sz w:val="18"/>
        </w:rPr>
      </w:pPr>
      <w:r>
        <w:rPr>
          <w:rFonts w:ascii="Calibri" w:hAnsi="Calibri"/>
          <w:position w:val="9"/>
          <w:sz w:val="12"/>
        </w:rPr>
        <w:t>127 </w:t>
      </w:r>
      <w:r>
        <w:rPr>
          <w:rFonts w:ascii="Calibri" w:hAnsi="Calibri"/>
          <w:sz w:val="18"/>
        </w:rPr>
        <w:t>“La primer empresa de telefonía móvil en Honduras, Celtel, inicia operaciones en 1996, posteriormente pasa a ser</w:t>
      </w:r>
    </w:p>
    <w:p>
      <w:pPr>
        <w:spacing w:before="0"/>
        <w:ind w:left="264" w:right="0" w:firstLine="0"/>
        <w:jc w:val="left"/>
        <w:rPr>
          <w:rFonts w:ascii="Calibri" w:hAnsi="Calibri"/>
          <w:sz w:val="18"/>
        </w:rPr>
      </w:pPr>
      <w:r>
        <w:rPr>
          <w:rFonts w:ascii="Calibri" w:hAnsi="Calibri"/>
          <w:sz w:val="18"/>
        </w:rPr>
        <w:t>Tigo,  en  los  años  siguientes  inician  operaciones  otras  compañías  de  telefonía  móvil:  Claro,  Digicel  y    Honducel”,</w:t>
      </w:r>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09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22" w:firstLine="336"/>
        <w:jc w:val="both"/>
      </w:pPr>
      <w:r>
        <w:rPr/>
        <w:t>En 1997, tras las elecciones presidenciales de ese año, sube al poder el candidato del Partido Liberal, Carlos Roberto Flores. Ese año también, por vez primera, los partidos de izquierda se presentaron a unos comicios unidos bajo las siglas del Partido de Unificación Democrática (PUD). En septiembre de 1998, una reforma constitucional convirtió al presidente de la República en comandante en jefe de las fuerzas armadas. Flores nombró ministro de Defensa a un civil Edgardo Dumas, lo que se constituye en un hecho sin precedentes en Honduras.</w:t>
      </w:r>
    </w:p>
    <w:p>
      <w:pPr>
        <w:pStyle w:val="BodyText"/>
        <w:spacing w:line="360" w:lineRule="auto"/>
        <w:ind w:left="684" w:right="114" w:firstLine="336"/>
        <w:jc w:val="both"/>
      </w:pPr>
      <w:r>
        <w:rPr/>
        <w:t>La conmoción del huracán </w:t>
      </w:r>
      <w:r>
        <w:rPr>
          <w:i/>
        </w:rPr>
        <w:t>Mitch </w:t>
      </w:r>
      <w:r>
        <w:rPr/>
        <w:t>favoreció el retorno de los militares prófugos al país, y ya que nuevos jueces cambiaron la tipificación de sus delitos, invocaron los viejos decretos de amnistía. Pero aunque la amnistía fue declarada inconstitucional, los jueces favorecieron con sus fallos a la mayoría de los acusados, sin necesidad de recurrir a ella.</w:t>
      </w:r>
    </w:p>
    <w:p>
      <w:pPr>
        <w:pStyle w:val="BodyText"/>
        <w:spacing w:line="360" w:lineRule="auto" w:before="5"/>
        <w:ind w:left="684" w:right="118" w:firstLine="271"/>
        <w:jc w:val="both"/>
      </w:pPr>
      <w:r>
        <w:rPr/>
        <w:t>La cúpula del gobierno de Flores, paralelamente abandonó las reformas institucionales en materia policial y judicial iniciadas en 1993, fomentó la impunidad de los militares procesados por delitos de lesa humanidad, permitió que los viejos cuadros de la policía militar controlaran la nueva policía civil y desapareció la fiscalía general, la policía técnica de investigación criminal para anexarla a la nueva institución policial. Aumentaron durante ese período las muertes violentas de jóvenes y personas supuestamente delincuentes sin que sus casos hayan sido investigados y castigados, y creció sin precedentes el delito organizado dirigido o integrado por ex policías, ex oficiales del ejército o miembros activos de ambas</w:t>
      </w:r>
      <w:r>
        <w:rPr>
          <w:spacing w:val="-20"/>
        </w:rPr>
        <w:t> </w:t>
      </w:r>
      <w:r>
        <w:rPr/>
        <w:t>instituciones.</w:t>
      </w:r>
    </w:p>
    <w:p>
      <w:pPr>
        <w:pStyle w:val="BodyText"/>
      </w:pPr>
    </w:p>
    <w:p>
      <w:pPr>
        <w:pStyle w:val="Heading3"/>
        <w:spacing w:before="138"/>
        <w:ind w:left="684" w:right="114"/>
        <w:rPr>
          <w:rFonts w:ascii="Arial"/>
        </w:rPr>
      </w:pPr>
      <w:r>
        <w:rPr>
          <w:rFonts w:ascii="Arial"/>
        </w:rPr>
        <w:t>Honduras 2000</w:t>
      </w:r>
    </w:p>
    <w:p>
      <w:pPr>
        <w:pStyle w:val="BodyText"/>
        <w:rPr>
          <w:b/>
        </w:rPr>
      </w:pPr>
    </w:p>
    <w:p>
      <w:pPr>
        <w:pStyle w:val="BodyText"/>
        <w:spacing w:before="4"/>
        <w:rPr>
          <w:b/>
        </w:rPr>
      </w:pPr>
    </w:p>
    <w:p>
      <w:pPr>
        <w:pStyle w:val="BodyText"/>
        <w:spacing w:line="360" w:lineRule="auto"/>
        <w:ind w:left="684" w:right="120" w:firstLine="271"/>
        <w:jc w:val="both"/>
      </w:pPr>
      <w:r>
        <w:rPr/>
        <w:t>El 7 de febrero de 2000, el gobierno de Flores llegó a un compromiso con el presidente nicaragüense, Arnaldo Alemán para la creación de una zona de distensión militar en el Mar    Caribe hasta que el Tribunal Internacional de Justicia</w:t>
      </w: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4072;mso-wrap-distance-left:0;mso-wrap-distance-right:0" from="99.224998pt,14.650841pt" to="541.174998pt,14.650841pt" stroked="true" strokeweight=".60004pt" strokecolor="#000000">
            <w10:wrap type="topAndBottom"/>
          </v:line>
        </w:pict>
      </w:r>
    </w:p>
    <w:p>
      <w:pPr>
        <w:spacing w:before="79"/>
        <w:ind w:left="684" w:right="114" w:firstLine="0"/>
        <w:jc w:val="left"/>
        <w:rPr>
          <w:rFonts w:ascii="Calibri" w:hAnsi="Calibri"/>
          <w:sz w:val="18"/>
        </w:rPr>
      </w:pPr>
      <w:r>
        <w:rPr>
          <w:rFonts w:ascii="Calibri" w:hAnsi="Calibri"/>
          <w:sz w:val="18"/>
        </w:rPr>
        <w:t>CATRACHO, Cell, “Historia de Celtel/Como surge Tigo en Honduras”, [en línea], consulta 13/08/2012, disponible en: </w:t>
      </w:r>
      <w:hyperlink r:id="rId58">
        <w:r>
          <w:rPr>
            <w:rFonts w:ascii="Calibri" w:hAnsi="Calibri"/>
            <w:color w:val="0000FF"/>
            <w:sz w:val="18"/>
            <w:u w:val="single" w:color="0000FF"/>
          </w:rPr>
          <w:t>http://catrachocell.com/2009/06/historia-de-celtelcomo-surge-tigo-en.html</w:t>
        </w:r>
        <w:r>
          <w:rPr>
            <w:rFonts w:ascii="Calibri" w:hAnsi="Calibri"/>
            <w:sz w:val="18"/>
          </w:rPr>
          <w:t>.</w:t>
        </w:r>
      </w:hyperlink>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414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right="222"/>
        <w:jc w:val="both"/>
      </w:pPr>
      <w:r>
        <w:rPr/>
        <w:t>de Naciones Unidas, con sede enLa Haya, realizarán un dictamen sobre el litigio territorial que enfrentaba a los dos países centroamericanos.</w:t>
      </w:r>
    </w:p>
    <w:p>
      <w:pPr>
        <w:pStyle w:val="BodyText"/>
        <w:spacing w:line="360" w:lineRule="auto" w:before="8"/>
        <w:ind w:left="264" w:right="214" w:firstLine="336"/>
        <w:jc w:val="both"/>
      </w:pPr>
      <w:r>
        <w:rPr/>
        <w:t>Las elecciones presidenciales de 2001 las gana el candidato del Partido Nacional, Ricardo Maduro, quien sucede a Flores en la jefatura del Estado el 1º. de enero de 2002. El mismo día del traspaso de poderes presidenciales Honduras restableció relaciones bilaterales con Cuba, después de 41 años de rompimiento diplomático. En la agenda política del nuevo presidente, la lucha contra la delincuencia ocupó un primer plano. El presidente Maduro impulsó lo que el llamó una política de cero tolerancia o guerra contra la delincuencia, que incluyó actividades de comités de seguridad, vecino vigilante por cuadrante y operativos conjuntos</w:t>
      </w:r>
      <w:r>
        <w:rPr>
          <w:spacing w:val="-18"/>
        </w:rPr>
        <w:t> </w:t>
      </w:r>
      <w:r>
        <w:rPr/>
        <w:t>policía-ejército.</w:t>
      </w:r>
    </w:p>
    <w:p>
      <w:pPr>
        <w:pStyle w:val="BodyText"/>
        <w:spacing w:line="360" w:lineRule="auto" w:before="2"/>
        <w:ind w:left="264" w:right="212" w:firstLine="336"/>
        <w:jc w:val="both"/>
      </w:pPr>
      <w:r>
        <w:rPr/>
        <w:t>En abril de 2004, Honduras anunció la retirada inmediata del contingente que había enviado un año antes a Irak en el marco de la coalición liderada por Estados Unidos. También en lo referente a política exterior, cabe destacar que el Congreso</w:t>
      </w:r>
    </w:p>
    <w:p>
      <w:pPr>
        <w:pStyle w:val="BodyText"/>
        <w:spacing w:line="350" w:lineRule="auto" w:before="6"/>
        <w:ind w:left="264" w:right="212"/>
        <w:jc w:val="both"/>
      </w:pPr>
      <w:r>
        <w:rPr/>
        <w:t>Nacional aprobó el llamado Tratado de Libre Comercio de América Central (TLC o DR-CAFTA por sus siglas en inglés</w:t>
      </w:r>
      <w:r>
        <w:rPr>
          <w:position w:val="11"/>
          <w:sz w:val="16"/>
        </w:rPr>
        <w:t>128</w:t>
      </w:r>
      <w:r>
        <w:rPr/>
        <w:t>) con Estados Unidos, el 31 de marzo de 2005. Honduras se convertía así en el segundo país centroamericano, tras El Salvador, que ratificaba este acuerdo comercial entre Estados Unidos y los países</w:t>
      </w:r>
    </w:p>
    <w:p>
      <w:pPr>
        <w:pStyle w:val="BodyText"/>
        <w:spacing w:before="17"/>
        <w:ind w:left="264"/>
        <w:jc w:val="both"/>
      </w:pPr>
      <w:r>
        <w:rPr/>
        <w:t>centroamericanos incluyendo a la República Dominicana.</w:t>
      </w:r>
    </w:p>
    <w:p>
      <w:pPr>
        <w:pStyle w:val="BodyText"/>
        <w:spacing w:line="360" w:lineRule="auto" w:before="136"/>
        <w:ind w:left="264" w:right="224" w:firstLine="336"/>
        <w:jc w:val="both"/>
      </w:pPr>
      <w:r>
        <w:rPr/>
        <w:t>La nueva ley electoral de 2004, como producto directo del proceso de reforma político-electoral, reguló las elecciones generales que se llevaron a cabo en noviembre de 2005.</w:t>
      </w:r>
    </w:p>
    <w:p>
      <w:pPr>
        <w:pStyle w:val="BodyText"/>
      </w:pPr>
    </w:p>
    <w:p>
      <w:pPr>
        <w:spacing w:line="237" w:lineRule="auto" w:before="143"/>
        <w:ind w:left="973" w:right="213" w:firstLine="0"/>
        <w:jc w:val="both"/>
        <w:rPr>
          <w:sz w:val="22"/>
        </w:rPr>
      </w:pPr>
      <w:r>
        <w:rPr>
          <w:sz w:val="22"/>
        </w:rPr>
        <w:t>En enero de 2006 arrancó en Honduras </w:t>
      </w:r>
      <w:r>
        <w:rPr>
          <w:spacing w:val="-3"/>
          <w:sz w:val="22"/>
        </w:rPr>
        <w:t>la </w:t>
      </w:r>
      <w:r>
        <w:rPr>
          <w:sz w:val="22"/>
        </w:rPr>
        <w:t>presidencia del empresario  agropecuario Manuel Zelaya, popularmente llamado </w:t>
      </w:r>
      <w:r>
        <w:rPr>
          <w:i/>
          <w:sz w:val="22"/>
        </w:rPr>
        <w:t>Mel</w:t>
      </w:r>
      <w:r>
        <w:rPr>
          <w:sz w:val="22"/>
        </w:rPr>
        <w:t>, del centroderechista Partido Liberal, con cuatro años por delante para cumplir las promesas de combatir </w:t>
      </w:r>
      <w:r>
        <w:rPr>
          <w:spacing w:val="-3"/>
          <w:sz w:val="22"/>
        </w:rPr>
        <w:t>la </w:t>
      </w:r>
      <w:r>
        <w:rPr>
          <w:sz w:val="22"/>
        </w:rPr>
        <w:t>delincuencia de las maras, </w:t>
      </w:r>
      <w:r>
        <w:rPr>
          <w:spacing w:val="-3"/>
          <w:sz w:val="22"/>
        </w:rPr>
        <w:t>la </w:t>
      </w:r>
      <w:r>
        <w:rPr>
          <w:sz w:val="22"/>
        </w:rPr>
        <w:t>pobreza y </w:t>
      </w:r>
      <w:r>
        <w:rPr>
          <w:spacing w:val="-3"/>
          <w:sz w:val="22"/>
        </w:rPr>
        <w:t>la </w:t>
      </w:r>
      <w:r>
        <w:rPr>
          <w:sz w:val="22"/>
        </w:rPr>
        <w:t>corrupción. Una vez en el poder, el mandatario protagonizó un inesperado viraje: entró en tratos petroleros con el venezolano Chávez, se declaró de izquierdas, se alejó de Washington y metió a Honduras en el ALBA</w:t>
      </w:r>
      <w:r>
        <w:rPr>
          <w:position w:val="10"/>
          <w:sz w:val="14"/>
        </w:rPr>
        <w:t>129</w:t>
      </w:r>
      <w:r>
        <w:rPr>
          <w:sz w:val="22"/>
        </w:rPr>
        <w:t>. Su siguiente proyecto, abrir un proceso constituyente, terminó   de   enemistarle   con   los   poderes   tradicionales   del   país  </w:t>
      </w:r>
      <w:r>
        <w:rPr>
          <w:spacing w:val="30"/>
          <w:sz w:val="22"/>
        </w:rPr>
        <w:t> </w:t>
      </w:r>
      <w:r>
        <w:rPr>
          <w:sz w:val="22"/>
        </w:rPr>
        <w:t>–políticos</w:t>
      </w:r>
    </w:p>
    <w:p>
      <w:pPr>
        <w:pStyle w:val="BodyText"/>
        <w:rPr>
          <w:sz w:val="19"/>
        </w:rPr>
      </w:pPr>
      <w:r>
        <w:rPr/>
        <w:pict>
          <v:line style="position:absolute;mso-position-horizontal-relative:page;mso-position-vertical-relative:paragraph;z-index:4120;mso-wrap-distance-left:0;mso-wrap-distance-right:0" from="99.224998pt,13.202238pt" to="243.274998pt,13.202238pt" stroked="true" strokeweight=".60004pt" strokecolor="#000000">
            <w10:wrap type="topAndBottom"/>
          </v:line>
        </w:pict>
      </w:r>
    </w:p>
    <w:p>
      <w:pPr>
        <w:spacing w:line="235" w:lineRule="exact" w:before="48"/>
        <w:ind w:left="264" w:right="0" w:firstLine="0"/>
        <w:jc w:val="both"/>
        <w:rPr>
          <w:rFonts w:ascii="Calibri"/>
          <w:sz w:val="18"/>
        </w:rPr>
      </w:pPr>
      <w:r>
        <w:rPr>
          <w:position w:val="9"/>
          <w:sz w:val="12"/>
        </w:rPr>
        <w:t>128 </w:t>
      </w:r>
      <w:r>
        <w:rPr>
          <w:rFonts w:ascii="Calibri"/>
          <w:sz w:val="18"/>
        </w:rPr>
        <w:t>DR-CAFTA (Dominican Republic-Central America Free Trade Agreement)</w:t>
      </w:r>
    </w:p>
    <w:p>
      <w:pPr>
        <w:spacing w:line="220" w:lineRule="exact" w:before="11"/>
        <w:ind w:left="264" w:right="212" w:firstLine="0"/>
        <w:jc w:val="both"/>
        <w:rPr>
          <w:rFonts w:ascii="Calibri" w:hAnsi="Calibri"/>
          <w:sz w:val="18"/>
        </w:rPr>
      </w:pPr>
      <w:r>
        <w:rPr>
          <w:position w:val="9"/>
          <w:sz w:val="12"/>
        </w:rPr>
        <w:t>129 </w:t>
      </w:r>
      <w:r>
        <w:rPr>
          <w:rFonts w:ascii="Calibri" w:hAnsi="Calibri"/>
          <w:sz w:val="18"/>
        </w:rPr>
        <w:t>La Alianza Bolivariana para los Pueblos de Nuestra América. Tratado de Comercio de los Pueblos o ALBA-TCP (en ocasiones denominada extraoficialmente por su nombre inicial Alianza Bolivariana para América o ALBA) es una organización internacional de ámbito regional, enfocada para los países de América Latina y el Caribe que pone énfasis en la lucha contra la pobreza y la exclusión social con base en doctrinas de izquierda.</w:t>
      </w:r>
    </w:p>
    <w:p>
      <w:pPr>
        <w:spacing w:after="0" w:line="220"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19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30" w:lineRule="auto" w:before="80"/>
        <w:ind w:left="1393" w:right="114" w:firstLine="0"/>
        <w:jc w:val="both"/>
        <w:rPr>
          <w:sz w:val="14"/>
        </w:rPr>
      </w:pPr>
      <w:r>
        <w:rPr>
          <w:sz w:val="22"/>
        </w:rPr>
        <w:t>conservadores, empresarios, judicatura-, quienes, con </w:t>
      </w:r>
      <w:r>
        <w:rPr>
          <w:spacing w:val="-3"/>
          <w:sz w:val="22"/>
        </w:rPr>
        <w:t>la </w:t>
      </w:r>
      <w:r>
        <w:rPr>
          <w:sz w:val="22"/>
        </w:rPr>
        <w:t>complicidad del Ejército,  </w:t>
      </w:r>
      <w:r>
        <w:rPr>
          <w:spacing w:val="-3"/>
          <w:sz w:val="22"/>
        </w:rPr>
        <w:t>le </w:t>
      </w:r>
      <w:r>
        <w:rPr>
          <w:sz w:val="22"/>
        </w:rPr>
        <w:t>acusaron de querer cambiar </w:t>
      </w:r>
      <w:r>
        <w:rPr>
          <w:spacing w:val="-3"/>
          <w:sz w:val="22"/>
        </w:rPr>
        <w:t>la </w:t>
      </w:r>
      <w:r>
        <w:rPr>
          <w:sz w:val="22"/>
        </w:rPr>
        <w:t>ley para renovar su mandato y declararon ilegal su encuesta-consulta del 28 de junio de 2009. Ese día, los militares depusieron a Zelaya y </w:t>
      </w:r>
      <w:r>
        <w:rPr>
          <w:spacing w:val="2"/>
          <w:sz w:val="22"/>
        </w:rPr>
        <w:t>el </w:t>
      </w:r>
      <w:r>
        <w:rPr>
          <w:sz w:val="22"/>
        </w:rPr>
        <w:t>Congreso eligió para sustituirle al también liberal Roberto</w:t>
      </w:r>
      <w:r>
        <w:rPr>
          <w:spacing w:val="-38"/>
          <w:sz w:val="22"/>
        </w:rPr>
        <w:t> </w:t>
      </w:r>
      <w:r>
        <w:rPr>
          <w:sz w:val="22"/>
        </w:rPr>
        <w:t>Micheletti. </w:t>
      </w:r>
      <w:r>
        <w:rPr>
          <w:spacing w:val="-2"/>
          <w:position w:val="10"/>
          <w:sz w:val="14"/>
        </w:rPr>
        <w:t>130</w:t>
      </w:r>
    </w:p>
    <w:p>
      <w:pPr>
        <w:pStyle w:val="BodyText"/>
        <w:rPr>
          <w:sz w:val="26"/>
        </w:rPr>
      </w:pPr>
    </w:p>
    <w:p>
      <w:pPr>
        <w:pStyle w:val="BodyText"/>
        <w:spacing w:before="1"/>
        <w:rPr>
          <w:sz w:val="35"/>
        </w:rPr>
      </w:pPr>
    </w:p>
    <w:p>
      <w:pPr>
        <w:pStyle w:val="BodyText"/>
        <w:spacing w:line="360" w:lineRule="auto"/>
        <w:ind w:left="684" w:right="116" w:firstLine="336"/>
        <w:jc w:val="both"/>
      </w:pPr>
      <w:r>
        <w:rPr/>
        <w:t>De esa manera terminaba un intento de democratización en Honduras, continuándose con un estado pseudo-.democrático controlado desde el gobierno estadounidense, por los que hasta ahora han sido sus representantes en Honduras los grupos del poder económico militar en ese país. No obstante, es importante señalar que Honduras en los últimos tiempos ha tenido cambios importantes en su sistema político, que inicia precisamente en 1980, como comenta Torres</w:t>
      </w:r>
      <w:r>
        <w:rPr>
          <w:spacing w:val="-14"/>
        </w:rPr>
        <w:t> </w:t>
      </w:r>
      <w:r>
        <w:rPr/>
        <w:t>Calderón:</w:t>
      </w:r>
    </w:p>
    <w:p>
      <w:pPr>
        <w:pStyle w:val="BodyText"/>
        <w:spacing w:before="8"/>
      </w:pPr>
    </w:p>
    <w:p>
      <w:pPr>
        <w:spacing w:line="235" w:lineRule="auto" w:before="1"/>
        <w:ind w:left="1393" w:right="112" w:firstLine="0"/>
        <w:jc w:val="both"/>
        <w:rPr>
          <w:sz w:val="14"/>
        </w:rPr>
      </w:pPr>
      <w:r>
        <w:rPr>
          <w:sz w:val="22"/>
        </w:rPr>
        <w:t>Un rasgo singular e históricamente novedoso de Honduras es su transición democrática, iniciada en 1980, que </w:t>
      </w:r>
      <w:r>
        <w:rPr>
          <w:spacing w:val="-3"/>
          <w:sz w:val="22"/>
        </w:rPr>
        <w:t>le </w:t>
      </w:r>
      <w:r>
        <w:rPr>
          <w:sz w:val="22"/>
        </w:rPr>
        <w:t>había permitido elegir siete gobiernos constitucionales sin interrupción hasta el </w:t>
      </w:r>
      <w:r>
        <w:rPr>
          <w:spacing w:val="4"/>
          <w:sz w:val="22"/>
        </w:rPr>
        <w:t>28 </w:t>
      </w:r>
      <w:r>
        <w:rPr>
          <w:sz w:val="22"/>
        </w:rPr>
        <w:t>de junio de 2009 cuando un Golpe de Estado derrocó al Presidente Constitucional, José Manuel Zelaya Rosales, y originó un interregno dictatorial de siete meses que pactó respetar el cronograma electoral con </w:t>
      </w:r>
      <w:r>
        <w:rPr>
          <w:spacing w:val="-3"/>
          <w:sz w:val="22"/>
        </w:rPr>
        <w:t>la </w:t>
      </w:r>
      <w:r>
        <w:rPr>
          <w:sz w:val="22"/>
        </w:rPr>
        <w:t>realización de comicios generales el 29 de noviembre y entrega del poder el 27 de enero de 2010.</w:t>
      </w:r>
      <w:r>
        <w:rPr>
          <w:spacing w:val="-12"/>
          <w:sz w:val="22"/>
        </w:rPr>
        <w:t> </w:t>
      </w:r>
      <w:r>
        <w:rPr>
          <w:spacing w:val="-2"/>
          <w:position w:val="10"/>
          <w:sz w:val="14"/>
        </w:rPr>
        <w:t>131</w:t>
      </w:r>
    </w:p>
    <w:p>
      <w:pPr>
        <w:pStyle w:val="BodyText"/>
        <w:spacing w:before="3"/>
        <w:rPr>
          <w:sz w:val="36"/>
        </w:rPr>
      </w:pPr>
    </w:p>
    <w:p>
      <w:pPr>
        <w:pStyle w:val="BodyText"/>
        <w:spacing w:line="360" w:lineRule="auto"/>
        <w:ind w:left="684" w:right="110" w:firstLine="336"/>
        <w:jc w:val="both"/>
      </w:pPr>
      <w:r>
        <w:rPr/>
        <w:pict>
          <v:line style="position:absolute;mso-position-horizontal-relative:page;mso-position-vertical-relative:paragraph;z-index:4168;mso-wrap-distance-left:0;mso-wrap-distance-right:0" from="99.224998pt,208.605881pt" to="243.274998pt,208.605881pt" stroked="true" strokeweight=".599980pt" strokecolor="#000000">
            <w10:wrap type="topAndBottom"/>
          </v:line>
        </w:pict>
      </w:r>
      <w:r>
        <w:rPr/>
        <w:t>Honduras es un país que al igual que los países que conforman América Latina contiene una enorme deuda social con la mayoría de sus ciudadanos, deuda acumulada que demanda ser ubicada en el centro de las prioridades del Estado. No obstante, las clases en el poder tienen su proyecto dirigido a perpetuar sus privilegios, no a mejorar las condiciones de vida de la mayoría de la población que se encuentra en estado de pobreza extrema. Así, el país está partido en dos grandes bloques, entre quienes lo ven con el optimismo de sus ganancias y prerrogativas y de quienes lo ven con el pesimismo de sus precariedades. Ese es el país que preocupa y convoca a la reflexión y al cambio, especialmente en un período  histórico que parece  marcar,  poco a poco, la extinción  de los  </w:t>
      </w:r>
      <w:r>
        <w:rPr>
          <w:spacing w:val="56"/>
        </w:rPr>
        <w:t> </w:t>
      </w:r>
      <w:r>
        <w:rPr/>
        <w:t>Estados-</w:t>
      </w:r>
    </w:p>
    <w:p>
      <w:pPr>
        <w:tabs>
          <w:tab w:pos="3411" w:val="left" w:leader="none"/>
          <w:tab w:pos="6422" w:val="left" w:leader="none"/>
          <w:tab w:pos="9285" w:val="left" w:leader="none"/>
        </w:tabs>
        <w:spacing w:before="47"/>
        <w:ind w:left="684" w:right="120" w:firstLine="0"/>
        <w:jc w:val="left"/>
        <w:rPr>
          <w:rFonts w:ascii="Calibri" w:hAnsi="Calibri"/>
          <w:sz w:val="18"/>
        </w:rPr>
      </w:pPr>
      <w:r>
        <w:rPr>
          <w:rFonts w:ascii="Calibri" w:hAnsi="Calibri"/>
          <w:position w:val="9"/>
          <w:sz w:val="12"/>
        </w:rPr>
        <w:t>130 </w:t>
      </w:r>
      <w:r>
        <w:rPr>
          <w:rFonts w:ascii="Calibri" w:hAnsi="Calibri"/>
          <w:sz w:val="18"/>
        </w:rPr>
        <w:t>CIDOB, Centro de Estudios y documentación Internacionales de Barcelona, “Manuel Zelaya Rosales” [en línea], consulta</w:t>
        <w:tab/>
        <w:t>05/06/2011,</w:t>
        <w:tab/>
        <w:t>disponible</w:t>
        <w:tab/>
        <w:t>en: </w:t>
      </w:r>
      <w:hyperlink r:id="rId59">
        <w:r>
          <w:rPr>
            <w:rFonts w:ascii="Calibri" w:hAnsi="Calibri"/>
            <w:color w:val="0000FF"/>
            <w:sz w:val="18"/>
            <w:u w:val="single" w:color="0000FF"/>
          </w:rPr>
          <w:t>http://www.cidob.org/es/documentacion/biografias_lideres_politicos/america_central_y_caribe/honduras/manuel_zel</w:t>
        </w:r>
      </w:hyperlink>
      <w:r>
        <w:rPr>
          <w:rFonts w:ascii="Calibri" w:hAnsi="Calibri"/>
          <w:color w:val="0000FF"/>
          <w:sz w:val="18"/>
          <w:u w:val="single" w:color="0000FF"/>
        </w:rPr>
        <w:t> </w:t>
      </w:r>
      <w:hyperlink r:id="rId59">
        <w:r>
          <w:rPr>
            <w:rFonts w:ascii="Calibri" w:hAnsi="Calibri"/>
            <w:color w:val="0000FF"/>
            <w:sz w:val="18"/>
            <w:u w:val="single" w:color="0000FF"/>
          </w:rPr>
          <w:t>aya_rosales</w:t>
        </w:r>
        <w:r>
          <w:rPr>
            <w:rFonts w:ascii="Calibri" w:hAnsi="Calibri"/>
            <w:sz w:val="18"/>
          </w:rPr>
          <w:t>.</w:t>
        </w:r>
      </w:hyperlink>
    </w:p>
    <w:p>
      <w:pPr>
        <w:spacing w:line="220" w:lineRule="exact" w:before="0"/>
        <w:ind w:left="684" w:right="114" w:firstLine="0"/>
        <w:jc w:val="left"/>
        <w:rPr>
          <w:rFonts w:ascii="Calibri" w:hAnsi="Calibri"/>
          <w:sz w:val="18"/>
        </w:rPr>
      </w:pPr>
      <w:r>
        <w:rPr>
          <w:rFonts w:ascii="Calibri" w:hAnsi="Calibri"/>
          <w:position w:val="9"/>
          <w:sz w:val="12"/>
        </w:rPr>
        <w:t>131  </w:t>
      </w:r>
      <w:r>
        <w:rPr>
          <w:rFonts w:ascii="Calibri" w:hAnsi="Calibri"/>
          <w:sz w:val="18"/>
        </w:rPr>
        <w:t>TORRES  Calderón, Manuel, “Golpe de Estado, Elecciones  y ´Medios  en  una  Democracia  Fallida”, en  Omar  Rincón,</w:t>
      </w:r>
    </w:p>
    <w:p>
      <w:pPr>
        <w:spacing w:before="0"/>
        <w:ind w:left="684" w:right="116" w:firstLine="0"/>
        <w:jc w:val="both"/>
        <w:rPr>
          <w:rFonts w:ascii="Calibri" w:hAnsi="Calibri"/>
          <w:sz w:val="18"/>
        </w:rPr>
      </w:pPr>
      <w:r>
        <w:rPr>
          <w:rFonts w:ascii="Calibri" w:hAnsi="Calibri"/>
          <w:sz w:val="18"/>
        </w:rPr>
        <w:t>Editor, </w:t>
      </w:r>
      <w:r>
        <w:rPr>
          <w:rFonts w:ascii="Calibri" w:hAnsi="Calibri"/>
          <w:i/>
          <w:sz w:val="18"/>
        </w:rPr>
        <w:t>¿POR QUÉ NOS ODIAN TANTO? [Estado y medios de comunicación en América Latina</w:t>
      </w:r>
      <w:r>
        <w:rPr>
          <w:rFonts w:ascii="Calibri" w:hAnsi="Calibri"/>
          <w:sz w:val="18"/>
        </w:rPr>
        <w:t>] Centro de Competencia en Comunicación, para América Latina, Friedrich Ebert Stiftung, Bogotá, 2010, [en línea], consulta el 18/09/2012, disponible en: </w:t>
      </w:r>
      <w:hyperlink r:id="rId60">
        <w:r>
          <w:rPr>
            <w:rFonts w:ascii="Calibri" w:hAnsi="Calibri"/>
            <w:color w:val="0000FF"/>
            <w:sz w:val="18"/>
            <w:u w:val="single" w:color="0000FF"/>
          </w:rPr>
          <w:t>http://library.fes.de/pdf-files/bueros/c3-comunicacion/07475.pdf</w:t>
        </w:r>
        <w:r>
          <w:rPr>
            <w:rFonts w:ascii="Calibri" w:hAnsi="Calibri"/>
            <w:sz w:val="18"/>
          </w:rPr>
          <w:t>.</w:t>
        </w:r>
      </w:hyperlink>
      <w:r>
        <w:rPr>
          <w:rFonts w:ascii="Calibri" w:hAnsi="Calibri"/>
          <w:sz w:val="18"/>
        </w:rPr>
        <w:t>, ISBN 978-958-8677-00-2.</w:t>
      </w:r>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424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2"/>
        </w:rPr>
      </w:pPr>
    </w:p>
    <w:p>
      <w:pPr>
        <w:pStyle w:val="BodyText"/>
        <w:spacing w:line="360" w:lineRule="auto" w:before="82"/>
        <w:ind w:left="264" w:right="214"/>
        <w:jc w:val="both"/>
      </w:pPr>
      <w:r>
        <w:rPr/>
        <w:t>nación débiles.</w:t>
      </w:r>
      <w:r>
        <w:rPr>
          <w:position w:val="11"/>
          <w:sz w:val="16"/>
        </w:rPr>
        <w:t>132 </w:t>
      </w:r>
      <w:r>
        <w:rPr/>
        <w:t>El precio interno que ha pagado Honduras por servir a la ideología colonizadora de Estados Unidos, es alto. Se ha devaluado el incipiente proceso de democratización y ya, en el siglo XXI se ha consentido una importante inclusión militar en la política.</w:t>
      </w:r>
    </w:p>
    <w:p>
      <w:pPr>
        <w:pStyle w:val="BodyText"/>
        <w:spacing w:before="11"/>
        <w:rPr>
          <w:sz w:val="35"/>
        </w:rPr>
      </w:pPr>
    </w:p>
    <w:p>
      <w:pPr>
        <w:pStyle w:val="Heading3"/>
        <w:numPr>
          <w:ilvl w:val="0"/>
          <w:numId w:val="3"/>
        </w:numPr>
        <w:tabs>
          <w:tab w:pos="600" w:val="left" w:leader="none"/>
        </w:tabs>
        <w:spacing w:line="240" w:lineRule="auto" w:before="0" w:after="0"/>
        <w:ind w:left="599" w:right="0" w:hanging="335"/>
        <w:jc w:val="both"/>
        <w:rPr>
          <w:rFonts w:ascii="Arial" w:hAnsi="Arial"/>
        </w:rPr>
      </w:pPr>
      <w:r>
        <w:rPr>
          <w:rFonts w:ascii="Arial" w:hAnsi="Arial"/>
        </w:rPr>
        <w:t>Desarrollo de la televisión en México y</w:t>
      </w:r>
      <w:r>
        <w:rPr>
          <w:rFonts w:ascii="Arial" w:hAnsi="Arial"/>
          <w:spacing w:val="-25"/>
        </w:rPr>
        <w:t> </w:t>
      </w:r>
      <w:r>
        <w:rPr>
          <w:rFonts w:ascii="Arial" w:hAnsi="Arial"/>
        </w:rPr>
        <w:t>Honduras</w:t>
      </w:r>
    </w:p>
    <w:p>
      <w:pPr>
        <w:pStyle w:val="BodyText"/>
        <w:rPr>
          <w:b/>
        </w:rPr>
      </w:pPr>
    </w:p>
    <w:p>
      <w:pPr>
        <w:pStyle w:val="BodyText"/>
        <w:spacing w:before="4"/>
        <w:rPr>
          <w:b/>
        </w:rPr>
      </w:pPr>
    </w:p>
    <w:p>
      <w:pPr>
        <w:pStyle w:val="BodyText"/>
        <w:spacing w:line="360" w:lineRule="auto"/>
        <w:ind w:left="264" w:right="214" w:firstLine="404"/>
        <w:jc w:val="both"/>
      </w:pPr>
      <w:r>
        <w:rPr/>
        <w:t>De 1980 a la fecha los Medios de Comunicación Social han logrado en México y Honduras una especial importancia, </w:t>
      </w:r>
      <w:r>
        <w:rPr>
          <w:spacing w:val="-3"/>
        </w:rPr>
        <w:t>ya </w:t>
      </w:r>
      <w:r>
        <w:rPr/>
        <w:t>que propagan su mensaje de manera  casi inmediata a una gran cantidad de personas ubicadas en diferentes espacios geográficos. Sobre todo la televisión como sistema de difusión de imágenes en movimiento, se ha extendido por todo el mundo; los satélites de comunicaciones permiten transmitir programas de un continente a otro y divulgar acontecimientos en vivo a casi cualquier parte del mundo. Su tecnología ha demostrado su capacidad para la transformación de la realidad, produciendo efectos que alteran el comportamiento, convirtiéndose a la vez en un instrumento dominante de la comunicación social. Además de su influencia en la transformación de las habilidades cognitivas de los</w:t>
      </w:r>
      <w:r>
        <w:rPr>
          <w:spacing w:val="-23"/>
        </w:rPr>
        <w:t> </w:t>
      </w:r>
      <w:r>
        <w:rPr/>
        <w:t>individuos.</w:t>
      </w:r>
    </w:p>
    <w:p>
      <w:pPr>
        <w:pStyle w:val="BodyText"/>
        <w:spacing w:line="360" w:lineRule="auto" w:before="6"/>
        <w:ind w:left="264" w:right="212" w:firstLine="336"/>
        <w:jc w:val="both"/>
      </w:pPr>
      <w:r>
        <w:rPr/>
        <w:t>Así, las promisorias capacidades de las nuevas tecnologías de información como la televisión, el radio y la Red de Internet para producir, difundir e internalizar datos y sentidos sobre nuestras conciencias, han modificado las reglas y dinámicas tradicionales con las que nuestra sociedad antiguamente se interrelacionaba.</w:t>
      </w:r>
    </w:p>
    <w:p>
      <w:pPr>
        <w:pStyle w:val="BodyText"/>
        <w:spacing w:line="350" w:lineRule="auto" w:before="2"/>
        <w:ind w:left="264" w:right="218" w:firstLine="404"/>
        <w:jc w:val="both"/>
      </w:pPr>
      <w:r>
        <w:rPr/>
        <w:t>Este fenómeno ha provocado un cambio significativo en la jerarquización de las estructuras que conforman los estratos de poder y la movilización cotidiana de nuestra sociedad, ya que los medios de información masiva se han conformado como centro del poder.</w:t>
      </w:r>
      <w:r>
        <w:rPr>
          <w:position w:val="11"/>
          <w:sz w:val="16"/>
        </w:rPr>
        <w:t>133 </w:t>
      </w:r>
      <w:r>
        <w:rPr/>
        <w:t>Así para Javier Esteinou</w:t>
      </w:r>
      <w:r>
        <w:rPr>
          <w:spacing w:val="-6"/>
        </w:rPr>
        <w:t> </w:t>
      </w:r>
      <w:r>
        <w:rPr/>
        <w:t>Madrid:</w:t>
      </w:r>
    </w:p>
    <w:p>
      <w:pPr>
        <w:pStyle w:val="BodyText"/>
        <w:rPr>
          <w:sz w:val="20"/>
        </w:rPr>
      </w:pP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4216;mso-wrap-distance-left:0;mso-wrap-distance-right:0" from="99.224998pt,18.853769pt" to="243.274998pt,18.853769pt" stroked="true" strokeweight=".60004pt" strokecolor="#000000">
            <w10:wrap type="topAndBottom"/>
          </v:line>
        </w:pict>
      </w:r>
    </w:p>
    <w:p>
      <w:pPr>
        <w:spacing w:before="46"/>
        <w:ind w:left="264" w:right="0" w:firstLine="0"/>
        <w:jc w:val="left"/>
        <w:rPr>
          <w:rFonts w:ascii="Calibri" w:hAnsi="Calibri"/>
          <w:i/>
          <w:sz w:val="18"/>
        </w:rPr>
      </w:pPr>
      <w:r>
        <w:rPr>
          <w:rFonts w:ascii="Calibri" w:hAnsi="Calibri"/>
          <w:position w:val="9"/>
          <w:sz w:val="12"/>
        </w:rPr>
        <w:t>132 </w:t>
      </w:r>
      <w:r>
        <w:rPr>
          <w:rFonts w:ascii="Calibri" w:hAnsi="Calibri"/>
          <w:i/>
          <w:sz w:val="18"/>
        </w:rPr>
        <w:t>Ídem.</w:t>
      </w:r>
    </w:p>
    <w:p>
      <w:pPr>
        <w:spacing w:before="187"/>
        <w:ind w:left="264" w:right="0" w:firstLine="0"/>
        <w:jc w:val="left"/>
        <w:rPr>
          <w:rFonts w:ascii="Calibri" w:hAnsi="Calibri"/>
          <w:sz w:val="18"/>
        </w:rPr>
      </w:pPr>
      <w:r>
        <w:rPr>
          <w:rFonts w:ascii="Calibri" w:hAnsi="Calibri"/>
          <w:position w:val="9"/>
          <w:sz w:val="12"/>
        </w:rPr>
        <w:t>133 </w:t>
      </w:r>
      <w:r>
        <w:rPr>
          <w:rFonts w:ascii="Calibri" w:hAnsi="Calibri"/>
          <w:sz w:val="18"/>
        </w:rPr>
        <w:t>Véase: LUHMANN, Niklas, </w:t>
      </w:r>
      <w:r>
        <w:rPr>
          <w:rFonts w:ascii="Calibri" w:hAnsi="Calibri"/>
          <w:i/>
          <w:sz w:val="18"/>
        </w:rPr>
        <w:t>Poder</w:t>
      </w:r>
      <w:r>
        <w:rPr>
          <w:rFonts w:ascii="Calibri" w:hAnsi="Calibri"/>
          <w:sz w:val="18"/>
        </w:rPr>
        <w:t>, Anthropos, Barcelona, 1995.</w:t>
      </w:r>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28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35" w:lineRule="auto" w:before="76"/>
        <w:ind w:left="1393" w:right="115" w:firstLine="0"/>
        <w:jc w:val="both"/>
        <w:rPr>
          <w:sz w:val="14"/>
        </w:rPr>
      </w:pPr>
      <w:r>
        <w:rPr>
          <w:sz w:val="22"/>
        </w:rPr>
        <w:t>Este creciente poder de los medios sobre </w:t>
      </w:r>
      <w:r>
        <w:rPr>
          <w:spacing w:val="-3"/>
          <w:sz w:val="22"/>
        </w:rPr>
        <w:t>la </w:t>
      </w:r>
      <w:r>
        <w:rPr>
          <w:sz w:val="22"/>
        </w:rPr>
        <w:t>comunidad y los individuos ha creado, cada vez más, una sociedad mediática que ha producido una nueva atmósfera cultural colectiva de naturaleza “comunicósfera” que ha ocasionado que el  conjunto de las principales instituciones de gobernabilidad ahora funcionen a distancia por intermediación de los canales de información, especialmente electrónicos y las nuevas tecnologías de</w:t>
      </w:r>
      <w:r>
        <w:rPr>
          <w:spacing w:val="-33"/>
          <w:sz w:val="22"/>
        </w:rPr>
        <w:t> </w:t>
      </w:r>
      <w:r>
        <w:rPr>
          <w:sz w:val="22"/>
        </w:rPr>
        <w:t>información.</w:t>
      </w:r>
      <w:r>
        <w:rPr>
          <w:position w:val="10"/>
          <w:sz w:val="14"/>
        </w:rPr>
        <w:t>134</w:t>
      </w:r>
    </w:p>
    <w:p>
      <w:pPr>
        <w:pStyle w:val="BodyText"/>
        <w:spacing w:before="3"/>
        <w:rPr>
          <w:sz w:val="36"/>
        </w:rPr>
      </w:pPr>
    </w:p>
    <w:p>
      <w:pPr>
        <w:pStyle w:val="BodyText"/>
        <w:spacing w:line="360" w:lineRule="auto"/>
        <w:ind w:left="684" w:right="116" w:firstLine="336"/>
        <w:jc w:val="both"/>
      </w:pPr>
      <w:r>
        <w:rPr/>
        <w:t>Dada la influencia de los medios, el siglo pasado se caracterizó por una gran formalización del lenguaje del ambiente televisivo, por una proliferación de símbolos e iconos que comunican a individuos de diferentes culturas ubicadas en diferentes espacios y tiempos. Y es en los 80’s cuando se incorpora a la cultura el uso amplio de la imagen como vehículo de información y formación de las mentalidades. En relación a esto Joseph Hodara comenta:</w:t>
      </w:r>
    </w:p>
    <w:p>
      <w:pPr>
        <w:pStyle w:val="BodyText"/>
      </w:pPr>
    </w:p>
    <w:p>
      <w:pPr>
        <w:spacing w:line="237" w:lineRule="auto" w:before="143"/>
        <w:ind w:left="1393" w:right="114" w:firstLine="0"/>
        <w:jc w:val="both"/>
        <w:rPr>
          <w:sz w:val="14"/>
        </w:rPr>
      </w:pPr>
      <w:r>
        <w:rPr>
          <w:sz w:val="22"/>
        </w:rPr>
        <w:t>El cine y </w:t>
      </w:r>
      <w:r>
        <w:rPr>
          <w:spacing w:val="-3"/>
          <w:sz w:val="22"/>
        </w:rPr>
        <w:t>la </w:t>
      </w:r>
      <w:r>
        <w:rPr>
          <w:sz w:val="22"/>
        </w:rPr>
        <w:t>televisión nos están impregnando con sucesiones de cuadros no reflexivos y hasta antirreflexivos. Esto excita nuestra comodidad: no hay que pensar ni inquirir. </w:t>
      </w:r>
      <w:r>
        <w:rPr>
          <w:spacing w:val="2"/>
          <w:sz w:val="22"/>
        </w:rPr>
        <w:t>El </w:t>
      </w:r>
      <w:r>
        <w:rPr>
          <w:sz w:val="22"/>
        </w:rPr>
        <w:t>mundo se presenta como una enorme y presumiblemente movida imagen que aceptamos con placida pasividad. El resultado es el alejamiento de </w:t>
      </w:r>
      <w:r>
        <w:rPr>
          <w:spacing w:val="-3"/>
          <w:sz w:val="22"/>
        </w:rPr>
        <w:t>la </w:t>
      </w:r>
      <w:r>
        <w:rPr>
          <w:sz w:val="22"/>
        </w:rPr>
        <w:t>página escrita por abstracta, difícil y hasta tediosa. La estampida contemporánea de las imágenes ha transformado gustos y preferencias. Ahora poseemos y somos poseídos por otra</w:t>
      </w:r>
      <w:r>
        <w:rPr>
          <w:spacing w:val="-28"/>
          <w:sz w:val="22"/>
        </w:rPr>
        <w:t> </w:t>
      </w:r>
      <w:r>
        <w:rPr>
          <w:sz w:val="22"/>
        </w:rPr>
        <w:t>estética.</w:t>
      </w:r>
      <w:r>
        <w:rPr>
          <w:position w:val="10"/>
          <w:sz w:val="14"/>
        </w:rPr>
        <w:t>135</w:t>
      </w:r>
    </w:p>
    <w:p>
      <w:pPr>
        <w:pStyle w:val="BodyText"/>
        <w:spacing w:before="2"/>
        <w:rPr>
          <w:sz w:val="36"/>
        </w:rPr>
      </w:pPr>
    </w:p>
    <w:p>
      <w:pPr>
        <w:pStyle w:val="BodyText"/>
        <w:spacing w:line="360" w:lineRule="auto"/>
        <w:ind w:left="684" w:right="111" w:firstLine="336"/>
        <w:jc w:val="both"/>
      </w:pPr>
      <w:r>
        <w:rPr/>
        <w:t>La estética del mensaje televisivo que nos acompañe de manera constante y perniciosa.</w:t>
      </w:r>
    </w:p>
    <w:p>
      <w:pPr>
        <w:pStyle w:val="BodyText"/>
        <w:spacing w:before="11"/>
        <w:rPr>
          <w:sz w:val="35"/>
        </w:rPr>
      </w:pPr>
    </w:p>
    <w:p>
      <w:pPr>
        <w:pStyle w:val="Heading3"/>
        <w:numPr>
          <w:ilvl w:val="1"/>
          <w:numId w:val="3"/>
        </w:numPr>
        <w:tabs>
          <w:tab w:pos="1020" w:val="left" w:leader="none"/>
        </w:tabs>
        <w:spacing w:line="240" w:lineRule="auto" w:before="0" w:after="0"/>
        <w:ind w:left="1019" w:right="0" w:hanging="335"/>
        <w:jc w:val="left"/>
        <w:rPr>
          <w:rFonts w:ascii="Arial" w:hAnsi="Arial"/>
        </w:rPr>
      </w:pPr>
      <w:r>
        <w:rPr>
          <w:rFonts w:ascii="Arial" w:hAnsi="Arial"/>
        </w:rPr>
        <w:t>Uso de los medios de comunicación en México y</w:t>
      </w:r>
      <w:r>
        <w:rPr>
          <w:rFonts w:ascii="Arial" w:hAnsi="Arial"/>
          <w:spacing w:val="-21"/>
        </w:rPr>
        <w:t> </w:t>
      </w:r>
      <w:r>
        <w:rPr>
          <w:rFonts w:ascii="Arial" w:hAnsi="Arial"/>
        </w:rPr>
        <w:t>Honduras</w:t>
      </w:r>
    </w:p>
    <w:p>
      <w:pPr>
        <w:pStyle w:val="BodyText"/>
        <w:rPr>
          <w:b/>
        </w:rPr>
      </w:pPr>
    </w:p>
    <w:p>
      <w:pPr>
        <w:pStyle w:val="BodyText"/>
        <w:spacing w:before="4"/>
        <w:rPr>
          <w:b/>
        </w:rPr>
      </w:pPr>
    </w:p>
    <w:p>
      <w:pPr>
        <w:pStyle w:val="BodyText"/>
        <w:spacing w:line="360" w:lineRule="auto"/>
        <w:ind w:left="684" w:right="114" w:firstLine="336"/>
        <w:jc w:val="both"/>
      </w:pPr>
      <w:r>
        <w:rPr/>
        <w:t>En este apartado se analiza de qué manera en México y Honduras los medios de comunicación han permitido la retro-alimentación de la cultura como portadores de memoria, porque al mismo tiempo que la sociedad y la cultura se trasforman, éstos también han sufrido transformaciones evidentes y dramáticas; mejorando su capacidad para registrar y almacenar lo que para este sistema es merecedor de ser grabado en la memoria popular.</w:t>
      </w:r>
    </w:p>
    <w:p>
      <w:pPr>
        <w:pStyle w:val="BodyText"/>
        <w:spacing w:before="4"/>
        <w:rPr>
          <w:sz w:val="25"/>
        </w:rPr>
      </w:pPr>
      <w:r>
        <w:rPr/>
        <w:pict>
          <v:line style="position:absolute;mso-position-horizontal-relative:page;mso-position-vertical-relative:paragraph;z-index:4264;mso-wrap-distance-left:0;mso-wrap-distance-right:0" from="99.224998pt,16.853884pt" to="243.274998pt,16.853884pt" stroked="true" strokeweight=".60004pt" strokecolor="#000000">
            <w10:wrap type="topAndBottom"/>
          </v:line>
        </w:pict>
      </w:r>
    </w:p>
    <w:p>
      <w:pPr>
        <w:spacing w:before="46"/>
        <w:ind w:left="684" w:right="114" w:firstLine="0"/>
        <w:jc w:val="both"/>
        <w:rPr>
          <w:rFonts w:ascii="Calibri" w:hAnsi="Calibri"/>
          <w:sz w:val="18"/>
        </w:rPr>
      </w:pPr>
      <w:r>
        <w:rPr>
          <w:rFonts w:ascii="Calibri" w:hAnsi="Calibri"/>
          <w:position w:val="9"/>
          <w:sz w:val="12"/>
        </w:rPr>
        <w:t>134 </w:t>
      </w:r>
      <w:r>
        <w:rPr>
          <w:rFonts w:ascii="Calibri" w:hAnsi="Calibri"/>
          <w:sz w:val="18"/>
        </w:rPr>
        <w:t>ESTEINOU Madrid, Javier, “Globalización, Medios de Comunicación y Cultura en México a principios del siglo XXI”, </w:t>
      </w:r>
      <w:r>
        <w:rPr>
          <w:rFonts w:ascii="Calibri" w:hAnsi="Calibri"/>
          <w:i/>
          <w:sz w:val="18"/>
        </w:rPr>
        <w:t>ÁMBITOS, </w:t>
      </w:r>
      <w:r>
        <w:rPr>
          <w:rFonts w:ascii="Calibri" w:hAnsi="Calibri"/>
          <w:sz w:val="18"/>
        </w:rPr>
        <w:t>Nº 5. 2º Semestre de 2000 [en línea] consulta 07/09/2012, (pp. 7-49) disponible en </w:t>
      </w:r>
      <w:hyperlink r:id="rId61">
        <w:r>
          <w:rPr>
            <w:rFonts w:ascii="Calibri" w:hAnsi="Calibri"/>
            <w:color w:val="0000FF"/>
            <w:sz w:val="18"/>
            <w:u w:val="single" w:color="0000FF"/>
          </w:rPr>
          <w:t>http://grupo.us.es/grehcco/ambitos05/esteinou.pdf</w:t>
        </w:r>
      </w:hyperlink>
    </w:p>
    <w:p>
      <w:pPr>
        <w:spacing w:line="220" w:lineRule="exact" w:before="0"/>
        <w:ind w:left="684" w:right="0" w:firstLine="0"/>
        <w:jc w:val="both"/>
        <w:rPr>
          <w:rFonts w:ascii="Calibri" w:hAnsi="Calibri"/>
          <w:sz w:val="18"/>
        </w:rPr>
      </w:pPr>
      <w:r>
        <w:rPr>
          <w:rFonts w:ascii="Calibri" w:hAnsi="Calibri"/>
          <w:position w:val="9"/>
          <w:sz w:val="12"/>
        </w:rPr>
        <w:t>135 </w:t>
      </w:r>
      <w:r>
        <w:rPr>
          <w:rFonts w:ascii="Calibri" w:hAnsi="Calibri"/>
          <w:sz w:val="18"/>
        </w:rPr>
        <w:t>HODARA, Joseph, “¿Habrá Literatura en el siglo XXI?”, CONACYT, </w:t>
      </w:r>
      <w:r>
        <w:rPr>
          <w:rFonts w:ascii="Calibri" w:hAnsi="Calibri"/>
          <w:i/>
          <w:sz w:val="18"/>
        </w:rPr>
        <w:t>Revista Ciencia y Desarrollo, </w:t>
      </w:r>
      <w:r>
        <w:rPr>
          <w:rFonts w:ascii="Calibri" w:hAnsi="Calibri"/>
          <w:sz w:val="18"/>
        </w:rPr>
        <w:t>Enero-Febrero, 1985,</w:t>
      </w:r>
    </w:p>
    <w:p>
      <w:pPr>
        <w:spacing w:before="0"/>
        <w:ind w:left="684" w:right="0" w:firstLine="0"/>
        <w:jc w:val="both"/>
        <w:rPr>
          <w:rFonts w:ascii="Calibri" w:hAnsi="Calibri"/>
          <w:sz w:val="18"/>
        </w:rPr>
      </w:pPr>
      <w:r>
        <w:rPr>
          <w:rFonts w:ascii="Calibri" w:hAnsi="Calibri"/>
          <w:sz w:val="18"/>
        </w:rPr>
        <w:t>Núm. 60, Año X, México, 1985, pp. 81-89</w:t>
      </w:r>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433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5" w:firstLine="336"/>
        <w:jc w:val="both"/>
      </w:pPr>
      <w:r>
        <w:rPr/>
        <w:t>El hombre es producto de su cultura, ella es herencia de las pasadas generaciones y es memoria para el futuro, ella nos hace sobrevivir como individuos, como especie, como comunidad, como grupo social; nos da la posibilidad de continuidad social. Esto la hace el dispositivo portador de los elementos de construcción del ser humano. Expresa la evolución de los grupos humanos utilizando para ello la comunicación; desde este enfoque es necesario analizar cómo los medios de comunicación se convierten en instrumentos circunstanciales pero determinantes en ese proceso de transmisión cultural.</w:t>
      </w:r>
    </w:p>
    <w:p>
      <w:pPr>
        <w:pStyle w:val="BodyText"/>
        <w:spacing w:line="360" w:lineRule="auto" w:before="6"/>
        <w:ind w:left="264" w:right="214" w:firstLine="336"/>
        <w:jc w:val="both"/>
      </w:pPr>
      <w:r>
        <w:rPr/>
        <w:t>Es claro que en los últimos cien años la ciencia y la tecnología han logrado grandes avances en materia de sistemas y medios de comunicación, lo que ha multiplicado los procesos sociales y, cimentado la difusión de la cultura; misma que se transmite a través del lenguaje y la comunicación, elementos fundamentales y de gran trascendencia para la integración social, que determinan al ser humano, ya que la forma como recibe y emite su lenguaje se convierten en factores epistémicos con los que capta y percibe la realidad. De esta manera, los medios de comunicación son el enlace con el que se interioriza la cultura, se transmiten las ideas y se forma el</w:t>
      </w:r>
      <w:r>
        <w:rPr>
          <w:spacing w:val="-26"/>
        </w:rPr>
        <w:t> </w:t>
      </w:r>
      <w:r>
        <w:rPr/>
        <w:t>pensamiento.</w:t>
      </w:r>
    </w:p>
    <w:p>
      <w:pPr>
        <w:pStyle w:val="BodyText"/>
        <w:spacing w:line="360" w:lineRule="auto" w:before="2"/>
        <w:ind w:left="264" w:right="214" w:firstLine="336"/>
        <w:jc w:val="both"/>
      </w:pPr>
      <w:r>
        <w:rPr/>
        <w:t>En México y Honduras, los Medios de Comunicación Masiva se han utilizado principalmente para fortalecer al sistema de mercado, para unificar criterios y opiniones, para entretenimiento de los habitantes, para dirimir ideas políticas, para difundir la cultura en general, además de incidir en la educación informal de los pueblos. De 1980 a la fecha los Medios de Comunicación Social (MCS) han logrado una especial importancia, ya que relacionan a una gran cantidad de personas en muy poco tiempo.</w:t>
      </w:r>
    </w:p>
    <w:p>
      <w:pPr>
        <w:pStyle w:val="BodyText"/>
      </w:pPr>
    </w:p>
    <w:p>
      <w:pPr>
        <w:spacing w:line="237" w:lineRule="auto" w:before="143"/>
        <w:ind w:left="973" w:right="216" w:firstLine="0"/>
        <w:jc w:val="both"/>
        <w:rPr>
          <w:sz w:val="14"/>
        </w:rPr>
      </w:pPr>
      <w:r>
        <w:rPr>
          <w:sz w:val="22"/>
        </w:rPr>
        <w:t>La expansión de esta realidad mediática ha modificado la estructura y frontera del Estado mexicano y de la cultura nacional creando un nuevo tejido en la esfera del poder que ha dado origen al Estado Mexicano Ampliado. Así, observamos el surgimiento de la tele administración pública, el tele deporte, la tele-política, la tele banca, la tele-oración, la tele-medicina, la tele-venta, la tele-diversión, la radio asistencia psíquico-emocional, la radio orientación vial, la radio iglesia, la radio orientación sexual, etc.</w:t>
      </w:r>
      <w:r>
        <w:rPr>
          <w:position w:val="10"/>
          <w:sz w:val="14"/>
        </w:rPr>
        <w:t>136</w:t>
      </w:r>
    </w:p>
    <w:p>
      <w:pPr>
        <w:pStyle w:val="BodyText"/>
        <w:rPr>
          <w:sz w:val="20"/>
        </w:rPr>
      </w:pPr>
    </w:p>
    <w:p>
      <w:pPr>
        <w:pStyle w:val="BodyText"/>
        <w:spacing w:before="5"/>
        <w:rPr>
          <w:sz w:val="25"/>
        </w:rPr>
      </w:pPr>
      <w:r>
        <w:rPr/>
        <w:pict>
          <v:line style="position:absolute;mso-position-horizontal-relative:page;mso-position-vertical-relative:paragraph;z-index:4312;mso-wrap-distance-left:0;mso-wrap-distance-right:0" from="99.224998pt,16.898211pt" to="243.274998pt,16.898211pt" stroked="true" strokeweight=".60004pt" strokecolor="#000000">
            <w10:wrap type="topAndBottom"/>
          </v:line>
        </w:pict>
      </w:r>
    </w:p>
    <w:p>
      <w:pPr>
        <w:spacing w:before="46"/>
        <w:ind w:left="264" w:right="0" w:firstLine="0"/>
        <w:jc w:val="left"/>
        <w:rPr>
          <w:rFonts w:ascii="Calibri" w:hAnsi="Calibri"/>
          <w:sz w:val="18"/>
        </w:rPr>
      </w:pPr>
      <w:r>
        <w:rPr>
          <w:rFonts w:ascii="Calibri" w:hAnsi="Calibri"/>
          <w:position w:val="9"/>
          <w:sz w:val="12"/>
        </w:rPr>
        <w:t>136 </w:t>
      </w:r>
      <w:r>
        <w:rPr>
          <w:rFonts w:ascii="Calibri" w:hAnsi="Calibri"/>
          <w:sz w:val="18"/>
        </w:rPr>
        <w:t>ESTEINOU Madrid, Javier, </w:t>
      </w:r>
      <w:r>
        <w:rPr>
          <w:rFonts w:ascii="Calibri" w:hAnsi="Calibri"/>
          <w:i/>
          <w:sz w:val="18"/>
        </w:rPr>
        <w:t>Óp. cit. </w:t>
      </w:r>
      <w:r>
        <w:rPr>
          <w:rFonts w:ascii="Calibri" w:hAnsi="Calibri"/>
          <w:sz w:val="18"/>
        </w:rPr>
        <w:t>p. 2</w:t>
      </w:r>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38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7" w:firstLine="336"/>
        <w:jc w:val="both"/>
      </w:pPr>
      <w:r>
        <w:rPr/>
        <w:t>Lo anterior nos demuestra el funcionamiento transversal de los medios en la operación práctica de todas las instituciones sociales básicas que dirigen los espacios de gobierno (por ejemplo han substituido en gran medida a los medios  de comunicación impresa). A la vez han reubicado a otros a órganos de administración social que se encuentran en crisis de funcionamiento o legitimación (Por ejemplo, el sistema de correos, que hasta el siglo XX tenía una mayor presencia en el ámbito de la comunicación a</w:t>
      </w:r>
      <w:r>
        <w:rPr>
          <w:spacing w:val="-27"/>
        </w:rPr>
        <w:t> </w:t>
      </w:r>
      <w:r>
        <w:rPr/>
        <w:t>distancia).</w:t>
      </w:r>
    </w:p>
    <w:p>
      <w:pPr>
        <w:pStyle w:val="BodyText"/>
        <w:spacing w:line="360" w:lineRule="auto" w:before="2"/>
        <w:ind w:left="684" w:right="111" w:firstLine="336"/>
        <w:jc w:val="both"/>
      </w:pPr>
      <w:r>
        <w:rPr/>
        <w:t>Por lo que a diferencia de los siglos anteriores, con la revolución informática las nuevas características con que los medios de información han transformado los procesos para producir, difundir e inculcar la información ha convertido al siglo XX en un siglo corto, pues se han reducido los tiempos de conocimiento de la realidad y las distancias de interacción entre los hombres. Durante las dos últimas décadas del siglo pasado el radio, la televisión, el Internet y la prensa escrita alcanzaron un importante desarrollo. La profunda diversificación y complejidad adquirida por los mercados, y aún con la revitalización de algunos medios, como las revistas y la radio, para los productores de bienes de consumo, la televisión es el más impactante y eficaz de los medios de comunicación social, utilizado activamente por la mercadotecnia, por las altas posibilidades de desarrollo de la creatividad</w:t>
      </w:r>
    </w:p>
    <w:p>
      <w:pPr>
        <w:pStyle w:val="BodyText"/>
        <w:spacing w:line="282" w:lineRule="exact"/>
        <w:ind w:left="684" w:right="114"/>
        <w:rPr>
          <w:sz w:val="16"/>
        </w:rPr>
      </w:pPr>
      <w:r>
        <w:rPr/>
        <w:t>que permite presentar de manera fascinante el producto.</w:t>
      </w:r>
      <w:r>
        <w:rPr>
          <w:position w:val="11"/>
          <w:sz w:val="16"/>
        </w:rPr>
        <w:t>137</w:t>
      </w:r>
    </w:p>
    <w:p>
      <w:pPr>
        <w:pStyle w:val="BodyText"/>
        <w:spacing w:line="360" w:lineRule="auto" w:before="136"/>
        <w:ind w:left="684" w:right="117" w:firstLine="408"/>
        <w:jc w:val="both"/>
      </w:pPr>
      <w:r>
        <w:rPr/>
        <w:t>Otro de los medios que tiene gran influencia en México y Honduras es la radio que ofrece una programación variada, tanto en emisión de noticias como en eventos eminentemente musicales. Es, después de la televisión, el medio de comunicación más popular de estos países, ya que los estudios demuestran que más de la mitad de la población tiene acceso a un aparato receptor.</w:t>
      </w:r>
    </w:p>
    <w:p>
      <w:pPr>
        <w:pStyle w:val="BodyText"/>
        <w:spacing w:line="360" w:lineRule="auto" w:before="6"/>
        <w:ind w:left="684" w:right="114" w:firstLine="336"/>
        <w:jc w:val="both"/>
      </w:pPr>
      <w:r>
        <w:rPr/>
        <w:pict>
          <v:line style="position:absolute;mso-position-horizontal-relative:page;mso-position-vertical-relative:paragraph;z-index:4360;mso-wrap-distance-left:0;mso-wrap-distance-right:0" from="99.224998pt,109.48584pt" to="243.274998pt,109.48584pt" stroked="true" strokeweight=".60004pt" strokecolor="#000000">
            <w10:wrap type="topAndBottom"/>
          </v:line>
        </w:pict>
      </w:r>
      <w:r>
        <w:rPr/>
        <w:t>El uso de los medios de comunicación se ha concentrado, en nuestra época,  en el uso de la mercadotecnia y la política; es tal su relevancia que la globalización de la era industrial ha tenido en ellos a sus mejores aliados; eventualmente otro de los usos ha sido la información de hechos sociales, la recreación y el esparcimiento para los usuarios, y en su modalidad específicamente educativa, </w:t>
      </w:r>
      <w:r>
        <w:rPr>
          <w:spacing w:val="32"/>
        </w:rPr>
        <w:t> </w:t>
      </w:r>
      <w:r>
        <w:rPr/>
        <w:t>la</w:t>
      </w:r>
    </w:p>
    <w:p>
      <w:pPr>
        <w:spacing w:before="48"/>
        <w:ind w:left="684" w:right="117" w:firstLine="0"/>
        <w:jc w:val="left"/>
        <w:rPr>
          <w:rFonts w:ascii="Calibri" w:hAnsi="Calibri"/>
          <w:sz w:val="18"/>
        </w:rPr>
      </w:pPr>
      <w:r>
        <w:rPr>
          <w:position w:val="9"/>
          <w:sz w:val="12"/>
        </w:rPr>
        <w:t>137</w:t>
      </w:r>
      <w:r>
        <w:rPr>
          <w:rFonts w:ascii="Calibri" w:hAnsi="Calibri"/>
          <w:sz w:val="18"/>
        </w:rPr>
        <w:t>MELGAR Ayala Rosa Leticia/ NAVAS Moz, Maugder Fabricio, “La televisión como medio de transformación de la identidad cultural a través de la publicidad”</w:t>
      </w:r>
      <w:r>
        <w:rPr>
          <w:rFonts w:ascii="Calibri" w:hAnsi="Calibri"/>
          <w:i/>
          <w:sz w:val="18"/>
        </w:rPr>
        <w:t>, </w:t>
      </w:r>
      <w:r>
        <w:rPr>
          <w:rFonts w:ascii="Calibri" w:hAnsi="Calibri"/>
          <w:sz w:val="18"/>
        </w:rPr>
        <w:t>Octubre de 2004, [en línea] consulta 18/02/2009, disponible en: </w:t>
      </w:r>
      <w:hyperlink r:id="rId62">
        <w:r>
          <w:rPr>
            <w:rFonts w:ascii="Calibri" w:hAnsi="Calibri"/>
            <w:color w:val="0000FF"/>
            <w:sz w:val="18"/>
            <w:u w:val="single" w:color="0000FF"/>
          </w:rPr>
          <w:t>http://es.scribd.com/doc/59135590/La-television-como-medio-de-transformacion-de-la-identidad-cultural-a-traves-de-</w:t>
        </w:r>
      </w:hyperlink>
      <w:r>
        <w:rPr>
          <w:rFonts w:ascii="Calibri" w:hAnsi="Calibri"/>
          <w:color w:val="0000FF"/>
          <w:sz w:val="18"/>
          <w:u w:val="single" w:color="0000FF"/>
        </w:rPr>
        <w:t> </w:t>
      </w:r>
      <w:hyperlink r:id="rId62">
        <w:r>
          <w:rPr>
            <w:rFonts w:ascii="Calibri" w:hAnsi="Calibri"/>
            <w:color w:val="0000FF"/>
            <w:sz w:val="18"/>
            <w:u w:val="single" w:color="0000FF"/>
          </w:rPr>
          <w:t>la-publicidad </w:t>
        </w:r>
      </w:hyperlink>
      <w:r>
        <w:rPr>
          <w:rFonts w:ascii="Calibri" w:hAnsi="Calibri"/>
          <w:sz w:val="18"/>
        </w:rPr>
        <w:t>.</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443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23"/>
        <w:jc w:val="both"/>
      </w:pPr>
      <w:r>
        <w:rPr/>
        <w:t>transmisión de programas de ese orden, en virtud de que en la mayoría de los hogares de las familias hondureñas y mexicanas se cuenta con un aparato televisivo que se convierte en agente de diversión, en fuente de  información rápida, accesible o en inspirador de sueños y proyectos de vida.</w:t>
      </w:r>
    </w:p>
    <w:p>
      <w:pPr>
        <w:pStyle w:val="BodyText"/>
        <w:spacing w:before="11"/>
        <w:rPr>
          <w:sz w:val="35"/>
        </w:rPr>
      </w:pPr>
    </w:p>
    <w:p>
      <w:pPr>
        <w:pStyle w:val="Heading3"/>
        <w:numPr>
          <w:ilvl w:val="1"/>
          <w:numId w:val="3"/>
        </w:numPr>
        <w:tabs>
          <w:tab w:pos="548" w:val="left" w:leader="none"/>
        </w:tabs>
        <w:spacing w:line="240" w:lineRule="auto" w:before="0" w:after="0"/>
        <w:ind w:left="547" w:right="0" w:hanging="283"/>
        <w:jc w:val="both"/>
        <w:rPr>
          <w:rFonts w:ascii="Arial" w:hAnsi="Arial"/>
        </w:rPr>
      </w:pPr>
      <w:r>
        <w:rPr>
          <w:rFonts w:ascii="Arial" w:hAnsi="Arial"/>
        </w:rPr>
        <w:t>La televisión en</w:t>
      </w:r>
      <w:r>
        <w:rPr>
          <w:rFonts w:ascii="Arial" w:hAnsi="Arial"/>
          <w:spacing w:val="-13"/>
        </w:rPr>
        <w:t> </w:t>
      </w:r>
      <w:r>
        <w:rPr>
          <w:rFonts w:ascii="Arial" w:hAnsi="Arial"/>
        </w:rPr>
        <w:t>Honduras</w:t>
      </w:r>
    </w:p>
    <w:p>
      <w:pPr>
        <w:pStyle w:val="BodyText"/>
        <w:rPr>
          <w:b/>
        </w:rPr>
      </w:pPr>
    </w:p>
    <w:p>
      <w:pPr>
        <w:pStyle w:val="BodyText"/>
        <w:spacing w:before="4"/>
        <w:rPr>
          <w:b/>
        </w:rPr>
      </w:pPr>
    </w:p>
    <w:p>
      <w:pPr>
        <w:pStyle w:val="BodyText"/>
        <w:tabs>
          <w:tab w:pos="1108" w:val="left" w:leader="none"/>
          <w:tab w:pos="1200" w:val="left" w:leader="none"/>
        </w:tabs>
        <w:spacing w:line="360" w:lineRule="auto"/>
        <w:ind w:left="264" w:right="214" w:firstLine="336"/>
        <w:jc w:val="right"/>
      </w:pPr>
      <w:r>
        <w:rPr/>
        <w:t>En</w:t>
        <w:tab/>
        <w:t>Honduras, el  servicio televisivo se inaugura  el  quince  de </w:t>
      </w:r>
      <w:r>
        <w:rPr>
          <w:spacing w:val="21"/>
        </w:rPr>
        <w:t> </w:t>
      </w:r>
      <w:r>
        <w:rPr/>
        <w:t>septiembre</w:t>
      </w:r>
      <w:r>
        <w:rPr>
          <w:spacing w:val="36"/>
        </w:rPr>
        <w:t> </w:t>
      </w:r>
      <w:r>
        <w:rPr/>
        <w:t>de</w:t>
      </w:r>
      <w:r>
        <w:rPr>
          <w:w w:val="99"/>
        </w:rPr>
        <w:t> </w:t>
      </w:r>
      <w:r>
        <w:rPr/>
        <w:t>1959, durante la conmemoración del ciento treinta aniversario de la</w:t>
      </w:r>
      <w:r>
        <w:rPr>
          <w:spacing w:val="-2"/>
        </w:rPr>
        <w:t> </w:t>
      </w:r>
      <w:r>
        <w:rPr/>
        <w:t>independencia</w:t>
      </w:r>
      <w:r>
        <w:rPr>
          <w:w w:val="99"/>
        </w:rPr>
        <w:t> </w:t>
      </w:r>
      <w:r>
        <w:rPr/>
        <w:t>nacional, entrando en operación desde esa fecha en la capital de</w:t>
      </w:r>
      <w:r>
        <w:rPr>
          <w:spacing w:val="33"/>
        </w:rPr>
        <w:t> </w:t>
      </w:r>
      <w:r>
        <w:rPr/>
        <w:t>la</w:t>
      </w:r>
      <w:r>
        <w:rPr>
          <w:spacing w:val="37"/>
        </w:rPr>
        <w:t> </w:t>
      </w:r>
      <w:r>
        <w:rPr/>
        <w:t>República</w:t>
      </w:r>
      <w:r>
        <w:rPr>
          <w:w w:val="99"/>
        </w:rPr>
        <w:t> </w:t>
      </w:r>
      <w:r>
        <w:rPr/>
        <w:t>HRTG-TV</w:t>
      </w:r>
      <w:r>
        <w:rPr>
          <w:spacing w:val="41"/>
        </w:rPr>
        <w:t> </w:t>
      </w:r>
      <w:r>
        <w:rPr/>
        <w:t>Canal</w:t>
      </w:r>
      <w:r>
        <w:rPr>
          <w:spacing w:val="44"/>
        </w:rPr>
        <w:t> </w:t>
      </w:r>
      <w:r>
        <w:rPr/>
        <w:t>Cinco.</w:t>
      </w:r>
      <w:r>
        <w:rPr>
          <w:spacing w:val="46"/>
        </w:rPr>
        <w:t> </w:t>
      </w:r>
      <w:r>
        <w:rPr/>
        <w:t>El</w:t>
      </w:r>
      <w:r>
        <w:rPr>
          <w:spacing w:val="43"/>
        </w:rPr>
        <w:t> </w:t>
      </w:r>
      <w:r>
        <w:rPr/>
        <w:t>equipo</w:t>
      </w:r>
      <w:r>
        <w:rPr>
          <w:spacing w:val="43"/>
        </w:rPr>
        <w:t> </w:t>
      </w:r>
      <w:r>
        <w:rPr/>
        <w:t>de</w:t>
      </w:r>
      <w:r>
        <w:rPr>
          <w:spacing w:val="43"/>
        </w:rPr>
        <w:t> </w:t>
      </w:r>
      <w:r>
        <w:rPr/>
        <w:t>transmisión,</w:t>
      </w:r>
      <w:r>
        <w:rPr>
          <w:spacing w:val="46"/>
        </w:rPr>
        <w:t> </w:t>
      </w:r>
      <w:r>
        <w:rPr/>
        <w:t>cámaras,</w:t>
      </w:r>
      <w:r>
        <w:rPr>
          <w:spacing w:val="46"/>
        </w:rPr>
        <w:t> </w:t>
      </w:r>
      <w:r>
        <w:rPr/>
        <w:t>consolas</w:t>
      </w:r>
      <w:r>
        <w:rPr>
          <w:spacing w:val="49"/>
        </w:rPr>
        <w:t> </w:t>
      </w:r>
      <w:r>
        <w:rPr/>
        <w:t>y</w:t>
      </w:r>
      <w:r>
        <w:rPr>
          <w:spacing w:val="45"/>
        </w:rPr>
        <w:t> </w:t>
      </w:r>
      <w:r>
        <w:rPr/>
        <w:t>todo</w:t>
      </w:r>
      <w:r>
        <w:rPr>
          <w:spacing w:val="43"/>
        </w:rPr>
        <w:t> </w:t>
      </w:r>
      <w:r>
        <w:rPr/>
        <w:t>lo</w:t>
      </w:r>
      <w:r>
        <w:rPr>
          <w:w w:val="99"/>
        </w:rPr>
        <w:t> </w:t>
      </w:r>
      <w:r>
        <w:rPr/>
        <w:t>necesario</w:t>
      </w:r>
      <w:r>
        <w:rPr>
          <w:spacing w:val="47"/>
        </w:rPr>
        <w:t> </w:t>
      </w:r>
      <w:r>
        <w:rPr/>
        <w:t>para</w:t>
      </w:r>
      <w:r>
        <w:rPr>
          <w:spacing w:val="47"/>
        </w:rPr>
        <w:t> </w:t>
      </w:r>
      <w:r>
        <w:rPr/>
        <w:t>su</w:t>
      </w:r>
      <w:r>
        <w:rPr>
          <w:spacing w:val="47"/>
        </w:rPr>
        <w:t> </w:t>
      </w:r>
      <w:r>
        <w:rPr/>
        <w:t>funcionamiento</w:t>
      </w:r>
      <w:r>
        <w:rPr>
          <w:spacing w:val="47"/>
        </w:rPr>
        <w:t> </w:t>
      </w:r>
      <w:r>
        <w:rPr/>
        <w:t>se</w:t>
      </w:r>
      <w:r>
        <w:rPr>
          <w:spacing w:val="47"/>
        </w:rPr>
        <w:t> </w:t>
      </w:r>
      <w:r>
        <w:rPr/>
        <w:t>adquiere</w:t>
      </w:r>
      <w:r>
        <w:rPr>
          <w:spacing w:val="47"/>
        </w:rPr>
        <w:t> </w:t>
      </w:r>
      <w:r>
        <w:rPr/>
        <w:t>en</w:t>
      </w:r>
      <w:r>
        <w:rPr>
          <w:spacing w:val="47"/>
        </w:rPr>
        <w:t> </w:t>
      </w:r>
      <w:r>
        <w:rPr/>
        <w:t>la</w:t>
      </w:r>
      <w:r>
        <w:rPr>
          <w:spacing w:val="47"/>
        </w:rPr>
        <w:t> </w:t>
      </w:r>
      <w:r>
        <w:rPr/>
        <w:t>RCA,</w:t>
      </w:r>
      <w:r>
        <w:rPr>
          <w:spacing w:val="50"/>
        </w:rPr>
        <w:t> </w:t>
      </w:r>
      <w:r>
        <w:rPr/>
        <w:t>firmando</w:t>
      </w:r>
      <w:r>
        <w:rPr>
          <w:spacing w:val="47"/>
        </w:rPr>
        <w:t> </w:t>
      </w:r>
      <w:r>
        <w:rPr/>
        <w:t>la</w:t>
      </w:r>
      <w:r>
        <w:rPr>
          <w:spacing w:val="52"/>
        </w:rPr>
        <w:t> </w:t>
      </w:r>
      <w:r>
        <w:rPr/>
        <w:t>compra</w:t>
      </w:r>
      <w:r>
        <w:rPr>
          <w:w w:val="99"/>
        </w:rPr>
        <w:t> </w:t>
      </w:r>
      <w:r>
        <w:rPr/>
        <w:t>venta</w:t>
      </w:r>
      <w:r>
        <w:rPr>
          <w:spacing w:val="43"/>
        </w:rPr>
        <w:t> </w:t>
      </w:r>
      <w:r>
        <w:rPr/>
        <w:t>el</w:t>
      </w:r>
      <w:r>
        <w:rPr>
          <w:spacing w:val="44"/>
        </w:rPr>
        <w:t> </w:t>
      </w:r>
      <w:r>
        <w:rPr/>
        <w:t>distribuidor</w:t>
      </w:r>
      <w:r>
        <w:rPr>
          <w:spacing w:val="45"/>
        </w:rPr>
        <w:t> </w:t>
      </w:r>
      <w:r>
        <w:rPr/>
        <w:t>en</w:t>
      </w:r>
      <w:r>
        <w:rPr>
          <w:spacing w:val="47"/>
        </w:rPr>
        <w:t> </w:t>
      </w:r>
      <w:r>
        <w:rPr/>
        <w:t>Honduras</w:t>
      </w:r>
      <w:r>
        <w:rPr>
          <w:spacing w:val="45"/>
        </w:rPr>
        <w:t> </w:t>
      </w:r>
      <w:r>
        <w:rPr/>
        <w:t>don</w:t>
      </w:r>
      <w:r>
        <w:rPr>
          <w:spacing w:val="43"/>
        </w:rPr>
        <w:t> </w:t>
      </w:r>
      <w:r>
        <w:rPr/>
        <w:t>Francisco</w:t>
      </w:r>
      <w:r>
        <w:rPr>
          <w:spacing w:val="43"/>
        </w:rPr>
        <w:t> </w:t>
      </w:r>
      <w:r>
        <w:rPr/>
        <w:t>J.</w:t>
      </w:r>
      <w:r>
        <w:rPr>
          <w:spacing w:val="46"/>
        </w:rPr>
        <w:t> </w:t>
      </w:r>
      <w:r>
        <w:rPr/>
        <w:t>Yones,</w:t>
      </w:r>
      <w:r>
        <w:rPr>
          <w:spacing w:val="46"/>
        </w:rPr>
        <w:t> </w:t>
      </w:r>
      <w:r>
        <w:rPr/>
        <w:t>el</w:t>
      </w:r>
      <w:r>
        <w:rPr>
          <w:spacing w:val="44"/>
        </w:rPr>
        <w:t> </w:t>
      </w:r>
      <w:r>
        <w:rPr/>
        <w:t>representante</w:t>
      </w:r>
      <w:r>
        <w:rPr>
          <w:spacing w:val="43"/>
        </w:rPr>
        <w:t> </w:t>
      </w:r>
      <w:r>
        <w:rPr/>
        <w:t>de</w:t>
      </w:r>
      <w:r>
        <w:rPr>
          <w:w w:val="99"/>
        </w:rPr>
        <w:t> </w:t>
      </w:r>
      <w:r>
        <w:rPr/>
        <w:t>dicha</w:t>
      </w:r>
      <w:r>
        <w:rPr>
          <w:spacing w:val="36"/>
        </w:rPr>
        <w:t> </w:t>
      </w:r>
      <w:r>
        <w:rPr/>
        <w:t>empresa</w:t>
      </w:r>
      <w:r>
        <w:rPr>
          <w:spacing w:val="35"/>
        </w:rPr>
        <w:t> </w:t>
      </w:r>
      <w:r>
        <w:rPr/>
        <w:t>el</w:t>
      </w:r>
      <w:r>
        <w:rPr>
          <w:spacing w:val="36"/>
        </w:rPr>
        <w:t> </w:t>
      </w:r>
      <w:r>
        <w:rPr/>
        <w:t>Ing.</w:t>
      </w:r>
      <w:r>
        <w:rPr>
          <w:spacing w:val="34"/>
        </w:rPr>
        <w:t> </w:t>
      </w:r>
      <w:r>
        <w:rPr/>
        <w:t>Guaragna</w:t>
      </w:r>
      <w:r>
        <w:rPr>
          <w:spacing w:val="39"/>
        </w:rPr>
        <w:t> </w:t>
      </w:r>
      <w:r>
        <w:rPr/>
        <w:t>y</w:t>
      </w:r>
      <w:r>
        <w:rPr>
          <w:spacing w:val="28"/>
        </w:rPr>
        <w:t> </w:t>
      </w:r>
      <w:r>
        <w:rPr/>
        <w:t>por</w:t>
      </w:r>
      <w:r>
        <w:rPr>
          <w:spacing w:val="33"/>
        </w:rPr>
        <w:t> </w:t>
      </w:r>
      <w:r>
        <w:rPr/>
        <w:t>la</w:t>
      </w:r>
      <w:r>
        <w:rPr>
          <w:spacing w:val="31"/>
        </w:rPr>
        <w:t> </w:t>
      </w:r>
      <w:r>
        <w:rPr/>
        <w:t>televisora</w:t>
      </w:r>
      <w:r>
        <w:rPr>
          <w:spacing w:val="35"/>
        </w:rPr>
        <w:t> </w:t>
      </w:r>
      <w:r>
        <w:rPr/>
        <w:t>hondureña</w:t>
      </w:r>
      <w:r>
        <w:rPr>
          <w:spacing w:val="35"/>
        </w:rPr>
        <w:t> </w:t>
      </w:r>
      <w:r>
        <w:rPr/>
        <w:t>el</w:t>
      </w:r>
      <w:r>
        <w:rPr>
          <w:spacing w:val="35"/>
        </w:rPr>
        <w:t> </w:t>
      </w:r>
      <w:r>
        <w:rPr/>
        <w:t>Lic.</w:t>
      </w:r>
      <w:r>
        <w:rPr>
          <w:spacing w:val="34"/>
        </w:rPr>
        <w:t> </w:t>
      </w:r>
      <w:r>
        <w:rPr/>
        <w:t>Fernando</w:t>
      </w:r>
      <w:r>
        <w:rPr>
          <w:w w:val="99"/>
        </w:rPr>
        <w:t> </w:t>
      </w:r>
      <w:r>
        <w:rPr/>
        <w:t>Lardizábal.</w:t>
      </w:r>
      <w:r>
        <w:rPr>
          <w:spacing w:val="58"/>
        </w:rPr>
        <w:t> </w:t>
      </w:r>
      <w:r>
        <w:rPr/>
        <w:t>Con</w:t>
      </w:r>
      <w:r>
        <w:rPr>
          <w:spacing w:val="55"/>
        </w:rPr>
        <w:t> </w:t>
      </w:r>
      <w:r>
        <w:rPr/>
        <w:t>la</w:t>
      </w:r>
      <w:r>
        <w:rPr>
          <w:spacing w:val="59"/>
        </w:rPr>
        <w:t> </w:t>
      </w:r>
      <w:r>
        <w:rPr/>
        <w:t>presentación</w:t>
      </w:r>
      <w:r>
        <w:rPr>
          <w:spacing w:val="55"/>
        </w:rPr>
        <w:t> </w:t>
      </w:r>
      <w:r>
        <w:rPr/>
        <w:t>del</w:t>
      </w:r>
      <w:r>
        <w:rPr>
          <w:spacing w:val="59"/>
        </w:rPr>
        <w:t> </w:t>
      </w:r>
      <w:r>
        <w:rPr/>
        <w:t>desfile</w:t>
      </w:r>
      <w:r>
        <w:rPr>
          <w:spacing w:val="55"/>
        </w:rPr>
        <w:t> </w:t>
      </w:r>
      <w:r>
        <w:rPr/>
        <w:t>cívico</w:t>
      </w:r>
      <w:r>
        <w:rPr>
          <w:spacing w:val="55"/>
        </w:rPr>
        <w:t> </w:t>
      </w:r>
      <w:r>
        <w:rPr/>
        <w:t>se</w:t>
      </w:r>
      <w:r>
        <w:rPr>
          <w:spacing w:val="55"/>
        </w:rPr>
        <w:t> </w:t>
      </w:r>
      <w:r>
        <w:rPr/>
        <w:t>inauguró</w:t>
      </w:r>
      <w:r>
        <w:rPr>
          <w:spacing w:val="55"/>
        </w:rPr>
        <w:t> </w:t>
      </w:r>
      <w:r>
        <w:rPr/>
        <w:t>el</w:t>
      </w:r>
      <w:r>
        <w:rPr>
          <w:spacing w:val="56"/>
        </w:rPr>
        <w:t> </w:t>
      </w:r>
      <w:r>
        <w:rPr/>
        <w:t>primer</w:t>
      </w:r>
      <w:r>
        <w:rPr>
          <w:spacing w:val="57"/>
        </w:rPr>
        <w:t> </w:t>
      </w:r>
      <w:r>
        <w:rPr/>
        <w:t>canal</w:t>
      </w:r>
      <w:r>
        <w:rPr>
          <w:w w:val="99"/>
        </w:rPr>
        <w:t> </w:t>
      </w:r>
      <w:r>
        <w:rPr/>
        <w:t>hondureño</w:t>
      </w:r>
      <w:r>
        <w:rPr>
          <w:spacing w:val="42"/>
        </w:rPr>
        <w:t> </w:t>
      </w:r>
      <w:r>
        <w:rPr/>
        <w:t>de</w:t>
      </w:r>
      <w:r>
        <w:rPr>
          <w:spacing w:val="42"/>
        </w:rPr>
        <w:t> </w:t>
      </w:r>
      <w:r>
        <w:rPr/>
        <w:t>televisión</w:t>
      </w:r>
      <w:r>
        <w:rPr>
          <w:spacing w:val="42"/>
        </w:rPr>
        <w:t> </w:t>
      </w:r>
      <w:r>
        <w:rPr/>
        <w:t>siguiendo</w:t>
      </w:r>
      <w:r>
        <w:rPr>
          <w:spacing w:val="42"/>
        </w:rPr>
        <w:t> </w:t>
      </w:r>
      <w:r>
        <w:rPr/>
        <w:t>el</w:t>
      </w:r>
      <w:r>
        <w:rPr>
          <w:spacing w:val="46"/>
        </w:rPr>
        <w:t> </w:t>
      </w:r>
      <w:r>
        <w:rPr/>
        <w:t>trayecto</w:t>
      </w:r>
      <w:r>
        <w:rPr>
          <w:spacing w:val="42"/>
        </w:rPr>
        <w:t> </w:t>
      </w:r>
      <w:r>
        <w:rPr/>
        <w:t>de</w:t>
      </w:r>
      <w:r>
        <w:rPr>
          <w:spacing w:val="42"/>
        </w:rPr>
        <w:t> </w:t>
      </w:r>
      <w:r>
        <w:rPr/>
        <w:t>colegios,</w:t>
      </w:r>
      <w:r>
        <w:rPr>
          <w:spacing w:val="45"/>
        </w:rPr>
        <w:t> </w:t>
      </w:r>
      <w:r>
        <w:rPr/>
        <w:t>unidades</w:t>
      </w:r>
      <w:r>
        <w:rPr>
          <w:spacing w:val="44"/>
        </w:rPr>
        <w:t> </w:t>
      </w:r>
      <w:r>
        <w:rPr/>
        <w:t>militares</w:t>
      </w:r>
      <w:r>
        <w:rPr>
          <w:spacing w:val="48"/>
        </w:rPr>
        <w:t> </w:t>
      </w:r>
      <w:r>
        <w:rPr/>
        <w:t>y carrozas que se desplazaban frente al costado norte del Palacio de</w:t>
      </w:r>
      <w:r>
        <w:rPr>
          <w:spacing w:val="-41"/>
        </w:rPr>
        <w:t> </w:t>
      </w:r>
      <w:r>
        <w:rPr/>
        <w:t>los</w:t>
      </w:r>
      <w:r>
        <w:rPr>
          <w:spacing w:val="1"/>
        </w:rPr>
        <w:t> </w:t>
      </w:r>
      <w:r>
        <w:rPr/>
        <w:t>Ministerios.</w:t>
      </w:r>
      <w:r>
        <w:rPr>
          <w:w w:val="100"/>
        </w:rPr>
        <w:t> </w:t>
      </w:r>
      <w:r>
        <w:rPr/>
        <w:t>La televisión comenzó en blanco y negro y se instaló gracias a la</w:t>
      </w:r>
      <w:r>
        <w:rPr>
          <w:spacing w:val="43"/>
        </w:rPr>
        <w:t> </w:t>
      </w:r>
      <w:r>
        <w:rPr/>
        <w:t>inversión</w:t>
      </w:r>
      <w:r>
        <w:rPr>
          <w:spacing w:val="12"/>
        </w:rPr>
        <w:t> </w:t>
      </w:r>
      <w:r>
        <w:rPr/>
        <w:t>de</w:t>
      </w:r>
      <w:r>
        <w:rPr>
          <w:w w:val="99"/>
        </w:rPr>
        <w:t> </w:t>
      </w:r>
      <w:r>
        <w:rPr/>
        <w:t>una sociedad constituida por un capital mixto en el que eran</w:t>
      </w:r>
      <w:r>
        <w:rPr>
          <w:spacing w:val="44"/>
        </w:rPr>
        <w:t> </w:t>
      </w:r>
      <w:r>
        <w:rPr/>
        <w:t>accionistas</w:t>
      </w:r>
      <w:r>
        <w:rPr>
          <w:spacing w:val="5"/>
        </w:rPr>
        <w:t> </w:t>
      </w:r>
      <w:r>
        <w:rPr/>
        <w:t>originales la familia Lardizábal Guilbert, Miguel Brooks, René Sempé y don</w:t>
      </w:r>
      <w:r>
        <w:rPr>
          <w:spacing w:val="60"/>
        </w:rPr>
        <w:t> </w:t>
      </w:r>
      <w:r>
        <w:rPr/>
        <w:t>Raúl</w:t>
      </w:r>
      <w:r>
        <w:rPr>
          <w:spacing w:val="55"/>
        </w:rPr>
        <w:t> </w:t>
      </w:r>
      <w:r>
        <w:rPr/>
        <w:t>Zelaya</w:t>
      </w:r>
      <w:r>
        <w:rPr>
          <w:w w:val="99"/>
        </w:rPr>
        <w:t> </w:t>
      </w:r>
      <w:r>
        <w:rPr/>
        <w:t>Romero (Tío de Rafael Leonardo Callejas Romero Ex-presidente de</w:t>
      </w:r>
      <w:r>
        <w:rPr>
          <w:spacing w:val="37"/>
        </w:rPr>
        <w:t> </w:t>
      </w:r>
      <w:r>
        <w:rPr/>
        <w:t>Honduras</w:t>
      </w:r>
      <w:r>
        <w:rPr>
          <w:spacing w:val="31"/>
        </w:rPr>
        <w:t> </w:t>
      </w:r>
      <w:r>
        <w:rPr/>
        <w:t>y tío</w:t>
      </w:r>
      <w:r>
        <w:rPr>
          <w:spacing w:val="44"/>
        </w:rPr>
        <w:t> </w:t>
      </w:r>
      <w:r>
        <w:rPr/>
        <w:t>del</w:t>
        <w:tab/>
        <w:tab/>
        <w:t>Ex presidente  de  Honduras  José  Manuel Zelaya  Rosales),</w:t>
      </w:r>
      <w:r>
        <w:rPr>
          <w:spacing w:val="50"/>
        </w:rPr>
        <w:t> </w:t>
      </w:r>
      <w:r>
        <w:rPr/>
        <w:t>quien</w:t>
      </w:r>
      <w:r>
        <w:rPr>
          <w:spacing w:val="45"/>
        </w:rPr>
        <w:t> </w:t>
      </w:r>
      <w:r>
        <w:rPr/>
        <w:t>años después vendió sus acciones al Dr. Miguel Andonie </w:t>
      </w:r>
      <w:r>
        <w:rPr>
          <w:spacing w:val="38"/>
        </w:rPr>
        <w:t> </w:t>
      </w:r>
      <w:r>
        <w:rPr/>
        <w:t>Fernández.</w:t>
      </w:r>
      <w:r>
        <w:rPr>
          <w:spacing w:val="27"/>
        </w:rPr>
        <w:t> </w:t>
      </w:r>
      <w:r>
        <w:rPr/>
        <w:t>Posteriormente</w:t>
      </w:r>
      <w:r>
        <w:rPr>
          <w:w w:val="99"/>
        </w:rPr>
        <w:t> </w:t>
      </w:r>
      <w:r>
        <w:rPr/>
        <w:t>se integró como accionista  la  empresa norteamericana American    </w:t>
      </w:r>
      <w:r>
        <w:rPr>
          <w:spacing w:val="24"/>
        </w:rPr>
        <w:t> </w:t>
      </w:r>
      <w:r>
        <w:rPr/>
        <w:t>Broadcasting</w:t>
      </w:r>
    </w:p>
    <w:p>
      <w:pPr>
        <w:pStyle w:val="BodyText"/>
        <w:spacing w:line="282" w:lineRule="exact"/>
        <w:ind w:left="264"/>
        <w:jc w:val="both"/>
        <w:rPr>
          <w:sz w:val="16"/>
        </w:rPr>
      </w:pPr>
      <w:r>
        <w:rPr/>
        <w:t>Company (ABC). </w:t>
      </w:r>
      <w:r>
        <w:rPr>
          <w:position w:val="11"/>
          <w:sz w:val="16"/>
        </w:rPr>
        <w:t>138</w:t>
      </w:r>
    </w:p>
    <w:p>
      <w:pPr>
        <w:pStyle w:val="BodyText"/>
        <w:rPr>
          <w:sz w:val="20"/>
        </w:rPr>
      </w:pPr>
    </w:p>
    <w:p>
      <w:pPr>
        <w:pStyle w:val="BodyText"/>
        <w:spacing w:before="10"/>
        <w:rPr>
          <w:sz w:val="12"/>
        </w:rPr>
      </w:pPr>
      <w:r>
        <w:rPr/>
        <w:pict>
          <v:line style="position:absolute;mso-position-horizontal-relative:page;mso-position-vertical-relative:paragraph;z-index:4408;mso-wrap-distance-left:0;mso-wrap-distance-right:0" from="99.224998pt,9.657982pt" to="243.274998pt,9.657982pt" stroked="true" strokeweight=".60004pt" strokecolor="#000000">
            <w10:wrap type="topAndBottom"/>
          </v:line>
        </w:pict>
      </w:r>
    </w:p>
    <w:p>
      <w:pPr>
        <w:tabs>
          <w:tab w:pos="1616" w:val="left" w:leader="none"/>
          <w:tab w:pos="2695" w:val="left" w:leader="none"/>
          <w:tab w:pos="3989" w:val="left" w:leader="none"/>
          <w:tab w:pos="5450" w:val="left" w:leader="none"/>
          <w:tab w:pos="7273" w:val="left" w:leader="none"/>
          <w:tab w:pos="8867" w:val="left" w:leader="none"/>
        </w:tabs>
        <w:spacing w:line="242" w:lineRule="auto" w:before="48"/>
        <w:ind w:left="264" w:right="210" w:firstLine="0"/>
        <w:jc w:val="both"/>
        <w:rPr>
          <w:rFonts w:ascii="Calibri" w:hAnsi="Calibri"/>
          <w:sz w:val="18"/>
        </w:rPr>
      </w:pPr>
      <w:r>
        <w:rPr>
          <w:rFonts w:ascii="Calibri" w:hAnsi="Calibri"/>
          <w:position w:val="11"/>
          <w:sz w:val="16"/>
        </w:rPr>
        <w:t>138 </w:t>
      </w:r>
      <w:r>
        <w:rPr>
          <w:rFonts w:ascii="Calibri" w:hAnsi="Calibri"/>
          <w:sz w:val="18"/>
        </w:rPr>
        <w:t>Uno de los programas emitidos por la Televisión de Honduras a finales de 1959 fue “[…] un noticiero patrocinado  por la línea aérea SAHSA presentado por el abogado Gustavo Acosta Mejía el que se mantuvo muy poco </w:t>
      </w:r>
      <w:r>
        <w:rPr>
          <w:rFonts w:ascii="Calibri" w:hAnsi="Calibri"/>
          <w:spacing w:val="2"/>
          <w:sz w:val="18"/>
        </w:rPr>
        <w:t>tiempo </w:t>
      </w:r>
      <w:r>
        <w:rPr>
          <w:rFonts w:ascii="Calibri" w:hAnsi="Calibri"/>
          <w:sz w:val="18"/>
        </w:rPr>
        <w:t>en el aire. A mediados de 1960 el periodista Vicente Machado Valle H. fundó el noticiero TELERAPIDAS que compartía en cámaras con la joven locutora Sandra Pascua y el que era alimentado por las noticias nacionales servidas y redactadas por periodistas como Rafael Guillén, Donaldo Castillo Romero y Milton Mateo y con los despachos internacionales de las agencias AP y UPI. En 1961 el Canal 5 obtuvo y montó la primera unidad móvil y se realizaron transmisiones remotas como se observa desde el estadio Nacional donde aparecen con sus ayudantes y el también desaparecido periodista y locutor Gustavo Acosta Mejía.” </w:t>
      </w:r>
      <w:r>
        <w:rPr>
          <w:rFonts w:ascii="Calibri" w:hAnsi="Calibri"/>
          <w:i/>
          <w:sz w:val="18"/>
        </w:rPr>
        <w:t>YAHOO, Respuestas</w:t>
      </w:r>
      <w:r>
        <w:rPr>
          <w:rFonts w:ascii="Calibri" w:hAnsi="Calibri"/>
          <w:sz w:val="18"/>
        </w:rPr>
        <w:t>, ¿Sabes cuál es la historia de la Televisión de Honduras? Información Recopilada por Nelson Omar Rodezno Cruz, Abogado y Estudiante de Periodismo de la UNAH. 10 de octubre de 2006 (CEST),</w:t>
        <w:tab/>
        <w:t>[en</w:t>
        <w:tab/>
        <w:t>línea],</w:t>
        <w:tab/>
        <w:t>consulta</w:t>
        <w:tab/>
        <w:t>12//09/2010,</w:t>
        <w:tab/>
        <w:t>disponible</w:t>
        <w:tab/>
        <w:t>en:</w:t>
      </w:r>
    </w:p>
    <w:p>
      <w:pPr>
        <w:spacing w:after="0" w:line="242" w:lineRule="auto"/>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48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8" w:firstLine="336"/>
        <w:jc w:val="both"/>
      </w:pPr>
      <w:r>
        <w:rPr/>
        <w:t>En sus primeros tiempos la programación presentó series norteamericanas dobladas al español en Puerto Rico y México. Estos programas se transmitían en el sistema de Kinescopio es decir películas de 16 milímetros.</w:t>
      </w:r>
    </w:p>
    <w:p>
      <w:pPr>
        <w:pStyle w:val="BodyText"/>
        <w:spacing w:line="360" w:lineRule="auto" w:before="2"/>
        <w:ind w:left="684" w:right="113" w:firstLine="299"/>
        <w:jc w:val="both"/>
      </w:pPr>
      <w:r>
        <w:rPr/>
        <w:t>En 1963, la Compañía Televisora Hondureña cambió de administración, se retiró la ABC. La familia Lardizábal y Miguel Brooks vendieron sus acciones y se convirtió en gerente de la empresa el Lic. José Rafael Ferrari Sagastume. Programas en vivo en sistema blanco y negro comenzaron a surgir en el Canal 5 en la nueva administración de la Compañía Televisora entre ellos </w:t>
      </w:r>
      <w:r>
        <w:rPr>
          <w:i/>
        </w:rPr>
        <w:t>Este Domingo </w:t>
      </w:r>
      <w:r>
        <w:rPr/>
        <w:t>con Jacobo Goldstein, Gabriel García Ardón y Antonio Mazariegos Velasco. </w:t>
      </w:r>
      <w:r>
        <w:rPr>
          <w:i/>
        </w:rPr>
        <w:t>El </w:t>
      </w:r>
      <w:r>
        <w:rPr>
          <w:i/>
        </w:rPr>
        <w:t>Consultorio Del Aire, </w:t>
      </w:r>
      <w:r>
        <w:rPr/>
        <w:t>programa semanal producido y dirigido por el periodista Rodolfo Brevé Martínez y el poeta Víctor Eugenio Castañeda. El Lic. Moisés Ulloa Duarte mantuvo un espacio semanal que se denominaba </w:t>
      </w:r>
      <w:r>
        <w:rPr>
          <w:i/>
        </w:rPr>
        <w:t>Vista </w:t>
      </w:r>
      <w:r>
        <w:rPr/>
        <w:t>y que cada año cambiaba al agregársele el que correspondía en el anuario</w:t>
      </w:r>
      <w:r>
        <w:rPr>
          <w:spacing w:val="-35"/>
        </w:rPr>
        <w:t> </w:t>
      </w:r>
      <w:r>
        <w:rPr/>
        <w:t>respectivo.</w:t>
      </w:r>
    </w:p>
    <w:p>
      <w:pPr>
        <w:pStyle w:val="BodyText"/>
        <w:spacing w:line="360" w:lineRule="auto" w:before="2"/>
        <w:ind w:left="684" w:right="118" w:firstLine="404"/>
        <w:jc w:val="both"/>
      </w:pPr>
      <w:r>
        <w:rPr/>
        <w:t>Otro evento televisivo que surgió como medio de información de las Fuerzas Armadas y para apoyar el arte nacional fue el programa denominado </w:t>
      </w:r>
      <w:r>
        <w:rPr>
          <w:i/>
        </w:rPr>
        <w:t>Proyecciones </w:t>
      </w:r>
      <w:r>
        <w:rPr>
          <w:i/>
        </w:rPr>
        <w:t>Militares, </w:t>
      </w:r>
      <w:r>
        <w:rPr/>
        <w:t>que dominicalmente se transmitía por el Canal 5, bajo la responsabilidad de la Oficina de Relaciones Públicas del instituto armado y cuya producción y locución estuvo a cargo entre otros de los oficiales Roberto Acosta, Efraín  Lisandro Gonzales, Rigoberto Regalado Lara, Julio Armando Pavón y entre figuras civiles Roberto Gonzales y Neida</w:t>
      </w:r>
      <w:r>
        <w:rPr>
          <w:spacing w:val="-20"/>
        </w:rPr>
        <w:t> </w:t>
      </w:r>
      <w:r>
        <w:rPr/>
        <w:t>Sandoval.</w:t>
      </w:r>
    </w:p>
    <w:p>
      <w:pPr>
        <w:pStyle w:val="BodyText"/>
        <w:spacing w:line="350" w:lineRule="auto" w:before="6"/>
        <w:ind w:left="684" w:right="112" w:firstLine="336"/>
        <w:jc w:val="both"/>
        <w:rPr>
          <w:sz w:val="16"/>
        </w:rPr>
      </w:pPr>
      <w:r>
        <w:rPr/>
        <w:t>En 1966, se capta y emite la primera señal a colores, con la transmisión en directo desde el Vaticano de la misa del 24 de diciembre oficiada por el Papa  Pablo VI. Programa que pudo observarse en televisión a color, por quienes ya contaban con monitores a color.</w:t>
      </w:r>
      <w:r>
        <w:rPr>
          <w:spacing w:val="-17"/>
        </w:rPr>
        <w:t> </w:t>
      </w:r>
      <w:r>
        <w:rPr>
          <w:position w:val="11"/>
          <w:sz w:val="16"/>
        </w:rPr>
        <w:t>139</w:t>
      </w:r>
    </w:p>
    <w:p>
      <w:pPr>
        <w:pStyle w:val="BodyText"/>
        <w:rPr>
          <w:sz w:val="20"/>
        </w:rPr>
      </w:pPr>
    </w:p>
    <w:p>
      <w:pPr>
        <w:pStyle w:val="BodyText"/>
        <w:rPr>
          <w:sz w:val="10"/>
        </w:rPr>
      </w:pPr>
      <w:r>
        <w:rPr/>
        <w:pict>
          <v:line style="position:absolute;mso-position-horizontal-relative:page;mso-position-vertical-relative:paragraph;z-index:4456;mso-wrap-distance-left:0;mso-wrap-distance-right:0" from="99.224998pt,8.026819pt" to="541.174998pt,8.026819pt" stroked="true" strokeweight=".60004pt" strokecolor="#000000">
            <w10:wrap type="topAndBottom"/>
          </v:line>
        </w:pict>
      </w:r>
    </w:p>
    <w:p>
      <w:pPr>
        <w:spacing w:before="79"/>
        <w:ind w:left="684" w:right="114" w:firstLine="0"/>
        <w:jc w:val="left"/>
        <w:rPr>
          <w:rFonts w:ascii="Calibri"/>
          <w:sz w:val="18"/>
        </w:rPr>
      </w:pPr>
      <w:hyperlink r:id="rId63">
        <w:r>
          <w:rPr>
            <w:rFonts w:ascii="Calibri"/>
            <w:color w:val="0000FF"/>
            <w:sz w:val="18"/>
            <w:u w:val="single" w:color="0000FF"/>
          </w:rPr>
          <w:t>http://es.answers.yahoo.com/question/index?qid=20070519150635AAWZVY5</w:t>
        </w:r>
        <w:r>
          <w:rPr>
            <w:rFonts w:ascii="Calibri"/>
            <w:sz w:val="18"/>
          </w:rPr>
          <w:t>.</w:t>
        </w:r>
      </w:hyperlink>
    </w:p>
    <w:p>
      <w:pPr>
        <w:pStyle w:val="BodyText"/>
        <w:rPr>
          <w:rFonts w:ascii="Calibri"/>
          <w:sz w:val="20"/>
        </w:rPr>
      </w:pPr>
    </w:p>
    <w:p>
      <w:pPr>
        <w:pStyle w:val="BodyText"/>
        <w:spacing w:before="6"/>
        <w:rPr>
          <w:rFonts w:ascii="Calibri"/>
          <w:sz w:val="22"/>
        </w:rPr>
      </w:pPr>
    </w:p>
    <w:p>
      <w:pPr>
        <w:spacing w:before="82"/>
        <w:ind w:left="684" w:right="114" w:firstLine="0"/>
        <w:jc w:val="left"/>
        <w:rPr>
          <w:rFonts w:ascii="Calibri" w:hAnsi="Calibri"/>
          <w:sz w:val="18"/>
        </w:rPr>
      </w:pPr>
      <w:r>
        <w:rPr>
          <w:rFonts w:ascii="Times New Roman" w:hAnsi="Times New Roman"/>
          <w:position w:val="11"/>
          <w:sz w:val="16"/>
        </w:rPr>
        <w:t>139 </w:t>
      </w:r>
      <w:r>
        <w:rPr>
          <w:sz w:val="24"/>
        </w:rPr>
        <w:t>“</w:t>
      </w:r>
      <w:r>
        <w:rPr>
          <w:rFonts w:ascii="Calibri" w:hAnsi="Calibri"/>
          <w:sz w:val="18"/>
        </w:rPr>
        <w:t>En 1966 salió al aire el Canal 3 en Tegucigalpa manejado por la empresa TELESISTEMA HONDUREÑO, S.A. y un año después (1967) la misma empresa comenzó a operar el Canal 7 en San Pedro Sula bajo la gerencia del P.M. Mario Bellot.</w:t>
      </w:r>
    </w:p>
    <w:p>
      <w:pPr>
        <w:spacing w:before="0"/>
        <w:ind w:left="684" w:right="126" w:firstLine="159"/>
        <w:jc w:val="both"/>
        <w:rPr>
          <w:rFonts w:ascii="Calibri" w:hAnsi="Calibri"/>
          <w:sz w:val="18"/>
        </w:rPr>
      </w:pPr>
      <w:r>
        <w:rPr>
          <w:rFonts w:ascii="Calibri" w:hAnsi="Calibri"/>
          <w:sz w:val="18"/>
        </w:rPr>
        <w:t>En 1968 la familia Lardizábal se asoció con la empresa española “Movie Record” y fundaron el Canal 11 en Tegucigalpa transmitiendo material elaborado por la televisión española, algunas series americanas y un programa de noticias encomendado al periodista Jonathan Rousell.</w:t>
      </w:r>
    </w:p>
    <w:p>
      <w:pPr>
        <w:spacing w:before="0"/>
        <w:ind w:left="684" w:right="127" w:firstLine="199"/>
        <w:jc w:val="both"/>
        <w:rPr>
          <w:rFonts w:ascii="Calibri" w:hAnsi="Calibri"/>
          <w:sz w:val="18"/>
        </w:rPr>
      </w:pPr>
      <w:r>
        <w:rPr>
          <w:rFonts w:ascii="Calibri" w:hAnsi="Calibri"/>
          <w:sz w:val="18"/>
        </w:rPr>
        <w:t>En 1970 el Canal 11 fue obtenido por el Dr. Miguel Andonie Fernández y continuó operándolo ya sin la asistencia española afrontando problemas en la programación. Estas situaciones provocaron la decisión de vender el canal a la Compañía Televisora de la cual el Dr. Andonie mantenía acciones originales.</w:t>
      </w:r>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452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2" w:lineRule="auto" w:before="70"/>
        <w:ind w:left="264" w:right="223" w:firstLine="336"/>
        <w:jc w:val="both"/>
        <w:rPr>
          <w:sz w:val="16"/>
        </w:rPr>
      </w:pPr>
      <w:r>
        <w:rPr/>
        <w:t>Honduras cuenta con una gran cobertura televisiva ya que existen 20 compañías transmisoras estatales, que llegan a la mayoría de los hogares hondureños. Con un alto porcentaje de receptores a color, aunque también se utilizan en blanco y negro por el bajo costo de los aparatos que se venden en el mercado nacional.</w:t>
      </w:r>
      <w:r>
        <w:rPr>
          <w:position w:val="11"/>
          <w:sz w:val="16"/>
        </w:rPr>
        <w:t>140</w:t>
      </w:r>
    </w:p>
    <w:p>
      <w:pPr>
        <w:pStyle w:val="BodyText"/>
        <w:spacing w:line="360" w:lineRule="auto"/>
        <w:ind w:left="264" w:right="218" w:firstLine="271"/>
        <w:jc w:val="both"/>
      </w:pPr>
      <w:r>
        <w:rPr/>
        <w:t>En la actualidad, la televisión hondureña ha experimentado  importantes avances en la calidad de sus transmisiones al incorporarse a sistemas satelitales digitalizados, que le permiten tener mayor cobertura y mejorar sus servicios. Existe una gran importación de productos televisivos, como: telenovelas, programas cómicos, programas infantiles, series y películas de diferentes géneros que son aceptados de manera complaciente por el público, aún cuando aparentemente no tienen que ver con la idiosincrasia de la población televidente.</w:t>
      </w:r>
    </w:p>
    <w:p>
      <w:pPr>
        <w:pStyle w:val="BodyText"/>
        <w:spacing w:line="360" w:lineRule="auto" w:before="5"/>
        <w:ind w:left="264" w:right="219" w:firstLine="336"/>
        <w:jc w:val="both"/>
      </w:pPr>
      <w:r>
        <w:rPr/>
        <w:t>Aunque como afirma José Carlos Lozano, la aceptación de los programas creados en otros países, por ejemplo Estado Unidos, Japón o México tiene que  ver con ese gusto de la población por lo nuevo o llamativo, por los temas que abordan y porque acuden a los deseos internos de recreación del</w:t>
      </w:r>
      <w:r>
        <w:rPr>
          <w:spacing w:val="-41"/>
        </w:rPr>
        <w:t> </w:t>
      </w:r>
      <w:r>
        <w:rPr/>
        <w:t>televidente:</w:t>
      </w:r>
    </w:p>
    <w:p>
      <w:pPr>
        <w:pStyle w:val="BodyText"/>
      </w:pPr>
    </w:p>
    <w:p>
      <w:pPr>
        <w:spacing w:line="242" w:lineRule="auto" w:before="140"/>
        <w:ind w:left="973" w:right="214" w:firstLine="0"/>
        <w:jc w:val="both"/>
        <w:rPr>
          <w:sz w:val="22"/>
        </w:rPr>
      </w:pPr>
      <w:r>
        <w:rPr>
          <w:sz w:val="22"/>
        </w:rPr>
        <w:t>¿Y cómo explica esta teoría el éxito de ciertos géneros estadounidenses en cualquier  parte  del  mundo,  como  las  películas  de  Hollywood  y  series    como</w:t>
      </w:r>
    </w:p>
    <w:p>
      <w:pPr>
        <w:spacing w:line="235" w:lineRule="auto" w:before="1"/>
        <w:ind w:left="973" w:right="212" w:firstLine="0"/>
        <w:jc w:val="both"/>
        <w:rPr>
          <w:sz w:val="14"/>
        </w:rPr>
      </w:pPr>
      <w:r>
        <w:rPr>
          <w:sz w:val="22"/>
        </w:rPr>
        <w:t>«LosSimpson» y «Baywatch»? En estos casos no parece darse la proximidad cultural o lingüística ya mencionada, pero entran en acción dos aspectos que permiten entender su popularidad: a) la recurrencia de las tramas a temas universales como el sexo y la violencia y b) la ausencia de productos culturales locales o regionales que compitan contra esos géneros realizados solamente en Estados Unidos debido a su costo o sus exigencias tecnológicas.</w:t>
      </w:r>
      <w:r>
        <w:rPr>
          <w:position w:val="10"/>
          <w:sz w:val="14"/>
        </w:rPr>
        <w:t>141</w:t>
      </w:r>
    </w:p>
    <w:p>
      <w:pPr>
        <w:pStyle w:val="BodyText"/>
        <w:rPr>
          <w:sz w:val="20"/>
        </w:rPr>
      </w:pPr>
    </w:p>
    <w:p>
      <w:pPr>
        <w:pStyle w:val="BodyText"/>
        <w:spacing w:before="10"/>
        <w:rPr>
          <w:sz w:val="18"/>
        </w:rPr>
      </w:pPr>
      <w:r>
        <w:rPr/>
        <w:pict>
          <v:line style="position:absolute;mso-position-horizontal-relative:page;mso-position-vertical-relative:paragraph;z-index:4504;mso-wrap-distance-left:0;mso-wrap-distance-right:0" from="99.224998pt,13.146509pt" to="541.174998pt,13.146509pt" stroked="true" strokeweight=".60004pt" strokecolor="#000000">
            <w10:wrap type="topAndBottom"/>
          </v:line>
        </w:pict>
      </w:r>
    </w:p>
    <w:p>
      <w:pPr>
        <w:spacing w:before="79"/>
        <w:ind w:left="264" w:right="211" w:firstLine="159"/>
        <w:jc w:val="both"/>
        <w:rPr>
          <w:rFonts w:ascii="Calibri" w:hAnsi="Calibri"/>
          <w:i/>
          <w:sz w:val="18"/>
        </w:rPr>
      </w:pPr>
      <w:r>
        <w:rPr>
          <w:rFonts w:ascii="Calibri" w:hAnsi="Calibri"/>
          <w:sz w:val="18"/>
        </w:rPr>
        <w:t>En 1973 el Canal 5 inauguró la televisión a color en Honduras con la telenovela mexicana “MUÑECA” producida por la televisión mexicana. El primer capítulo de este programa se transmitió el día lunes 11 de junio en horas de la noche.” Nelson Omar Rodezno, comentario citado en </w:t>
      </w:r>
      <w:r>
        <w:rPr>
          <w:rFonts w:ascii="Calibri" w:hAnsi="Calibri"/>
          <w:i/>
          <w:sz w:val="18"/>
        </w:rPr>
        <w:t>YAHOO, Respuesta.</w:t>
      </w:r>
    </w:p>
    <w:p>
      <w:pPr>
        <w:spacing w:line="272" w:lineRule="exact" w:before="0"/>
        <w:ind w:left="264" w:right="0" w:firstLine="0"/>
        <w:jc w:val="both"/>
        <w:rPr>
          <w:rFonts w:ascii="Calibri" w:hAnsi="Calibri"/>
          <w:sz w:val="18"/>
        </w:rPr>
      </w:pPr>
      <w:r>
        <w:rPr>
          <w:rFonts w:ascii="Times New Roman" w:hAnsi="Times New Roman"/>
          <w:position w:val="11"/>
          <w:sz w:val="16"/>
        </w:rPr>
        <w:t>140</w:t>
      </w:r>
      <w:r>
        <w:rPr>
          <w:rFonts w:ascii="Times New Roman" w:hAnsi="Times New Roman"/>
          <w:sz w:val="24"/>
        </w:rPr>
        <w:t>“ </w:t>
      </w:r>
      <w:r>
        <w:rPr>
          <w:rFonts w:ascii="Calibri" w:hAnsi="Calibri"/>
          <w:sz w:val="18"/>
        </w:rPr>
        <w:t>El empresario de la radiodifusión Jorge Sikafie instaló un nuevo canal en Tegucigalpa y San Pedro Sula bajo la razón</w:t>
      </w:r>
    </w:p>
    <w:p>
      <w:pPr>
        <w:spacing w:before="4"/>
        <w:ind w:left="264" w:right="212" w:firstLine="0"/>
        <w:jc w:val="both"/>
        <w:rPr>
          <w:rFonts w:ascii="Calibri" w:hAnsi="Calibri"/>
          <w:i/>
          <w:sz w:val="18"/>
        </w:rPr>
      </w:pPr>
      <w:r>
        <w:rPr>
          <w:rFonts w:ascii="Calibri" w:hAnsi="Calibri"/>
          <w:sz w:val="18"/>
        </w:rPr>
        <w:t>social “Voz e Imagen de Centroamérica” (VICA) operando los canales 2 en San Pedro Sula y 9 en Tegucigalpa, empresa que ha continuado con sus programaciones regulares desde su fundación. En el espectro VHF desde el Canal 2 hasta el 13, funcionan actualmente en la capital las siguientes: Canal 3, Canal 5, Canal 6 que se origina en San Pedro Sula, Canal 7, Canal 9 de VICA, Canal 11 de SOTEL y Canal 13 de HONDURED. Otros canales que operan en UHF ocupan las frecuencias altas desde el canal 21 en adelante autorizados por la Comisión Nacional de Telecomunicaciones (CONATEL). Los sistemas de cable han incrementado la teleaudiencia bajando señales vía satélite de aquellas compañías que venden sus servicios mediante contratos a los permisionarios los que por el cobro de cuotas facilitan programaciones a los telehogares. La televisión ha aumentado su cobertura y refleja un alto porcentaje de receptores a color, sin embargo el blanco</w:t>
      </w:r>
      <w:r>
        <w:rPr>
          <w:rFonts w:ascii="Calibri" w:hAnsi="Calibri"/>
          <w:spacing w:val="-1"/>
          <w:sz w:val="18"/>
        </w:rPr>
        <w:t> </w:t>
      </w:r>
      <w:r>
        <w:rPr>
          <w:rFonts w:ascii="Calibri" w:hAnsi="Calibri"/>
          <w:sz w:val="18"/>
        </w:rPr>
        <w:t>y</w:t>
      </w:r>
      <w:r>
        <w:rPr>
          <w:rFonts w:ascii="Calibri" w:hAnsi="Calibri"/>
          <w:spacing w:val="-4"/>
          <w:sz w:val="18"/>
        </w:rPr>
        <w:t> </w:t>
      </w:r>
      <w:r>
        <w:rPr>
          <w:rFonts w:ascii="Calibri" w:hAnsi="Calibri"/>
          <w:sz w:val="18"/>
        </w:rPr>
        <w:t>negro</w:t>
      </w:r>
      <w:r>
        <w:rPr>
          <w:rFonts w:ascii="Calibri" w:hAnsi="Calibri"/>
          <w:spacing w:val="-1"/>
          <w:sz w:val="18"/>
        </w:rPr>
        <w:t> </w:t>
      </w:r>
      <w:r>
        <w:rPr>
          <w:rFonts w:ascii="Calibri" w:hAnsi="Calibri"/>
          <w:sz w:val="18"/>
        </w:rPr>
        <w:t>todavía</w:t>
      </w:r>
      <w:r>
        <w:rPr>
          <w:rFonts w:ascii="Calibri" w:hAnsi="Calibri"/>
          <w:spacing w:val="-1"/>
          <w:sz w:val="18"/>
        </w:rPr>
        <w:t> </w:t>
      </w:r>
      <w:r>
        <w:rPr>
          <w:rFonts w:ascii="Calibri" w:hAnsi="Calibri"/>
          <w:sz w:val="18"/>
        </w:rPr>
        <w:t>es</w:t>
      </w:r>
      <w:r>
        <w:rPr>
          <w:rFonts w:ascii="Calibri" w:hAnsi="Calibri"/>
          <w:spacing w:val="-1"/>
          <w:sz w:val="18"/>
        </w:rPr>
        <w:t> </w:t>
      </w:r>
      <w:r>
        <w:rPr>
          <w:rFonts w:ascii="Calibri" w:hAnsi="Calibri"/>
          <w:sz w:val="18"/>
        </w:rPr>
        <w:t>utilizado</w:t>
      </w:r>
      <w:r>
        <w:rPr>
          <w:rFonts w:ascii="Calibri" w:hAnsi="Calibri"/>
          <w:spacing w:val="-1"/>
          <w:sz w:val="18"/>
        </w:rPr>
        <w:t> </w:t>
      </w:r>
      <w:r>
        <w:rPr>
          <w:rFonts w:ascii="Calibri" w:hAnsi="Calibri"/>
          <w:sz w:val="18"/>
        </w:rPr>
        <w:t>por</w:t>
      </w:r>
      <w:r>
        <w:rPr>
          <w:rFonts w:ascii="Calibri" w:hAnsi="Calibri"/>
          <w:spacing w:val="-1"/>
          <w:sz w:val="18"/>
        </w:rPr>
        <w:t> </w:t>
      </w:r>
      <w:r>
        <w:rPr>
          <w:rFonts w:ascii="Calibri" w:hAnsi="Calibri"/>
          <w:sz w:val="18"/>
        </w:rPr>
        <w:t>el</w:t>
      </w:r>
      <w:r>
        <w:rPr>
          <w:rFonts w:ascii="Calibri" w:hAnsi="Calibri"/>
          <w:spacing w:val="-4"/>
          <w:sz w:val="18"/>
        </w:rPr>
        <w:t> </w:t>
      </w:r>
      <w:r>
        <w:rPr>
          <w:rFonts w:ascii="Calibri" w:hAnsi="Calibri"/>
          <w:sz w:val="18"/>
        </w:rPr>
        <w:t>bajo</w:t>
      </w:r>
      <w:r>
        <w:rPr>
          <w:rFonts w:ascii="Calibri" w:hAnsi="Calibri"/>
          <w:spacing w:val="-1"/>
          <w:sz w:val="18"/>
        </w:rPr>
        <w:t> </w:t>
      </w:r>
      <w:r>
        <w:rPr>
          <w:rFonts w:ascii="Calibri" w:hAnsi="Calibri"/>
          <w:sz w:val="18"/>
        </w:rPr>
        <w:t>costo</w:t>
      </w:r>
      <w:r>
        <w:rPr>
          <w:rFonts w:ascii="Calibri" w:hAnsi="Calibri"/>
          <w:spacing w:val="-2"/>
          <w:sz w:val="18"/>
        </w:rPr>
        <w:t> </w:t>
      </w:r>
      <w:r>
        <w:rPr>
          <w:rFonts w:ascii="Calibri" w:hAnsi="Calibri"/>
          <w:sz w:val="18"/>
        </w:rPr>
        <w:t>de</w:t>
      </w:r>
      <w:r>
        <w:rPr>
          <w:rFonts w:ascii="Calibri" w:hAnsi="Calibri"/>
          <w:spacing w:val="-8"/>
          <w:sz w:val="18"/>
        </w:rPr>
        <w:t> </w:t>
      </w:r>
      <w:r>
        <w:rPr>
          <w:rFonts w:ascii="Calibri" w:hAnsi="Calibri"/>
          <w:sz w:val="18"/>
        </w:rPr>
        <w:t>los</w:t>
      </w:r>
      <w:r>
        <w:rPr>
          <w:rFonts w:ascii="Calibri" w:hAnsi="Calibri"/>
          <w:spacing w:val="-1"/>
          <w:sz w:val="18"/>
        </w:rPr>
        <w:t> </w:t>
      </w:r>
      <w:r>
        <w:rPr>
          <w:rFonts w:ascii="Calibri" w:hAnsi="Calibri"/>
          <w:sz w:val="18"/>
        </w:rPr>
        <w:t>aparatos</w:t>
      </w:r>
      <w:r>
        <w:rPr>
          <w:rFonts w:ascii="Calibri" w:hAnsi="Calibri"/>
          <w:spacing w:val="-1"/>
          <w:sz w:val="18"/>
        </w:rPr>
        <w:t> </w:t>
      </w:r>
      <w:r>
        <w:rPr>
          <w:rFonts w:ascii="Calibri" w:hAnsi="Calibri"/>
          <w:sz w:val="18"/>
        </w:rPr>
        <w:t>que</w:t>
      </w:r>
      <w:r>
        <w:rPr>
          <w:rFonts w:ascii="Calibri" w:hAnsi="Calibri"/>
          <w:spacing w:val="-4"/>
          <w:sz w:val="18"/>
        </w:rPr>
        <w:t> </w:t>
      </w:r>
      <w:r>
        <w:rPr>
          <w:rFonts w:ascii="Calibri" w:hAnsi="Calibri"/>
          <w:sz w:val="18"/>
        </w:rPr>
        <w:t>se</w:t>
      </w:r>
      <w:r>
        <w:rPr>
          <w:rFonts w:ascii="Calibri" w:hAnsi="Calibri"/>
          <w:spacing w:val="-4"/>
          <w:sz w:val="18"/>
        </w:rPr>
        <w:t> </w:t>
      </w:r>
      <w:r>
        <w:rPr>
          <w:rFonts w:ascii="Calibri" w:hAnsi="Calibri"/>
          <w:sz w:val="18"/>
        </w:rPr>
        <w:t>venden</w:t>
      </w:r>
      <w:r>
        <w:rPr>
          <w:rFonts w:ascii="Calibri" w:hAnsi="Calibri"/>
          <w:spacing w:val="-1"/>
          <w:sz w:val="18"/>
        </w:rPr>
        <w:t> </w:t>
      </w:r>
      <w:r>
        <w:rPr>
          <w:rFonts w:ascii="Calibri" w:hAnsi="Calibri"/>
          <w:sz w:val="18"/>
        </w:rPr>
        <w:t>en</w:t>
      </w:r>
      <w:r>
        <w:rPr>
          <w:rFonts w:ascii="Calibri" w:hAnsi="Calibri"/>
          <w:spacing w:val="-1"/>
          <w:sz w:val="18"/>
        </w:rPr>
        <w:t> </w:t>
      </w:r>
      <w:r>
        <w:rPr>
          <w:rFonts w:ascii="Calibri" w:hAnsi="Calibri"/>
          <w:sz w:val="18"/>
        </w:rPr>
        <w:t>el</w:t>
      </w:r>
      <w:r>
        <w:rPr>
          <w:rFonts w:ascii="Calibri" w:hAnsi="Calibri"/>
          <w:spacing w:val="-4"/>
          <w:sz w:val="18"/>
        </w:rPr>
        <w:t> </w:t>
      </w:r>
      <w:r>
        <w:rPr>
          <w:rFonts w:ascii="Calibri" w:hAnsi="Calibri"/>
          <w:sz w:val="18"/>
        </w:rPr>
        <w:t>mercado</w:t>
      </w:r>
      <w:r>
        <w:rPr>
          <w:rFonts w:ascii="Calibri" w:hAnsi="Calibri"/>
          <w:spacing w:val="-1"/>
          <w:sz w:val="18"/>
        </w:rPr>
        <w:t> </w:t>
      </w:r>
      <w:r>
        <w:rPr>
          <w:rFonts w:ascii="Calibri" w:hAnsi="Calibri"/>
          <w:sz w:val="18"/>
        </w:rPr>
        <w:t>nacional.”</w:t>
      </w:r>
      <w:r>
        <w:rPr>
          <w:rFonts w:ascii="Calibri" w:hAnsi="Calibri"/>
          <w:spacing w:val="-1"/>
          <w:sz w:val="18"/>
        </w:rPr>
        <w:t> </w:t>
      </w:r>
      <w:r>
        <w:rPr>
          <w:rFonts w:ascii="Calibri" w:hAnsi="Calibri"/>
          <w:i/>
          <w:sz w:val="18"/>
        </w:rPr>
        <w:t>Ídem.</w:t>
      </w:r>
    </w:p>
    <w:p>
      <w:pPr>
        <w:spacing w:line="220" w:lineRule="exact" w:before="0"/>
        <w:ind w:left="264" w:right="0" w:firstLine="0"/>
        <w:jc w:val="both"/>
        <w:rPr>
          <w:rFonts w:ascii="Calibri" w:hAnsi="Calibri"/>
          <w:sz w:val="18"/>
        </w:rPr>
      </w:pPr>
      <w:r>
        <w:rPr>
          <w:rFonts w:ascii="Calibri" w:hAnsi="Calibri"/>
          <w:position w:val="9"/>
          <w:sz w:val="12"/>
        </w:rPr>
        <w:t>141  </w:t>
      </w:r>
      <w:r>
        <w:rPr>
          <w:rFonts w:ascii="Calibri" w:hAnsi="Calibri"/>
          <w:sz w:val="18"/>
        </w:rPr>
        <w:t>LOZANO, José Carlos, “Consumo y apropiación de cine y TV  extranjeros   por audiencias  en América  Latina”</w:t>
      </w:r>
      <w:r>
        <w:rPr>
          <w:rFonts w:ascii="Calibri" w:hAnsi="Calibri"/>
          <w:i/>
          <w:sz w:val="18"/>
        </w:rPr>
        <w:t>,        </w:t>
      </w:r>
      <w:r>
        <w:rPr>
          <w:rFonts w:ascii="Calibri" w:hAnsi="Calibri"/>
          <w:sz w:val="18"/>
        </w:rPr>
        <w:t>[en</w:t>
      </w:r>
    </w:p>
    <w:p>
      <w:pPr>
        <w:spacing w:before="0"/>
        <w:ind w:left="264" w:right="0" w:firstLine="0"/>
        <w:jc w:val="both"/>
        <w:rPr>
          <w:rFonts w:ascii="Calibri" w:hAnsi="Calibri"/>
          <w:sz w:val="18"/>
        </w:rPr>
      </w:pPr>
      <w:r>
        <w:rPr>
          <w:rFonts w:ascii="Calibri" w:hAnsi="Calibri"/>
          <w:sz w:val="18"/>
        </w:rPr>
        <w:t>línea], consulta 22/02/2012, disponible en : </w:t>
      </w:r>
      <w:hyperlink r:id="rId64">
        <w:r>
          <w:rPr>
            <w:rFonts w:ascii="Calibri" w:hAnsi="Calibri"/>
            <w:color w:val="0000FF"/>
            <w:sz w:val="18"/>
            <w:u w:val="single" w:color="0000FF"/>
          </w:rPr>
          <w:t>http://redalyc.uaemex.mx/pdf/158/15811864011.pdf</w:t>
        </w:r>
        <w:r>
          <w:rPr>
            <w:rFonts w:ascii="Calibri" w:hAnsi="Calibri"/>
            <w:sz w:val="18"/>
          </w:rPr>
          <w:t>.</w:t>
        </w:r>
      </w:hyperlink>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57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3" w:firstLine="336"/>
        <w:jc w:val="both"/>
      </w:pPr>
      <w:r>
        <w:rPr/>
        <w:t>Ahora bien, transcurridos 47 años desde aquel 15 de septiembre de 1959, la televisión hondureña ha experimentado extraordinarios avances al incorporarse a sistemas satelitales, digitalizados y algunos canales ofrecen los adelantos tecnológicos de la época. La televisión hondureña está compuesta por 14 canales, entre ellos: (Televicentro Canal 5, Telecadena 7 y 4, Telesistema Hondureño-canal 3 y 7 y VICA-Televisión) ocho con cobertura nacional y 6 regionales o locales.</w:t>
      </w:r>
    </w:p>
    <w:p>
      <w:pPr>
        <w:pStyle w:val="BodyText"/>
        <w:spacing w:before="11"/>
        <w:rPr>
          <w:sz w:val="35"/>
        </w:rPr>
      </w:pPr>
    </w:p>
    <w:p>
      <w:pPr>
        <w:pStyle w:val="Heading3"/>
        <w:numPr>
          <w:ilvl w:val="1"/>
          <w:numId w:val="3"/>
        </w:numPr>
        <w:tabs>
          <w:tab w:pos="952" w:val="left" w:leader="none"/>
        </w:tabs>
        <w:spacing w:line="240" w:lineRule="auto" w:before="0" w:after="0"/>
        <w:ind w:left="951" w:right="0" w:hanging="267"/>
        <w:jc w:val="left"/>
        <w:rPr>
          <w:rFonts w:ascii="Arial" w:hAnsi="Arial"/>
        </w:rPr>
      </w:pPr>
      <w:r>
        <w:rPr>
          <w:rFonts w:ascii="Arial" w:hAnsi="Arial"/>
        </w:rPr>
        <w:t>La televisión en</w:t>
      </w:r>
      <w:r>
        <w:rPr>
          <w:rFonts w:ascii="Arial" w:hAnsi="Arial"/>
          <w:spacing w:val="-7"/>
        </w:rPr>
        <w:t> </w:t>
      </w:r>
      <w:r>
        <w:rPr>
          <w:rFonts w:ascii="Arial" w:hAnsi="Arial"/>
        </w:rPr>
        <w:t>México</w:t>
      </w:r>
    </w:p>
    <w:p>
      <w:pPr>
        <w:pStyle w:val="BodyText"/>
        <w:rPr>
          <w:b/>
        </w:rPr>
      </w:pPr>
    </w:p>
    <w:p>
      <w:pPr>
        <w:pStyle w:val="BodyText"/>
        <w:spacing w:before="4"/>
        <w:rPr>
          <w:b/>
        </w:rPr>
      </w:pPr>
    </w:p>
    <w:p>
      <w:pPr>
        <w:pStyle w:val="BodyText"/>
        <w:spacing w:line="360" w:lineRule="auto"/>
        <w:ind w:left="684" w:right="118" w:firstLine="336"/>
        <w:jc w:val="both"/>
      </w:pPr>
      <w:r>
        <w:rPr/>
        <w:t>La televisión en México es uno de los fenómenos que subrepticiamente se ha introducido en las mentes y conciencias de todos los mexicanos, permitiendo compartir, desde modos de hablar, de comer o vestir, hasta valores e ideas políticas. Al mismo tiempo que se ha constituido como un gran negocio.  Su difusión ha unido sentimientos a partir de la transmisión de contenidos melodramáticos que impactan en las emociones de los televidentes, poniendo en suspenso las actividades cotidianas de la población ante el recurso televisivo que logra captar la atención de un gran porcentaje de la población, por ejemplo, finales de telenovelas, eventos deportivos nacionales o internacionales. “La televisión es la fuente </w:t>
      </w:r>
      <w:r>
        <w:rPr>
          <w:spacing w:val="-2"/>
        </w:rPr>
        <w:t>más </w:t>
      </w:r>
      <w:r>
        <w:rPr/>
        <w:t>importante de información, entretenimiento y cultura para millones de  mexicanos,  generadora  y reproductora  de  valores,  expectativas  e</w:t>
      </w:r>
      <w:r>
        <w:rPr>
          <w:spacing w:val="29"/>
        </w:rPr>
        <w:t> </w:t>
      </w:r>
      <w:r>
        <w:rPr/>
        <w:t>ilusiones</w:t>
      </w:r>
    </w:p>
    <w:p>
      <w:pPr>
        <w:pStyle w:val="BodyText"/>
        <w:spacing w:line="282" w:lineRule="exact"/>
        <w:ind w:left="684" w:right="114"/>
      </w:pPr>
      <w:r>
        <w:rPr/>
        <w:t>[...],”</w:t>
      </w:r>
      <w:r>
        <w:rPr>
          <w:position w:val="11"/>
          <w:sz w:val="16"/>
        </w:rPr>
        <w:t>142   </w:t>
      </w:r>
      <w:r>
        <w:rPr/>
        <w:t>que  expone  de  manera  explicita  diversas  formas  de  vida,  incluyendo</w:t>
      </w:r>
    </w:p>
    <w:p>
      <w:pPr>
        <w:pStyle w:val="BodyText"/>
        <w:spacing w:before="136"/>
        <w:ind w:left="684" w:right="114"/>
      </w:pPr>
      <w:r>
        <w:rPr/>
        <w:t>aquellas que exponen la pobreza en comparación con la más extrema riqueza.</w:t>
      </w:r>
    </w:p>
    <w:p>
      <w:pPr>
        <w:pStyle w:val="BodyText"/>
        <w:spacing w:line="360" w:lineRule="auto" w:before="140"/>
        <w:ind w:left="684" w:right="119" w:firstLine="336"/>
        <w:jc w:val="both"/>
      </w:pPr>
      <w:r>
        <w:rPr/>
        <w:t>Ante esta situación relevante es importante conocer cómo surge este fenómeno en América, pero en particular en México. A principios del siglo pasado entre 1928 y 1930 los profesores de la Escuela Superior de Ingeniería Mecánica y Eléctrica (ESME), Javier Stavoli y Miguel Fonseca hicieron experimentos para instalar la primera estación televisiva. Bajo los auspicios del partido gobernante realizaron la primera transmisión desde el Centro Histórico de la ciudad de México.</w:t>
      </w:r>
    </w:p>
    <w:p>
      <w:pPr>
        <w:pStyle w:val="BodyText"/>
        <w:spacing w:line="357" w:lineRule="auto" w:before="6"/>
        <w:ind w:left="684" w:right="114" w:firstLine="536"/>
      </w:pPr>
      <w:r>
        <w:rPr/>
        <w:t>En el año 1934, Guillermo González Camarena estudiante del Instituto Politécnico Nacional, realiza experimentos con un sistema de televisión de circuito</w:t>
      </w:r>
    </w:p>
    <w:p>
      <w:pPr>
        <w:pStyle w:val="BodyText"/>
        <w:spacing w:before="10"/>
        <w:rPr>
          <w:sz w:val="8"/>
        </w:rPr>
      </w:pPr>
      <w:r>
        <w:rPr/>
        <w:pict>
          <v:line style="position:absolute;mso-position-horizontal-relative:page;mso-position-vertical-relative:paragraph;z-index:4552;mso-wrap-distance-left:0;mso-wrap-distance-right:0" from="99.224998pt,7.392951pt" to="243.274998pt,7.392951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142 </w:t>
      </w:r>
      <w:r>
        <w:rPr>
          <w:rFonts w:ascii="Calibri" w:hAnsi="Calibri"/>
          <w:sz w:val="18"/>
        </w:rPr>
        <w:t>VILLAMIL, Jenaro, </w:t>
      </w:r>
      <w:r>
        <w:rPr>
          <w:rFonts w:ascii="Calibri" w:hAnsi="Calibri"/>
          <w:i/>
          <w:sz w:val="18"/>
        </w:rPr>
        <w:t>La televisión que nos gobierna, </w:t>
      </w:r>
      <w:r>
        <w:rPr>
          <w:rFonts w:ascii="Calibri" w:hAnsi="Calibri"/>
          <w:sz w:val="18"/>
        </w:rPr>
        <w:t>Grijalbo, México, 2005, pp. 9</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462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8"/>
        <w:jc w:val="both"/>
      </w:pPr>
      <w:r>
        <w:rPr/>
        <w:t>cerrado, en un pequeño laboratorio montado en las instalaciones de </w:t>
      </w:r>
      <w:r>
        <w:rPr>
          <w:spacing w:val="3"/>
        </w:rPr>
        <w:t>la </w:t>
      </w:r>
      <w:r>
        <w:rPr/>
        <w:t>estación de radio XEFO. Durante varios años, trabajó con el equipo que él mismo había construido, en 1939, cuando la televisión en blanco y negro ya funciona  en algunos países, González Camarena impacta al mundo al inventar la televisión en color, gracias a su Sistema Tricromático Secuencial de Campos; obtiene la  patente de su invento tanto en México como en Estados Unidos el 19 de agosto de 1940.</w:t>
      </w:r>
    </w:p>
    <w:p>
      <w:pPr>
        <w:pStyle w:val="BodyText"/>
        <w:spacing w:line="355" w:lineRule="auto" w:before="2"/>
        <w:ind w:left="264" w:right="213" w:firstLine="336"/>
        <w:jc w:val="both"/>
      </w:pPr>
      <w:r>
        <w:rPr/>
        <w:t>La primera estación televisiva se instaló bajo los auspicios del Partido Nacional Revolucionario y del gobierno mexicano.</w:t>
      </w:r>
      <w:r>
        <w:rPr>
          <w:position w:val="11"/>
          <w:sz w:val="16"/>
        </w:rPr>
        <w:t>143 </w:t>
      </w:r>
      <w:r>
        <w:rPr/>
        <w:t>En la etapa de Miguel Alemán se realizó un estudio para determinar cuál era el tipo de política administrativa </w:t>
      </w:r>
      <w:r>
        <w:rPr>
          <w:spacing w:val="-2"/>
        </w:rPr>
        <w:t>más </w:t>
      </w:r>
      <w:r>
        <w:rPr/>
        <w:t>adecuada para la televisión en México. Se comisionó a Salvador Novo y Guillermo González Camarena para que realizaran un viaje de estudio sobre dos formatos  de  organización  televisiva  imperante  en  ese  momento:  el  de  Inglaterra,  </w:t>
      </w:r>
      <w:r>
        <w:rPr>
          <w:spacing w:val="65"/>
        </w:rPr>
        <w:t> </w:t>
      </w:r>
      <w:r>
        <w:rPr/>
        <w:t>que</w:t>
      </w:r>
    </w:p>
    <w:p>
      <w:pPr>
        <w:pStyle w:val="BodyText"/>
        <w:spacing w:line="350" w:lineRule="auto" w:before="8"/>
        <w:ind w:left="264" w:right="213"/>
        <w:jc w:val="both"/>
        <w:rPr>
          <w:sz w:val="16"/>
        </w:rPr>
      </w:pPr>
      <w:r>
        <w:rPr/>
        <w:t>trabajaba en un estilo de  monopolio estatal o uno de competencia abierta: como  el que se trabajaba en Estados Unidos, con la finalidad de decidir cual sería el  </w:t>
      </w:r>
      <w:r>
        <w:rPr>
          <w:spacing w:val="-2"/>
        </w:rPr>
        <w:t>más </w:t>
      </w:r>
      <w:r>
        <w:rPr/>
        <w:t>apropiado para México, decidiéndose por el estilo de la televisión estadounidense.</w:t>
      </w:r>
      <w:r>
        <w:rPr>
          <w:position w:val="11"/>
          <w:sz w:val="16"/>
        </w:rPr>
        <w:t>144</w:t>
      </w:r>
    </w:p>
    <w:p>
      <w:pPr>
        <w:pStyle w:val="BodyText"/>
        <w:spacing w:line="355" w:lineRule="auto"/>
        <w:ind w:left="264" w:right="220" w:firstLine="336"/>
        <w:jc w:val="both"/>
      </w:pPr>
      <w:r>
        <w:rPr/>
        <w:t>En esta época, en México se había dado un importante avance en la transmisión radiofónica. Y los empresarios mexicanos dueños del sistema se interesaron en el promisorio recurso mediático. “El interés de los industriales de la radiodifusión, especialmente de Don Emilio Azcárraga Vidaurreta, dueño de la poderosa estación radiofónica XEW, se acrecentaría posteriormente durante el gobierno de Miguel Alemán.”</w:t>
      </w:r>
      <w:r>
        <w:rPr>
          <w:position w:val="11"/>
          <w:sz w:val="16"/>
        </w:rPr>
        <w:t>145  </w:t>
      </w:r>
      <w:r>
        <w:rPr/>
        <w:t>Para Azcárraga Vidaurreta, personaje   conocedor</w:t>
      </w:r>
    </w:p>
    <w:p>
      <w:pPr>
        <w:pStyle w:val="BodyText"/>
        <w:spacing w:line="360" w:lineRule="auto"/>
        <w:ind w:left="264" w:right="211"/>
        <w:jc w:val="both"/>
      </w:pPr>
      <w:r>
        <w:rPr/>
        <w:t>del manejo de los medios de difusión electrónicos, de las ganancias y el poder que estos significaban, la nueva modalidad de comunicación resultaba ser novedosa y con grandes probabilidades de generar un gran mercado, de uso importante para el nuevo sistema capitalista-imperialista. De hecho logró unificar a los: “[…] radiodifusores   para   que   en   México   se   adoptara   el   modelo       </w:t>
      </w:r>
      <w:r>
        <w:rPr>
          <w:spacing w:val="50"/>
        </w:rPr>
        <w:t> </w:t>
      </w:r>
      <w:r>
        <w:rPr/>
        <w:t>comercial</w:t>
      </w:r>
    </w:p>
    <w:p>
      <w:pPr>
        <w:pStyle w:val="BodyText"/>
        <w:spacing w:before="4"/>
        <w:rPr>
          <w:sz w:val="16"/>
        </w:rPr>
      </w:pPr>
      <w:r>
        <w:rPr/>
        <w:pict>
          <v:line style="position:absolute;mso-position-horizontal-relative:page;mso-position-vertical-relative:paragraph;z-index:4600;mso-wrap-distance-left:0;mso-wrap-distance-right:0" from="99.224998pt,11.663921pt" to="243.274998pt,11.663921pt" stroked="true" strokeweight=".599980pt" strokecolor="#000000">
            <w10:wrap type="topAndBottom"/>
          </v:line>
        </w:pict>
      </w:r>
    </w:p>
    <w:p>
      <w:pPr>
        <w:spacing w:before="48"/>
        <w:ind w:left="264" w:right="219" w:firstLine="0"/>
        <w:jc w:val="both"/>
        <w:rPr>
          <w:rFonts w:ascii="Calibri" w:hAnsi="Calibri"/>
          <w:sz w:val="18"/>
        </w:rPr>
      </w:pPr>
      <w:r>
        <w:rPr>
          <w:position w:val="9"/>
          <w:sz w:val="12"/>
        </w:rPr>
        <w:t>143 </w:t>
      </w:r>
      <w:r>
        <w:rPr>
          <w:rFonts w:ascii="Calibri" w:hAnsi="Calibri"/>
          <w:sz w:val="18"/>
        </w:rPr>
        <w:t>El ingeniero Guillermo González Camarena inicia sus experimentos sobre televisión. La mayor parte del equipo utilizado fue construida por el propio González Camarena. Se dice que el presidente Lázaro Cárdenas puso a disposición del pionero los estudios de la XEFO del Partido Nacional Revolucionario.</w:t>
      </w:r>
    </w:p>
    <w:p>
      <w:pPr>
        <w:spacing w:line="202" w:lineRule="exact" w:before="0"/>
        <w:ind w:left="264" w:right="0" w:firstLine="0"/>
        <w:jc w:val="both"/>
        <w:rPr>
          <w:sz w:val="18"/>
        </w:rPr>
      </w:pPr>
      <w:r>
        <w:rPr>
          <w:position w:val="9"/>
          <w:sz w:val="12"/>
        </w:rPr>
        <w:t>144  </w:t>
      </w:r>
      <w:r>
        <w:rPr>
          <w:sz w:val="18"/>
        </w:rPr>
        <w:t>Véase Villamil Jenaro, </w:t>
      </w:r>
      <w:r>
        <w:rPr>
          <w:i/>
          <w:sz w:val="18"/>
        </w:rPr>
        <w:t>Óp. Cit. </w:t>
      </w:r>
      <w:r>
        <w:rPr>
          <w:sz w:val="18"/>
        </w:rPr>
        <w:t>p. 17</w:t>
      </w:r>
    </w:p>
    <w:p>
      <w:pPr>
        <w:spacing w:after="0" w:line="202" w:lineRule="exact"/>
        <w:jc w:val="both"/>
        <w:rPr>
          <w:sz w:val="18"/>
        </w:rPr>
        <w:sectPr>
          <w:footerReference w:type="default" r:id="rId65"/>
          <w:pgSz w:w="12240" w:h="15840"/>
          <w:pgMar w:footer="1102" w:header="0" w:top="520" w:bottom="1300" w:left="1720" w:right="1200"/>
          <w:pgNumType w:start="145"/>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67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28" w:lineRule="auto" w:before="70"/>
        <w:ind w:left="684" w:right="114"/>
        <w:rPr>
          <w:sz w:val="16"/>
        </w:rPr>
      </w:pPr>
      <w:r>
        <w:rPr/>
        <w:t>estadounidense y creó organismos de presión como la Asociación Mexicana de Estaciones Radiodifusoras.”</w:t>
      </w:r>
      <w:r>
        <w:rPr>
          <w:position w:val="11"/>
          <w:sz w:val="16"/>
        </w:rPr>
        <w:t>146.</w:t>
      </w:r>
    </w:p>
    <w:p>
      <w:pPr>
        <w:pStyle w:val="BodyText"/>
        <w:spacing w:line="360" w:lineRule="auto" w:before="27"/>
        <w:ind w:left="684" w:right="115" w:firstLine="308"/>
        <w:jc w:val="both"/>
      </w:pPr>
      <w:r>
        <w:rPr/>
        <w:t>En 1946, Guillermo González Camarena registró el primer canal de televisión experimental el XEGC- canal 5. La primera transmisión en blanco y negro en México, se realiza el 19 de agosto de 1946, desde la residencia del ingeniero Guillermo González Camarena, en la casa número 74 de la calle de Havre, Cd. México. Fue tal el éxito, que el 7 de septiembre del mismo año, a las 20:30 horas, se inicia oficialmente la primera estación experimental de televisión en Latinoamérica; la XEIGC, emisora que transmite los sábados, durante dos años, un programa artístico y de entrevistas. En septiembre de 1948, empiezan las transmisiones diarias desde el Palacio de Minería de la "Primera Exposición Objetiva Presidencial". Por medio </w:t>
      </w:r>
      <w:r>
        <w:rPr>
          <w:spacing w:val="3"/>
        </w:rPr>
        <w:t>de </w:t>
      </w:r>
      <w:r>
        <w:rPr/>
        <w:t>aparatos receptores colocados en varios centros comerciales, miles de personas son testigos de esta</w:t>
      </w:r>
      <w:r>
        <w:rPr>
          <w:spacing w:val="-39"/>
        </w:rPr>
        <w:t> </w:t>
      </w:r>
      <w:r>
        <w:rPr/>
        <w:t>transmisión.</w:t>
      </w:r>
    </w:p>
    <w:p>
      <w:pPr>
        <w:pStyle w:val="BodyText"/>
        <w:spacing w:line="360" w:lineRule="auto" w:before="2"/>
        <w:ind w:left="684" w:right="115" w:firstLine="336"/>
        <w:jc w:val="both"/>
      </w:pPr>
      <w:r>
        <w:rPr/>
        <w:t>El primer canal comercial de televisión en México y América Latina se inaugura el 31 de agosto de 1950, y el 1º de septiembre, transmite su primer programa: la lectura del IV Informe de Gobierno del Presidente de México, Lic. Miguel Alemán Valdés, a través de la señal de la XHDF−TV Canal 4 de la familia O'Farrill. Ese mismo año, la XETV−Canal 6 de Tijuana, Baja California y la XEQ−TV Canal 9 (actualmente con las siglas XHTM Canal 10), en Altzomoni, Estado de México, también inician sus transmisiones. La estación XEW−TV Canal 2, inaugurada en 1951, transmite desde el Parque Delta (actualmente del Seguro Social) en el Distrito Federal, propiedad de la familia Azcárraga. Asimismo, el Canal XHGC, del ingeniero Guillermo González Camarena, queda integrado al dial televisivo.</w:t>
      </w:r>
    </w:p>
    <w:p>
      <w:pPr>
        <w:pStyle w:val="BodyText"/>
        <w:spacing w:line="360" w:lineRule="auto" w:before="2"/>
        <w:ind w:left="684" w:right="122" w:firstLine="336"/>
        <w:jc w:val="both"/>
      </w:pPr>
      <w:r>
        <w:rPr/>
        <w:t>En 1955, se fusionan estos tres canales, formando la empresa Telesistema Mexicano. El Canal 11 XEIPN del Instituto Politécnico Nacional, inicia en 1959 sus transmisiones.</w:t>
      </w:r>
    </w:p>
    <w:p>
      <w:pPr>
        <w:pStyle w:val="BodyText"/>
      </w:pPr>
    </w:p>
    <w:p>
      <w:pPr>
        <w:spacing w:line="240" w:lineRule="auto" w:before="141"/>
        <w:ind w:left="1393" w:right="118" w:firstLine="0"/>
        <w:jc w:val="both"/>
        <w:rPr>
          <w:sz w:val="22"/>
        </w:rPr>
      </w:pPr>
      <w:r>
        <w:rPr>
          <w:sz w:val="22"/>
        </w:rPr>
        <w:t>En 1960 se publicó la Ley Federal de Radio y Televisión (“LFRyTV”). En ésta se prescribió la figura de las concesiones y permisos para el uso de frecuencias del espectro radioeléctrico a fin de prestar servicios de radio y televisión abierta para que  cualquier persona  con  el equipo  adecuado  pudiera  recibir gratuitamente su</w:t>
      </w:r>
    </w:p>
    <w:p>
      <w:pPr>
        <w:pStyle w:val="BodyText"/>
        <w:rPr>
          <w:sz w:val="20"/>
        </w:rPr>
      </w:pPr>
    </w:p>
    <w:p>
      <w:pPr>
        <w:pStyle w:val="BodyText"/>
        <w:spacing w:before="5"/>
        <w:rPr>
          <w:sz w:val="27"/>
        </w:rPr>
      </w:pPr>
      <w:r>
        <w:rPr/>
        <w:pict>
          <v:line style="position:absolute;mso-position-horizontal-relative:page;mso-position-vertical-relative:paragraph;z-index:4648;mso-wrap-distance-left:0;mso-wrap-distance-right:0" from="99.224998pt,18.064903pt" to="243.274998pt,18.064903pt" stroked="true" strokeweight=".60004pt" strokecolor="#000000">
            <w10:wrap type="topAndBottom"/>
          </v:line>
        </w:pict>
      </w:r>
    </w:p>
    <w:p>
      <w:pPr>
        <w:spacing w:after="0"/>
        <w:rPr>
          <w:sz w:val="27"/>
        </w:rPr>
        <w:sectPr>
          <w:footerReference w:type="default" r:id="rId66"/>
          <w:pgSz w:w="12240" w:h="15840"/>
          <w:pgMar w:footer="1163" w:header="0" w:top="520" w:bottom="1360" w:left="1300" w:right="1300"/>
          <w:pgNumType w:start="146"/>
        </w:sectPr>
      </w:pPr>
    </w:p>
    <w:p>
      <w:pPr>
        <w:pStyle w:val="Heading3"/>
      </w:pPr>
      <w:r>
        <w:rPr/>
        <w:pict>
          <v:line style="position:absolute;mso-position-horizontal-relative:page;mso-position-vertical-relative:paragraph;z-index:472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268" w:lineRule="exact" w:before="64"/>
        <w:ind w:left="973" w:right="0" w:firstLine="0"/>
        <w:jc w:val="left"/>
        <w:rPr>
          <w:sz w:val="16"/>
        </w:rPr>
      </w:pPr>
      <w:r>
        <w:rPr>
          <w:sz w:val="22"/>
        </w:rPr>
        <w:t>programación. Sin embargo, la televisión por cable no encuadraba en la LFRyTV […]”</w:t>
      </w:r>
      <w:r>
        <w:rPr>
          <w:sz w:val="24"/>
        </w:rPr>
        <w:t>.</w:t>
      </w:r>
      <w:r>
        <w:rPr>
          <w:position w:val="11"/>
          <w:sz w:val="16"/>
        </w:rPr>
        <w:t>147</w:t>
      </w:r>
    </w:p>
    <w:p>
      <w:pPr>
        <w:pStyle w:val="BodyText"/>
        <w:spacing w:before="3"/>
        <w:rPr>
          <w:sz w:val="36"/>
        </w:rPr>
      </w:pPr>
    </w:p>
    <w:p>
      <w:pPr>
        <w:pStyle w:val="BodyText"/>
        <w:spacing w:line="350" w:lineRule="auto"/>
        <w:ind w:left="264" w:right="211" w:firstLine="271"/>
        <w:jc w:val="both"/>
      </w:pPr>
      <w:r>
        <w:rPr/>
        <w:t>La investigación espacial, que favoreció el desarrollo de las telecomunicaciones, inició en la Universidad Nacional Autónoma de México en 1962. Asimismo, para contar con servicios de comunicación vía satélite51, México se adhirió a  INTELSAT (International Telecommunications Satellite Consortium) </w:t>
      </w:r>
      <w:r>
        <w:rPr>
          <w:position w:val="11"/>
          <w:sz w:val="16"/>
        </w:rPr>
        <w:t>148</w:t>
      </w:r>
      <w:r>
        <w:rPr/>
        <w:t>que era  </w:t>
      </w:r>
      <w:r>
        <w:rPr>
          <w:spacing w:val="12"/>
        </w:rPr>
        <w:t> </w:t>
      </w:r>
      <w:r>
        <w:rPr/>
        <w:t>un</w:t>
      </w:r>
    </w:p>
    <w:p>
      <w:pPr>
        <w:pStyle w:val="BodyText"/>
        <w:spacing w:line="360" w:lineRule="auto"/>
        <w:ind w:left="264" w:right="211"/>
        <w:jc w:val="both"/>
      </w:pPr>
      <w:r>
        <w:rPr/>
        <w:t>consorcio establecido por los gobiernos y operadores signatarios. INTELSAT fue quien proporcionó a México la capacidad satelital que requería a través del arrendamiento de transpondedores. México comenzó la construcción de estaciones terrenas para servicios satelitales. Sin embargo, fueron los Juegos Olímpicos en 1968 en México los que propiciaron significativamente la incursión  de México en la comunicación vía satélite, </w:t>
      </w:r>
      <w:r>
        <w:rPr>
          <w:spacing w:val="-3"/>
        </w:rPr>
        <w:t>ya </w:t>
      </w:r>
      <w:r>
        <w:rPr/>
        <w:t>que se requirió de un  enlace espacial capaz de transmitir voz y video a nivel mundial. El 10 de octubre de 1968 se</w:t>
      </w:r>
      <w:r>
        <w:rPr>
          <w:spacing w:val="21"/>
        </w:rPr>
        <w:t> </w:t>
      </w:r>
      <w:r>
        <w:rPr/>
        <w:t>inauguró</w:t>
      </w:r>
      <w:r>
        <w:rPr>
          <w:spacing w:val="25"/>
        </w:rPr>
        <w:t> </w:t>
      </w:r>
      <w:r>
        <w:rPr/>
        <w:t>la</w:t>
      </w:r>
      <w:r>
        <w:rPr>
          <w:spacing w:val="21"/>
        </w:rPr>
        <w:t> </w:t>
      </w:r>
      <w:r>
        <w:rPr/>
        <w:t>estación</w:t>
      </w:r>
      <w:r>
        <w:rPr>
          <w:spacing w:val="21"/>
        </w:rPr>
        <w:t> </w:t>
      </w:r>
      <w:r>
        <w:rPr/>
        <w:t>Tulancingo</w:t>
      </w:r>
      <w:r>
        <w:rPr>
          <w:spacing w:val="25"/>
        </w:rPr>
        <w:t> </w:t>
      </w:r>
      <w:r>
        <w:rPr/>
        <w:t>I,</w:t>
      </w:r>
      <w:r>
        <w:rPr>
          <w:spacing w:val="28"/>
        </w:rPr>
        <w:t> </w:t>
      </w:r>
      <w:r>
        <w:rPr/>
        <w:t>la</w:t>
      </w:r>
      <w:r>
        <w:rPr>
          <w:spacing w:val="21"/>
        </w:rPr>
        <w:t> </w:t>
      </w:r>
      <w:r>
        <w:rPr/>
        <w:t>Torre</w:t>
      </w:r>
      <w:r>
        <w:rPr>
          <w:spacing w:val="21"/>
        </w:rPr>
        <w:t> </w:t>
      </w:r>
      <w:r>
        <w:rPr/>
        <w:t>Central</w:t>
      </w:r>
      <w:r>
        <w:rPr>
          <w:spacing w:val="22"/>
        </w:rPr>
        <w:t> </w:t>
      </w:r>
      <w:r>
        <w:rPr/>
        <w:t>de</w:t>
      </w:r>
      <w:r>
        <w:rPr>
          <w:spacing w:val="21"/>
        </w:rPr>
        <w:t> </w:t>
      </w:r>
      <w:r>
        <w:rPr/>
        <w:t>Telecomunicaciones,</w:t>
      </w:r>
      <w:r>
        <w:rPr>
          <w:spacing w:val="23"/>
        </w:rPr>
        <w:t> </w:t>
      </w:r>
      <w:r>
        <w:rPr/>
        <w:t>la</w:t>
      </w:r>
    </w:p>
    <w:p>
      <w:pPr>
        <w:pStyle w:val="BodyText"/>
        <w:spacing w:line="282" w:lineRule="exact"/>
        <w:ind w:left="264"/>
        <w:jc w:val="both"/>
        <w:rPr>
          <w:sz w:val="16"/>
        </w:rPr>
      </w:pPr>
      <w:r>
        <w:rPr/>
        <w:t>Red Federal de Microondas, así como el enlace espacial.</w:t>
      </w:r>
      <w:r>
        <w:rPr>
          <w:position w:val="11"/>
          <w:sz w:val="16"/>
        </w:rPr>
        <w:t>149</w:t>
      </w:r>
    </w:p>
    <w:p>
      <w:pPr>
        <w:pStyle w:val="BodyText"/>
        <w:spacing w:line="360" w:lineRule="auto" w:before="136"/>
        <w:ind w:left="264" w:right="216" w:firstLine="404"/>
        <w:jc w:val="both"/>
      </w:pPr>
      <w:r>
        <w:rPr/>
        <w:t>La estación XHTIM Canal 8 del Grupo Monterrey, se inaugura en 1968, que se convierte posteriormente en XEQ−TV Canal 9 integrado al consorcio Televisa. La transmisora XHDF−TV, Canal 13 inicia sus operaciones en 1968; es en este año cuando México conquista la era de las comunicaciones vía satélite, y se presenta al mundo con la transmisión de las XIX Olimpiada “México 68”.</w:t>
      </w:r>
    </w:p>
    <w:p>
      <w:pPr>
        <w:pStyle w:val="BodyText"/>
        <w:spacing w:line="360" w:lineRule="auto" w:before="6"/>
        <w:ind w:left="264" w:right="221" w:firstLine="336"/>
        <w:jc w:val="both"/>
      </w:pPr>
      <w:r>
        <w:rPr/>
        <w:t>En 1985, son colocados en órbita dos satélites de comunicaciones, el Morelos I y el Morelos II. Más adelante en 1992 y 1993, se instalan otros dos satélites, Solidaridad I y II, mismos que utilizan tecnologías avanzadas para la emisión de ondas  radiofónicas  y  televisivas,  construidos  con  la  capacidad  suficiente para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1"/>
        </w:rPr>
      </w:pPr>
      <w:r>
        <w:rPr/>
        <w:pict>
          <v:line style="position:absolute;mso-position-horizontal-relative:page;mso-position-vertical-relative:paragraph;z-index:4696;mso-wrap-distance-left:0;mso-wrap-distance-right:0" from="99.224998pt,8.588763pt" to="243.274998pt,8.588763pt" stroked="true" strokeweight=".60004pt" strokecolor="#000000">
            <w10:wrap type="topAndBottom"/>
          </v:line>
        </w:pict>
      </w:r>
    </w:p>
    <w:p>
      <w:pPr>
        <w:spacing w:line="237" w:lineRule="exact" w:before="46"/>
        <w:ind w:left="264" w:right="0" w:firstLine="0"/>
        <w:jc w:val="both"/>
        <w:rPr>
          <w:rFonts w:ascii="Calibri" w:hAnsi="Calibri"/>
          <w:sz w:val="18"/>
        </w:rPr>
      </w:pPr>
      <w:r>
        <w:rPr>
          <w:rFonts w:ascii="Calibri" w:hAnsi="Calibri"/>
          <w:position w:val="9"/>
          <w:sz w:val="12"/>
        </w:rPr>
        <w:t>147 </w:t>
      </w:r>
      <w:r>
        <w:rPr>
          <w:rFonts w:ascii="Calibri" w:hAnsi="Calibri"/>
          <w:sz w:val="18"/>
        </w:rPr>
        <w:t>ÁLVAREZ, Clara Luz, </w:t>
      </w:r>
      <w:r>
        <w:rPr>
          <w:rFonts w:ascii="Calibri" w:hAnsi="Calibri"/>
          <w:i/>
          <w:sz w:val="18"/>
        </w:rPr>
        <w:t>Óp. Cit. </w:t>
      </w:r>
      <w:r>
        <w:rPr>
          <w:rFonts w:ascii="Calibri" w:hAnsi="Calibri"/>
          <w:sz w:val="18"/>
        </w:rPr>
        <w:t>p. 15</w:t>
      </w:r>
    </w:p>
    <w:p>
      <w:pPr>
        <w:spacing w:line="220" w:lineRule="exact" w:before="11"/>
        <w:ind w:left="264" w:right="216" w:firstLine="0"/>
        <w:jc w:val="both"/>
        <w:rPr>
          <w:rFonts w:ascii="Calibri" w:hAnsi="Calibri"/>
          <w:sz w:val="18"/>
        </w:rPr>
      </w:pPr>
      <w:r>
        <w:rPr>
          <w:position w:val="9"/>
          <w:sz w:val="12"/>
        </w:rPr>
        <w:t>148 </w:t>
      </w:r>
      <w:r>
        <w:rPr>
          <w:rFonts w:ascii="Calibri" w:hAnsi="Calibri"/>
          <w:sz w:val="18"/>
        </w:rPr>
        <w:t>INTELSAT es el mayor proveedor de servicios de comunicaciones por satélite del mundo. Su sistema global de satélites lleva telefonía, televisión, y servicios de distribución de datos a billones de personas en todos los continentes. INTELSAT fue la primera, y sigue siendo la única organización que proporciona una extensa cobertura global de satélites  y conectividad para un amplio abanico de servicios de telecomunicaciones. Véase: INTELSAT, [en línea], consulta 03/09/2012, disponible en:</w:t>
      </w:r>
      <w:r>
        <w:rPr>
          <w:rFonts w:ascii="Calibri" w:hAnsi="Calibri"/>
          <w:spacing w:val="10"/>
          <w:sz w:val="18"/>
        </w:rPr>
        <w:t> </w:t>
      </w:r>
      <w:hyperlink r:id="rId68">
        <w:r>
          <w:rPr>
            <w:rFonts w:ascii="Calibri" w:hAnsi="Calibri"/>
            <w:color w:val="0000FF"/>
            <w:sz w:val="18"/>
            <w:u w:val="single" w:color="0000FF"/>
          </w:rPr>
          <w:t>http://www.upv.es/satelite/trabajos/pract_8/intelsat/intro.htm</w:t>
        </w:r>
        <w:r>
          <w:rPr>
            <w:rFonts w:ascii="Calibri" w:hAnsi="Calibri"/>
            <w:sz w:val="18"/>
          </w:rPr>
          <w:t>.</w:t>
        </w:r>
      </w:hyperlink>
    </w:p>
    <w:p>
      <w:pPr>
        <w:spacing w:after="0" w:line="220" w:lineRule="exact"/>
        <w:jc w:val="both"/>
        <w:rPr>
          <w:rFonts w:ascii="Calibri" w:hAnsi="Calibri"/>
          <w:sz w:val="18"/>
        </w:rPr>
        <w:sectPr>
          <w:footerReference w:type="default" r:id="rId67"/>
          <w:pgSz w:w="12240" w:h="15840"/>
          <w:pgMar w:footer="1096" w:header="0" w:top="520" w:bottom="128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76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28" w:lineRule="auto" w:before="70"/>
        <w:ind w:left="684" w:right="114"/>
        <w:rPr>
          <w:sz w:val="16"/>
        </w:rPr>
      </w:pPr>
      <w:r>
        <w:rPr/>
        <w:t>ofrecer servicios de telecomunicaciones a todo el territorio nacional y a 23 países del continente americano.</w:t>
      </w:r>
      <w:r>
        <w:rPr>
          <w:position w:val="11"/>
          <w:sz w:val="16"/>
        </w:rPr>
        <w:t>150</w:t>
      </w:r>
    </w:p>
    <w:p>
      <w:pPr>
        <w:pStyle w:val="BodyText"/>
        <w:spacing w:line="360" w:lineRule="auto" w:before="27"/>
        <w:ind w:left="684" w:right="114" w:firstLine="404"/>
        <w:jc w:val="both"/>
      </w:pPr>
      <w:r>
        <w:rPr/>
        <w:t>La empresa productora de programación por televisión Televisa ha dado la pauta para una organización eficaz y organizada de este medio. Desde enero de 1991 reestructuró su organización interna al renunciar a sus cargos dos socios fundadores: Miguel Alemán y Rómulo O'Farril. Posteriormente Emilio Azcárraga, de sus fundadores, será quien ocupe la presidencia de dicho grupo y hasta la fecha este grupo cuenta con la mayor parte de las</w:t>
      </w:r>
      <w:r>
        <w:rPr>
          <w:spacing w:val="-22"/>
        </w:rPr>
        <w:t> </w:t>
      </w:r>
      <w:r>
        <w:rPr/>
        <w:t>acciones.</w:t>
      </w:r>
    </w:p>
    <w:p>
      <w:pPr>
        <w:pStyle w:val="BodyText"/>
        <w:spacing w:line="360" w:lineRule="auto" w:before="6"/>
        <w:ind w:left="684" w:right="125" w:firstLine="336"/>
        <w:jc w:val="both"/>
      </w:pPr>
      <w:r>
        <w:rPr/>
        <w:t>Es importante señalar que a finales del siglo pasado y durante la primera década del siglo XXI a través de la industria de la Televisión, y de los medios de comunicación masiva, en México, algunos empresarios han obtenido grandes fortunas, que se pueden comparar con las más grandes del mundo.</w:t>
      </w:r>
    </w:p>
    <w:p>
      <w:pPr>
        <w:pStyle w:val="BodyText"/>
        <w:spacing w:line="360" w:lineRule="auto" w:before="5"/>
        <w:ind w:left="684" w:right="115" w:firstLine="404"/>
        <w:jc w:val="both"/>
      </w:pPr>
      <w:r>
        <w:rPr/>
        <w:t>Su acción se ha extendido a otros ámbitos de la industria del entretenimiento como son la producción de video, con Grupo Video, que dejó de ser filial de Televisa en enero de 1991 y se convirtió en una empresa donde el mismo Azcárraga es accionista mayoritario; asimismo Cablevisión, que fue vendida y recomprada por el mismo consorcio a lo largo de 1991, además del sistema de televisión  de  Alta  Definición.  Es  tal  su  presencia  en  el  mundo  de  la   </w:t>
      </w:r>
      <w:r>
        <w:rPr>
          <w:spacing w:val="64"/>
        </w:rPr>
        <w:t> </w:t>
      </w:r>
      <w:r>
        <w:rPr/>
        <w:t>Bolsa</w:t>
      </w:r>
    </w:p>
    <w:p>
      <w:pPr>
        <w:pStyle w:val="BodyText"/>
        <w:spacing w:line="328" w:lineRule="auto" w:before="6"/>
        <w:ind w:left="684" w:right="114"/>
        <w:rPr>
          <w:sz w:val="16"/>
        </w:rPr>
      </w:pPr>
      <w:r>
        <w:rPr/>
        <w:t>Internacional que esta asociación ha colocado acciones de la empresa en la Bolsa Mexicana de Valores y en las bolsas de Nueva York, Tokio y Europa. </w:t>
      </w:r>
      <w:r>
        <w:rPr>
          <w:position w:val="11"/>
          <w:sz w:val="16"/>
        </w:rPr>
        <w:t>151</w:t>
      </w:r>
    </w:p>
    <w:p>
      <w:pPr>
        <w:pStyle w:val="BodyText"/>
        <w:spacing w:line="350" w:lineRule="auto" w:before="27"/>
        <w:ind w:left="684" w:right="114" w:firstLine="336"/>
        <w:jc w:val="both"/>
      </w:pPr>
      <w:r>
        <w:rPr/>
        <w:t>Ahora bien, el impacto que la televisión tiene en la sociedad mexicana desde  las últimas década del siglo pasado hasta nuestros días, se demuestra en algunos datos estadísticos derivados de su uso, por ejemplo: el promedio de viviendas del país que cuentan con televisión es,  de 91%  </w:t>
      </w:r>
      <w:r>
        <w:rPr>
          <w:position w:val="11"/>
          <w:sz w:val="16"/>
        </w:rPr>
        <w:t>152  </w:t>
      </w:r>
      <w:r>
        <w:rPr/>
        <w:t>lo que significa  un   </w:t>
      </w:r>
      <w:r>
        <w:rPr>
          <w:spacing w:val="58"/>
        </w:rPr>
        <w:t> </w:t>
      </w:r>
      <w:r>
        <w:rPr/>
        <w:t>campo  muy</w:t>
      </w:r>
    </w:p>
    <w:p>
      <w:pPr>
        <w:pStyle w:val="BodyText"/>
        <w:spacing w:line="357" w:lineRule="auto"/>
        <w:ind w:left="684" w:right="114"/>
      </w:pPr>
      <w:r>
        <w:rPr/>
        <w:t>disputado por las empresas televisivas, por la posibilidad de expansión de sus mercados y el uso con fines políticos.</w:t>
      </w:r>
    </w:p>
    <w:p>
      <w:pPr>
        <w:pStyle w:val="BodyText"/>
        <w:rPr>
          <w:sz w:val="20"/>
        </w:rPr>
      </w:pP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4744;mso-wrap-distance-left:0;mso-wrap-distance-right:0" from="99.224998pt,19.120903pt" to="243.274998pt,19.120903pt" stroked="true" strokeweight=".599980pt" strokecolor="#000000">
            <w10:wrap type="topAndBottom"/>
          </v:line>
        </w:pict>
      </w:r>
    </w:p>
    <w:p>
      <w:pPr>
        <w:spacing w:line="254" w:lineRule="auto" w:before="48"/>
        <w:ind w:left="684" w:right="123" w:firstLine="0"/>
        <w:jc w:val="left"/>
        <w:rPr>
          <w:rFonts w:ascii="Calibri" w:hAnsi="Calibri"/>
          <w:sz w:val="18"/>
        </w:rPr>
      </w:pPr>
      <w:r>
        <w:rPr>
          <w:rFonts w:ascii="Calibri" w:hAnsi="Calibri"/>
          <w:position w:val="11"/>
          <w:sz w:val="16"/>
        </w:rPr>
        <w:t>150 </w:t>
      </w:r>
      <w:r>
        <w:rPr>
          <w:rFonts w:ascii="Calibri" w:hAnsi="Calibri"/>
          <w:sz w:val="18"/>
        </w:rPr>
        <w:t>RADIO, prensa y televisión, “Historia de la televisión de México”, [en línea], Consultada 25/10/2008, disponible en: </w:t>
      </w:r>
      <w:hyperlink r:id="rId70">
        <w:r>
          <w:rPr>
            <w:rFonts w:ascii="Calibri" w:hAnsi="Calibri"/>
            <w:color w:val="0000FF"/>
            <w:sz w:val="18"/>
            <w:u w:val="single" w:color="0000FF"/>
          </w:rPr>
          <w:t>http://radioprensaytelevision.blogspot.mx/2011/05/cronologia-de-la-historia-de-la-tv-en_1768.html</w:t>
        </w:r>
        <w:r>
          <w:rPr>
            <w:rFonts w:ascii="Calibri" w:hAnsi="Calibri"/>
            <w:sz w:val="18"/>
          </w:rPr>
          <w:t>.</w:t>
        </w:r>
      </w:hyperlink>
    </w:p>
    <w:p>
      <w:pPr>
        <w:spacing w:line="191" w:lineRule="exact" w:before="0"/>
        <w:ind w:left="684" w:right="114" w:firstLine="0"/>
        <w:jc w:val="left"/>
        <w:rPr>
          <w:rFonts w:ascii="Calibri" w:hAnsi="Calibri"/>
          <w:i/>
          <w:sz w:val="18"/>
        </w:rPr>
      </w:pPr>
      <w:r>
        <w:rPr>
          <w:rFonts w:ascii="Calibri" w:hAnsi="Calibri"/>
          <w:position w:val="9"/>
          <w:sz w:val="12"/>
        </w:rPr>
        <w:t>151  </w:t>
      </w:r>
      <w:r>
        <w:rPr>
          <w:rFonts w:ascii="Calibri" w:hAnsi="Calibri"/>
          <w:i/>
          <w:sz w:val="18"/>
        </w:rPr>
        <w:t>Ídem.</w:t>
      </w:r>
    </w:p>
    <w:p>
      <w:pPr>
        <w:tabs>
          <w:tab w:pos="2139" w:val="left" w:leader="none"/>
        </w:tabs>
        <w:spacing w:line="220" w:lineRule="exact" w:before="12"/>
        <w:ind w:left="684" w:right="120" w:firstLine="0"/>
        <w:jc w:val="left"/>
        <w:rPr>
          <w:rFonts w:ascii="Calibri" w:hAnsi="Calibri"/>
          <w:sz w:val="18"/>
        </w:rPr>
      </w:pPr>
      <w:r>
        <w:rPr>
          <w:rFonts w:ascii="Calibri" w:hAnsi="Calibri"/>
          <w:position w:val="9"/>
          <w:sz w:val="12"/>
        </w:rPr>
        <w:t>152  </w:t>
      </w:r>
      <w:r>
        <w:rPr>
          <w:rFonts w:ascii="Calibri" w:hAnsi="Calibri"/>
          <w:spacing w:val="24"/>
          <w:position w:val="9"/>
          <w:sz w:val="12"/>
        </w:rPr>
        <w:t> </w:t>
      </w:r>
      <w:r>
        <w:rPr>
          <w:rFonts w:ascii="Calibri" w:hAnsi="Calibri"/>
          <w:sz w:val="18"/>
        </w:rPr>
        <w:t>NUMERALIA,</w:t>
        <w:tab/>
        <w:t>Fundación  Preciado,   “Televisión  en  México”,  [en  línea]  consulta  02/05/2012,     </w:t>
      </w:r>
      <w:r>
        <w:rPr>
          <w:rFonts w:ascii="Calibri" w:hAnsi="Calibri"/>
          <w:spacing w:val="40"/>
          <w:sz w:val="18"/>
        </w:rPr>
        <w:t> </w:t>
      </w:r>
      <w:r>
        <w:rPr>
          <w:rFonts w:ascii="Calibri" w:hAnsi="Calibri"/>
          <w:sz w:val="18"/>
        </w:rPr>
        <w:t>disponible </w:t>
      </w:r>
      <w:r>
        <w:rPr>
          <w:rFonts w:ascii="Calibri" w:hAnsi="Calibri"/>
          <w:spacing w:val="25"/>
          <w:sz w:val="18"/>
        </w:rPr>
        <w:t> </w:t>
      </w:r>
      <w:r>
        <w:rPr>
          <w:rFonts w:ascii="Calibri" w:hAnsi="Calibri"/>
          <w:sz w:val="18"/>
        </w:rPr>
        <w:t>en:</w:t>
      </w:r>
      <w:hyperlink r:id="rId23">
        <w:r>
          <w:rPr>
            <w:rFonts w:ascii="Calibri" w:hAnsi="Calibri"/>
            <w:sz w:val="18"/>
          </w:rPr>
          <w:t> http://www.fundacionpreciado.org.mx/biencomun/bc170/Numeralia.pdf</w:t>
        </w:r>
      </w:hyperlink>
    </w:p>
    <w:p>
      <w:pPr>
        <w:spacing w:after="0" w:line="220" w:lineRule="exact"/>
        <w:jc w:val="left"/>
        <w:rPr>
          <w:rFonts w:ascii="Calibri" w:hAnsi="Calibri"/>
          <w:sz w:val="18"/>
        </w:rPr>
        <w:sectPr>
          <w:footerReference w:type="default" r:id="rId69"/>
          <w:pgSz w:w="12240" w:h="15840"/>
          <w:pgMar w:footer="876" w:header="0" w:top="520" w:bottom="1060" w:left="1300" w:right="1300"/>
          <w:pgNumType w:start="79"/>
        </w:sectPr>
      </w:pPr>
    </w:p>
    <w:p>
      <w:pPr>
        <w:pStyle w:val="Heading3"/>
      </w:pPr>
      <w:r>
        <w:rPr/>
        <w:pict>
          <v:line style="position:absolute;mso-position-horizontal-relative:page;mso-position-vertical-relative:paragraph;z-index:481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2"/>
        </w:rPr>
      </w:pPr>
    </w:p>
    <w:p>
      <w:pPr>
        <w:pStyle w:val="BodyText"/>
        <w:spacing w:line="352" w:lineRule="auto" w:before="82"/>
        <w:ind w:left="264" w:right="217" w:firstLine="271"/>
        <w:jc w:val="both"/>
        <w:rPr>
          <w:sz w:val="16"/>
        </w:rPr>
      </w:pPr>
      <w:r>
        <w:rPr/>
        <w:t>La encuesta aplicada por Fundación Preciado publicada en Numeralia</w:t>
      </w:r>
      <w:r>
        <w:rPr>
          <w:position w:val="11"/>
          <w:sz w:val="16"/>
        </w:rPr>
        <w:t>153 </w:t>
      </w:r>
      <w:r>
        <w:rPr/>
        <w:t>reflejó que “el equipamiento de los hogares muestra también la gran penetración de las industrias culturales: 97.9% de los entrevistados tiene televisión en casa, y de  ellos 37.2% responde tener dos o más aparatos; 95.8% tiene aparato de radio, y de ellos 25% comenta tener dos o</w:t>
      </w:r>
      <w:r>
        <w:rPr>
          <w:spacing w:val="-15"/>
        </w:rPr>
        <w:t> </w:t>
      </w:r>
      <w:r>
        <w:rPr/>
        <w:t>más”.</w:t>
      </w:r>
      <w:r>
        <w:rPr>
          <w:position w:val="11"/>
          <w:sz w:val="16"/>
        </w:rPr>
        <w:t>154</w:t>
      </w:r>
    </w:p>
    <w:p>
      <w:pPr>
        <w:pStyle w:val="BodyText"/>
        <w:spacing w:line="360" w:lineRule="auto"/>
        <w:ind w:left="264" w:right="220" w:firstLine="336"/>
        <w:jc w:val="both"/>
      </w:pPr>
      <w:r>
        <w:rPr/>
        <w:t>En relación a los hábitos de consumo televisivo la encuesta reveló los siguientes resultados: 95.5% de los entrevistados de 15 años o más manifiesta que acostumbra ver televisión. La mayoría de la población (48.9%) ve televisión</w:t>
      </w:r>
      <w:r>
        <w:rPr>
          <w:spacing w:val="-36"/>
        </w:rPr>
        <w:t> </w:t>
      </w:r>
      <w:r>
        <w:rPr/>
        <w:t>de</w:t>
      </w:r>
    </w:p>
    <w:p>
      <w:pPr>
        <w:pStyle w:val="BodyText"/>
        <w:spacing w:line="328" w:lineRule="auto" w:before="6"/>
        <w:ind w:left="264" w:right="210"/>
        <w:rPr>
          <w:sz w:val="16"/>
        </w:rPr>
      </w:pPr>
      <w:r>
        <w:rPr/>
        <w:t>dos a cuatro horas diarias, alrededor de uno de cada cuatro (26.8%) lo hace más de cuatro horas y uno de cada cinco (19.8%) menos de dos horas diarias. </w:t>
      </w:r>
      <w:r>
        <w:rPr>
          <w:position w:val="11"/>
          <w:sz w:val="16"/>
        </w:rPr>
        <w:t>155</w:t>
      </w:r>
    </w:p>
    <w:p>
      <w:pPr>
        <w:pStyle w:val="BodyText"/>
        <w:spacing w:line="360" w:lineRule="auto" w:before="27"/>
        <w:ind w:left="264" w:right="222" w:firstLine="336"/>
        <w:jc w:val="both"/>
      </w:pPr>
      <w:r>
        <w:rPr/>
        <w:t>Aunque no hay diferencias importantes entre hombres y mujeres en el hábito  de ver televisión, los resultados sugieren que en promedio las mujeres dedican </w:t>
      </w:r>
      <w:r>
        <w:rPr>
          <w:spacing w:val="-2"/>
        </w:rPr>
        <w:t>más </w:t>
      </w:r>
      <w:r>
        <w:rPr/>
        <w:t>tiempo al televisor: 29.8% lo hace cuatro o </w:t>
      </w:r>
      <w:r>
        <w:rPr>
          <w:spacing w:val="-2"/>
        </w:rPr>
        <w:t>más </w:t>
      </w:r>
      <w:r>
        <w:rPr/>
        <w:t>horas al día, en tanto que entre los hombres la proporción es de</w:t>
      </w:r>
      <w:r>
        <w:rPr>
          <w:spacing w:val="-24"/>
        </w:rPr>
        <w:t> </w:t>
      </w:r>
      <w:r>
        <w:rPr/>
        <w:t>23.4%.</w:t>
      </w:r>
    </w:p>
    <w:p>
      <w:pPr>
        <w:pStyle w:val="BodyText"/>
      </w:pPr>
    </w:p>
    <w:p>
      <w:pPr>
        <w:pStyle w:val="ListParagraph"/>
        <w:numPr>
          <w:ilvl w:val="0"/>
          <w:numId w:val="5"/>
        </w:numPr>
        <w:tabs>
          <w:tab w:pos="1169" w:val="left" w:leader="none"/>
        </w:tabs>
        <w:spacing w:line="240" w:lineRule="auto" w:before="140" w:after="0"/>
        <w:ind w:left="973" w:right="224" w:firstLine="0"/>
        <w:jc w:val="both"/>
        <w:rPr>
          <w:sz w:val="22"/>
        </w:rPr>
      </w:pPr>
      <w:r>
        <w:rPr>
          <w:sz w:val="22"/>
        </w:rPr>
        <w:t>Por grupos de edad no se presentan diferencias marcadas en </w:t>
      </w:r>
      <w:r>
        <w:rPr>
          <w:spacing w:val="-3"/>
          <w:sz w:val="22"/>
        </w:rPr>
        <w:t>la </w:t>
      </w:r>
      <w:r>
        <w:rPr>
          <w:sz w:val="22"/>
        </w:rPr>
        <w:t>proporción que ve televisión, con excepción de los mayores de 55 años que tienen el nivel más bajo (89.8%). Los jóvenes de 15 a 22 años tienen cifras más altas que el promedio en los grupos que ven más de cuatro horas de</w:t>
      </w:r>
      <w:r>
        <w:rPr>
          <w:spacing w:val="-26"/>
          <w:sz w:val="22"/>
        </w:rPr>
        <w:t> </w:t>
      </w:r>
      <w:r>
        <w:rPr>
          <w:sz w:val="22"/>
        </w:rPr>
        <w:t>televisión.</w:t>
      </w:r>
    </w:p>
    <w:p>
      <w:pPr>
        <w:pStyle w:val="ListParagraph"/>
        <w:numPr>
          <w:ilvl w:val="0"/>
          <w:numId w:val="5"/>
        </w:numPr>
        <w:tabs>
          <w:tab w:pos="1209" w:val="left" w:leader="none"/>
        </w:tabs>
        <w:spacing w:line="240" w:lineRule="auto" w:before="0" w:after="0"/>
        <w:ind w:left="973" w:right="214" w:firstLine="0"/>
        <w:jc w:val="both"/>
        <w:rPr>
          <w:sz w:val="22"/>
        </w:rPr>
      </w:pPr>
      <w:r>
        <w:rPr>
          <w:sz w:val="22"/>
        </w:rPr>
        <w:t>Si bien las personas de menor escolaridad tienen niveles más bajos de ver televisión (81.2%), al analizar los tiempos que cada grupo </w:t>
      </w:r>
      <w:r>
        <w:rPr>
          <w:spacing w:val="-3"/>
          <w:sz w:val="22"/>
        </w:rPr>
        <w:t>le </w:t>
      </w:r>
      <w:r>
        <w:rPr>
          <w:sz w:val="22"/>
        </w:rPr>
        <w:t>dedica se aprecia que entre </w:t>
      </w:r>
      <w:r>
        <w:rPr>
          <w:spacing w:val="-3"/>
          <w:sz w:val="22"/>
        </w:rPr>
        <w:t>la </w:t>
      </w:r>
      <w:r>
        <w:rPr>
          <w:sz w:val="22"/>
        </w:rPr>
        <w:t>población con educación universitaria se da </w:t>
      </w:r>
      <w:r>
        <w:rPr>
          <w:spacing w:val="-3"/>
          <w:sz w:val="22"/>
        </w:rPr>
        <w:t>la </w:t>
      </w:r>
      <w:r>
        <w:rPr>
          <w:sz w:val="22"/>
        </w:rPr>
        <w:t>proporción más baja (20.9%) de quienes ven televisión cuatro horas o</w:t>
      </w:r>
      <w:r>
        <w:rPr>
          <w:spacing w:val="-23"/>
          <w:sz w:val="22"/>
        </w:rPr>
        <w:t> </w:t>
      </w:r>
      <w:r>
        <w:rPr>
          <w:sz w:val="22"/>
        </w:rPr>
        <w:t>más.</w:t>
      </w:r>
    </w:p>
    <w:p>
      <w:pPr>
        <w:spacing w:line="240" w:lineRule="auto" w:before="0"/>
        <w:ind w:left="973" w:right="220" w:firstLine="0"/>
        <w:jc w:val="both"/>
        <w:rPr>
          <w:sz w:val="22"/>
        </w:rPr>
      </w:pPr>
      <w:r>
        <w:rPr>
          <w:sz w:val="22"/>
        </w:rPr>
        <w:t>–– Por ingresos tampoco se detectan grandes diferencias en los porcentajes de quienes ven y no ven televisión, con excepción de quienes reciben hasta un salario mínimo, que tienen el nivel más bajo (90.5%). Las proporciones más altas de quienes ven cuatro horas o más se dan entre quienes reciben de tres a cinco salarios mínimos, con 30.4%, y de uno a tres salarios mínimos, con 29.1%.</w:t>
      </w:r>
    </w:p>
    <w:p>
      <w:pPr>
        <w:spacing w:line="240" w:lineRule="auto" w:before="0"/>
        <w:ind w:left="973" w:right="215" w:firstLine="0"/>
        <w:jc w:val="both"/>
        <w:rPr>
          <w:sz w:val="22"/>
        </w:rPr>
      </w:pPr>
      <w:r>
        <w:rPr>
          <w:sz w:val="22"/>
        </w:rPr>
        <w:t>–– Por ocupación, los estudiantes tienen los niveles más altos de consumo televisivo (98.4%), aunque las diferencias no son muy marcadas entre los grupos. La proporción más alta de quienes ven cuatro horas o más se da entre las amas  de casa (34.0%) y los estudiantes</w:t>
      </w:r>
      <w:r>
        <w:rPr>
          <w:spacing w:val="-25"/>
          <w:sz w:val="22"/>
        </w:rPr>
        <w:t> </w:t>
      </w:r>
      <w:r>
        <w:rPr>
          <w:sz w:val="22"/>
        </w:rPr>
        <w:t>(33.3%).</w:t>
      </w:r>
    </w:p>
    <w:p>
      <w:pPr>
        <w:spacing w:line="235" w:lineRule="auto" w:before="3"/>
        <w:ind w:left="973" w:right="215" w:firstLine="0"/>
        <w:jc w:val="both"/>
        <w:rPr>
          <w:sz w:val="14"/>
        </w:rPr>
      </w:pPr>
      <w:r>
        <w:rPr>
          <w:sz w:val="22"/>
        </w:rPr>
        <w:t>–– Las diferencias por región, municipio o ciudad de quienes ven y quienes no ven televisión no son muy marcadas. Los valores más altos de quienes ven cuatro o más horas los tienen el centro–occidente entre las regiones (29.8%), los  municipios entre 50 mil y 100 mil habitantes (29.4%) y el Distrito Federal (33.4%) entre las tres ciudades más grandes del</w:t>
      </w:r>
      <w:r>
        <w:rPr>
          <w:spacing w:val="-26"/>
          <w:sz w:val="22"/>
        </w:rPr>
        <w:t> </w:t>
      </w:r>
      <w:r>
        <w:rPr>
          <w:sz w:val="22"/>
        </w:rPr>
        <w:t>país.</w:t>
      </w:r>
      <w:r>
        <w:rPr>
          <w:position w:val="10"/>
          <w:sz w:val="14"/>
        </w:rPr>
        <w:t>156</w:t>
      </w:r>
    </w:p>
    <w:p>
      <w:pPr>
        <w:pStyle w:val="BodyText"/>
        <w:spacing w:before="4"/>
        <w:rPr>
          <w:sz w:val="18"/>
        </w:rPr>
      </w:pPr>
      <w:r>
        <w:rPr/>
        <w:pict>
          <v:line style="position:absolute;mso-position-horizontal-relative:page;mso-position-vertical-relative:paragraph;z-index:4792;mso-wrap-distance-left:0;mso-wrap-distance-right:0" from="99.224998pt,12.815544pt" to="243.274998pt,12.815544pt" stroked="true" strokeweight=".60004pt" strokecolor="#000000">
            <w10:wrap type="topAndBottom"/>
          </v:line>
        </w:pict>
      </w:r>
    </w:p>
    <w:p>
      <w:pPr>
        <w:spacing w:line="236" w:lineRule="exact" w:before="46"/>
        <w:ind w:left="264" w:right="0" w:firstLine="0"/>
        <w:jc w:val="left"/>
        <w:rPr>
          <w:rFonts w:ascii="Calibri" w:hAnsi="Calibri"/>
          <w:i/>
          <w:sz w:val="18"/>
        </w:rPr>
      </w:pPr>
      <w:r>
        <w:rPr>
          <w:rFonts w:ascii="Calibri" w:hAnsi="Calibri"/>
          <w:position w:val="9"/>
          <w:sz w:val="12"/>
        </w:rPr>
        <w:t>153 </w:t>
      </w:r>
      <w:r>
        <w:rPr>
          <w:rFonts w:ascii="Calibri" w:hAnsi="Calibri"/>
          <w:i/>
          <w:sz w:val="18"/>
        </w:rPr>
        <w:t>Ídem.</w:t>
      </w:r>
    </w:p>
    <w:p>
      <w:pPr>
        <w:spacing w:line="220" w:lineRule="exact" w:before="0"/>
        <w:ind w:left="264" w:right="0" w:firstLine="0"/>
        <w:jc w:val="left"/>
        <w:rPr>
          <w:rFonts w:ascii="Calibri" w:hAnsi="Calibri"/>
          <w:i/>
          <w:sz w:val="18"/>
        </w:rPr>
      </w:pPr>
      <w:r>
        <w:rPr>
          <w:rFonts w:ascii="Calibri" w:hAnsi="Calibri"/>
          <w:position w:val="9"/>
          <w:sz w:val="12"/>
        </w:rPr>
        <w:t>154 </w:t>
      </w:r>
      <w:r>
        <w:rPr>
          <w:rFonts w:ascii="Calibri" w:hAnsi="Calibri"/>
          <w:i/>
          <w:sz w:val="18"/>
        </w:rPr>
        <w:t>Ídem.</w:t>
      </w:r>
    </w:p>
    <w:p>
      <w:pPr>
        <w:spacing w:line="220" w:lineRule="exact" w:before="0"/>
        <w:ind w:left="264" w:right="0" w:firstLine="0"/>
        <w:jc w:val="left"/>
        <w:rPr>
          <w:rFonts w:ascii="Calibri" w:hAnsi="Calibri"/>
          <w:i/>
          <w:sz w:val="18"/>
        </w:rPr>
      </w:pPr>
      <w:r>
        <w:rPr>
          <w:rFonts w:ascii="Calibri" w:hAnsi="Calibri"/>
          <w:position w:val="9"/>
          <w:sz w:val="12"/>
        </w:rPr>
        <w:t>155 </w:t>
      </w:r>
      <w:r>
        <w:rPr>
          <w:rFonts w:ascii="Calibri" w:hAnsi="Calibri"/>
          <w:i/>
          <w:sz w:val="18"/>
        </w:rPr>
        <w:t>Ídem.</w:t>
      </w:r>
    </w:p>
    <w:p>
      <w:pPr>
        <w:spacing w:line="236" w:lineRule="exact" w:before="0"/>
        <w:ind w:left="264" w:right="0" w:firstLine="0"/>
        <w:jc w:val="left"/>
        <w:rPr>
          <w:rFonts w:ascii="Calibri" w:hAnsi="Calibri"/>
          <w:i/>
          <w:sz w:val="18"/>
        </w:rPr>
      </w:pPr>
      <w:r>
        <w:rPr>
          <w:rFonts w:ascii="Calibri" w:hAnsi="Calibri"/>
          <w:position w:val="9"/>
          <w:sz w:val="12"/>
        </w:rPr>
        <w:t>156 </w:t>
      </w:r>
      <w:r>
        <w:rPr>
          <w:rFonts w:ascii="Calibri" w:hAnsi="Calibri"/>
          <w:i/>
          <w:sz w:val="18"/>
        </w:rPr>
        <w:t>Ídem.</w:t>
      </w:r>
    </w:p>
    <w:p>
      <w:pPr>
        <w:spacing w:after="0" w:line="236"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86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line="345" w:lineRule="auto" w:before="228"/>
        <w:ind w:left="684" w:right="127" w:firstLine="267"/>
        <w:jc w:val="both"/>
        <w:rPr>
          <w:sz w:val="16"/>
        </w:rPr>
      </w:pPr>
      <w:r>
        <w:rPr/>
        <w:t>Otro dato interesante es que dos terceras partes de quienes encienden el televisor (68.7%) lo hacen para ver un programa que les gusta; 28.4% sólo para ver qué están pasando y 2.9% para sentirse acompañado.</w:t>
      </w:r>
      <w:r>
        <w:rPr>
          <w:position w:val="11"/>
          <w:sz w:val="16"/>
        </w:rPr>
        <w:t>157</w:t>
      </w:r>
    </w:p>
    <w:p>
      <w:pPr>
        <w:pStyle w:val="BodyText"/>
        <w:spacing w:before="11"/>
        <w:rPr>
          <w:sz w:val="35"/>
        </w:rPr>
      </w:pPr>
    </w:p>
    <w:p>
      <w:pPr>
        <w:pStyle w:val="Heading3"/>
        <w:numPr>
          <w:ilvl w:val="1"/>
          <w:numId w:val="3"/>
        </w:numPr>
        <w:tabs>
          <w:tab w:pos="968" w:val="left" w:leader="none"/>
        </w:tabs>
        <w:spacing w:line="240" w:lineRule="auto" w:before="0" w:after="0"/>
        <w:ind w:left="967" w:right="0" w:hanging="283"/>
        <w:jc w:val="both"/>
        <w:rPr>
          <w:rFonts w:ascii="Arial" w:hAnsi="Arial"/>
        </w:rPr>
      </w:pPr>
      <w:r>
        <w:rPr>
          <w:rFonts w:ascii="Arial" w:hAnsi="Arial"/>
        </w:rPr>
        <w:t>Contenidos de la programación abierta de la</w:t>
      </w:r>
      <w:r>
        <w:rPr>
          <w:rFonts w:ascii="Arial" w:hAnsi="Arial"/>
          <w:spacing w:val="-18"/>
        </w:rPr>
        <w:t> </w:t>
      </w:r>
      <w:r>
        <w:rPr>
          <w:rFonts w:ascii="Arial" w:hAnsi="Arial"/>
        </w:rPr>
        <w:t>televisión</w:t>
      </w:r>
    </w:p>
    <w:p>
      <w:pPr>
        <w:pStyle w:val="BodyText"/>
        <w:rPr>
          <w:b/>
        </w:rPr>
      </w:pPr>
    </w:p>
    <w:p>
      <w:pPr>
        <w:pStyle w:val="BodyText"/>
        <w:spacing w:before="4"/>
        <w:rPr>
          <w:b/>
        </w:rPr>
      </w:pPr>
    </w:p>
    <w:p>
      <w:pPr>
        <w:pStyle w:val="BodyText"/>
        <w:spacing w:line="360" w:lineRule="auto"/>
        <w:ind w:left="684" w:right="110" w:firstLine="336"/>
        <w:jc w:val="both"/>
      </w:pPr>
      <w:r>
        <w:rPr/>
        <w:t>Una gran parte de la población mexicana y hondureña utiliza la televisión como el medio preferente de recreación e información. Su accesibilidad la sitúa en el medio por excelencia para la diversión y catarsis de la sociedad, pero, la  capacidad de los sujetos culturales en cuanto receptores del mensaje televisivo se ve acosada por la tecnología del medio que se introduce en el pensamiento y el diario acontecer de los usuarios; y en tanto que transmisor de mensajes  subjetivos, el sistema televisivo, presenta una simulación de realidad que</w:t>
      </w:r>
      <w:r>
        <w:rPr>
          <w:spacing w:val="53"/>
        </w:rPr>
        <w:t> </w:t>
      </w:r>
      <w:r>
        <w:rPr/>
        <w:t>deforma</w:t>
      </w:r>
    </w:p>
    <w:p>
      <w:pPr>
        <w:pStyle w:val="BodyText"/>
        <w:spacing w:line="345" w:lineRule="auto" w:before="6"/>
        <w:ind w:left="684" w:right="121"/>
        <w:jc w:val="both"/>
      </w:pPr>
      <w:r>
        <w:rPr/>
        <w:t>la conceptualización del televidente. A ese respecto Florence Toussaint, en su obra </w:t>
      </w:r>
      <w:r>
        <w:rPr>
          <w:i/>
        </w:rPr>
        <w:t>Televisión sin fronteras</w:t>
      </w:r>
      <w:r>
        <w:rPr>
          <w:b/>
          <w:position w:val="11"/>
          <w:sz w:val="16"/>
        </w:rPr>
        <w:t>158</w:t>
      </w:r>
      <w:r>
        <w:rPr/>
        <w:t>, nos advierte que la televisión es el instrumento que da soporte al fenómeno llamado globalización, al promover por medio de  </w:t>
      </w:r>
      <w:r>
        <w:rPr>
          <w:spacing w:val="5"/>
        </w:rPr>
        <w:t> </w:t>
      </w:r>
      <w:r>
        <w:rPr/>
        <w:t>ella</w:t>
      </w:r>
    </w:p>
    <w:p>
      <w:pPr>
        <w:pStyle w:val="BodyText"/>
        <w:spacing w:line="360" w:lineRule="auto" w:before="18"/>
        <w:ind w:left="684" w:right="118"/>
        <w:jc w:val="both"/>
      </w:pPr>
      <w:r>
        <w:rPr/>
        <w:t>sus necesidades, su ideología, sus intereses de una manera tácita, sin violencia, con una gran habilidad por medio de lo que llama: la industria del entretenimiento, que eficientemente aglomera a los diferentes estratos sociales en torno a formatos que se adaptan a la naturaleza humana, unificando intereses donde no los hay, provocando emociones que encantan y promueven ambiciones que en la mayoría de los casos son difíciles de alcanzar.</w:t>
      </w:r>
    </w:p>
    <w:p>
      <w:pPr>
        <w:pStyle w:val="BodyText"/>
        <w:spacing w:line="360" w:lineRule="auto" w:before="2"/>
        <w:ind w:left="684" w:right="110" w:firstLine="404"/>
        <w:jc w:val="both"/>
      </w:pPr>
      <w:r>
        <w:rPr/>
        <w:t>La televisión provee a su audiencia de temas de conversación, de pensamiento y preocupación, de eventos recreativos, inclusive establece la agenda de opinión nacional, precedidos de los intereses </w:t>
      </w:r>
      <w:r>
        <w:rPr>
          <w:spacing w:val="2"/>
        </w:rPr>
        <w:t>del </w:t>
      </w:r>
      <w:r>
        <w:rPr/>
        <w:t>sistema que llevan a los tele-videntes a ocuparse de los intereses del mismo, en detrimento de asuntos de interés social más</w:t>
      </w:r>
      <w:r>
        <w:rPr>
          <w:spacing w:val="-21"/>
        </w:rPr>
        <w:t> </w:t>
      </w:r>
      <w:r>
        <w:rPr/>
        <w:t>relevantes.</w:t>
      </w:r>
    </w:p>
    <w:p>
      <w:pPr>
        <w:pStyle w:val="BodyText"/>
        <w:spacing w:line="357" w:lineRule="auto" w:before="6"/>
        <w:ind w:left="684" w:right="117" w:firstLine="336"/>
        <w:jc w:val="both"/>
      </w:pPr>
      <w:r>
        <w:rPr/>
        <w:t>Su contenido mediático provoca formas de pensar, estructura patrones de interpretación de la realidad, por ejemplo al observar un evento deportivo   (partido</w:t>
      </w:r>
    </w:p>
    <w:p>
      <w:pPr>
        <w:pStyle w:val="BodyText"/>
        <w:spacing w:before="10"/>
        <w:rPr>
          <w:sz w:val="8"/>
        </w:rPr>
      </w:pPr>
      <w:r>
        <w:rPr/>
        <w:pict>
          <v:line style="position:absolute;mso-position-horizontal-relative:page;mso-position-vertical-relative:paragraph;z-index:4840;mso-wrap-distance-left:0;mso-wrap-distance-right:0" from="99.224998pt,7.392951pt" to="243.274998pt,7.392951pt" stroked="true" strokeweight=".60004pt" strokecolor="#000000">
            <w10:wrap type="topAndBottom"/>
          </v:line>
        </w:pict>
      </w:r>
    </w:p>
    <w:p>
      <w:pPr>
        <w:spacing w:line="236" w:lineRule="exact" w:before="46"/>
        <w:ind w:left="684" w:right="114" w:firstLine="0"/>
        <w:jc w:val="left"/>
        <w:rPr>
          <w:rFonts w:ascii="Calibri" w:hAnsi="Calibri"/>
          <w:i/>
          <w:sz w:val="18"/>
        </w:rPr>
      </w:pPr>
      <w:r>
        <w:rPr>
          <w:rFonts w:ascii="Calibri" w:hAnsi="Calibri"/>
          <w:position w:val="9"/>
          <w:sz w:val="12"/>
        </w:rPr>
        <w:t>157 </w:t>
      </w:r>
      <w:r>
        <w:rPr>
          <w:rFonts w:ascii="Calibri" w:hAnsi="Calibri"/>
          <w:i/>
          <w:sz w:val="18"/>
        </w:rPr>
        <w:t>Ídem.</w:t>
      </w:r>
    </w:p>
    <w:p>
      <w:pPr>
        <w:spacing w:line="236" w:lineRule="exact" w:before="0"/>
        <w:ind w:left="684" w:right="114" w:firstLine="0"/>
        <w:jc w:val="left"/>
        <w:rPr>
          <w:rFonts w:ascii="Calibri" w:hAnsi="Calibri"/>
          <w:sz w:val="18"/>
        </w:rPr>
      </w:pPr>
      <w:r>
        <w:rPr>
          <w:rFonts w:ascii="Calibri" w:hAnsi="Calibri"/>
          <w:position w:val="9"/>
          <w:sz w:val="12"/>
        </w:rPr>
        <w:t>158    </w:t>
      </w:r>
      <w:r>
        <w:rPr>
          <w:rFonts w:ascii="Calibri" w:hAnsi="Calibri"/>
          <w:sz w:val="18"/>
        </w:rPr>
        <w:t>TOUSSAINT, Florence, </w:t>
      </w:r>
      <w:r>
        <w:rPr>
          <w:rFonts w:ascii="Calibri" w:hAnsi="Calibri"/>
          <w:i/>
          <w:sz w:val="18"/>
        </w:rPr>
        <w:t>Televisión sin fronteras</w:t>
      </w:r>
      <w:r>
        <w:rPr>
          <w:rFonts w:ascii="Calibri" w:hAnsi="Calibri"/>
          <w:sz w:val="18"/>
        </w:rPr>
        <w:t>, Siglo XXI, México, 1998</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488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0"/>
        <w:jc w:val="both"/>
      </w:pPr>
      <w:r>
        <w:rPr/>
        <w:t>de fútbol) el observador (tele-vidente) reacciona como si la práctica deportiva del equipo que se muestra en la televisión fuera la suya, disminuyendo la distancia entre la práctica y la realidad. La imagen televisiva interfiere en la integración de la representación social de los sujetos receptores, asimismo le da coherencia a esa integración social que requiere de esas vivencias para compartir con los demás, pero de una manera alterada. Así, en esa representación distorsionada por la mediación de instrumentos artificiales, el anclaje es deficiente.</w:t>
      </w:r>
    </w:p>
    <w:p>
      <w:pPr>
        <w:pStyle w:val="BodyText"/>
      </w:pPr>
    </w:p>
    <w:p>
      <w:pPr>
        <w:pStyle w:val="BodyText"/>
      </w:pPr>
    </w:p>
    <w:p>
      <w:pPr>
        <w:pStyle w:val="BodyText"/>
        <w:spacing w:before="3"/>
      </w:pPr>
    </w:p>
    <w:p>
      <w:pPr>
        <w:spacing w:line="237" w:lineRule="auto" w:before="0"/>
        <w:ind w:left="973" w:right="213" w:firstLine="0"/>
        <w:jc w:val="both"/>
        <w:rPr>
          <w:sz w:val="14"/>
        </w:rPr>
      </w:pPr>
      <w:r>
        <w:rPr>
          <w:sz w:val="22"/>
        </w:rPr>
        <w:t>Las representaciones sociales son propias de los grupos, en </w:t>
      </w:r>
      <w:r>
        <w:rPr>
          <w:spacing w:val="-3"/>
          <w:sz w:val="22"/>
        </w:rPr>
        <w:t>la </w:t>
      </w:r>
      <w:r>
        <w:rPr>
          <w:sz w:val="22"/>
        </w:rPr>
        <w:t>medida en que son compartidas por (las mentes de) los miembros de grupos sociales (Farr y Moscovici, 1984). Esto significa que es necesario disminuir </w:t>
      </w:r>
      <w:r>
        <w:rPr>
          <w:spacing w:val="-3"/>
          <w:sz w:val="22"/>
        </w:rPr>
        <w:t>la </w:t>
      </w:r>
      <w:r>
        <w:rPr>
          <w:sz w:val="22"/>
        </w:rPr>
        <w:t>distancia entre estas cogniciones sociales y las cogniciones personales (tales como el conocimiento y las experiencias personales) que subyacen al texto y </w:t>
      </w:r>
      <w:r>
        <w:rPr>
          <w:spacing w:val="2"/>
          <w:sz w:val="22"/>
        </w:rPr>
        <w:t>al </w:t>
      </w:r>
      <w:r>
        <w:rPr>
          <w:sz w:val="22"/>
        </w:rPr>
        <w:t>habla individual. A través de otras representaciones sociales, como el conocimiento y las actitudes socioculturales, las ideologías influyen también en el conocimiento específico y en las creencias de los individuos usuarios del lenguaje.  Estas  cogniciones personales representadas en </w:t>
      </w:r>
      <w:r>
        <w:rPr>
          <w:i/>
          <w:sz w:val="22"/>
        </w:rPr>
        <w:t>modelos </w:t>
      </w:r>
      <w:r>
        <w:rPr>
          <w:sz w:val="22"/>
        </w:rPr>
        <w:t>mentales de acontecimientos y situaciones concretos (incluyendo situaciones comunicativas), controlan a su vez al discurso, por ejemplo en el recuento de experiencias personales, o en </w:t>
      </w:r>
      <w:r>
        <w:rPr>
          <w:spacing w:val="-3"/>
          <w:sz w:val="22"/>
        </w:rPr>
        <w:t>la </w:t>
      </w:r>
      <w:r>
        <w:rPr>
          <w:sz w:val="22"/>
        </w:rPr>
        <w:t>argumentación alrededor de las opiniones personales (Garnham, 1987; Johnson-Laird, 1983; van Dijk y Kintsch, 1983; van Oostendorp y Zwaan,</w:t>
      </w:r>
      <w:r>
        <w:rPr>
          <w:spacing w:val="-30"/>
          <w:sz w:val="22"/>
        </w:rPr>
        <w:t> </w:t>
      </w:r>
      <w:r>
        <w:rPr>
          <w:sz w:val="22"/>
        </w:rPr>
        <w:t>1994).</w:t>
      </w:r>
      <w:r>
        <w:rPr>
          <w:position w:val="10"/>
          <w:sz w:val="14"/>
        </w:rPr>
        <w:t>159</w:t>
      </w:r>
    </w:p>
    <w:p>
      <w:pPr>
        <w:pStyle w:val="BodyText"/>
        <w:spacing w:before="4"/>
        <w:rPr>
          <w:sz w:val="22"/>
        </w:rPr>
      </w:pPr>
    </w:p>
    <w:p>
      <w:pPr>
        <w:pStyle w:val="BodyText"/>
        <w:spacing w:line="360" w:lineRule="auto"/>
        <w:ind w:left="264" w:right="219" w:firstLine="299"/>
        <w:jc w:val="both"/>
      </w:pPr>
      <w:r>
        <w:rPr/>
        <w:t>Si bien el proceso de integración de representaciones sociales es parte de la racionalidad del individuo en sociedad, en parte espontánea y en parte inherente a su naturaleza comunicacional; la televisión a partir de su programación, que presenta variedad y matices en los diferentes programas, incorpora a la experiencia de los usuarios eventos que alteran su sensibilidad, que despiertan emociones, que intervienen en su praxis diaria, que genera expectativas de vida y modifican su concepción del hombre y del universo y reconstruyen su representación de la realidad.</w:t>
      </w:r>
    </w:p>
    <w:p>
      <w:pPr>
        <w:pStyle w:val="BodyText"/>
        <w:spacing w:line="360" w:lineRule="auto" w:before="6"/>
        <w:ind w:left="264" w:right="217" w:firstLine="336"/>
        <w:jc w:val="both"/>
      </w:pPr>
      <w:r>
        <w:rPr/>
        <w:t>EL curso de la programación emitida por la televisión desde las décadas de los 80 y 90 a la fecha  ha sufrido dramáticas transformaciones, los eventos pasaron  de ser limitados por la censura a abiertos, explícitos, directos y crudos. Los contenidos de los diferentes programas y de la propaganda   </w:t>
      </w:r>
      <w:r>
        <w:rPr>
          <w:spacing w:val="44"/>
        </w:rPr>
        <w:t> </w:t>
      </w:r>
      <w:r>
        <w:rPr/>
        <w:t>mercadotécnica han</w:t>
      </w:r>
    </w:p>
    <w:p>
      <w:pPr>
        <w:pStyle w:val="BodyText"/>
        <w:spacing w:before="11"/>
        <w:rPr>
          <w:sz w:val="20"/>
        </w:rPr>
      </w:pPr>
    </w:p>
    <w:p>
      <w:pPr>
        <w:tabs>
          <w:tab w:pos="1119" w:val="left" w:leader="none"/>
          <w:tab w:pos="1671" w:val="left" w:leader="none"/>
          <w:tab w:pos="2261" w:val="left" w:leader="none"/>
          <w:tab w:pos="3153" w:val="left" w:leader="none"/>
          <w:tab w:pos="3644" w:val="left" w:leader="none"/>
          <w:tab w:pos="4637" w:val="left" w:leader="none"/>
          <w:tab w:pos="5145" w:val="left" w:leader="none"/>
          <w:tab w:pos="5820" w:val="left" w:leader="none"/>
          <w:tab w:pos="6707" w:val="left" w:leader="none"/>
          <w:tab w:pos="7846" w:val="left" w:leader="none"/>
          <w:tab w:pos="8865" w:val="left" w:leader="none"/>
        </w:tabs>
        <w:spacing w:before="77"/>
        <w:ind w:left="264" w:right="218" w:firstLine="0"/>
        <w:jc w:val="left"/>
        <w:rPr>
          <w:rFonts w:ascii="Calibri" w:hAnsi="Calibri"/>
          <w:sz w:val="18"/>
        </w:rPr>
      </w:pPr>
      <w:r>
        <w:rPr>
          <w:rFonts w:ascii="Calibri" w:hAnsi="Calibri"/>
          <w:position w:val="9"/>
          <w:sz w:val="12"/>
        </w:rPr>
        <w:t>159</w:t>
      </w:r>
      <w:r>
        <w:rPr>
          <w:rFonts w:ascii="Calibri" w:hAnsi="Calibri"/>
          <w:sz w:val="18"/>
        </w:rPr>
        <w:t>TEUN</w:t>
        <w:tab/>
        <w:t>Van</w:t>
        <w:tab/>
        <w:t>Dijk,</w:t>
        <w:tab/>
        <w:t>“Análisis</w:t>
        <w:tab/>
        <w:t>del</w:t>
        <w:tab/>
        <w:t>discurso”,</w:t>
        <w:tab/>
        <w:t>[en</w:t>
        <w:tab/>
        <w:t>línea]</w:t>
        <w:tab/>
        <w:t>consulta</w:t>
        <w:tab/>
        <w:t>16/11/2010</w:t>
        <w:tab/>
        <w:t>disponible</w:t>
        <w:tab/>
        <w:t>en: </w:t>
      </w:r>
      <w:hyperlink r:id="rId72">
        <w:r>
          <w:rPr>
            <w:rFonts w:ascii="Calibri" w:hAnsi="Calibri"/>
            <w:color w:val="0000FF"/>
            <w:sz w:val="18"/>
            <w:u w:val="single" w:color="0000FF"/>
          </w:rPr>
          <w:t>http://www.discursos.org/oldarticles/An%E1lisis%20del%20discurso%20ideol%F3gico.pdf</w:t>
        </w:r>
      </w:hyperlink>
    </w:p>
    <w:p>
      <w:pPr>
        <w:spacing w:after="0"/>
        <w:jc w:val="left"/>
        <w:rPr>
          <w:rFonts w:ascii="Calibri" w:hAnsi="Calibri"/>
          <w:sz w:val="18"/>
        </w:rPr>
        <w:sectPr>
          <w:footerReference w:type="default" r:id="rId71"/>
          <w:pgSz w:w="12240" w:h="15840"/>
          <w:pgMar w:footer="876" w:header="0"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91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5"/>
        <w:jc w:val="both"/>
      </w:pPr>
      <w:r>
        <w:rPr/>
        <w:t>influido profundamente en la vida familiar, en las formas de actuar, de entretener, de aprender. La programación de los canales de televisión abierta, en lo general tiene formatos simples, no complejos, no requieren mucho esfuerzo por parte del televidente. Sus argumentos tienen la finalidad de ser accesibles a todo público. Sin embargo en esa sencillez está la meta del productor, no requiere que el gran público piense, sólo que reciba los contenidos hipnóticos, adormecedores y paralizantes.</w:t>
      </w:r>
    </w:p>
    <w:p>
      <w:pPr>
        <w:pStyle w:val="BodyText"/>
        <w:spacing w:line="360" w:lineRule="auto"/>
        <w:ind w:left="684" w:right="114" w:firstLine="336"/>
        <w:jc w:val="both"/>
      </w:pPr>
      <w:r>
        <w:rPr/>
        <w:t>Karol Wojtila en la obra </w:t>
      </w:r>
      <w:r>
        <w:rPr>
          <w:i/>
        </w:rPr>
        <w:t>La televisión mala maestra, </w:t>
      </w:r>
      <w:r>
        <w:rPr/>
        <w:t>afirma que el televisor puede ser un excelente instrumento de transculturación porque puede enriquecer la vida familiar y la experiencia individual, no obstante, la forma en que actualmente se utiliza es un detonador de la violencia social. Al hablar de que la televisión se ha erigido como la niñera electrónica, y de su gran capacidad para influir en la vida familiar, Karol Wojtila expresa su preocupación al percibir</w:t>
      </w:r>
      <w:r>
        <w:rPr>
          <w:spacing w:val="-38"/>
        </w:rPr>
        <w:t> </w:t>
      </w:r>
      <w:r>
        <w:rPr/>
        <w:t>que:</w:t>
      </w:r>
    </w:p>
    <w:p>
      <w:pPr>
        <w:pStyle w:val="BodyText"/>
        <w:spacing w:before="6"/>
        <w:rPr>
          <w:sz w:val="33"/>
        </w:rPr>
      </w:pPr>
    </w:p>
    <w:p>
      <w:pPr>
        <w:spacing w:line="235" w:lineRule="auto" w:before="0"/>
        <w:ind w:left="1393" w:right="120" w:firstLine="332"/>
        <w:jc w:val="both"/>
        <w:rPr>
          <w:sz w:val="14"/>
        </w:rPr>
      </w:pPr>
      <w:r>
        <w:rPr>
          <w:sz w:val="22"/>
        </w:rPr>
        <w:t>La televisión puede asimismo perjudicar la vida familiar difundiendo valores y modelos de comportamiento falsos y degradantes, transmitiendo pornografía e imágenes brutales de violencia; inculcando el relativismo moral y el escepticismo religioso: difundiendo información distorsionada o manipulada sobre los hechos y los problemas de actualidad.</w:t>
      </w:r>
      <w:r>
        <w:rPr>
          <w:position w:val="10"/>
          <w:sz w:val="14"/>
        </w:rPr>
        <w:t>160</w:t>
      </w:r>
    </w:p>
    <w:p>
      <w:pPr>
        <w:pStyle w:val="BodyText"/>
        <w:spacing w:before="3"/>
        <w:rPr>
          <w:sz w:val="36"/>
        </w:rPr>
      </w:pPr>
    </w:p>
    <w:p>
      <w:pPr>
        <w:pStyle w:val="BodyText"/>
        <w:spacing w:line="360" w:lineRule="auto"/>
        <w:ind w:left="684" w:right="113" w:firstLine="336"/>
        <w:jc w:val="both"/>
      </w:pPr>
      <w:r>
        <w:rPr/>
        <w:t>Esta es la constante de los programas televisivos, sus contenidos son  palmarios de la ideología de la época. Su tendencia hedonista, pragmática y relativista llena la imaginación, la actividad cerebral de niños y adultos que a partir de éstos contenidos generan estilos y modos de vida y le proveen, además, una orientación en el mundo. Así como la construcción de proyectos de vida. (Por ejemplo existen en México miles de jóvenes, adolescentes y niños que quieren trabajar en Televisión, con la idea de que participar en algún programa televisivo les dará dinero y fama que son parte de los valores que resalta la</w:t>
      </w:r>
      <w:r>
        <w:rPr>
          <w:spacing w:val="-27"/>
        </w:rPr>
        <w:t> </w:t>
      </w:r>
      <w:r>
        <w:rPr/>
        <w:t>televisión.)</w:t>
      </w:r>
    </w:p>
    <w:p>
      <w:pPr>
        <w:pStyle w:val="BodyText"/>
        <w:spacing w:line="360" w:lineRule="auto" w:before="6"/>
        <w:ind w:left="684" w:right="120" w:firstLine="336"/>
        <w:jc w:val="both"/>
      </w:pPr>
      <w:r>
        <w:rPr/>
        <w:t>Ante este panorama podemos observar que la televisión como un medio de penetración masiva creado por la ciencia y la tecnología del siglo XX, invade todos los espacios de la vida pública y privada de los individuos, se internaliza en el subconsciente  social,  trastoca  la   organización  de  los  hogares,  induce      </w:t>
      </w:r>
      <w:r>
        <w:rPr>
          <w:spacing w:val="59"/>
        </w:rPr>
        <w:t> </w:t>
      </w:r>
      <w:r>
        <w:rPr/>
        <w:t>los</w:t>
      </w:r>
    </w:p>
    <w:p>
      <w:pPr>
        <w:spacing w:after="0" w:line="360" w:lineRule="auto"/>
        <w:jc w:val="both"/>
        <w:sectPr>
          <w:footerReference w:type="default" r:id="rId73"/>
          <w:pgSz w:w="12240" w:h="15840"/>
          <w:pgMar w:footer="1493" w:header="0" w:top="520" w:bottom="1680" w:left="1300" w:right="1300"/>
        </w:sectPr>
      </w:pPr>
    </w:p>
    <w:p>
      <w:pPr>
        <w:pStyle w:val="Heading3"/>
      </w:pPr>
      <w:r>
        <w:rPr/>
        <w:pict>
          <v:line style="position:absolute;mso-position-horizontal-relative:page;mso-position-vertical-relative:paragraph;z-index:493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4"/>
        <w:jc w:val="both"/>
      </w:pPr>
      <w:r>
        <w:rPr/>
        <w:t>paradigmas que el sistema imperante define y requiere, atendiendo principalmente a mecanismos de control eficientes para implantar en el individuo conceptos, estados de ánimo, imaginarios sociales, ideas políticas, modas, necesidades, todos ellos inventados en función de la prevalencia del</w:t>
      </w:r>
      <w:r>
        <w:rPr>
          <w:spacing w:val="-34"/>
        </w:rPr>
        <w:t> </w:t>
      </w:r>
      <w:r>
        <w:rPr/>
        <w:t>sistema.</w:t>
      </w:r>
    </w:p>
    <w:p>
      <w:pPr>
        <w:pStyle w:val="BodyText"/>
        <w:spacing w:line="360" w:lineRule="auto" w:before="6"/>
        <w:ind w:left="264" w:right="217" w:firstLine="336"/>
        <w:jc w:val="both"/>
      </w:pPr>
      <w:r>
        <w:rPr/>
        <w:t>Pues como sucede en Chile, sucede en México, y sucede en Honduras donde las transmisiones televisivas permiten al testigo mediático ver y asistir a sucesos en el mismo tiempo, simultáneamente, en diferentes circunstancias y con diferentes posibilidades de comprensión pero con una gran capacidad intrusiva.</w:t>
      </w:r>
    </w:p>
    <w:p>
      <w:pPr>
        <w:pStyle w:val="BodyText"/>
      </w:pPr>
    </w:p>
    <w:p>
      <w:pPr>
        <w:pStyle w:val="Heading3"/>
        <w:numPr>
          <w:ilvl w:val="1"/>
          <w:numId w:val="3"/>
        </w:numPr>
        <w:tabs>
          <w:tab w:pos="532" w:val="left" w:leader="none"/>
        </w:tabs>
        <w:spacing w:line="240" w:lineRule="auto" w:before="138" w:after="0"/>
        <w:ind w:left="531" w:right="0" w:hanging="267"/>
        <w:jc w:val="both"/>
        <w:rPr>
          <w:rFonts w:ascii="Arial" w:hAnsi="Arial"/>
        </w:rPr>
      </w:pPr>
      <w:r>
        <w:rPr>
          <w:rFonts w:ascii="Arial" w:hAnsi="Arial"/>
        </w:rPr>
        <w:t>Programación de más aceptación en México y</w:t>
      </w:r>
      <w:r>
        <w:rPr>
          <w:rFonts w:ascii="Arial" w:hAnsi="Arial"/>
          <w:spacing w:val="-24"/>
        </w:rPr>
        <w:t> </w:t>
      </w:r>
      <w:r>
        <w:rPr>
          <w:rFonts w:ascii="Arial" w:hAnsi="Arial"/>
        </w:rPr>
        <w:t>Honduras</w:t>
      </w:r>
    </w:p>
    <w:p>
      <w:pPr>
        <w:pStyle w:val="BodyText"/>
        <w:rPr>
          <w:b/>
        </w:rPr>
      </w:pPr>
    </w:p>
    <w:p>
      <w:pPr>
        <w:pStyle w:val="BodyText"/>
        <w:spacing w:before="4"/>
        <w:rPr>
          <w:b/>
        </w:rPr>
      </w:pPr>
    </w:p>
    <w:p>
      <w:pPr>
        <w:pStyle w:val="BodyText"/>
        <w:spacing w:line="360" w:lineRule="auto"/>
        <w:ind w:left="264" w:right="215" w:firstLine="336"/>
        <w:jc w:val="both"/>
      </w:pPr>
      <w:r>
        <w:rPr/>
        <w:t>La investigación hasta ahora realizada ha permitido constatar que la televisión se convierte en uno de los elementos fundamentales de información, recreación y formación de la sociedad de finales del siglo XX, con la posibilidad de brindar a la población espacios de esparcimiento, de conocimiento, de adopción de valores e inclusive de orientación sobre estilos de vida, sin que esta posibilidad se halla utilizado hasta ahora.</w:t>
      </w:r>
    </w:p>
    <w:p>
      <w:pPr>
        <w:pStyle w:val="BodyText"/>
        <w:spacing w:line="360" w:lineRule="auto"/>
        <w:ind w:left="264" w:right="209" w:firstLine="271"/>
        <w:jc w:val="both"/>
      </w:pPr>
      <w:r>
        <w:rPr/>
        <w:t>Las telenovelas, los noticieros, los programas deportivos, los llamados </w:t>
      </w:r>
      <w:r>
        <w:rPr>
          <w:i/>
        </w:rPr>
        <w:t>reality </w:t>
      </w:r>
      <w:r>
        <w:rPr>
          <w:i/>
        </w:rPr>
        <w:t>shows </w:t>
      </w:r>
      <w:r>
        <w:rPr/>
        <w:t>que dan seguimiento en vivo y directo a la intimidad de las personas inmersas en ese tipo de eventos televisivos, los programas cómicos etc. son elaborados para ofrecer al teleauditorio una gran variedad de acontecimientos en los que pueda recrear su propia existencia, donde tenga acceso al conocimiento de formas de vida a las que aspira </w:t>
      </w:r>
      <w:r>
        <w:rPr>
          <w:spacing w:val="-3"/>
        </w:rPr>
        <w:t>y, </w:t>
      </w:r>
      <w:r>
        <w:rPr/>
        <w:t>espacios que le ofrezcan el anhelado entretenimiento que le permita solventar sus necesidades de</w:t>
      </w:r>
      <w:r>
        <w:rPr>
          <w:spacing w:val="-41"/>
        </w:rPr>
        <w:t> </w:t>
      </w:r>
      <w:r>
        <w:rPr/>
        <w:t>recreación.</w:t>
      </w:r>
    </w:p>
    <w:p>
      <w:pPr>
        <w:pStyle w:val="BodyText"/>
        <w:spacing w:line="350" w:lineRule="auto" w:before="6"/>
        <w:ind w:left="264" w:right="222" w:firstLine="336"/>
        <w:jc w:val="both"/>
        <w:rPr>
          <w:sz w:val="16"/>
        </w:rPr>
      </w:pPr>
      <w:r>
        <w:rPr/>
        <w:t>Las preferencias de quienes ven televisión se presenta de la siguiente manera: los noticieros encabezan con 49.5%, enseguida las telenovelas con 39.2%, las películas mexicanas con 24.4%, y los espectáculos deportivos con 24.3% y por último las películas extranjeras con 22.5%.</w:t>
      </w:r>
      <w:r>
        <w:rPr>
          <w:position w:val="11"/>
          <w:sz w:val="16"/>
        </w:rPr>
        <w:t>161</w:t>
      </w:r>
    </w:p>
    <w:p>
      <w:pPr>
        <w:pStyle w:val="BodyText"/>
        <w:spacing w:line="357" w:lineRule="auto"/>
        <w:ind w:left="264" w:right="221" w:firstLine="336"/>
        <w:jc w:val="both"/>
      </w:pPr>
      <w:r>
        <w:rPr/>
        <w:t>De los entrevistados por CONACULTA, el 25% manifestó ver algún canal cultural. Las personas que no ven canales culturales expresaron que no lo   hacen</w:t>
      </w:r>
    </w:p>
    <w:p>
      <w:pPr>
        <w:spacing w:before="137"/>
        <w:ind w:left="264" w:right="0" w:firstLine="0"/>
        <w:jc w:val="left"/>
        <w:rPr>
          <w:rFonts w:ascii="Calibri" w:hAnsi="Calibri"/>
          <w:sz w:val="18"/>
        </w:rPr>
      </w:pPr>
      <w:r>
        <w:rPr>
          <w:rFonts w:ascii="Calibri" w:hAnsi="Calibri"/>
          <w:position w:val="9"/>
          <w:sz w:val="12"/>
        </w:rPr>
        <w:t>161  </w:t>
      </w:r>
      <w:r>
        <w:rPr>
          <w:rFonts w:ascii="Calibri" w:hAnsi="Calibri"/>
          <w:sz w:val="18"/>
        </w:rPr>
        <w:t>De acuerdo a la Encuesta Nacional de Prácticas y Consumo Culturales levantada por el CONACULTA  y presentada  en</w:t>
      </w:r>
    </w:p>
    <w:p>
      <w:pPr>
        <w:spacing w:after="0"/>
        <w:jc w:val="left"/>
        <w:rPr>
          <w:rFonts w:ascii="Calibri" w:hAnsi="Calibri"/>
          <w:sz w:val="18"/>
        </w:rPr>
        <w:sectPr>
          <w:footerReference w:type="default" r:id="rId74"/>
          <w:pgSz w:w="12240" w:h="15840"/>
          <w:pgMar w:footer="1096" w:header="0" w:top="520" w:bottom="1280" w:left="1720" w:right="1200"/>
          <w:pgNumType w:start="84"/>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498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0" w:lineRule="auto" w:before="70"/>
        <w:ind w:left="684" w:right="119"/>
        <w:jc w:val="both"/>
        <w:rPr>
          <w:sz w:val="16"/>
        </w:rPr>
      </w:pPr>
      <w:r>
        <w:rPr/>
        <w:t>por falta de información (36.0% no los conoce o no sabe cuáles y 18.9% no conoce su programación), algunos afirmaron que por falta de interés (17.9% no le interesa su programación y 10.7% piensa que son aburridos) o por la dificultad de acceso (15.4% afirmó que en su localidad no se captan estos</w:t>
      </w:r>
      <w:r>
        <w:rPr>
          <w:spacing w:val="-24"/>
        </w:rPr>
        <w:t> </w:t>
      </w:r>
      <w:r>
        <w:rPr/>
        <w:t>canales).</w:t>
      </w:r>
      <w:r>
        <w:rPr>
          <w:position w:val="11"/>
          <w:sz w:val="16"/>
        </w:rPr>
        <w:t>162</w:t>
      </w:r>
    </w:p>
    <w:p>
      <w:pPr>
        <w:pStyle w:val="BodyText"/>
        <w:spacing w:line="360" w:lineRule="auto"/>
        <w:ind w:left="684" w:right="118" w:firstLine="336"/>
        <w:jc w:val="both"/>
      </w:pPr>
      <w:r>
        <w:rPr/>
        <w:t>Entre los niños la programación preferida es la que se refiere a historias de héroes, que presentada en formato de caricatura tiene argumentos sencillos; los personajes se definen como valientes y todopoderosos que con gran lujo de violencia preservan el estado de cosas, luchando contra la oposición representada por personajes maldosos a los que aniquilan con sus súper poderes.</w:t>
      </w:r>
    </w:p>
    <w:p>
      <w:pPr>
        <w:pStyle w:val="BodyText"/>
        <w:spacing w:line="360" w:lineRule="auto" w:before="2"/>
        <w:ind w:left="684" w:right="120" w:firstLine="336"/>
        <w:jc w:val="both"/>
      </w:pPr>
      <w:r>
        <w:rPr/>
        <w:t>Entre los adolescentes y jóvenes predomina el gusto por las películas de temática variada pero principalmente de acción. Así como los eventos deportivos, por ejemplo, el fútbol está en primer lugar, también los programas musicales y en muy pocos casos los de tipo cultural.</w:t>
      </w:r>
    </w:p>
    <w:p>
      <w:pPr>
        <w:pStyle w:val="BodyText"/>
      </w:pPr>
    </w:p>
    <w:p>
      <w:pPr>
        <w:spacing w:line="240" w:lineRule="auto" w:before="141"/>
        <w:ind w:left="1393" w:right="113" w:firstLine="0"/>
        <w:jc w:val="both"/>
        <w:rPr>
          <w:sz w:val="22"/>
        </w:rPr>
      </w:pPr>
      <w:r>
        <w:rPr>
          <w:sz w:val="22"/>
        </w:rPr>
        <w:t>En </w:t>
      </w:r>
      <w:r>
        <w:rPr>
          <w:spacing w:val="-3"/>
          <w:sz w:val="22"/>
        </w:rPr>
        <w:t>la </w:t>
      </w:r>
      <w:r>
        <w:rPr>
          <w:sz w:val="22"/>
        </w:rPr>
        <w:t>medida que </w:t>
      </w:r>
      <w:r>
        <w:rPr>
          <w:spacing w:val="-3"/>
          <w:sz w:val="22"/>
        </w:rPr>
        <w:t>la </w:t>
      </w:r>
      <w:r>
        <w:rPr>
          <w:sz w:val="22"/>
        </w:rPr>
        <w:t>televisión es hoy en día una fuente importante de representaciones sociales, de valoraciones, de información y significación, se constituye en una central mediadora cognoscitiva entre </w:t>
      </w:r>
      <w:r>
        <w:rPr>
          <w:spacing w:val="-3"/>
          <w:sz w:val="22"/>
        </w:rPr>
        <w:t>lo </w:t>
      </w:r>
      <w:r>
        <w:rPr>
          <w:sz w:val="22"/>
        </w:rPr>
        <w:t>que acontece en el mundo real y las representaciones que construimos en nuestros mapas mentales de tal mundo real, de </w:t>
      </w:r>
      <w:r>
        <w:rPr>
          <w:spacing w:val="-3"/>
          <w:sz w:val="22"/>
        </w:rPr>
        <w:t>la </w:t>
      </w:r>
      <w:r>
        <w:rPr>
          <w:sz w:val="22"/>
        </w:rPr>
        <w:t>sociedad en particular.[…] Así, </w:t>
      </w:r>
      <w:r>
        <w:rPr>
          <w:spacing w:val="-3"/>
          <w:sz w:val="22"/>
        </w:rPr>
        <w:t>la </w:t>
      </w:r>
      <w:r>
        <w:rPr>
          <w:sz w:val="22"/>
        </w:rPr>
        <w:t>televisión tanto en su programación   informativa   como   en   la   de   entretenimiento,   contribuye   a</w:t>
      </w:r>
      <w:r>
        <w:rPr>
          <w:spacing w:val="52"/>
          <w:sz w:val="22"/>
        </w:rPr>
        <w:t> </w:t>
      </w:r>
      <w:r>
        <w:rPr>
          <w:sz w:val="22"/>
        </w:rPr>
        <w:t>la</w:t>
      </w:r>
    </w:p>
    <w:p>
      <w:pPr>
        <w:spacing w:line="273" w:lineRule="exact" w:before="0"/>
        <w:ind w:left="1393" w:right="0" w:firstLine="0"/>
        <w:jc w:val="both"/>
        <w:rPr>
          <w:sz w:val="16"/>
        </w:rPr>
      </w:pPr>
      <w:r>
        <w:rPr>
          <w:sz w:val="22"/>
        </w:rPr>
        <w:t>“construcción social de la realidad</w:t>
      </w:r>
      <w:r>
        <w:rPr>
          <w:sz w:val="24"/>
        </w:rPr>
        <w:t>.</w:t>
      </w:r>
      <w:r>
        <w:rPr>
          <w:position w:val="11"/>
          <w:sz w:val="16"/>
        </w:rPr>
        <w:t>163</w:t>
      </w:r>
    </w:p>
    <w:p>
      <w:pPr>
        <w:pStyle w:val="BodyText"/>
        <w:spacing w:before="5"/>
        <w:rPr>
          <w:sz w:val="36"/>
        </w:rPr>
      </w:pPr>
    </w:p>
    <w:p>
      <w:pPr>
        <w:pStyle w:val="BodyText"/>
        <w:spacing w:line="360" w:lineRule="auto" w:before="1"/>
        <w:ind w:left="684" w:right="114" w:firstLine="336"/>
        <w:jc w:val="both"/>
      </w:pPr>
      <w:r>
        <w:rPr/>
        <w:t>Para las mujeres y las amas de casa las telenovelas son los programas de mayor aceptación, es preciso resaltar que Televisa y Televisión Azteca, tanto en México como en Honduras llenan toda la tarde y parte de la noche de lunes a viernes con este tipo de programas. Su objetivo es ofrecer a los tele-videntes una catarsis a su vida cotidiana, así sí el personaje principal de la telenovela sufre, el televidente también puede hacerlo, y si este logra el éxito también para el televidente puede ser una opción. Este tipo de programas tienen la capacidad de entretener a millones de personas de diferentes estratos sociales, de diferentes edades y sexo, aunque la predominancia la tienen las mujeres. Para la   población</w:t>
      </w:r>
    </w:p>
    <w:p>
      <w:pPr>
        <w:pStyle w:val="BodyText"/>
        <w:rPr>
          <w:sz w:val="20"/>
        </w:rPr>
      </w:pPr>
    </w:p>
    <w:p>
      <w:pPr>
        <w:pStyle w:val="BodyText"/>
        <w:spacing w:before="4"/>
        <w:rPr>
          <w:sz w:val="29"/>
        </w:rPr>
      </w:pPr>
      <w:r>
        <w:rPr/>
        <w:pict>
          <v:line style="position:absolute;mso-position-horizontal-relative:page;mso-position-vertical-relative:paragraph;z-index:4960;mso-wrap-distance-left:0;mso-wrap-distance-right:0" from="99.224998pt,19.149864pt" to="243.274998pt,19.149864pt" stroked="true" strokeweight=".60004pt" strokecolor="#000000">
            <w10:wrap type="topAndBottom"/>
          </v:line>
        </w:pict>
      </w:r>
    </w:p>
    <w:p>
      <w:pPr>
        <w:spacing w:line="237" w:lineRule="exact" w:before="46"/>
        <w:ind w:left="684" w:right="114" w:firstLine="0"/>
        <w:jc w:val="left"/>
        <w:rPr>
          <w:rFonts w:ascii="Calibri" w:hAnsi="Calibri"/>
          <w:i/>
          <w:sz w:val="18"/>
        </w:rPr>
      </w:pPr>
      <w:r>
        <w:rPr>
          <w:rFonts w:ascii="Calibri" w:hAnsi="Calibri"/>
          <w:position w:val="9"/>
          <w:sz w:val="12"/>
        </w:rPr>
        <w:t>162 </w:t>
      </w:r>
      <w:r>
        <w:rPr>
          <w:rFonts w:ascii="Calibri" w:hAnsi="Calibri"/>
          <w:i/>
          <w:sz w:val="18"/>
        </w:rPr>
        <w:t>Ídem.</w:t>
      </w:r>
    </w:p>
    <w:p>
      <w:pPr>
        <w:spacing w:line="220" w:lineRule="exact" w:before="11"/>
        <w:ind w:left="684" w:right="114" w:firstLine="0"/>
        <w:jc w:val="left"/>
        <w:rPr>
          <w:rFonts w:ascii="Calibri" w:hAnsi="Calibri"/>
          <w:sz w:val="18"/>
        </w:rPr>
      </w:pPr>
      <w:r>
        <w:rPr>
          <w:position w:val="9"/>
          <w:sz w:val="12"/>
        </w:rPr>
        <w:t>163 </w:t>
      </w:r>
      <w:r>
        <w:rPr>
          <w:rFonts w:ascii="Calibri" w:hAnsi="Calibri"/>
          <w:sz w:val="18"/>
        </w:rPr>
        <w:t>LAMEIRAS, José y GALINDO Cáceres, Luis Jesús, </w:t>
      </w:r>
      <w:r>
        <w:rPr>
          <w:rFonts w:ascii="Calibri" w:hAnsi="Calibri"/>
          <w:i/>
          <w:sz w:val="18"/>
        </w:rPr>
        <w:t>Medios y Mediaciones: Los cambiantes sentidos de la dominación en </w:t>
      </w:r>
      <w:r>
        <w:rPr>
          <w:rFonts w:ascii="Calibri" w:hAnsi="Calibri"/>
          <w:i/>
          <w:sz w:val="18"/>
        </w:rPr>
        <w:t>México</w:t>
      </w:r>
      <w:r>
        <w:rPr>
          <w:rFonts w:ascii="Calibri" w:hAnsi="Calibri"/>
          <w:sz w:val="18"/>
        </w:rPr>
        <w:t>, ITESO, México, 1994, pp. 57-58</w:t>
      </w:r>
    </w:p>
    <w:p>
      <w:pPr>
        <w:spacing w:after="0" w:line="220" w:lineRule="exact"/>
        <w:jc w:val="left"/>
        <w:rPr>
          <w:rFonts w:ascii="Calibri" w:hAnsi="Calibri"/>
          <w:sz w:val="18"/>
        </w:rPr>
        <w:sectPr>
          <w:footerReference w:type="default" r:id="rId75"/>
          <w:pgSz w:w="12240" w:h="15840"/>
          <w:pgMar w:footer="876" w:header="0" w:top="520" w:bottom="1060" w:left="1300" w:right="1300"/>
          <w:pgNumType w:start="85"/>
        </w:sectPr>
      </w:pPr>
    </w:p>
    <w:p>
      <w:pPr>
        <w:pStyle w:val="Heading3"/>
      </w:pPr>
      <w:r>
        <w:rPr/>
        <w:pict>
          <v:line style="position:absolute;mso-position-horizontal-relative:page;mso-position-vertical-relative:paragraph;z-index:503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right="219"/>
        <w:jc w:val="both"/>
      </w:pPr>
      <w:r>
        <w:rPr/>
        <w:t>adulta y mayor, su programación favorita son los noticieros, que les permiten estar al tanto de lo que sucede en  su comunidad y en otros lugares.</w:t>
      </w:r>
    </w:p>
    <w:p>
      <w:pPr>
        <w:pStyle w:val="BodyText"/>
        <w:spacing w:before="10"/>
        <w:rPr>
          <w:sz w:val="35"/>
        </w:rPr>
      </w:pPr>
    </w:p>
    <w:p>
      <w:pPr>
        <w:pStyle w:val="Heading3"/>
        <w:numPr>
          <w:ilvl w:val="1"/>
          <w:numId w:val="3"/>
        </w:numPr>
        <w:tabs>
          <w:tab w:pos="481" w:val="left" w:leader="none"/>
        </w:tabs>
        <w:spacing w:line="240" w:lineRule="auto" w:before="0" w:after="0"/>
        <w:ind w:left="480" w:right="0" w:hanging="216"/>
        <w:jc w:val="both"/>
        <w:rPr>
          <w:rFonts w:ascii="Arial" w:hAnsi="Arial"/>
        </w:rPr>
      </w:pPr>
      <w:r>
        <w:rPr>
          <w:rFonts w:ascii="Arial" w:hAnsi="Arial"/>
        </w:rPr>
        <w:t>Uso  social de la</w:t>
      </w:r>
      <w:r>
        <w:rPr>
          <w:rFonts w:ascii="Arial" w:hAnsi="Arial"/>
          <w:spacing w:val="-12"/>
        </w:rPr>
        <w:t> </w:t>
      </w:r>
      <w:r>
        <w:rPr>
          <w:rFonts w:ascii="Arial" w:hAnsi="Arial"/>
        </w:rPr>
        <w:t>televisión</w:t>
      </w:r>
    </w:p>
    <w:p>
      <w:pPr>
        <w:pStyle w:val="BodyText"/>
        <w:rPr>
          <w:b/>
        </w:rPr>
      </w:pPr>
    </w:p>
    <w:p>
      <w:pPr>
        <w:pStyle w:val="BodyText"/>
        <w:spacing w:before="4"/>
        <w:rPr>
          <w:b/>
        </w:rPr>
      </w:pPr>
    </w:p>
    <w:p>
      <w:pPr>
        <w:pStyle w:val="BodyText"/>
        <w:spacing w:line="360" w:lineRule="auto"/>
        <w:ind w:left="264" w:right="214" w:firstLine="404"/>
        <w:jc w:val="both"/>
      </w:pPr>
      <w:r>
        <w:rPr/>
        <w:t>Las posibilidades de que el hombre ejerza su libertad se ve acotada por los medios, que a través de una nueva cultura que circula alrededor de ellos, conciben una nueva forma de relación e interacción entre las personas, lo que significa que hoy piensan y están en el mundo de una nueva forma, como producto de un medio altamente tecnificado, comunicacional e ideologizado; por lo que Pablo Khalil en una carta abierta en Paraguay radica su atención en el reto que la sociedad moderna nos presenta en cuanto a “un cambio en la mirada del tratamiento del fenómeno   de   la   comunicación   actual,   esto   es   analizar   y   reflexionar   </w:t>
      </w:r>
      <w:r>
        <w:rPr>
          <w:spacing w:val="60"/>
        </w:rPr>
        <w:t> </w:t>
      </w:r>
      <w:r>
        <w:rPr/>
        <w:t>la</w:t>
      </w:r>
    </w:p>
    <w:p>
      <w:pPr>
        <w:pStyle w:val="BodyText"/>
        <w:spacing w:line="282" w:lineRule="exact"/>
        <w:ind w:left="264"/>
        <w:jc w:val="both"/>
      </w:pPr>
      <w:r>
        <w:rPr/>
        <w:t>comunicación  desde  la  perspectiva  de  este  “nuevo  hombre”,</w:t>
      </w:r>
      <w:r>
        <w:rPr>
          <w:position w:val="11"/>
          <w:sz w:val="16"/>
        </w:rPr>
        <w:t>164    </w:t>
      </w:r>
      <w:r>
        <w:rPr/>
        <w:t>que  se      ha</w:t>
      </w:r>
    </w:p>
    <w:p>
      <w:pPr>
        <w:pStyle w:val="BodyText"/>
        <w:spacing w:line="350" w:lineRule="auto" w:before="136"/>
        <w:ind w:left="264" w:right="214"/>
        <w:jc w:val="both"/>
      </w:pPr>
      <w:r>
        <w:rPr/>
        <w:t>delineado masivamente en torno a intereses que distan mucho de ser los que lo orienten hacia su realización como persona. La televisión para Joan Ferrés</w:t>
      </w:r>
      <w:r>
        <w:rPr>
          <w:position w:val="11"/>
          <w:sz w:val="16"/>
        </w:rPr>
        <w:t>165 </w:t>
      </w:r>
      <w:r>
        <w:rPr/>
        <w:t>participa de manera determinante, en la sociedad actual promoviendo lo que él llama: procesos inadvertidos de socialización</w:t>
      </w:r>
      <w:r>
        <w:rPr>
          <w:b/>
        </w:rPr>
        <w:t>. </w:t>
      </w:r>
      <w:r>
        <w:rPr/>
        <w:t>Por lo que afirma:</w:t>
      </w:r>
    </w:p>
    <w:p>
      <w:pPr>
        <w:pStyle w:val="BodyText"/>
        <w:rPr>
          <w:sz w:val="30"/>
        </w:rPr>
      </w:pPr>
    </w:p>
    <w:p>
      <w:pPr>
        <w:spacing w:line="237" w:lineRule="auto" w:before="1"/>
        <w:ind w:left="973" w:right="217" w:firstLine="0"/>
        <w:jc w:val="both"/>
        <w:rPr>
          <w:sz w:val="14"/>
        </w:rPr>
      </w:pPr>
      <w:r>
        <w:rPr>
          <w:sz w:val="22"/>
        </w:rPr>
        <w:t>La socialización es "el proceso por el cual los individuos, en su interacción con otros, desarrollan las maneras de pensar, sentir y actuar que son esenciales para su participación eficaz en la sociedad". (J.W.Vander Zanden, 1990) Si la televisión es socializadora es, según el autor, porque genera un enorme caudal de energía emotiva. El objetivo primordial de la comunicación persuasiva es transmitir informaciones motivadoras, es decir, informaciones capaces de movilizar las conductas y las creencias en una dirección. Mucho se ha hablado de la capacidad movilizadora de las imágenes. En el caso de las imágenes televisivas, su eficacia movilizadora y, en consecuencia, socializadora, resulta potenciada por su contundencia y por su reiterada presencia. </w:t>
      </w:r>
      <w:r>
        <w:rPr>
          <w:position w:val="10"/>
          <w:sz w:val="14"/>
        </w:rPr>
        <w:t>166</w:t>
      </w: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5008;mso-wrap-distance-left:0;mso-wrap-distance-right:0" from="99.224998pt,19.394222pt" to="243.274998pt,19.394222pt" stroked="true" strokeweight=".599980pt" strokecolor="#000000">
            <w10:wrap type="topAndBottom"/>
          </v:line>
        </w:pict>
      </w:r>
    </w:p>
    <w:p>
      <w:pPr>
        <w:spacing w:before="47"/>
        <w:ind w:left="264" w:right="211" w:firstLine="0"/>
        <w:jc w:val="both"/>
        <w:rPr>
          <w:rFonts w:ascii="Calibri" w:hAnsi="Calibri"/>
          <w:sz w:val="18"/>
        </w:rPr>
      </w:pPr>
      <w:r>
        <w:rPr>
          <w:rFonts w:ascii="Calibri" w:hAnsi="Calibri"/>
          <w:position w:val="9"/>
          <w:sz w:val="12"/>
        </w:rPr>
        <w:t>164 </w:t>
      </w:r>
      <w:r>
        <w:rPr>
          <w:rFonts w:ascii="Calibri" w:hAnsi="Calibri"/>
          <w:sz w:val="18"/>
        </w:rPr>
        <w:t>KHALIL, Pablo, “Ética e influencia de los medios de comunicación en la reproducción de valores sociales”, </w:t>
      </w:r>
      <w:r>
        <w:rPr>
          <w:rFonts w:ascii="Calibri" w:hAnsi="Calibri"/>
          <w:i/>
          <w:sz w:val="18"/>
        </w:rPr>
        <w:t>Carta </w:t>
      </w:r>
      <w:r>
        <w:rPr>
          <w:rFonts w:ascii="Calibri" w:hAnsi="Calibri"/>
          <w:i/>
          <w:sz w:val="18"/>
        </w:rPr>
        <w:t>popular, </w:t>
      </w:r>
      <w:r>
        <w:rPr>
          <w:rFonts w:ascii="Calibri" w:hAnsi="Calibri"/>
          <w:sz w:val="18"/>
        </w:rPr>
        <w:t>21 de diciembre de 2007, Políticas de información y comunicación en Paraguay, [en línea] consulta 19/10/2008, disponible en: </w:t>
      </w:r>
      <w:r>
        <w:rPr>
          <w:rFonts w:ascii="Calibri" w:hAnsi="Calibri"/>
          <w:color w:val="0000FF"/>
          <w:sz w:val="18"/>
          <w:u w:val="single" w:color="0000FF"/>
        </w:rPr>
        <w:t>http://tic.item.org.uy/?q=node/1870.</w:t>
      </w:r>
    </w:p>
    <w:p>
      <w:pPr>
        <w:spacing w:line="220" w:lineRule="exact" w:before="0"/>
        <w:ind w:left="264" w:right="0" w:firstLine="0"/>
        <w:jc w:val="both"/>
        <w:rPr>
          <w:rFonts w:ascii="Calibri" w:hAnsi="Calibri"/>
          <w:sz w:val="18"/>
        </w:rPr>
      </w:pPr>
      <w:r>
        <w:rPr>
          <w:rFonts w:ascii="Calibri" w:hAnsi="Calibri"/>
          <w:position w:val="9"/>
          <w:sz w:val="12"/>
        </w:rPr>
        <w:t>165 </w:t>
      </w:r>
      <w:r>
        <w:rPr>
          <w:rFonts w:ascii="Calibri" w:hAnsi="Calibri"/>
          <w:sz w:val="18"/>
        </w:rPr>
        <w:t>FERRÉS I Prats, Joan, </w:t>
      </w:r>
      <w:r>
        <w:rPr>
          <w:rFonts w:ascii="Calibri" w:hAnsi="Calibri"/>
          <w:i/>
          <w:sz w:val="18"/>
        </w:rPr>
        <w:t>Televisión subliminal. Socialización mediante comunicaciones inadvertidas</w:t>
      </w:r>
      <w:r>
        <w:rPr>
          <w:rFonts w:ascii="Calibri" w:hAnsi="Calibri"/>
          <w:sz w:val="18"/>
        </w:rPr>
        <w:t>, Paidós, Barcelona,</w:t>
      </w:r>
    </w:p>
    <w:p>
      <w:pPr>
        <w:spacing w:line="203" w:lineRule="exact" w:before="0"/>
        <w:ind w:left="264" w:right="0" w:firstLine="0"/>
        <w:jc w:val="both"/>
        <w:rPr>
          <w:rFonts w:ascii="Calibri"/>
          <w:sz w:val="18"/>
        </w:rPr>
      </w:pPr>
      <w:r>
        <w:rPr>
          <w:rFonts w:ascii="Calibri"/>
          <w:sz w:val="18"/>
        </w:rPr>
        <w:t>1996.</w:t>
      </w:r>
    </w:p>
    <w:p>
      <w:pPr>
        <w:spacing w:line="220" w:lineRule="exact" w:before="12"/>
        <w:ind w:left="264" w:right="216" w:firstLine="0"/>
        <w:jc w:val="both"/>
        <w:rPr>
          <w:rFonts w:ascii="Calibri" w:hAnsi="Calibri"/>
          <w:sz w:val="18"/>
        </w:rPr>
      </w:pPr>
      <w:r>
        <w:rPr>
          <w:rFonts w:ascii="Calibri" w:hAnsi="Calibri"/>
          <w:position w:val="9"/>
          <w:sz w:val="12"/>
        </w:rPr>
        <w:t>166 </w:t>
      </w:r>
      <w:r>
        <w:rPr>
          <w:rFonts w:ascii="Calibri" w:hAnsi="Calibri"/>
          <w:sz w:val="18"/>
        </w:rPr>
        <w:t>FERRÉS I Prats, Joan, </w:t>
      </w:r>
      <w:r>
        <w:rPr>
          <w:rFonts w:ascii="Calibri" w:hAnsi="Calibri"/>
          <w:i/>
          <w:sz w:val="18"/>
        </w:rPr>
        <w:t>Televisión subliminal. Socialización mediante comunicaciones inadvertidas. </w:t>
      </w:r>
      <w:r>
        <w:rPr>
          <w:rFonts w:ascii="Calibri" w:hAnsi="Calibri"/>
          <w:sz w:val="18"/>
        </w:rPr>
        <w:t>Paidós: Barcelona, 1996. Reseña (Comentario realizado por Natalia Bernabeu Morón) [en línea] consulta 21/11/2008, disponible en: </w:t>
      </w:r>
      <w:hyperlink r:id="rId76">
        <w:r>
          <w:rPr>
            <w:rFonts w:ascii="Calibri" w:hAnsi="Calibri"/>
            <w:color w:val="0000FF"/>
            <w:sz w:val="18"/>
            <w:u w:val="single" w:color="0000FF"/>
          </w:rPr>
          <w:t>http://www.quadraquinta.org/referencias-bibliograficas/libroscomentados/television-subliminalhtml</w:t>
        </w:r>
        <w:r>
          <w:rPr>
            <w:rFonts w:ascii="Calibri" w:hAnsi="Calibri"/>
            <w:sz w:val="18"/>
          </w:rPr>
          <w:t>.</w:t>
        </w:r>
      </w:hyperlink>
    </w:p>
    <w:p>
      <w:pPr>
        <w:spacing w:after="0" w:line="220"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508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4" w:firstLine="271"/>
        <w:jc w:val="both"/>
      </w:pPr>
      <w:r>
        <w:rPr/>
        <w:t>Es por esto que la televisión con su carga de emotividad, según el autor, genera cuantiosa energía socializante, a través de una comunicación persuasiva dedicada a transmitir mensajes motivadores, o sea con contenidos capaces de movilizar conductas y creencias en los televidentes hacia un mismo objetivo. Fundamentado en la capacidad movilizadora de las imágenes, que en el caso de la televisión, demuestran su poder movilizador y socializador, que se incrementa por su amplia presencia en los hogares de familias de diversos estratos económicos. Poder que se ejerce en los espacios más recónditos del individuo, en su conciencia, orientándolo hacia una cosmovisión que tiene que ver con el modelo que  el sistema desea difundir entre los usuarios de este medio comunicacional.</w:t>
      </w:r>
    </w:p>
    <w:p>
      <w:pPr>
        <w:pStyle w:val="BodyText"/>
        <w:spacing w:line="360" w:lineRule="auto" w:before="5"/>
        <w:ind w:left="684" w:right="116" w:firstLine="336"/>
        <w:jc w:val="both"/>
      </w:pPr>
      <w:r>
        <w:rPr/>
        <w:t>Es tal su importancia que se introduce en la vida de la mayoría de la población; la encontramos lo mismo en grandes residencias, en lugares públicos o en sencillas viviendas, en la habitación para el descanso, que en el comedor o la habitación para dormir, se convierte en el intruso que convive en la cotidianidad de las familias. La injerencia social que muestra se debe a la primacía que le otorga  el televidente y que se traduce en un gran impacto </w:t>
      </w:r>
      <w:r>
        <w:rPr>
          <w:spacing w:val="4"/>
        </w:rPr>
        <w:t>en </w:t>
      </w:r>
      <w:r>
        <w:rPr/>
        <w:t>las conciencias de los individuos. Su papel es algunas veces constructivo, otras negativo, y en ocasiones se define por lo que no hace. Su función formativa impacta tanto en adultos como en niños y adolescentes, por su alta cualidad para despertar el</w:t>
      </w:r>
      <w:r>
        <w:rPr>
          <w:spacing w:val="-30"/>
        </w:rPr>
        <w:t> </w:t>
      </w:r>
      <w:r>
        <w:rPr/>
        <w:t>interés:</w:t>
      </w:r>
    </w:p>
    <w:p>
      <w:pPr>
        <w:pStyle w:val="BodyText"/>
      </w:pPr>
    </w:p>
    <w:p>
      <w:pPr>
        <w:spacing w:line="235" w:lineRule="auto" w:before="145"/>
        <w:ind w:left="1393" w:right="115" w:firstLine="0"/>
        <w:jc w:val="both"/>
        <w:rPr>
          <w:sz w:val="14"/>
        </w:rPr>
      </w:pPr>
      <w:r>
        <w:rPr>
          <w:sz w:val="22"/>
        </w:rPr>
        <w:t>Desde el punto de vista tecnológico, </w:t>
      </w:r>
      <w:r>
        <w:rPr>
          <w:spacing w:val="-3"/>
          <w:sz w:val="22"/>
        </w:rPr>
        <w:t>la </w:t>
      </w:r>
      <w:r>
        <w:rPr>
          <w:sz w:val="22"/>
        </w:rPr>
        <w:t>televisión es un medio audio-visual-cinético. En consecuencia, y a diferencia de </w:t>
      </w:r>
      <w:r>
        <w:rPr>
          <w:spacing w:val="-3"/>
          <w:sz w:val="22"/>
        </w:rPr>
        <w:t>lo </w:t>
      </w:r>
      <w:r>
        <w:rPr>
          <w:sz w:val="22"/>
        </w:rPr>
        <w:t>que ocurre con el libro, privilegia </w:t>
      </w:r>
      <w:r>
        <w:rPr>
          <w:spacing w:val="-3"/>
          <w:sz w:val="22"/>
        </w:rPr>
        <w:t>lo </w:t>
      </w:r>
      <w:r>
        <w:rPr>
          <w:sz w:val="22"/>
        </w:rPr>
        <w:t>dinámico sobre </w:t>
      </w:r>
      <w:r>
        <w:rPr>
          <w:spacing w:val="-3"/>
          <w:sz w:val="22"/>
        </w:rPr>
        <w:t>lo </w:t>
      </w:r>
      <w:r>
        <w:rPr>
          <w:sz w:val="22"/>
        </w:rPr>
        <w:t>estático, </w:t>
      </w:r>
      <w:r>
        <w:rPr>
          <w:spacing w:val="-3"/>
          <w:sz w:val="22"/>
        </w:rPr>
        <w:t>lo </w:t>
      </w:r>
      <w:r>
        <w:rPr>
          <w:sz w:val="22"/>
        </w:rPr>
        <w:t>sensorial sobre </w:t>
      </w:r>
      <w:r>
        <w:rPr>
          <w:spacing w:val="-3"/>
          <w:sz w:val="22"/>
        </w:rPr>
        <w:t>lo </w:t>
      </w:r>
      <w:r>
        <w:rPr>
          <w:sz w:val="22"/>
        </w:rPr>
        <w:t>conceptual, </w:t>
      </w:r>
      <w:r>
        <w:rPr>
          <w:spacing w:val="-3"/>
          <w:sz w:val="22"/>
        </w:rPr>
        <w:t>lo </w:t>
      </w:r>
      <w:r>
        <w:rPr>
          <w:sz w:val="22"/>
        </w:rPr>
        <w:t>sonoro sobre </w:t>
      </w:r>
      <w:r>
        <w:rPr>
          <w:spacing w:val="-3"/>
          <w:sz w:val="22"/>
        </w:rPr>
        <w:t>lo </w:t>
      </w:r>
      <w:r>
        <w:rPr>
          <w:sz w:val="22"/>
        </w:rPr>
        <w:t>silencioso.   Es, por </w:t>
      </w:r>
      <w:r>
        <w:rPr>
          <w:spacing w:val="-3"/>
          <w:sz w:val="22"/>
        </w:rPr>
        <w:t>lo </w:t>
      </w:r>
      <w:r>
        <w:rPr>
          <w:sz w:val="22"/>
        </w:rPr>
        <w:t>tanto, un banquete para los sentidos. Mientras en un texto escrito hay que buscar </w:t>
      </w:r>
      <w:r>
        <w:rPr>
          <w:spacing w:val="-3"/>
          <w:sz w:val="22"/>
        </w:rPr>
        <w:t>la </w:t>
      </w:r>
      <w:r>
        <w:rPr>
          <w:sz w:val="22"/>
        </w:rPr>
        <w:t>gratificación en el sentido de los discursos, </w:t>
      </w:r>
      <w:r>
        <w:rPr>
          <w:spacing w:val="-3"/>
          <w:sz w:val="22"/>
        </w:rPr>
        <w:t>la </w:t>
      </w:r>
      <w:r>
        <w:rPr>
          <w:sz w:val="22"/>
        </w:rPr>
        <w:t>televisión ofrece una gratificación inmediata proveniente de los signos. Casi sin esfuerzo.</w:t>
      </w:r>
      <w:r>
        <w:rPr>
          <w:spacing w:val="-32"/>
          <w:sz w:val="22"/>
        </w:rPr>
        <w:t> </w:t>
      </w:r>
      <w:r>
        <w:rPr>
          <w:spacing w:val="-2"/>
          <w:position w:val="10"/>
          <w:sz w:val="14"/>
        </w:rPr>
        <w:t>167</w:t>
      </w:r>
    </w:p>
    <w:p>
      <w:pPr>
        <w:pStyle w:val="BodyText"/>
        <w:spacing w:before="3"/>
        <w:rPr>
          <w:sz w:val="36"/>
        </w:rPr>
      </w:pPr>
    </w:p>
    <w:p>
      <w:pPr>
        <w:pStyle w:val="BodyText"/>
        <w:spacing w:line="360" w:lineRule="auto"/>
        <w:ind w:left="684" w:right="122" w:firstLine="336"/>
        <w:jc w:val="both"/>
      </w:pPr>
      <w:r>
        <w:rPr/>
        <w:t>Su presencia sentenciosa, que además de las formas, utiliza los colores, la música, las voces seductoras, los efectos sonoros, recurriendo a las más modernas tecnologías audiovisuales e informáticas, que facilitan, no sólo, la reproducción audiovisual de la realidad, sino su interesante transformación, dando lugar a toda clase de trucos de efectos sensoriales y sonoros (llamados efectos</w:t>
      </w:r>
    </w:p>
    <w:p>
      <w:pPr>
        <w:pStyle w:val="BodyText"/>
        <w:spacing w:before="6"/>
        <w:rPr>
          <w:sz w:val="20"/>
        </w:rPr>
      </w:pPr>
      <w:r>
        <w:rPr/>
        <w:pict>
          <v:line style="position:absolute;mso-position-horizontal-relative:page;mso-position-vertical-relative:paragraph;z-index:5056;mso-wrap-distance-left:0;mso-wrap-distance-right:0" from="99.224998pt,14.048889pt" to="243.274998pt,14.048889pt" stroked="true" strokeweight=".60004pt" strokecolor="#000000">
            <w10:wrap type="topAndBottom"/>
          </v:line>
        </w:pict>
      </w:r>
    </w:p>
    <w:p>
      <w:pPr>
        <w:spacing w:before="48"/>
        <w:ind w:left="684" w:right="114" w:firstLine="0"/>
        <w:jc w:val="left"/>
        <w:rPr>
          <w:rFonts w:ascii="Calibri" w:hAnsi="Calibri"/>
          <w:sz w:val="18"/>
        </w:rPr>
      </w:pPr>
      <w:r>
        <w:rPr>
          <w:position w:val="9"/>
          <w:sz w:val="12"/>
        </w:rPr>
        <w:t>167</w:t>
      </w:r>
      <w:r>
        <w:rPr>
          <w:rFonts w:ascii="Calibri" w:hAnsi="Calibri"/>
          <w:sz w:val="18"/>
        </w:rPr>
        <w:t>FERRÉS I Prats, Joan, “Televisión y Educación”, [en línea], consulta 21/11/2008, disponible en: </w:t>
      </w:r>
      <w:hyperlink r:id="rId77">
        <w:r>
          <w:rPr>
            <w:rFonts w:ascii="Calibri" w:hAnsi="Calibri"/>
            <w:color w:val="0000FF"/>
            <w:sz w:val="18"/>
            <w:u w:val="single" w:color="0000FF"/>
          </w:rPr>
          <w:t>http://www.quadernsdigitals.net/index,php?accionMenu=hemeroteca.VisualizaArticuloIU.visualiza&amp;articulo_id=697</w:t>
        </w:r>
      </w:hyperlink>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512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pPr>
      <w:r>
        <w:rPr/>
        <w:t>especiales), que despiertan los sentidos, representa un intercambio. “Esta serie de tensiones activan en el espectador mecanismos de identificación y de proyección,”</w:t>
      </w:r>
    </w:p>
    <w:p>
      <w:pPr>
        <w:pStyle w:val="BodyText"/>
        <w:spacing w:line="285" w:lineRule="exact"/>
        <w:ind w:left="264"/>
      </w:pPr>
      <w:r>
        <w:rPr>
          <w:position w:val="11"/>
          <w:sz w:val="16"/>
        </w:rPr>
        <w:t>168  </w:t>
      </w:r>
      <w:r>
        <w:rPr/>
        <w:t>pues como observa Ferrés, en gran    medida el impacto televisivo depende de</w:t>
      </w:r>
    </w:p>
    <w:p>
      <w:pPr>
        <w:pStyle w:val="BodyText"/>
        <w:spacing w:line="362" w:lineRule="auto" w:before="136"/>
        <w:ind w:left="264" w:right="210"/>
      </w:pPr>
      <w:r>
        <w:rPr/>
        <w:t>estar involucrado en el espectáculo, con emociones y sensaciones y a partir de ello, favorecer la catarsis de las mismas.</w:t>
      </w:r>
    </w:p>
    <w:p>
      <w:pPr>
        <w:pStyle w:val="BodyText"/>
        <w:spacing w:line="360" w:lineRule="auto"/>
        <w:ind w:left="264" w:right="213" w:firstLine="336"/>
        <w:jc w:val="both"/>
      </w:pPr>
      <w:r>
        <w:rPr/>
        <w:t>Autores como Karl R. Popper, John Condry, Charles S. Clark y Karol Wojtyla en la obra </w:t>
      </w:r>
      <w:r>
        <w:rPr>
          <w:i/>
        </w:rPr>
        <w:t>La televisión es mala maestra, </w:t>
      </w:r>
      <w:r>
        <w:rPr/>
        <w:t>expresan su preocupación por que consideran que el mensaje televisivo es un fenómeno socializador contraproducente para el avance de la sociedad, reparan en la influencia que ejerce en la niñez, en los mensajes con alto grado de violencia que transforman la percepción del mundo en jóvenes y adolescentes. Por ejemplo Karl Popper asegura que la televisión predispone al niño para ejercer la violencia cuando sea adulto:</w:t>
      </w:r>
    </w:p>
    <w:p>
      <w:pPr>
        <w:pStyle w:val="BodyText"/>
        <w:spacing w:before="6"/>
        <w:rPr>
          <w:sz w:val="33"/>
        </w:rPr>
      </w:pPr>
    </w:p>
    <w:p>
      <w:pPr>
        <w:spacing w:line="235" w:lineRule="auto" w:before="0"/>
        <w:ind w:left="973" w:right="223" w:firstLine="300"/>
        <w:jc w:val="both"/>
        <w:rPr>
          <w:sz w:val="14"/>
        </w:rPr>
      </w:pPr>
      <w:r>
        <w:rPr>
          <w:sz w:val="22"/>
        </w:rPr>
        <w:t>Ahora, </w:t>
      </w:r>
      <w:r>
        <w:rPr>
          <w:spacing w:val="-3"/>
          <w:sz w:val="22"/>
        </w:rPr>
        <w:t>la </w:t>
      </w:r>
      <w:r>
        <w:rPr>
          <w:sz w:val="22"/>
        </w:rPr>
        <w:t>violencia en casa es sustituida y ampliada por </w:t>
      </w:r>
      <w:r>
        <w:rPr>
          <w:spacing w:val="-3"/>
          <w:sz w:val="22"/>
        </w:rPr>
        <w:t>la </w:t>
      </w:r>
      <w:r>
        <w:rPr>
          <w:sz w:val="22"/>
        </w:rPr>
        <w:t>que aparece en </w:t>
      </w:r>
      <w:r>
        <w:rPr>
          <w:spacing w:val="-3"/>
          <w:sz w:val="22"/>
        </w:rPr>
        <w:t>la </w:t>
      </w:r>
      <w:r>
        <w:rPr>
          <w:sz w:val="22"/>
        </w:rPr>
        <w:t>pantalla del televisor. A través de este medio, se expone </w:t>
      </w:r>
      <w:r>
        <w:rPr>
          <w:spacing w:val="-3"/>
          <w:sz w:val="22"/>
        </w:rPr>
        <w:t>la </w:t>
      </w:r>
      <w:r>
        <w:rPr>
          <w:sz w:val="22"/>
        </w:rPr>
        <w:t>violencia a los niños durante varias horas de cada día. Mi experiencia me lleva a considerar muy importante este punto, más bien decisivo. La violencia produce violencia y </w:t>
      </w:r>
      <w:r>
        <w:rPr>
          <w:spacing w:val="-3"/>
          <w:sz w:val="22"/>
        </w:rPr>
        <w:t>la </w:t>
      </w:r>
      <w:r>
        <w:rPr>
          <w:sz w:val="22"/>
        </w:rPr>
        <w:t>lleva  a casa donde </w:t>
      </w:r>
      <w:r>
        <w:rPr>
          <w:spacing w:val="-3"/>
          <w:sz w:val="22"/>
        </w:rPr>
        <w:t>la </w:t>
      </w:r>
      <w:r>
        <w:rPr>
          <w:sz w:val="22"/>
        </w:rPr>
        <w:t>violencia se desconocería si no fuera por este</w:t>
      </w:r>
      <w:r>
        <w:rPr>
          <w:spacing w:val="-26"/>
          <w:sz w:val="22"/>
        </w:rPr>
        <w:t> </w:t>
      </w:r>
      <w:r>
        <w:rPr>
          <w:sz w:val="22"/>
        </w:rPr>
        <w:t>medio.</w:t>
      </w:r>
      <w:r>
        <w:rPr>
          <w:position w:val="10"/>
          <w:sz w:val="14"/>
        </w:rPr>
        <w:t>169</w:t>
      </w:r>
    </w:p>
    <w:p>
      <w:pPr>
        <w:pStyle w:val="BodyText"/>
        <w:spacing w:before="7"/>
        <w:rPr>
          <w:sz w:val="28"/>
        </w:rPr>
      </w:pPr>
    </w:p>
    <w:p>
      <w:pPr>
        <w:pStyle w:val="BodyText"/>
        <w:spacing w:line="360" w:lineRule="auto"/>
        <w:ind w:left="264" w:right="214" w:firstLine="336"/>
        <w:jc w:val="both"/>
      </w:pPr>
      <w:r>
        <w:rPr/>
        <w:t>Si bien la televisión como instrumento transmisor de mensajes y dada su alta capacidad para educar puede trasformar la conducta de las personas, en la actualidad no se ha considerado en su uso el alto impacto que tiene en los procesos socializadores de los individuos. La calidad de la programación actual perjudica los valores sociales, y difunde modelos de comportamientos falsos y degradantes de la dignidad humana. Jóvenes, adultos y niños asimilan premisas de programas extranjeros de nota sensacionalista o que reflejan estilos de vida vacíos, sin calidad humana y los eligen como modelos a seguir. Así, durante su infancia y adolescencia el televidente absorbe sin discriminación  funestos mensajes que sin ser comprendidos en la totalidad de su alcance, son incorporados a su bagaje cultural y en sus relaciones diarias.</w:t>
      </w:r>
    </w:p>
    <w:p>
      <w:pPr>
        <w:pStyle w:val="BodyText"/>
        <w:spacing w:before="1"/>
        <w:rPr>
          <w:sz w:val="26"/>
        </w:rPr>
      </w:pPr>
      <w:r>
        <w:rPr/>
        <w:pict>
          <v:line style="position:absolute;mso-position-horizontal-relative:page;mso-position-vertical-relative:paragraph;z-index:5104;mso-wrap-distance-left:0;mso-wrap-distance-right:0" from="99.224998pt,17.258888pt" to="243.274998pt,17.258888pt" stroked="true" strokeweight=".60004pt" strokecolor="#000000">
            <w10:wrap type="topAndBottom"/>
          </v:line>
        </w:pict>
      </w:r>
    </w:p>
    <w:p>
      <w:pPr>
        <w:spacing w:line="236" w:lineRule="exact" w:before="46"/>
        <w:ind w:left="264" w:right="0" w:firstLine="0"/>
        <w:jc w:val="left"/>
        <w:rPr>
          <w:rFonts w:ascii="Calibri" w:hAnsi="Calibri"/>
          <w:i/>
          <w:sz w:val="18"/>
        </w:rPr>
      </w:pPr>
      <w:r>
        <w:rPr>
          <w:rFonts w:ascii="Calibri" w:hAnsi="Calibri"/>
          <w:position w:val="9"/>
          <w:sz w:val="12"/>
        </w:rPr>
        <w:t>168 </w:t>
      </w:r>
      <w:r>
        <w:rPr>
          <w:rFonts w:ascii="Calibri" w:hAnsi="Calibri"/>
          <w:i/>
          <w:sz w:val="18"/>
        </w:rPr>
        <w:t>Ídem.</w:t>
      </w:r>
    </w:p>
    <w:p>
      <w:pPr>
        <w:spacing w:line="220" w:lineRule="exact" w:before="12"/>
        <w:ind w:left="264" w:right="210" w:firstLine="0"/>
        <w:jc w:val="left"/>
        <w:rPr>
          <w:rFonts w:ascii="Calibri" w:hAnsi="Calibri"/>
          <w:sz w:val="18"/>
        </w:rPr>
      </w:pPr>
      <w:r>
        <w:rPr>
          <w:rFonts w:ascii="Calibri" w:hAnsi="Calibri"/>
          <w:position w:val="9"/>
          <w:sz w:val="12"/>
        </w:rPr>
        <w:t>169 </w:t>
      </w:r>
      <w:r>
        <w:rPr>
          <w:rFonts w:ascii="Calibri" w:hAnsi="Calibri"/>
          <w:sz w:val="18"/>
        </w:rPr>
        <w:t>POPPER, Karl, “Una patente para producir televisión”, en Popper, R., Condry, John, </w:t>
      </w:r>
      <w:r>
        <w:rPr>
          <w:rFonts w:ascii="Calibri" w:hAnsi="Calibri"/>
          <w:i/>
          <w:sz w:val="18"/>
        </w:rPr>
        <w:t>et. al</w:t>
      </w:r>
      <w:r>
        <w:rPr>
          <w:rFonts w:ascii="Calibri" w:hAnsi="Calibri"/>
          <w:sz w:val="18"/>
        </w:rPr>
        <w:t>. </w:t>
      </w:r>
      <w:r>
        <w:rPr>
          <w:rFonts w:ascii="Calibri" w:hAnsi="Calibri"/>
          <w:i/>
          <w:sz w:val="18"/>
        </w:rPr>
        <w:t>La televisión es mala </w:t>
      </w:r>
      <w:r>
        <w:rPr>
          <w:rFonts w:ascii="Calibri" w:hAnsi="Calibri"/>
          <w:i/>
          <w:sz w:val="18"/>
        </w:rPr>
        <w:t>maestra</w:t>
      </w:r>
      <w:r>
        <w:rPr>
          <w:rFonts w:ascii="Calibri" w:hAnsi="Calibri"/>
          <w:sz w:val="18"/>
        </w:rPr>
        <w:t>, Fondo de Cultura Económica, México, 2006, p. 44</w:t>
      </w:r>
    </w:p>
    <w:p>
      <w:pPr>
        <w:spacing w:after="0" w:line="220"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517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0"/>
        <w:rPr>
          <w:rFonts w:ascii="Cambria"/>
          <w:sz w:val="16"/>
        </w:rPr>
      </w:pPr>
    </w:p>
    <w:p>
      <w:pPr>
        <w:spacing w:line="237" w:lineRule="auto" w:before="74"/>
        <w:ind w:left="1393" w:right="116" w:firstLine="0"/>
        <w:jc w:val="both"/>
        <w:rPr>
          <w:sz w:val="14"/>
        </w:rPr>
      </w:pPr>
      <w:r>
        <w:rPr>
          <w:sz w:val="22"/>
        </w:rPr>
        <w:t>"En este sentido, si </w:t>
      </w:r>
      <w:r>
        <w:rPr>
          <w:spacing w:val="-3"/>
          <w:sz w:val="22"/>
        </w:rPr>
        <w:t>la </w:t>
      </w:r>
      <w:r>
        <w:rPr>
          <w:sz w:val="22"/>
        </w:rPr>
        <w:t>experiencia televisiva está condicionada por los patrones culturales y emotivos del receptor, es decir, por los conocimientos y los sentimientos que ha acumulado en sus experiencia vitales anteriores, del mismo modo, los conocimientos adquiridos y las experiencias vividas ante el televisor le proveerán de nuevos esquemas o modelos mediante los que ordenará sus futuras percepciones de </w:t>
      </w:r>
      <w:r>
        <w:rPr>
          <w:spacing w:val="-3"/>
          <w:sz w:val="22"/>
        </w:rPr>
        <w:t>la </w:t>
      </w:r>
      <w:r>
        <w:rPr>
          <w:sz w:val="22"/>
        </w:rPr>
        <w:t>realidad. Si </w:t>
      </w:r>
      <w:r>
        <w:rPr>
          <w:spacing w:val="-3"/>
          <w:sz w:val="22"/>
        </w:rPr>
        <w:t>la </w:t>
      </w:r>
      <w:r>
        <w:rPr>
          <w:sz w:val="22"/>
        </w:rPr>
        <w:t>percepción está condicionada por los sistemas de conocimiento y por los valores emotivos asumidos previamente, cualquier modificación en los conocimientos y en las emociones afectará a las futuras percepciones. La influencia de </w:t>
      </w:r>
      <w:r>
        <w:rPr>
          <w:spacing w:val="-3"/>
          <w:sz w:val="22"/>
        </w:rPr>
        <w:t>la </w:t>
      </w:r>
      <w:r>
        <w:rPr>
          <w:sz w:val="22"/>
        </w:rPr>
        <w:t>televisión se manifiesta, pues, por su acción en el proceso de construcción y de reelaboración de los esquemas desde los que se interpreta </w:t>
      </w:r>
      <w:r>
        <w:rPr>
          <w:spacing w:val="-3"/>
          <w:sz w:val="22"/>
        </w:rPr>
        <w:t>la</w:t>
      </w:r>
      <w:r>
        <w:rPr>
          <w:spacing w:val="-10"/>
          <w:sz w:val="22"/>
        </w:rPr>
        <w:t> </w:t>
      </w:r>
      <w:r>
        <w:rPr>
          <w:sz w:val="22"/>
        </w:rPr>
        <w:t>realidad"</w:t>
      </w:r>
      <w:r>
        <w:rPr>
          <w:position w:val="10"/>
          <w:sz w:val="14"/>
        </w:rPr>
        <w:t>170</w:t>
      </w:r>
    </w:p>
    <w:p>
      <w:pPr>
        <w:pStyle w:val="BodyText"/>
        <w:spacing w:before="3"/>
        <w:rPr>
          <w:sz w:val="36"/>
        </w:rPr>
      </w:pPr>
    </w:p>
    <w:p>
      <w:pPr>
        <w:pStyle w:val="BodyText"/>
        <w:spacing w:line="360" w:lineRule="auto"/>
        <w:ind w:left="684" w:right="119" w:firstLine="336"/>
        <w:jc w:val="both"/>
      </w:pPr>
      <w:r>
        <w:rPr/>
        <w:t>Fenómeno que potencializa la falta de identidad, la imitación y reproducción de modas y modales que rompen con el equilibrio que existe en determinados  círculos sociales, donde los jóvenes asumen prácticas que los convierten en modelos grotescos al incorporarse a estilos de vida totalmente contrario al que se copia.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1"/>
        </w:rPr>
      </w:pPr>
      <w:r>
        <w:rPr/>
        <w:pict>
          <v:line style="position:absolute;mso-position-horizontal-relative:page;mso-position-vertical-relative:paragraph;z-index:5152;mso-wrap-distance-left:0;mso-wrap-distance-right:0" from="99.224998pt,8.978172pt" to="243.274998pt,8.978172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170 </w:t>
      </w:r>
      <w:r>
        <w:rPr>
          <w:rFonts w:ascii="Calibri" w:hAnsi="Calibri"/>
          <w:sz w:val="18"/>
        </w:rPr>
        <w:t>FERRÉS I Prats, Joan,, </w:t>
      </w:r>
      <w:r>
        <w:rPr>
          <w:rFonts w:ascii="Calibri" w:hAnsi="Calibri"/>
          <w:i/>
          <w:sz w:val="18"/>
        </w:rPr>
        <w:t>Televisión subliminal. Socialización mediante comunicaciones inadvertidas</w:t>
      </w:r>
      <w:r>
        <w:rPr>
          <w:rFonts w:ascii="Calibri" w:hAnsi="Calibri"/>
          <w:sz w:val="18"/>
        </w:rPr>
        <w:t>, Paidós, Barcelona, 1996. p 18</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5200" from="546.470032pt,2.397331pt" to="546.470032pt,30.622331pt" stroked="true" strokeweight=".60004pt" strokecolor="#000000">
            <w10:wrap type="none"/>
          </v:line>
        </w:pict>
      </w:r>
      <w:r>
        <w:rPr>
          <w:w w:val="75"/>
        </w:rPr>
        <w:t>El condicionamiento de la libertad ante la influencia de la televisión</w:t>
      </w:r>
    </w:p>
    <w:p>
      <w:pPr>
        <w:spacing w:after="0"/>
        <w:sectPr>
          <w:pgSz w:w="12240" w:h="15840"/>
          <w:pgMar w:header="0" w:footer="876" w:top="520" w:bottom="1060" w:left="1720" w:right="1200"/>
        </w:sectPr>
      </w:pPr>
    </w:p>
    <w:p>
      <w:pPr>
        <w:pStyle w:val="BodyText"/>
        <w:tabs>
          <w:tab w:pos="7214" w:val="left" w:leader="none"/>
        </w:tabs>
        <w:spacing w:before="36"/>
        <w:ind w:left="224"/>
        <w:rPr>
          <w:rFonts w:ascii="Cambria" w:hAnsi="Cambria"/>
        </w:rPr>
      </w:pPr>
      <w:r>
        <w:rPr/>
        <w:pict>
          <v:line style="position:absolute;mso-position-horizontal-relative:page;mso-position-vertical-relative:paragraph;z-index:522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
        <w:rPr>
          <w:rFonts w:ascii="Cambria"/>
        </w:rPr>
      </w:pPr>
    </w:p>
    <w:p>
      <w:pPr>
        <w:pStyle w:val="Heading1"/>
        <w:ind w:left="1562"/>
      </w:pPr>
      <w:r>
        <w:rPr/>
        <w:t>CAPÍTULO SEGUNDO</w:t>
      </w:r>
    </w:p>
    <w:p>
      <w:pPr>
        <w:spacing w:line="357" w:lineRule="auto" w:before="162"/>
        <w:ind w:left="1199" w:right="218" w:firstLine="0"/>
        <w:jc w:val="center"/>
        <w:rPr>
          <w:b/>
          <w:sz w:val="28"/>
        </w:rPr>
      </w:pPr>
      <w:r>
        <w:rPr>
          <w:b/>
          <w:sz w:val="28"/>
        </w:rPr>
        <w:t>HONDURAS Y MÉXICO ANTE EL IMPACTO SOCIAL DE LA TELEVISIÓN.</w:t>
      </w:r>
    </w:p>
    <w:p>
      <w:pPr>
        <w:spacing w:after="0" w:line="357" w:lineRule="auto"/>
        <w:jc w:val="center"/>
        <w:rPr>
          <w:sz w:val="28"/>
        </w:rPr>
        <w:sectPr>
          <w:pgSz w:w="12240" w:h="15840"/>
          <w:pgMar w:header="0" w:footer="876" w:top="520" w:bottom="1060" w:left="1300" w:right="1720"/>
        </w:sectPr>
      </w:pPr>
    </w:p>
    <w:p>
      <w:pPr>
        <w:pStyle w:val="Heading3"/>
      </w:pPr>
      <w:r>
        <w:rPr/>
        <w:pict>
          <v:line style="position:absolute;mso-position-horizontal-relative:page;mso-position-vertical-relative:paragraph;z-index:527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1"/>
        </w:rPr>
      </w:pPr>
    </w:p>
    <w:p>
      <w:pPr>
        <w:pStyle w:val="ListParagraph"/>
        <w:numPr>
          <w:ilvl w:val="2"/>
          <w:numId w:val="3"/>
        </w:numPr>
        <w:tabs>
          <w:tab w:pos="985" w:val="left" w:leader="none"/>
        </w:tabs>
        <w:spacing w:line="240" w:lineRule="auto" w:before="70" w:after="0"/>
        <w:ind w:left="985" w:right="0" w:hanging="360"/>
        <w:jc w:val="left"/>
        <w:rPr>
          <w:b/>
          <w:sz w:val="24"/>
        </w:rPr>
      </w:pPr>
      <w:r>
        <w:rPr>
          <w:b/>
          <w:sz w:val="24"/>
        </w:rPr>
        <w:t>La</w:t>
      </w:r>
      <w:r>
        <w:rPr>
          <w:b/>
          <w:spacing w:val="-5"/>
          <w:sz w:val="24"/>
        </w:rPr>
        <w:t> </w:t>
      </w:r>
      <w:r>
        <w:rPr>
          <w:b/>
          <w:sz w:val="24"/>
        </w:rPr>
        <w:t>comunicación</w:t>
      </w:r>
    </w:p>
    <w:p>
      <w:pPr>
        <w:pStyle w:val="BodyText"/>
        <w:rPr>
          <w:b/>
        </w:rPr>
      </w:pPr>
    </w:p>
    <w:p>
      <w:pPr>
        <w:pStyle w:val="BodyText"/>
        <w:spacing w:before="4"/>
        <w:rPr>
          <w:b/>
        </w:rPr>
      </w:pPr>
    </w:p>
    <w:p>
      <w:pPr>
        <w:pStyle w:val="BodyText"/>
        <w:spacing w:line="360" w:lineRule="auto"/>
        <w:ind w:left="264" w:right="217" w:firstLine="336"/>
        <w:jc w:val="both"/>
      </w:pPr>
      <w:r>
        <w:rPr/>
        <w:t>Comunicación derivado del latín "comunis" que significa "común" o sea hacer algo comprensible a todos; significa transmitir ideas y pensamientos con el  objetivo de ponerlos "en común" con otro. Esto supone el uso de un código de comunicación compartido. Este sistema codificado es un conjunto de signos y símbolos que se utilizan bajo el supuesto de ser compartidos por los implicados en este proceso. Esta transmisión de persona a persona se realiza bajo la premisa de que ambos tienen conocimiento del</w:t>
      </w:r>
      <w:r>
        <w:rPr>
          <w:spacing w:val="-23"/>
        </w:rPr>
        <w:t> </w:t>
      </w:r>
      <w:r>
        <w:rPr/>
        <w:t>código.</w:t>
      </w:r>
    </w:p>
    <w:p>
      <w:pPr>
        <w:pStyle w:val="BodyText"/>
        <w:spacing w:line="350" w:lineRule="auto" w:before="6"/>
        <w:ind w:left="264" w:right="218" w:firstLine="336"/>
        <w:jc w:val="both"/>
      </w:pPr>
      <w:r>
        <w:rPr/>
        <w:t>La comunicación y el lenguaje, como fenómeno humano han estado presentes en toda la historia de la humanidad</w:t>
      </w:r>
      <w:r>
        <w:rPr>
          <w:position w:val="11"/>
          <w:sz w:val="16"/>
        </w:rPr>
        <w:t>171</w:t>
      </w:r>
      <w:r>
        <w:rPr/>
        <w:t>. Existen diversas formas de expresión y distintas maneras de llevarla a cabo. Los términos que los expertos utilizan para describir   la  forma   en  que  las   personas   se  comunican  son:     comunicación</w:t>
      </w:r>
    </w:p>
    <w:p>
      <w:pPr>
        <w:pStyle w:val="BodyText"/>
        <w:spacing w:line="360" w:lineRule="auto" w:before="16"/>
        <w:ind w:left="264" w:right="221"/>
        <w:jc w:val="both"/>
      </w:pPr>
      <w:r>
        <w:rPr/>
        <w:t>intrapersonal, comunicación interpersonal y comunicación social o masiva. La primera corresponde a la comunicación interna de una persona o sea la comunicación consigo mismo, mediante el discernimiento personal; la segunda es la comunicación con otros seres humanos utilizando gran parte de sus sentidos que implica compartir directamente una experiencia entre dos o </w:t>
      </w:r>
      <w:r>
        <w:rPr>
          <w:spacing w:val="-2"/>
        </w:rPr>
        <w:t>más </w:t>
      </w:r>
      <w:r>
        <w:rPr/>
        <w:t>personas; y  la tercera es aquella que se realiza entre los individuos a través de un dispositivo transmisor (un medio para audiencias</w:t>
      </w:r>
      <w:r>
        <w:rPr>
          <w:spacing w:val="-23"/>
        </w:rPr>
        <w:t> </w:t>
      </w:r>
      <w:r>
        <w:rPr/>
        <w:t>numerosas).</w:t>
      </w:r>
    </w:p>
    <w:p>
      <w:pPr>
        <w:pStyle w:val="BodyText"/>
        <w:spacing w:line="360" w:lineRule="auto" w:before="2"/>
        <w:ind w:left="264" w:right="218" w:firstLine="336"/>
        <w:jc w:val="both"/>
      </w:pPr>
      <w:r>
        <w:rPr/>
        <w:t>La comunicación se da en lo grande y en lo pequeño, en la frase corta y casual o en el discurso complejo, en el proceso que cada individuo establece para construirse a si mismo en sociedad a partir del lenguaje. Los seres humanos son  la comunicación, en ella se hacen. Y esto sucede en volúmenes impresionantes, cada segundo millones de personas en todo el mundo crean a la humanidad en un acto</w:t>
      </w:r>
      <w:r>
        <w:rPr>
          <w:spacing w:val="-12"/>
        </w:rPr>
        <w:t> </w:t>
      </w:r>
      <w:r>
        <w:rPr/>
        <w:t>comunicativo.</w:t>
      </w:r>
    </w:p>
    <w:p>
      <w:pPr>
        <w:pStyle w:val="BodyText"/>
        <w:spacing w:line="360" w:lineRule="auto" w:before="2"/>
        <w:ind w:left="264" w:right="219" w:firstLine="336"/>
        <w:jc w:val="both"/>
      </w:pPr>
      <w:r>
        <w:rPr/>
        <w:pict>
          <v:line style="position:absolute;mso-position-horizontal-relative:page;mso-position-vertical-relative:paragraph;z-index:5248;mso-wrap-distance-left:0;mso-wrap-distance-right:0" from="99.224998pt,65.860878pt" to="243.274998pt,65.860878pt" stroked="true" strokeweight=".599980pt" strokecolor="#000000">
            <w10:wrap type="topAndBottom"/>
          </v:line>
        </w:pict>
      </w:r>
      <w:r>
        <w:rPr/>
        <w:t>Es por ello que la influencia de la comunicación para el individuo es determinante e irreversible, ya que a partir de ella se consolida como ser social. Afirma Niklas Luhmann: “Dondequiera que las personas se comuniquen entre    sí,</w:t>
      </w:r>
    </w:p>
    <w:p>
      <w:pPr>
        <w:spacing w:before="40"/>
        <w:ind w:left="264" w:right="0" w:firstLine="0"/>
        <w:jc w:val="left"/>
        <w:rPr>
          <w:sz w:val="18"/>
        </w:rPr>
      </w:pPr>
      <w:r>
        <w:rPr>
          <w:position w:val="9"/>
          <w:sz w:val="12"/>
        </w:rPr>
        <w:t>171 </w:t>
      </w:r>
      <w:r>
        <w:rPr>
          <w:sz w:val="18"/>
        </w:rPr>
        <w:t>Véase SWADESH, Mauricio, </w:t>
      </w:r>
      <w:r>
        <w:rPr>
          <w:i/>
          <w:sz w:val="18"/>
        </w:rPr>
        <w:t>El lenguaje y la vida humana</w:t>
      </w:r>
      <w:r>
        <w:rPr>
          <w:sz w:val="18"/>
        </w:rPr>
        <w:t>, Fondo de cultura Económica,, Chile, 1995.</w:t>
      </w:r>
    </w:p>
    <w:p>
      <w:pPr>
        <w:spacing w:after="0"/>
        <w:jc w:val="left"/>
        <w:rPr>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532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0" w:lineRule="auto" w:before="70"/>
        <w:ind w:left="684" w:right="122"/>
        <w:jc w:val="both"/>
      </w:pPr>
      <w:r>
        <w:rPr/>
        <w:t>es probable que se oriente hacia la posibilidad de perjuicio mutuo y, con esto, se influencie entre sí.”</w:t>
      </w:r>
      <w:r>
        <w:rPr>
          <w:position w:val="11"/>
          <w:sz w:val="16"/>
        </w:rPr>
        <w:t>172 </w:t>
      </w:r>
      <w:r>
        <w:rPr/>
        <w:t>En la actualidad, la comunicación social es el fenómeno que caracteriza a esta época, misma que se realiza utilizando dispositivos electrónicos transmisores, ya sea el radio, la televisión o el ordenador denominados también</w:t>
      </w:r>
    </w:p>
    <w:p>
      <w:pPr>
        <w:pStyle w:val="BodyText"/>
        <w:spacing w:before="16"/>
        <w:ind w:left="684"/>
        <w:jc w:val="both"/>
      </w:pPr>
      <w:r>
        <w:rPr/>
        <w:t>medios de comunicación masivos.</w:t>
      </w:r>
    </w:p>
    <w:p>
      <w:pPr>
        <w:pStyle w:val="BodyText"/>
        <w:spacing w:line="360" w:lineRule="auto" w:before="136"/>
        <w:ind w:left="684" w:right="115" w:firstLine="404"/>
        <w:jc w:val="both"/>
      </w:pPr>
      <w:r>
        <w:rPr/>
        <w:t>La comunicación social también se define como: distintos medios o instrumentos que utilizan los seres humanos para comunicar simultáneamente información a una gran cantidad de personas. Estos medios alcanzaron de 1980 al 2008 una importancia capital, </w:t>
      </w:r>
      <w:r>
        <w:rPr>
          <w:spacing w:val="-3"/>
        </w:rPr>
        <w:t>ya </w:t>
      </w:r>
      <w:r>
        <w:rPr/>
        <w:t>que pueden impactar concurrentemente en la gran mayoría de la población. Pensando en ese progreso que los medios de comunicación han alcanzado desde el siglo XX al XXI, y de la relevancia que para la cultura y el desarrollo de la humanidad tienen es de vital importancia revisar el uso de la tecnología en su función educativa y comunicacional y el impacto que tienen en la sociedad</w:t>
      </w:r>
      <w:r>
        <w:rPr>
          <w:spacing w:val="-19"/>
        </w:rPr>
        <w:t> </w:t>
      </w:r>
      <w:r>
        <w:rPr/>
        <w:t>contemporánea.</w:t>
      </w:r>
    </w:p>
    <w:p>
      <w:pPr>
        <w:pStyle w:val="BodyText"/>
        <w:spacing w:before="11"/>
        <w:rPr>
          <w:sz w:val="35"/>
        </w:rPr>
      </w:pPr>
    </w:p>
    <w:p>
      <w:pPr>
        <w:pStyle w:val="Heading3"/>
        <w:numPr>
          <w:ilvl w:val="3"/>
          <w:numId w:val="3"/>
        </w:numPr>
        <w:tabs>
          <w:tab w:pos="952" w:val="left" w:leader="none"/>
        </w:tabs>
        <w:spacing w:line="240" w:lineRule="auto" w:before="0" w:after="0"/>
        <w:ind w:left="951" w:right="0" w:hanging="267"/>
        <w:jc w:val="both"/>
        <w:rPr>
          <w:rFonts w:ascii="Arial" w:hAnsi="Arial"/>
        </w:rPr>
      </w:pPr>
      <w:r>
        <w:rPr>
          <w:rFonts w:ascii="Arial" w:hAnsi="Arial"/>
        </w:rPr>
        <w:t>Historia de los medios de comunicación</w:t>
      </w:r>
      <w:r>
        <w:rPr>
          <w:rFonts w:ascii="Arial" w:hAnsi="Arial"/>
          <w:spacing w:val="-18"/>
        </w:rPr>
        <w:t> </w:t>
      </w:r>
      <w:r>
        <w:rPr>
          <w:rFonts w:ascii="Arial" w:hAnsi="Arial"/>
        </w:rPr>
        <w:t>social</w:t>
      </w:r>
    </w:p>
    <w:p>
      <w:pPr>
        <w:pStyle w:val="BodyText"/>
        <w:rPr>
          <w:b/>
        </w:rPr>
      </w:pPr>
    </w:p>
    <w:p>
      <w:pPr>
        <w:pStyle w:val="BodyText"/>
        <w:spacing w:before="4"/>
        <w:rPr>
          <w:b/>
        </w:rPr>
      </w:pPr>
    </w:p>
    <w:p>
      <w:pPr>
        <w:pStyle w:val="BodyText"/>
        <w:spacing w:line="360" w:lineRule="auto"/>
        <w:ind w:left="684" w:right="117" w:firstLine="336"/>
        <w:jc w:val="both"/>
      </w:pPr>
      <w:r>
        <w:rPr/>
        <w:t>Constituidos en sistema los medios de comunicación favorecen la selectividad del mensaje, la convención del mismo, la simplificación y reducción de la complejidad del símbolo para su mejor comprensión y difusión</w:t>
      </w:r>
    </w:p>
    <w:p>
      <w:pPr>
        <w:pStyle w:val="BodyText"/>
        <w:spacing w:line="282" w:lineRule="exact"/>
        <w:ind w:left="684" w:firstLine="404"/>
        <w:jc w:val="both"/>
      </w:pPr>
      <w:r>
        <w:rPr/>
        <w:t>El hombre como ser simbólico,</w:t>
      </w:r>
      <w:r>
        <w:rPr>
          <w:position w:val="11"/>
          <w:sz w:val="16"/>
        </w:rPr>
        <w:t>173  </w:t>
      </w:r>
      <w:r>
        <w:rPr/>
        <w:t>portador de lenguaje, se afirma como  </w:t>
      </w:r>
      <w:r>
        <w:rPr>
          <w:spacing w:val="55"/>
        </w:rPr>
        <w:t> </w:t>
      </w:r>
      <w:r>
        <w:rPr/>
        <w:t>actor</w:t>
      </w:r>
    </w:p>
    <w:p>
      <w:pPr>
        <w:pStyle w:val="BodyText"/>
        <w:spacing w:line="360" w:lineRule="auto" w:before="136"/>
        <w:ind w:left="684" w:right="117"/>
        <w:jc w:val="both"/>
      </w:pPr>
      <w:r>
        <w:rPr/>
        <w:t>comunicativo, su necesidad de comunicar implica su propia naturaleza y sobrevivencia, los medios utilizados para tal efecto van desde la palabra escrita y la comunicación directa hasta el uso del símbolo como parte de su capacidad de abstracción, para la comunicación indirecta. Un ejemplo determinante es el desarrollo de la escritura, que implicó la facultad de transmitir acontecimientos diversos trascendiendo tiempo y lugar.</w:t>
      </w:r>
    </w:p>
    <w:p>
      <w:pPr>
        <w:pStyle w:val="BodyText"/>
        <w:spacing w:line="360" w:lineRule="auto" w:before="2"/>
        <w:ind w:left="684" w:right="118" w:firstLine="336"/>
        <w:jc w:val="both"/>
      </w:pPr>
      <w:r>
        <w:rPr/>
        <w:t>El significado y la comunicación se inducen por el medio transmisor que es la palabra (difundida a través de diferentes medios) que codifica y promueve las  ideas</w:t>
      </w:r>
      <w:r>
        <w:rPr>
          <w:spacing w:val="52"/>
        </w:rPr>
        <w:t> </w:t>
      </w:r>
      <w:r>
        <w:rPr/>
        <w:t>y</w:t>
      </w:r>
      <w:r>
        <w:rPr>
          <w:spacing w:val="44"/>
        </w:rPr>
        <w:t> </w:t>
      </w:r>
      <w:r>
        <w:rPr/>
        <w:t>pensamientos.</w:t>
      </w:r>
      <w:r>
        <w:rPr>
          <w:spacing w:val="49"/>
        </w:rPr>
        <w:t> </w:t>
      </w:r>
      <w:r>
        <w:rPr/>
        <w:t>Bajo</w:t>
      </w:r>
      <w:r>
        <w:rPr>
          <w:spacing w:val="46"/>
        </w:rPr>
        <w:t> </w:t>
      </w:r>
      <w:r>
        <w:rPr/>
        <w:t>esta</w:t>
      </w:r>
      <w:r>
        <w:rPr>
          <w:spacing w:val="51"/>
        </w:rPr>
        <w:t> </w:t>
      </w:r>
      <w:r>
        <w:rPr/>
        <w:t>idea</w:t>
      </w:r>
      <w:r>
        <w:rPr>
          <w:spacing w:val="46"/>
        </w:rPr>
        <w:t> </w:t>
      </w:r>
      <w:r>
        <w:rPr/>
        <w:t>Luhmann</w:t>
      </w:r>
      <w:r>
        <w:rPr>
          <w:spacing w:val="46"/>
        </w:rPr>
        <w:t> </w:t>
      </w:r>
      <w:r>
        <w:rPr/>
        <w:t>afirma:</w:t>
      </w:r>
      <w:r>
        <w:rPr>
          <w:spacing w:val="49"/>
        </w:rPr>
        <w:t> </w:t>
      </w:r>
      <w:r>
        <w:rPr/>
        <w:t>“[...]</w:t>
      </w:r>
      <w:r>
        <w:rPr>
          <w:spacing w:val="49"/>
        </w:rPr>
        <w:t> </w:t>
      </w:r>
      <w:r>
        <w:rPr/>
        <w:t>procederemos</w:t>
      </w:r>
      <w:r>
        <w:rPr>
          <w:spacing w:val="52"/>
        </w:rPr>
        <w:t> </w:t>
      </w:r>
      <w:r>
        <w:rPr/>
        <w:t>del</w:t>
      </w:r>
    </w:p>
    <w:p>
      <w:pPr>
        <w:pStyle w:val="BodyText"/>
        <w:spacing w:before="8"/>
        <w:rPr>
          <w:sz w:val="8"/>
        </w:rPr>
      </w:pPr>
      <w:r>
        <w:rPr/>
        <w:pict>
          <v:line style="position:absolute;mso-position-horizontal-relative:page;mso-position-vertical-relative:paragraph;z-index:5296;mso-wrap-distance-left:0;mso-wrap-distance-right:0" from="99.224998pt,7.258888pt" to="243.274998pt,7.258888pt" stroked="true" strokeweight=".60004pt" strokecolor="#000000">
            <w10:wrap type="topAndBottom"/>
          </v:line>
        </w:pict>
      </w:r>
    </w:p>
    <w:p>
      <w:pPr>
        <w:spacing w:line="235" w:lineRule="exact" w:before="48"/>
        <w:ind w:left="684" w:right="114" w:firstLine="0"/>
        <w:jc w:val="left"/>
        <w:rPr>
          <w:rFonts w:ascii="Calibri"/>
          <w:sz w:val="18"/>
        </w:rPr>
      </w:pPr>
      <w:r>
        <w:rPr>
          <w:position w:val="9"/>
          <w:sz w:val="12"/>
        </w:rPr>
        <w:t>172 </w:t>
      </w:r>
      <w:r>
        <w:rPr>
          <w:rFonts w:ascii="Calibri"/>
          <w:sz w:val="18"/>
        </w:rPr>
        <w:t>LUHMANN, Niklas, </w:t>
      </w:r>
      <w:r>
        <w:rPr>
          <w:rFonts w:ascii="Calibri"/>
          <w:i/>
          <w:sz w:val="18"/>
        </w:rPr>
        <w:t>Poder</w:t>
      </w:r>
      <w:r>
        <w:rPr>
          <w:rFonts w:ascii="Calibri"/>
          <w:sz w:val="18"/>
        </w:rPr>
        <w:t>, Anthropos, Barcelona, 1995  p. 127</w:t>
      </w:r>
    </w:p>
    <w:p>
      <w:pPr>
        <w:spacing w:line="236" w:lineRule="exact" w:before="0"/>
        <w:ind w:left="684" w:right="114" w:firstLine="0"/>
        <w:jc w:val="left"/>
        <w:rPr>
          <w:rFonts w:ascii="Calibri" w:hAnsi="Calibri"/>
          <w:sz w:val="18"/>
        </w:rPr>
      </w:pPr>
      <w:r>
        <w:rPr>
          <w:rFonts w:ascii="Calibri" w:hAnsi="Calibri"/>
          <w:position w:val="9"/>
          <w:sz w:val="12"/>
        </w:rPr>
        <w:t>173 </w:t>
      </w:r>
      <w:r>
        <w:rPr>
          <w:rFonts w:ascii="Calibri" w:hAnsi="Calibri"/>
          <w:sz w:val="18"/>
        </w:rPr>
        <w:t>Véase: CASSIRER, Ernst, </w:t>
      </w:r>
      <w:r>
        <w:rPr>
          <w:rFonts w:ascii="Calibri" w:hAnsi="Calibri"/>
          <w:i/>
          <w:sz w:val="18"/>
        </w:rPr>
        <w:t>Antropología Filosófica</w:t>
      </w:r>
      <w:r>
        <w:rPr>
          <w:rFonts w:ascii="Calibri" w:hAnsi="Calibri"/>
          <w:sz w:val="18"/>
        </w:rPr>
        <w:t>, Fondo de Cultura Económica, México, 1982</w:t>
      </w:r>
    </w:p>
    <w:p>
      <w:pPr>
        <w:spacing w:after="0" w:line="236" w:lineRule="exact"/>
        <w:jc w:val="left"/>
        <w:rPr>
          <w:rFonts w:ascii="Calibri" w:hAnsi="Calibri"/>
          <w:sz w:val="18"/>
        </w:rPr>
        <w:sectPr>
          <w:footerReference w:type="default" r:id="rId78"/>
          <w:pgSz w:w="12240" w:h="15840"/>
          <w:pgMar w:footer="876" w:header="0" w:top="520" w:bottom="1060" w:left="1300" w:right="1300"/>
          <w:pgNumType w:start="93"/>
        </w:sectPr>
      </w:pPr>
    </w:p>
    <w:p>
      <w:pPr>
        <w:pStyle w:val="Heading3"/>
      </w:pPr>
      <w:r>
        <w:rPr/>
        <w:pict>
          <v:line style="position:absolute;mso-position-horizontal-relative:page;mso-position-vertical-relative:paragraph;z-index:536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5" w:lineRule="auto" w:before="70"/>
        <w:ind w:left="264" w:right="218"/>
        <w:jc w:val="both"/>
      </w:pPr>
      <w:r>
        <w:rPr/>
        <w:t>supuesto básico de que los sistemas sociales siempre se forman a través de la comunicación, es decir siempre suponen que procesos de selección múltiple se determinan unos a otros por medio de la anticipación o la reacción.”</w:t>
      </w:r>
      <w:r>
        <w:rPr>
          <w:position w:val="11"/>
          <w:sz w:val="16"/>
        </w:rPr>
        <w:t>174 </w:t>
      </w:r>
      <w:r>
        <w:rPr/>
        <w:t>e integran los paradigmas de cada época con base en el discurso de cada cultura. Discursos que establecen relaciones de poder, así como las expectativas de los individuos, mismas que se integran como una posibilidad de pensar diferente, de reinventar el presente. Todo esto puede hacer la comunicación.</w:t>
      </w:r>
    </w:p>
    <w:p>
      <w:pPr>
        <w:pStyle w:val="BodyText"/>
      </w:pPr>
    </w:p>
    <w:p>
      <w:pPr>
        <w:pStyle w:val="Heading3"/>
        <w:spacing w:before="143"/>
        <w:ind w:left="264"/>
        <w:jc w:val="both"/>
        <w:rPr>
          <w:rFonts w:ascii="Arial"/>
        </w:rPr>
      </w:pPr>
      <w:r>
        <w:rPr>
          <w:rFonts w:ascii="Arial"/>
        </w:rPr>
        <w:t>Medios Impresos</w:t>
      </w:r>
    </w:p>
    <w:p>
      <w:pPr>
        <w:pStyle w:val="BodyText"/>
        <w:rPr>
          <w:b/>
        </w:rPr>
      </w:pPr>
    </w:p>
    <w:p>
      <w:pPr>
        <w:pStyle w:val="BodyText"/>
        <w:spacing w:before="3"/>
        <w:rPr>
          <w:b/>
          <w:sz w:val="21"/>
        </w:rPr>
      </w:pPr>
    </w:p>
    <w:p>
      <w:pPr>
        <w:pStyle w:val="BodyText"/>
        <w:spacing w:line="360" w:lineRule="auto" w:before="1"/>
        <w:ind w:left="264" w:right="218" w:firstLine="672"/>
        <w:jc w:val="both"/>
      </w:pPr>
      <w:r>
        <w:rPr/>
        <w:t>La imprenta </w:t>
      </w:r>
      <w:r>
        <w:rPr>
          <w:position w:val="11"/>
          <w:sz w:val="16"/>
        </w:rPr>
        <w:t>175</w:t>
      </w:r>
      <w:r>
        <w:rPr/>
        <w:t>cuya tecnología se debe a Johannes Gutenberg, surge en el siglo XV, propiciando durante este siglo el nacimiento del periódico; sin embargo para el  inventor éste no era su objetivo. Su propósito era elaborar varias copias  de la Biblia en menos de la mitad del tiempo de lo que tardaba en copiar una, el </w:t>
      </w:r>
      <w:r>
        <w:rPr>
          <w:spacing w:val="-2"/>
        </w:rPr>
        <w:t>más </w:t>
      </w:r>
      <w:r>
        <w:rPr/>
        <w:t>rápido de los monjes copistas del mundo cristiano, y que éstas no fueran diferentes en absoluto de las manuscritas por ellos; fue así como su creación permitió transformar toda una época, al ser el precursor de lo que sería el primer medio de comunicación impresa, el periódico, que atendiendo al deseo de la población por conocer </w:t>
      </w:r>
      <w:r>
        <w:rPr>
          <w:spacing w:val="-2"/>
        </w:rPr>
        <w:t>más </w:t>
      </w:r>
      <w:r>
        <w:rPr/>
        <w:t>de cerca los acontecimientos que se producían fuera del área en que se movían cotidianamente, compraban cada vez con más frecuencia las hojas informativas que se vendían por la</w:t>
      </w:r>
      <w:r>
        <w:rPr>
          <w:spacing w:val="-32"/>
        </w:rPr>
        <w:t> </w:t>
      </w:r>
      <w:r>
        <w:rPr/>
        <w:t>calle.</w:t>
      </w:r>
    </w:p>
    <w:p>
      <w:pPr>
        <w:pStyle w:val="BodyText"/>
        <w:spacing w:line="360" w:lineRule="auto" w:before="110"/>
        <w:ind w:left="264" w:right="214" w:firstLine="336"/>
        <w:jc w:val="both"/>
      </w:pPr>
      <w:r>
        <w:rPr/>
        <w:t>En países como Alemania, Holanda o Inglaterra se publicaron, en los siglos XVI y XVII, hojas de noticias de distintos tamaños y formatos, mientras tanto otros lugares como algunas ciudades de Francia se comenzaron a publicar en el siglo XV los primeros periódicos literarios y las primeras revistas. Las hojas informativas fueron aceptadas por un gran número de lectores, convirtiéndose en un medio influyente y muy bien organizado de distribución de noticias.</w:t>
      </w:r>
    </w:p>
    <w:p>
      <w:pPr>
        <w:pStyle w:val="BodyText"/>
        <w:spacing w:line="362" w:lineRule="auto" w:before="110" w:after="19"/>
        <w:ind w:left="264" w:right="223" w:firstLine="336"/>
        <w:jc w:val="both"/>
      </w:pPr>
      <w:r>
        <w:rPr/>
        <w:t>Por esta razón, los gobernantes prohibieron su impresión y difusión a particulares, dándose a la tarea de crear publicaciones oficiales que expresaban el</w:t>
      </w:r>
    </w:p>
    <w:p>
      <w:pPr>
        <w:pStyle w:val="BodyText"/>
        <w:spacing w:line="20" w:lineRule="exact"/>
        <w:ind w:left="258"/>
        <w:rPr>
          <w:sz w:val="2"/>
        </w:rPr>
      </w:pPr>
      <w:r>
        <w:rPr>
          <w:sz w:val="2"/>
        </w:rPr>
        <w:pict>
          <v:group style="width:144.65pt;height:.6pt;mso-position-horizontal-relative:char;mso-position-vertical-relative:line" coordorigin="0,0" coordsize="2893,12">
            <v:line style="position:absolute" from="6,6" to="2887,6" stroked="true" strokeweight=".60004pt" strokecolor="#000000"/>
          </v:group>
        </w:pict>
      </w:r>
      <w:r>
        <w:rPr>
          <w:sz w:val="2"/>
        </w:rPr>
      </w:r>
    </w:p>
    <w:p>
      <w:pPr>
        <w:spacing w:line="236" w:lineRule="exact" w:before="67"/>
        <w:ind w:left="264" w:right="0" w:firstLine="0"/>
        <w:jc w:val="left"/>
        <w:rPr>
          <w:rFonts w:ascii="Calibri" w:hAnsi="Calibri"/>
          <w:sz w:val="18"/>
        </w:rPr>
      </w:pPr>
      <w:r>
        <w:rPr>
          <w:rFonts w:ascii="Calibri" w:hAnsi="Calibri"/>
          <w:position w:val="9"/>
          <w:sz w:val="12"/>
        </w:rPr>
        <w:t>174 </w:t>
      </w:r>
      <w:r>
        <w:rPr>
          <w:rFonts w:ascii="Calibri" w:hAnsi="Calibri"/>
          <w:sz w:val="18"/>
        </w:rPr>
        <w:t>LUHMANN, Niklas, </w:t>
      </w:r>
      <w:r>
        <w:rPr>
          <w:rFonts w:ascii="Calibri" w:hAnsi="Calibri"/>
          <w:i/>
          <w:sz w:val="18"/>
        </w:rPr>
        <w:t>Óp. Cit.</w:t>
      </w:r>
      <w:r>
        <w:rPr>
          <w:rFonts w:ascii="Calibri" w:hAnsi="Calibri"/>
          <w:sz w:val="18"/>
        </w:rPr>
        <w:t>, p. 9</w:t>
      </w:r>
    </w:p>
    <w:p>
      <w:pPr>
        <w:spacing w:line="220" w:lineRule="exact" w:before="12"/>
        <w:ind w:left="264" w:right="335" w:firstLine="0"/>
        <w:jc w:val="left"/>
        <w:rPr>
          <w:rFonts w:ascii="Calibri" w:hAnsi="Calibri"/>
          <w:sz w:val="18"/>
        </w:rPr>
      </w:pPr>
      <w:r>
        <w:rPr>
          <w:rFonts w:ascii="Calibri" w:hAnsi="Calibri"/>
          <w:position w:val="9"/>
          <w:sz w:val="12"/>
        </w:rPr>
        <w:t>175 </w:t>
      </w:r>
      <w:r>
        <w:rPr>
          <w:rFonts w:ascii="Calibri" w:hAnsi="Calibri"/>
          <w:sz w:val="18"/>
        </w:rPr>
        <w:t>Véase: WILLIAMS, Raymond, </w:t>
      </w:r>
      <w:r>
        <w:rPr>
          <w:rFonts w:ascii="Calibri" w:hAnsi="Calibri"/>
          <w:i/>
          <w:sz w:val="18"/>
        </w:rPr>
        <w:t>Historia De La Comunicación: De La Imprenta A Nuestros Días</w:t>
      </w:r>
      <w:r>
        <w:rPr>
          <w:rFonts w:ascii="Calibri" w:hAnsi="Calibri"/>
          <w:sz w:val="18"/>
        </w:rPr>
        <w:t>, Editorial Bosch,  Barcelona,</w:t>
      </w:r>
      <w:r>
        <w:rPr>
          <w:rFonts w:ascii="Calibri" w:hAnsi="Calibri"/>
          <w:spacing w:val="-4"/>
          <w:sz w:val="18"/>
        </w:rPr>
        <w:t> </w:t>
      </w:r>
      <w:r>
        <w:rPr>
          <w:rFonts w:ascii="Calibri" w:hAnsi="Calibri"/>
          <w:sz w:val="18"/>
        </w:rPr>
        <w:t>1992.</w:t>
      </w:r>
    </w:p>
    <w:p>
      <w:pPr>
        <w:spacing w:after="0" w:line="220"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541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22"/>
        <w:jc w:val="both"/>
      </w:pPr>
      <w:r>
        <w:rPr/>
        <w:t>punto de vista del poder y suprimiendo aquellos reportajes opuestos al régimen. Estas publicaciones se denominaron gacetas y comenzaron a editarse primero en Francia y después en todo el continente europeo.</w:t>
      </w:r>
    </w:p>
    <w:p>
      <w:pPr>
        <w:pStyle w:val="BodyText"/>
        <w:spacing w:line="360" w:lineRule="auto" w:before="75"/>
        <w:ind w:left="684" w:right="113" w:firstLine="336"/>
        <w:jc w:val="both"/>
      </w:pPr>
      <w:r>
        <w:rPr/>
        <w:t>En 1624, España difundió la primera gaceta oficial,</w:t>
      </w:r>
      <w:r>
        <w:rPr>
          <w:position w:val="11"/>
          <w:sz w:val="16"/>
        </w:rPr>
        <w:t>176 </w:t>
      </w:r>
      <w:r>
        <w:rPr/>
        <w:t>así, derivado de su capacidad de transmitir ideas, mensajes, crítica, etc. y su permeabilidad en la opinión popular los estados se apropiaron de este medio constituyéndolo en un monopolio controlado rigurosamente por ellos, en ese sentido, a particulares sólo se les permitió elaborar boletines. En 1702, nace en Inglaterra el primer periódico diario, </w:t>
      </w:r>
      <w:r>
        <w:rPr>
          <w:i/>
        </w:rPr>
        <w:t>el Daily Courant</w:t>
      </w:r>
      <w:r>
        <w:rPr/>
        <w:t>. En Latinoamérica los primeros periódicos aparecieron en el siglo XVII. En México se publicó </w:t>
      </w:r>
      <w:r>
        <w:rPr>
          <w:i/>
        </w:rPr>
        <w:t>La Gazeta</w:t>
      </w:r>
      <w:r>
        <w:rPr/>
        <w:t>, con noticias procedentes de las capitales europeas y secciones fijas. En 1743 se imprime </w:t>
      </w:r>
      <w:r>
        <w:rPr>
          <w:i/>
        </w:rPr>
        <w:t>La Gazeta de Lima y La </w:t>
      </w:r>
      <w:r>
        <w:rPr>
          <w:i/>
        </w:rPr>
        <w:t>Gazeta de Madrid</w:t>
      </w:r>
      <w:r>
        <w:rPr/>
        <w:t>; en Guatemala se edita </w:t>
      </w:r>
      <w:r>
        <w:rPr>
          <w:i/>
        </w:rPr>
        <w:t>la Gazeta de Goathemala. </w:t>
      </w:r>
      <w:r>
        <w:rPr>
          <w:spacing w:val="-2"/>
        </w:rPr>
        <w:t>Más </w:t>
      </w:r>
      <w:r>
        <w:rPr/>
        <w:t>adelante, los distintos gobiernos fueron suprimiendo la prohibición de publicar noticias locales en los periódicos, con lo cual se estimuló aún más el crecimiento del medio. A comienzos del siglo XVIII, los políticos empezaron a reconocer el potencial del medio informativo impreso, como forma para orientar la opinión de la sociedad y comunicar sus proyectos e ideas con respecto a sus propuestas para  la conformación del</w:t>
      </w:r>
      <w:r>
        <w:rPr>
          <w:spacing w:val="-18"/>
        </w:rPr>
        <w:t> </w:t>
      </w:r>
      <w:r>
        <w:rPr/>
        <w:t>Estado.</w:t>
      </w:r>
    </w:p>
    <w:p>
      <w:pPr>
        <w:pStyle w:val="BodyText"/>
        <w:spacing w:line="360" w:lineRule="auto" w:before="114"/>
        <w:ind w:left="684" w:right="117" w:firstLine="404"/>
        <w:jc w:val="both"/>
      </w:pPr>
      <w:r>
        <w:rPr/>
        <w:t>En el siglo XIX, el periodismo se vio afectado positivamente a partir de la revolución industrial, de los efectos de las ideas de la Revolución francesa y la ampliación social de la alfabetización; fenómeno que surge como producto de un nuevo concepto de la educación pública que se fue imponiendo en los países occidentales. La sociedad recién alfabetizada solicitaba cada vez más noticias.</w:t>
      </w:r>
    </w:p>
    <w:p>
      <w:pPr>
        <w:pStyle w:val="BodyText"/>
      </w:pPr>
    </w:p>
    <w:p>
      <w:pPr>
        <w:pStyle w:val="BodyText"/>
        <w:spacing w:before="4"/>
        <w:rPr>
          <w:sz w:val="31"/>
        </w:rPr>
      </w:pPr>
    </w:p>
    <w:p>
      <w:pPr>
        <w:spacing w:line="235" w:lineRule="auto" w:before="0"/>
        <w:ind w:left="1393" w:right="112" w:firstLine="0"/>
        <w:jc w:val="both"/>
        <w:rPr>
          <w:sz w:val="14"/>
        </w:rPr>
      </w:pPr>
      <w:r>
        <w:rPr>
          <w:sz w:val="22"/>
        </w:rPr>
        <w:t>“A mediados del siglo XIX comenzaron a aparecer diarios de gran calidad, que llevaban a cabo seguimientos serios y exhaustivos de las noticias del momento y profundos análisis de sus consecuencias. En España se publicaría </w:t>
      </w:r>
      <w:r>
        <w:rPr>
          <w:i/>
          <w:sz w:val="22"/>
        </w:rPr>
        <w:t>“El Imparcial</w:t>
      </w:r>
      <w:r>
        <w:rPr>
          <w:sz w:val="22"/>
        </w:rPr>
        <w:t>”, en América Latina se pueden nombrar </w:t>
      </w:r>
      <w:r>
        <w:rPr>
          <w:i/>
          <w:sz w:val="22"/>
        </w:rPr>
        <w:t>“La Nación</w:t>
      </w:r>
      <w:r>
        <w:rPr>
          <w:sz w:val="22"/>
        </w:rPr>
        <w:t>” de Buenos Aires o  </w:t>
      </w:r>
      <w:r>
        <w:rPr>
          <w:i/>
          <w:sz w:val="22"/>
        </w:rPr>
        <w:t>“El siglo</w:t>
      </w:r>
      <w:r>
        <w:rPr>
          <w:sz w:val="22"/>
        </w:rPr>
        <w:t>”,  de Montevideo.”</w:t>
      </w:r>
      <w:r>
        <w:rPr>
          <w:spacing w:val="-7"/>
          <w:sz w:val="22"/>
        </w:rPr>
        <w:t> </w:t>
      </w:r>
      <w:r>
        <w:rPr>
          <w:spacing w:val="-2"/>
          <w:position w:val="10"/>
          <w:sz w:val="14"/>
        </w:rPr>
        <w:t>177</w:t>
      </w:r>
    </w:p>
    <w:p>
      <w:pPr>
        <w:pStyle w:val="BodyText"/>
        <w:rPr>
          <w:sz w:val="20"/>
        </w:rPr>
      </w:pPr>
    </w:p>
    <w:p>
      <w:pPr>
        <w:pStyle w:val="BodyText"/>
        <w:spacing w:before="6"/>
        <w:rPr>
          <w:sz w:val="18"/>
        </w:rPr>
      </w:pPr>
      <w:r>
        <w:rPr/>
        <w:pict>
          <v:line style="position:absolute;mso-position-horizontal-relative:page;mso-position-vertical-relative:paragraph;z-index:5392;mso-wrap-distance-left:0;mso-wrap-distance-right:0" from="99.224998pt,12.926521pt" to="243.274998pt,12.926521pt" stroked="true" strokeweight=".60004pt" strokecolor="#000000">
            <w10:wrap type="topAndBottom"/>
          </v:line>
        </w:pict>
      </w:r>
    </w:p>
    <w:p>
      <w:pPr>
        <w:spacing w:before="48"/>
        <w:ind w:left="684" w:right="107" w:firstLine="0"/>
        <w:jc w:val="both"/>
        <w:rPr>
          <w:rFonts w:ascii="Calibri" w:hAnsi="Calibri"/>
          <w:sz w:val="18"/>
        </w:rPr>
      </w:pPr>
      <w:r>
        <w:rPr>
          <w:position w:val="9"/>
          <w:sz w:val="12"/>
        </w:rPr>
        <w:t>176 </w:t>
      </w:r>
      <w:r>
        <w:rPr>
          <w:rFonts w:ascii="Calibri" w:hAnsi="Calibri"/>
          <w:sz w:val="18"/>
        </w:rPr>
        <w:t>GUEVARA Calderón, Bayron José</w:t>
      </w:r>
      <w:r>
        <w:rPr>
          <w:rFonts w:ascii="Calibri" w:hAnsi="Calibri"/>
          <w:i/>
          <w:sz w:val="18"/>
        </w:rPr>
        <w:t>, “</w:t>
      </w:r>
      <w:r>
        <w:rPr>
          <w:rFonts w:ascii="Calibri" w:hAnsi="Calibri"/>
          <w:sz w:val="18"/>
        </w:rPr>
        <w:t>Medios de comunicación Social a nivel mundial y en Honduras”</w:t>
      </w:r>
      <w:r>
        <w:rPr>
          <w:rFonts w:ascii="Calibri" w:hAnsi="Calibri"/>
          <w:i/>
          <w:sz w:val="18"/>
        </w:rPr>
        <w:t>, Monografías.com </w:t>
      </w:r>
      <w:r>
        <w:rPr>
          <w:rFonts w:ascii="Calibri" w:hAnsi="Calibri"/>
          <w:sz w:val="18"/>
        </w:rPr>
        <w:t>[en línea] consulta 20/04/2009 disponible en </w:t>
      </w:r>
      <w:hyperlink r:id="rId79">
        <w:r>
          <w:rPr>
            <w:rFonts w:ascii="Calibri" w:hAnsi="Calibri"/>
            <w:color w:val="0000FF"/>
            <w:sz w:val="18"/>
            <w:u w:val="single" w:color="0000FF"/>
          </w:rPr>
          <w:t>http://www.monografias.com/trabajos17/medios-comunicacion-</w:t>
        </w:r>
      </w:hyperlink>
      <w:r>
        <w:rPr>
          <w:rFonts w:ascii="Calibri" w:hAnsi="Calibri"/>
          <w:color w:val="0000FF"/>
          <w:sz w:val="18"/>
          <w:u w:val="single" w:color="0000FF"/>
        </w:rPr>
        <w:t> </w:t>
      </w:r>
      <w:hyperlink r:id="rId79">
        <w:r>
          <w:rPr>
            <w:rFonts w:ascii="Calibri" w:hAnsi="Calibri"/>
            <w:color w:val="0000FF"/>
            <w:sz w:val="18"/>
            <w:u w:val="single" w:color="0000FF"/>
          </w:rPr>
          <w:t>social/medios-comunicacion-social.shtml</w:t>
        </w:r>
        <w:r>
          <w:rPr>
            <w:rFonts w:ascii="Calibri" w:hAnsi="Calibri"/>
            <w:sz w:val="18"/>
          </w:rPr>
          <w:t>.</w:t>
        </w:r>
      </w:hyperlink>
    </w:p>
    <w:p>
      <w:pPr>
        <w:spacing w:line="220" w:lineRule="exact" w:before="0"/>
        <w:ind w:left="684" w:right="0" w:firstLine="0"/>
        <w:jc w:val="both"/>
        <w:rPr>
          <w:rFonts w:ascii="Calibri" w:hAnsi="Calibri"/>
          <w:i/>
          <w:sz w:val="18"/>
        </w:rPr>
      </w:pPr>
      <w:r>
        <w:rPr>
          <w:rFonts w:ascii="Calibri" w:hAnsi="Calibri"/>
          <w:position w:val="9"/>
          <w:sz w:val="12"/>
        </w:rPr>
        <w:t>177 </w:t>
      </w:r>
      <w:r>
        <w:rPr>
          <w:rFonts w:ascii="Calibri" w:hAnsi="Calibri"/>
          <w:i/>
          <w:sz w:val="18"/>
        </w:rPr>
        <w:t>Ídem</w:t>
      </w:r>
      <w:r>
        <w:rPr>
          <w:rFonts w:ascii="Calibri" w:hAnsi="Calibri"/>
          <w:sz w:val="18"/>
        </w:rPr>
        <w:t>. </w:t>
      </w:r>
      <w:r>
        <w:rPr>
          <w:rFonts w:ascii="Calibri" w:hAnsi="Calibri"/>
          <w:i/>
          <w:sz w:val="18"/>
        </w:rPr>
        <w:t>.</w:t>
      </w:r>
    </w:p>
    <w:p>
      <w:pPr>
        <w:spacing w:after="0" w:line="220"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546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spacing w:line="355" w:lineRule="auto" w:before="193"/>
        <w:ind w:left="264" w:right="214" w:firstLine="336"/>
        <w:jc w:val="both"/>
        <w:rPr>
          <w:sz w:val="16"/>
        </w:rPr>
      </w:pPr>
      <w:r>
        <w:rPr/>
        <w:t>En Estados Unidos aparecieron dos empresarios periodísticos, Joseph Pulitzer y Randolph Hearst, que crearon publicaciones destinadas a la población de las grandes ciudades, en pleno crecimiento por entonces. En México, durante el siglo XX el periodismo tuvo una gran influencia en los movimientos sociales, y aunque no llega a todas las clases sociales es el espacio </w:t>
      </w:r>
      <w:r>
        <w:rPr>
          <w:spacing w:val="-2"/>
        </w:rPr>
        <w:t>más </w:t>
      </w:r>
      <w:r>
        <w:rPr/>
        <w:t>propio para la difusión de  las noticias de México y el</w:t>
      </w:r>
      <w:r>
        <w:rPr>
          <w:spacing w:val="-15"/>
        </w:rPr>
        <w:t> </w:t>
      </w:r>
      <w:r>
        <w:rPr/>
        <w:t>mundo.</w:t>
      </w:r>
      <w:r>
        <w:rPr>
          <w:position w:val="11"/>
          <w:sz w:val="16"/>
        </w:rPr>
        <w:t>178</w:t>
      </w:r>
    </w:p>
    <w:p>
      <w:pPr>
        <w:pStyle w:val="BodyText"/>
        <w:spacing w:line="360" w:lineRule="auto" w:before="98"/>
        <w:ind w:left="264" w:right="218" w:firstLine="336"/>
        <w:jc w:val="both"/>
      </w:pPr>
      <w:r>
        <w:rPr/>
        <w:t>El nacimiento de la prensa como elemento necesario del capitalismo- imperialismo incipiente fungió como elemento difusor de las ideas y noticias necesarias para iniciar un proceso de consolidación del nuevo sistema socio- económico.</w:t>
      </w:r>
    </w:p>
    <w:p>
      <w:pPr>
        <w:pStyle w:val="BodyText"/>
      </w:pPr>
    </w:p>
    <w:p>
      <w:pPr>
        <w:pStyle w:val="Heading3"/>
        <w:spacing w:before="138"/>
        <w:ind w:left="264"/>
        <w:rPr>
          <w:rFonts w:ascii="Arial"/>
        </w:rPr>
      </w:pPr>
      <w:r>
        <w:rPr>
          <w:rFonts w:ascii="Arial"/>
        </w:rPr>
        <w:t>Revistas</w:t>
      </w:r>
    </w:p>
    <w:p>
      <w:pPr>
        <w:pStyle w:val="BodyText"/>
        <w:rPr>
          <w:b/>
        </w:rPr>
      </w:pPr>
    </w:p>
    <w:p>
      <w:pPr>
        <w:pStyle w:val="BodyText"/>
        <w:spacing w:before="4"/>
        <w:rPr>
          <w:b/>
        </w:rPr>
      </w:pPr>
    </w:p>
    <w:p>
      <w:pPr>
        <w:pStyle w:val="BodyText"/>
        <w:spacing w:line="360" w:lineRule="auto"/>
        <w:ind w:left="264" w:right="213" w:firstLine="271"/>
        <w:jc w:val="both"/>
      </w:pPr>
      <w:r>
        <w:rPr/>
        <w:t>Este medio de difusión es uno de los productos innovadores que durante el  siglo XX se impulsa dadas las necesidades de información especializada y para la promoción de productos del mercado en potencia. Con las condiciones que los medios necesitaban para ser </w:t>
      </w:r>
      <w:r>
        <w:rPr>
          <w:spacing w:val="-2"/>
        </w:rPr>
        <w:t>más </w:t>
      </w:r>
      <w:r>
        <w:rPr/>
        <w:t>eficientes: el transporte, la industria del papel, la clase industrial que requería promocionar sus productos, estimularon y mejoraron este medio impreso. Por ejemplo en Alemania se llegaron a hacer tirajes de dos millones  de revistas.  Hoy en día,  las  tiradas  de  muchas  revistas  superan </w:t>
      </w:r>
      <w:r>
        <w:rPr>
          <w:spacing w:val="50"/>
        </w:rPr>
        <w:t> </w:t>
      </w:r>
      <w:r>
        <w:rPr/>
        <w:t>con</w:t>
      </w:r>
    </w:p>
    <w:p>
      <w:pPr>
        <w:pStyle w:val="BodyText"/>
        <w:spacing w:before="2"/>
        <w:rPr>
          <w:sz w:val="28"/>
        </w:rPr>
      </w:pPr>
      <w:r>
        <w:rPr/>
        <w:pict>
          <v:line style="position:absolute;mso-position-horizontal-relative:page;mso-position-vertical-relative:paragraph;z-index:5440;mso-wrap-distance-left:0;mso-wrap-distance-right:0" from="99.224998pt,18.45393pt" to="243.274998pt,18.45393pt" stroked="true" strokeweight=".599980pt" strokecolor="#000000">
            <w10:wrap type="topAndBottom"/>
          </v:line>
        </w:pict>
      </w:r>
    </w:p>
    <w:p>
      <w:pPr>
        <w:spacing w:line="242" w:lineRule="auto" w:before="40"/>
        <w:ind w:left="264" w:right="213" w:firstLine="0"/>
        <w:jc w:val="both"/>
        <w:rPr>
          <w:rFonts w:ascii="Calibri" w:hAnsi="Calibri"/>
          <w:sz w:val="18"/>
        </w:rPr>
      </w:pPr>
      <w:r>
        <w:rPr>
          <w:rFonts w:ascii="Times New Roman" w:hAnsi="Times New Roman"/>
          <w:position w:val="11"/>
          <w:sz w:val="16"/>
        </w:rPr>
        <w:t>178 </w:t>
      </w:r>
      <w:r>
        <w:rPr>
          <w:rFonts w:ascii="Calibri" w:hAnsi="Calibri"/>
          <w:sz w:val="18"/>
        </w:rPr>
        <w:t>A Porfirio Díaz se atribuye el apoyo para la apertura de </w:t>
      </w:r>
      <w:r>
        <w:rPr>
          <w:rFonts w:ascii="Calibri" w:hAnsi="Calibri"/>
          <w:i/>
          <w:sz w:val="18"/>
        </w:rPr>
        <w:t>El Imparcial </w:t>
      </w:r>
      <w:r>
        <w:rPr>
          <w:rFonts w:ascii="Calibri" w:hAnsi="Calibri"/>
          <w:sz w:val="18"/>
        </w:rPr>
        <w:t>que fue entonces el periódico más moderno de México. Fundado en 1896 por Rafael Reyes Espíndola, </w:t>
      </w:r>
      <w:r>
        <w:rPr>
          <w:rFonts w:ascii="Calibri" w:hAnsi="Calibri"/>
          <w:i/>
          <w:sz w:val="18"/>
        </w:rPr>
        <w:t>El Imparcial </w:t>
      </w:r>
      <w:r>
        <w:rPr>
          <w:rFonts w:ascii="Calibri" w:hAnsi="Calibri"/>
          <w:sz w:val="18"/>
        </w:rPr>
        <w:t>tomó el modelo clásico de los periódicos estadunidenses con su definición de secciones, corresponsales en provincia y servicios noticiosos de la agencia Associated Press (AP), lo que le atrajo mayor número de lectores que lo hicieron su favorito ya que alcanzó tirajes de hasta 100 mil ejemplares. </w:t>
      </w:r>
      <w:r>
        <w:rPr>
          <w:rFonts w:ascii="Calibri" w:hAnsi="Calibri"/>
          <w:i/>
          <w:sz w:val="18"/>
        </w:rPr>
        <w:t>El Imparcial </w:t>
      </w:r>
      <w:r>
        <w:rPr>
          <w:rFonts w:ascii="Calibri" w:hAnsi="Calibri"/>
          <w:sz w:val="18"/>
        </w:rPr>
        <w:t>desplazó a los periódicos el </w:t>
      </w:r>
      <w:r>
        <w:rPr>
          <w:rFonts w:ascii="Calibri" w:hAnsi="Calibri"/>
          <w:i/>
          <w:sz w:val="18"/>
        </w:rPr>
        <w:t>Siglo XIX </w:t>
      </w:r>
      <w:r>
        <w:rPr>
          <w:rFonts w:ascii="Calibri" w:hAnsi="Calibri"/>
          <w:sz w:val="18"/>
        </w:rPr>
        <w:t>y </w:t>
      </w:r>
      <w:r>
        <w:rPr>
          <w:rFonts w:ascii="Calibri" w:hAnsi="Calibri"/>
          <w:i/>
          <w:sz w:val="18"/>
        </w:rPr>
        <w:t>El Monitor Republicano  </w:t>
      </w:r>
      <w:r>
        <w:rPr>
          <w:rFonts w:ascii="Calibri" w:hAnsi="Calibri"/>
          <w:sz w:val="18"/>
        </w:rPr>
        <w:t>que  hasta entonces, eran las publicaciones más consolidadas en el gusto del público.</w:t>
      </w:r>
    </w:p>
    <w:p>
      <w:pPr>
        <w:spacing w:before="0"/>
        <w:ind w:left="264" w:right="223" w:firstLine="159"/>
        <w:jc w:val="both"/>
        <w:rPr>
          <w:rFonts w:ascii="Calibri" w:hAnsi="Calibri"/>
          <w:i/>
          <w:sz w:val="18"/>
        </w:rPr>
      </w:pPr>
      <w:r>
        <w:rPr>
          <w:rFonts w:ascii="Calibri" w:hAnsi="Calibri"/>
          <w:sz w:val="18"/>
        </w:rPr>
        <w:t>El taller de </w:t>
      </w:r>
      <w:r>
        <w:rPr>
          <w:rFonts w:ascii="Calibri" w:hAnsi="Calibri"/>
          <w:i/>
          <w:sz w:val="18"/>
        </w:rPr>
        <w:t>El Imparcial </w:t>
      </w:r>
      <w:r>
        <w:rPr>
          <w:rFonts w:ascii="Calibri" w:hAnsi="Calibri"/>
          <w:sz w:val="18"/>
        </w:rPr>
        <w:t>contó con las primeras rotativas del país, así como los primeros linotipos, excelente infraestructura que le sirvió para publicar las revistas </w:t>
      </w:r>
      <w:r>
        <w:rPr>
          <w:rFonts w:ascii="Calibri" w:hAnsi="Calibri"/>
          <w:i/>
          <w:sz w:val="18"/>
        </w:rPr>
        <w:t>El Mundo y El Mundo Ilustrado.</w:t>
      </w:r>
    </w:p>
    <w:p>
      <w:pPr>
        <w:spacing w:before="0"/>
        <w:ind w:left="264" w:right="221" w:firstLine="199"/>
        <w:jc w:val="both"/>
        <w:rPr>
          <w:rFonts w:ascii="Calibri" w:hAnsi="Calibri"/>
          <w:sz w:val="18"/>
        </w:rPr>
      </w:pPr>
      <w:r>
        <w:rPr>
          <w:rFonts w:ascii="Calibri" w:hAnsi="Calibri"/>
          <w:sz w:val="18"/>
        </w:rPr>
        <w:t>Este diario que frecuentemente incluyó fotografías en su primera plana, desapareció en 1914. Es el punto de partida  al periodismo moderno y empresarial de México, por ser el primero que incorporó en su estructura una bien organizada planta de reporteros y equipo de producción donde además, el trabajo eficiente de un departamento de publicidad, transformó</w:t>
      </w:r>
      <w:r>
        <w:rPr>
          <w:rFonts w:ascii="Calibri" w:hAnsi="Calibri"/>
          <w:spacing w:val="-3"/>
          <w:sz w:val="18"/>
        </w:rPr>
        <w:t> </w:t>
      </w:r>
      <w:r>
        <w:rPr>
          <w:rFonts w:ascii="Calibri" w:hAnsi="Calibri"/>
          <w:sz w:val="18"/>
        </w:rPr>
        <w:t>el</w:t>
      </w:r>
      <w:r>
        <w:rPr>
          <w:rFonts w:ascii="Calibri" w:hAnsi="Calibri"/>
          <w:spacing w:val="-5"/>
          <w:sz w:val="18"/>
        </w:rPr>
        <w:t> </w:t>
      </w:r>
      <w:r>
        <w:rPr>
          <w:rFonts w:ascii="Calibri" w:hAnsi="Calibri"/>
          <w:sz w:val="18"/>
        </w:rPr>
        <w:t>concepto</w:t>
      </w:r>
      <w:r>
        <w:rPr>
          <w:rFonts w:ascii="Calibri" w:hAnsi="Calibri"/>
          <w:spacing w:val="-3"/>
          <w:sz w:val="18"/>
        </w:rPr>
        <w:t> </w:t>
      </w:r>
      <w:r>
        <w:rPr>
          <w:rFonts w:ascii="Calibri" w:hAnsi="Calibri"/>
          <w:sz w:val="18"/>
        </w:rPr>
        <w:t>de</w:t>
      </w:r>
      <w:r>
        <w:rPr>
          <w:rFonts w:ascii="Calibri" w:hAnsi="Calibri"/>
          <w:spacing w:val="-5"/>
          <w:sz w:val="18"/>
        </w:rPr>
        <w:t> </w:t>
      </w:r>
      <w:r>
        <w:rPr>
          <w:rFonts w:ascii="Calibri" w:hAnsi="Calibri"/>
          <w:sz w:val="18"/>
        </w:rPr>
        <w:t>comercialización</w:t>
      </w:r>
      <w:r>
        <w:rPr>
          <w:rFonts w:ascii="Calibri" w:hAnsi="Calibri"/>
          <w:spacing w:val="-3"/>
          <w:sz w:val="18"/>
        </w:rPr>
        <w:t> </w:t>
      </w:r>
      <w:r>
        <w:rPr>
          <w:rFonts w:ascii="Calibri" w:hAnsi="Calibri"/>
          <w:sz w:val="18"/>
        </w:rPr>
        <w:t>de</w:t>
      </w:r>
      <w:r>
        <w:rPr>
          <w:rFonts w:ascii="Calibri" w:hAnsi="Calibri"/>
          <w:spacing w:val="-5"/>
          <w:sz w:val="18"/>
        </w:rPr>
        <w:t> </w:t>
      </w:r>
      <w:r>
        <w:rPr>
          <w:rFonts w:ascii="Calibri" w:hAnsi="Calibri"/>
          <w:sz w:val="18"/>
        </w:rPr>
        <w:t>espacios</w:t>
      </w:r>
      <w:r>
        <w:rPr>
          <w:rFonts w:ascii="Calibri" w:hAnsi="Calibri"/>
          <w:spacing w:val="-6"/>
          <w:sz w:val="18"/>
        </w:rPr>
        <w:t> </w:t>
      </w:r>
      <w:r>
        <w:rPr>
          <w:rFonts w:ascii="Calibri" w:hAnsi="Calibri"/>
          <w:sz w:val="18"/>
        </w:rPr>
        <w:t>conocido</w:t>
      </w:r>
      <w:r>
        <w:rPr>
          <w:rFonts w:ascii="Calibri" w:hAnsi="Calibri"/>
          <w:spacing w:val="-3"/>
          <w:sz w:val="18"/>
        </w:rPr>
        <w:t> </w:t>
      </w:r>
      <w:r>
        <w:rPr>
          <w:rFonts w:ascii="Calibri" w:hAnsi="Calibri"/>
          <w:sz w:val="18"/>
        </w:rPr>
        <w:t>hasta</w:t>
      </w:r>
      <w:r>
        <w:rPr>
          <w:rFonts w:ascii="Calibri" w:hAnsi="Calibri"/>
          <w:spacing w:val="-3"/>
          <w:sz w:val="18"/>
        </w:rPr>
        <w:t> </w:t>
      </w:r>
      <w:r>
        <w:rPr>
          <w:rFonts w:ascii="Calibri" w:hAnsi="Calibri"/>
          <w:sz w:val="18"/>
        </w:rPr>
        <w:t>entonces.</w:t>
      </w:r>
    </w:p>
    <w:p>
      <w:pPr>
        <w:spacing w:line="240" w:lineRule="auto" w:before="0"/>
        <w:ind w:left="264" w:right="213" w:firstLine="199"/>
        <w:jc w:val="both"/>
        <w:rPr>
          <w:rFonts w:ascii="Calibri" w:hAnsi="Calibri"/>
          <w:sz w:val="18"/>
        </w:rPr>
      </w:pPr>
      <w:r>
        <w:rPr>
          <w:rFonts w:ascii="Calibri" w:hAnsi="Calibri"/>
          <w:sz w:val="18"/>
        </w:rPr>
        <w:t>Después del cierre de </w:t>
      </w:r>
      <w:r>
        <w:rPr>
          <w:rFonts w:ascii="Calibri" w:hAnsi="Calibri"/>
          <w:i/>
          <w:sz w:val="18"/>
        </w:rPr>
        <w:t>El Imparcial</w:t>
      </w:r>
      <w:r>
        <w:rPr>
          <w:rFonts w:ascii="Calibri" w:hAnsi="Calibri"/>
          <w:sz w:val="18"/>
        </w:rPr>
        <w:t>, el primero de octubre de 1916 el constitucionalista Félix F. Palavicini funda </w:t>
      </w:r>
      <w:r>
        <w:rPr>
          <w:rFonts w:ascii="Calibri" w:hAnsi="Calibri"/>
          <w:i/>
          <w:sz w:val="18"/>
        </w:rPr>
        <w:t>El </w:t>
      </w:r>
      <w:r>
        <w:rPr>
          <w:rFonts w:ascii="Calibri" w:hAnsi="Calibri"/>
          <w:i/>
          <w:sz w:val="18"/>
        </w:rPr>
        <w:t>Universal </w:t>
      </w:r>
      <w:r>
        <w:rPr>
          <w:rFonts w:ascii="Calibri" w:hAnsi="Calibri"/>
          <w:sz w:val="18"/>
        </w:rPr>
        <w:t>y el 18 de marzo de 1917 Rafael Alducín hace lo propio con </w:t>
      </w:r>
      <w:r>
        <w:rPr>
          <w:rFonts w:ascii="Calibri" w:hAnsi="Calibri"/>
          <w:i/>
          <w:sz w:val="18"/>
        </w:rPr>
        <w:t>Excélsior</w:t>
      </w:r>
      <w:r>
        <w:rPr>
          <w:rFonts w:ascii="Calibri" w:hAnsi="Calibri"/>
          <w:sz w:val="18"/>
        </w:rPr>
        <w:t>, destacados periódicos capitalinos que subsisten en la actualidad. </w:t>
      </w:r>
      <w:r>
        <w:rPr>
          <w:rFonts w:ascii="Calibri" w:hAnsi="Calibri"/>
          <w:i/>
          <w:sz w:val="18"/>
        </w:rPr>
        <w:t>TRIPOD.COM</w:t>
      </w:r>
      <w:r>
        <w:rPr>
          <w:rFonts w:ascii="Calibri" w:hAnsi="Calibri"/>
          <w:sz w:val="18"/>
        </w:rPr>
        <w:t>, </w:t>
      </w:r>
      <w:r>
        <w:rPr>
          <w:rFonts w:ascii="Times New Roman" w:hAnsi="Times New Roman"/>
          <w:sz w:val="24"/>
        </w:rPr>
        <w:t>“</w:t>
      </w:r>
      <w:r>
        <w:rPr>
          <w:rFonts w:ascii="Calibri" w:hAnsi="Calibri"/>
          <w:sz w:val="18"/>
        </w:rPr>
        <w:t>El Periodismo Moderno En México 1539-1917”, [en línea] consulta 14/09/2012, disponible en: </w:t>
      </w:r>
      <w:r>
        <w:rPr>
          <w:rFonts w:ascii="Calibri" w:hAnsi="Calibri"/>
          <w:color w:val="0000FF"/>
          <w:sz w:val="18"/>
          <w:u w:val="single" w:color="0000FF"/>
        </w:rPr>
        <w:t>http://historiaperiodismo.tripod.com/id3.htmlhttp:/</w:t>
      </w:r>
      <w:r>
        <w:rPr>
          <w:rFonts w:ascii="Calibri" w:hAnsi="Calibri"/>
          <w:sz w:val="18"/>
        </w:rPr>
        <w:t>.</w:t>
      </w:r>
    </w:p>
    <w:p>
      <w:pPr>
        <w:spacing w:after="0" w:line="240" w:lineRule="auto"/>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551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684" w:right="122"/>
        <w:jc w:val="both"/>
      </w:pPr>
      <w:r>
        <w:rPr/>
        <w:t>mucho los más importantes diarios de sus respectivos países. Este medio se vio enriquecido con el uso de la fotografía y la litografía en color.</w:t>
      </w:r>
    </w:p>
    <w:p>
      <w:pPr>
        <w:pStyle w:val="BodyText"/>
      </w:pPr>
    </w:p>
    <w:p>
      <w:pPr>
        <w:pStyle w:val="Heading3"/>
        <w:spacing w:before="141"/>
        <w:ind w:left="752"/>
        <w:jc w:val="both"/>
        <w:rPr>
          <w:rFonts w:ascii="Arial" w:hAnsi="Arial"/>
        </w:rPr>
      </w:pPr>
      <w:r>
        <w:rPr>
          <w:rFonts w:ascii="Arial" w:hAnsi="Arial"/>
        </w:rPr>
        <w:t>Telégrafo</w:t>
      </w:r>
    </w:p>
    <w:p>
      <w:pPr>
        <w:pStyle w:val="BodyText"/>
        <w:rPr>
          <w:b/>
        </w:rPr>
      </w:pPr>
    </w:p>
    <w:p>
      <w:pPr>
        <w:pStyle w:val="BodyText"/>
        <w:spacing w:before="3"/>
        <w:rPr>
          <w:b/>
          <w:sz w:val="21"/>
        </w:rPr>
      </w:pPr>
    </w:p>
    <w:p>
      <w:pPr>
        <w:pStyle w:val="BodyText"/>
        <w:spacing w:line="355" w:lineRule="auto"/>
        <w:ind w:left="684" w:right="119" w:firstLine="336"/>
        <w:jc w:val="both"/>
      </w:pPr>
      <w:r>
        <w:rPr/>
        <w:t>Inventos como el telégrafo </w:t>
      </w:r>
      <w:r>
        <w:rPr>
          <w:position w:val="11"/>
          <w:sz w:val="16"/>
        </w:rPr>
        <w:t>179</w:t>
      </w:r>
      <w:r>
        <w:rPr/>
        <w:t>facilitaron el acercamiento de los grupos humanos situados a grandes distancias a principios del siglo XX, promovieron la colección y la transmisión de noticias de manera casi inmediata. Algunas empresas comenzaron a utilizar este medio unidas a los tendidos de cable, para convertirse en centros de almacenado y distribución de noticias. Son las llamadas asociaciones  y  agencias  de  prensa.</w:t>
      </w:r>
      <w:r>
        <w:rPr>
          <w:position w:val="11"/>
          <w:sz w:val="16"/>
        </w:rPr>
        <w:t>180    </w:t>
      </w:r>
      <w:r>
        <w:rPr/>
        <w:t>Modelo  que  ha  traspasado    formatos</w:t>
      </w:r>
    </w:p>
    <w:p>
      <w:pPr>
        <w:pStyle w:val="BodyText"/>
        <w:spacing w:line="360" w:lineRule="auto"/>
        <w:ind w:left="684" w:right="121"/>
        <w:jc w:val="both"/>
      </w:pPr>
      <w:r>
        <w:rPr/>
        <w:t>noticiosos unificando en la actualidad los diversos medios para obtener de manera rápida y concisa las noticias de eventos que acontecen inclusive en el otro lado del mundo.  Instrumento  que  favoreció  el  monopolio  noticioso  en  detrimento   </w:t>
      </w:r>
      <w:r>
        <w:rPr>
          <w:spacing w:val="63"/>
        </w:rPr>
        <w:t> </w:t>
      </w:r>
      <w:r>
        <w:rPr/>
        <w:t>del</w:t>
      </w:r>
    </w:p>
    <w:p>
      <w:pPr>
        <w:pStyle w:val="BodyText"/>
        <w:spacing w:line="328" w:lineRule="auto" w:before="6"/>
        <w:ind w:left="684" w:right="124"/>
        <w:jc w:val="both"/>
        <w:rPr>
          <w:sz w:val="16"/>
        </w:rPr>
      </w:pPr>
      <w:r>
        <w:rPr/>
        <w:t>derecho a la información ya que sólo un grupo de personas determinaban la relevancia de los eventos sucedidos a nivel mundial.</w:t>
      </w:r>
      <w:r>
        <w:rPr>
          <w:position w:val="11"/>
          <w:sz w:val="16"/>
        </w:rPr>
        <w:t>181</w:t>
      </w:r>
    </w:p>
    <w:p>
      <w:pPr>
        <w:pStyle w:val="BodyText"/>
        <w:spacing w:before="9"/>
        <w:rPr>
          <w:sz w:val="37"/>
        </w:rPr>
      </w:pPr>
    </w:p>
    <w:p>
      <w:pPr>
        <w:pStyle w:val="Heading3"/>
        <w:spacing w:before="0"/>
        <w:ind w:left="684"/>
        <w:jc w:val="both"/>
        <w:rPr>
          <w:rFonts w:ascii="Arial"/>
        </w:rPr>
      </w:pPr>
      <w:r>
        <w:rPr>
          <w:rFonts w:ascii="Arial"/>
        </w:rPr>
        <w:t>La radio</w:t>
      </w:r>
    </w:p>
    <w:p>
      <w:pPr>
        <w:pStyle w:val="BodyText"/>
        <w:rPr>
          <w:b/>
        </w:rPr>
      </w:pPr>
    </w:p>
    <w:p>
      <w:pPr>
        <w:pStyle w:val="BodyText"/>
        <w:spacing w:before="4"/>
        <w:rPr>
          <w:b/>
        </w:rPr>
      </w:pPr>
    </w:p>
    <w:p>
      <w:pPr>
        <w:pStyle w:val="BodyText"/>
        <w:spacing w:line="362" w:lineRule="auto"/>
        <w:ind w:left="684" w:right="120" w:firstLine="336"/>
        <w:jc w:val="both"/>
      </w:pPr>
      <w:r>
        <w:rPr/>
        <w:pict>
          <v:line style="position:absolute;mso-position-horizontal-relative:page;mso-position-vertical-relative:paragraph;z-index:5488;mso-wrap-distance-left:0;mso-wrap-distance-right:0" from="99.224998pt,45.165874pt" to="243.274998pt,45.165874pt" stroked="true" strokeweight=".599980pt" strokecolor="#000000">
            <w10:wrap type="topAndBottom"/>
          </v:line>
        </w:pict>
      </w:r>
      <w:r>
        <w:rPr/>
        <w:t>Este sistema de transmisión de mensajes orales por medios electromagnéticos es uno de los medios más populares; en la actualidad casi todos los hogares del</w:t>
      </w:r>
    </w:p>
    <w:p>
      <w:pPr>
        <w:spacing w:line="240" w:lineRule="auto" w:before="39"/>
        <w:ind w:left="684" w:right="112" w:firstLine="0"/>
        <w:jc w:val="both"/>
        <w:rPr>
          <w:rFonts w:ascii="Calibri" w:hAnsi="Calibri"/>
          <w:sz w:val="18"/>
        </w:rPr>
      </w:pPr>
      <w:r>
        <w:rPr>
          <w:rFonts w:ascii="Times New Roman" w:hAnsi="Times New Roman"/>
          <w:position w:val="11"/>
          <w:sz w:val="16"/>
        </w:rPr>
        <w:t>179 </w:t>
      </w:r>
      <w:r>
        <w:rPr>
          <w:rFonts w:ascii="Calibri" w:hAnsi="Calibri"/>
          <w:sz w:val="18"/>
        </w:rPr>
        <w:t>Los primeros equipos eléctricos para transmisión telegráfica fueron inventados por Samuel F. B. Morse en 1837, y en ese mismo año por el físico inglés sir Charles Wheatstone en colaboración con el ingeniero sir William F. Cooke. El código básico, llamado código Morse, transmitía mensajes mediante impulsos eléctricos que circulaban por un único cable. El aparato de Morse, que emitió el primer telegrama público en 1844, tenía forma de conmutador eléctrico. Mediante la presión de los dedos, permitía el paso de la corriente durante un lapso determinado y a continuación la anulaba. El receptor Morse original disponía de un puntero controlado electromagnéticamente que dibujaba trazos en una cinta de papel que giraba sobre un cilindro. Los trazos tenían una longitud dependiente de la duración de la corriente eléctrica que circulaba por los cables del electroimán y presentaban el aspecto de puntos y rayas que representaban el alfabeto. CARDONA Orozco Daniela, “Medios de comunicación”, [en línea] consulta 22/08/2012, disponible en: </w:t>
      </w:r>
      <w:hyperlink r:id="rId80">
        <w:r>
          <w:rPr>
            <w:rFonts w:ascii="Calibri" w:hAnsi="Calibri"/>
            <w:color w:val="0000FF"/>
            <w:sz w:val="18"/>
            <w:u w:val="single" w:color="0000FF"/>
          </w:rPr>
          <w:t>http://tecnoinforaprendiendo.blogspot.mx/2012/09/medios-de-comunicacion.html</w:t>
        </w:r>
        <w:r>
          <w:rPr>
            <w:rFonts w:ascii="Calibri" w:hAnsi="Calibri"/>
            <w:sz w:val="18"/>
          </w:rPr>
          <w:t>.</w:t>
        </w:r>
      </w:hyperlink>
    </w:p>
    <w:p>
      <w:pPr>
        <w:spacing w:line="204" w:lineRule="exact" w:before="0"/>
        <w:ind w:left="684" w:right="0" w:firstLine="0"/>
        <w:jc w:val="both"/>
        <w:rPr>
          <w:rFonts w:ascii="Calibri" w:hAnsi="Calibri"/>
          <w:i/>
          <w:sz w:val="18"/>
        </w:rPr>
      </w:pPr>
      <w:r>
        <w:rPr>
          <w:rFonts w:ascii="Calibri" w:hAnsi="Calibri"/>
          <w:position w:val="9"/>
          <w:sz w:val="12"/>
        </w:rPr>
        <w:t>180  </w:t>
      </w:r>
      <w:r>
        <w:rPr>
          <w:rFonts w:ascii="Calibri" w:hAnsi="Calibri"/>
          <w:i/>
          <w:sz w:val="18"/>
        </w:rPr>
        <w:t>Ídem.</w:t>
      </w:r>
    </w:p>
    <w:p>
      <w:pPr>
        <w:tabs>
          <w:tab w:pos="3143" w:val="left" w:leader="none"/>
          <w:tab w:pos="5073" w:val="left" w:leader="none"/>
        </w:tabs>
        <w:spacing w:line="220" w:lineRule="exact" w:before="12"/>
        <w:ind w:left="684" w:right="111" w:firstLine="0"/>
        <w:jc w:val="both"/>
        <w:rPr>
          <w:rFonts w:ascii="Calibri" w:hAnsi="Calibri"/>
          <w:sz w:val="18"/>
        </w:rPr>
      </w:pPr>
      <w:r>
        <w:rPr>
          <w:rFonts w:ascii="Calibri" w:hAnsi="Calibri"/>
          <w:position w:val="9"/>
          <w:sz w:val="12"/>
        </w:rPr>
        <w:t>181 </w:t>
      </w:r>
      <w:r>
        <w:rPr>
          <w:rFonts w:ascii="Calibri" w:hAnsi="Calibri"/>
          <w:sz w:val="18"/>
        </w:rPr>
        <w:t>Clara Luz Álvarez comenta que en México: “La primera concesión de comunicaciones a distancia fue otorgada a Juan de la Granja en 1849 a quien se le otorgó el privilegio exclusivo por diez años para “plantear en la República telégrafos eléctricos””. Además en este época “(…) el primer servicio telegráfico fue entre la ciudad de México y Nopalucan, Puebla en 1851, dándose por sentado desde ese momento, </w:t>
      </w:r>
      <w:r>
        <w:rPr>
          <w:rFonts w:ascii="Calibri" w:hAnsi="Calibri"/>
          <w:spacing w:val="-3"/>
          <w:sz w:val="18"/>
        </w:rPr>
        <w:t>la </w:t>
      </w:r>
      <w:r>
        <w:rPr>
          <w:rFonts w:ascii="Calibri" w:hAnsi="Calibri"/>
          <w:sz w:val="18"/>
        </w:rPr>
        <w:t>historia de las telecomunicaciones en México que ha estado íntimamente vinculada con el desarrollo no sólo económico, sino también político nacional.” Véase. ÁLVAREZ, Clara Luz, “Historia de las Telecomunicaciones en México”, WORDPRESS, Revista bimensual [en línea], consulta 04/09/2012, disponible</w:t>
        <w:tab/>
        <w:t>en:</w:t>
        <w:tab/>
      </w:r>
      <w:hyperlink r:id="rId25">
        <w:r>
          <w:rPr>
            <w:rFonts w:ascii="Calibri" w:hAnsi="Calibri"/>
            <w:color w:val="0000FF"/>
            <w:spacing w:val="-1"/>
            <w:sz w:val="18"/>
            <w:u w:val="single" w:color="0000FF"/>
          </w:rPr>
          <w:t>http://revistabimensualup.files.wordpress.com/2007/09/d2-</w:t>
        </w:r>
      </w:hyperlink>
      <w:r>
        <w:rPr>
          <w:rFonts w:ascii="Calibri" w:hAnsi="Calibri"/>
          <w:color w:val="0000FF"/>
          <w:spacing w:val="-1"/>
          <w:sz w:val="18"/>
          <w:u w:val="single" w:color="0000FF"/>
        </w:rPr>
        <w:t> </w:t>
      </w:r>
      <w:hyperlink r:id="rId25">
        <w:r>
          <w:rPr>
            <w:rFonts w:ascii="Calibri" w:hAnsi="Calibri"/>
            <w:color w:val="0000FF"/>
            <w:sz w:val="18"/>
            <w:u w:val="single" w:color="0000FF"/>
          </w:rPr>
          <w:t>historiadelastelecomunicacionesenmxicooriginal1.pdf</w:t>
        </w:r>
        <w:r>
          <w:rPr>
            <w:rFonts w:ascii="Calibri" w:hAnsi="Calibri"/>
            <w:sz w:val="18"/>
          </w:rPr>
          <w:t>.</w:t>
        </w:r>
      </w:hyperlink>
    </w:p>
    <w:p>
      <w:pPr>
        <w:spacing w:after="0" w:line="220"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556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6"/>
        <w:jc w:val="both"/>
      </w:pPr>
      <w:r>
        <w:rPr/>
        <w:t>mundo disponen de algún aparato transmisor de señal de radio. Además de la televisión y el cine, la radio es el único medio de comunicación que ofrece sonido. Sus características tecnológicas la presentan como un canal personal, íntimo y extraordinariamente intrusivo; está en la playa, la montaña, en las casas, automóviles, cocinas, negocios y hasta en las alcobas. La radio informa y hace compañía. Por lo que su alcance es prácticamente ilimitado.</w:t>
      </w:r>
    </w:p>
    <w:p>
      <w:pPr>
        <w:pStyle w:val="BodyText"/>
        <w:spacing w:line="360" w:lineRule="auto" w:before="79"/>
        <w:ind w:left="264" w:right="214" w:firstLine="404"/>
        <w:jc w:val="both"/>
      </w:pPr>
      <w:r>
        <w:rPr/>
        <w:t>Con la aparición de la radio (década de 1920),</w:t>
      </w:r>
      <w:r>
        <w:rPr>
          <w:position w:val="11"/>
          <w:sz w:val="16"/>
        </w:rPr>
        <w:t>182 </w:t>
      </w:r>
      <w:r>
        <w:rPr/>
        <w:t>y sus posibilidades de tratamiento instantáneo y continuo de las noticias, los diarios perdieron su monopolio de seguimiento pormenorizado de los acontecimientos. Este medio a partir de su implementación modifica la forma de conocer sobre sucesos de lugares lejanos y cercanos. Además de utilizarse como medio de recreación muy económico.</w:t>
      </w:r>
    </w:p>
    <w:p>
      <w:pPr>
        <w:pStyle w:val="BodyText"/>
        <w:spacing w:line="355" w:lineRule="auto" w:before="114"/>
        <w:ind w:left="264" w:right="217" w:firstLine="336"/>
        <w:jc w:val="both"/>
      </w:pPr>
      <w:r>
        <w:rPr/>
        <w:t>Al inicio, las emisiones radiofónicas transmitían acontecimientos en directo, pero luego, su contenido se fue enriqueciendo y aparecieron boletines de noticias locales, nacionales e internacionales, que recibieron la denominación de "Diario hablado". La radio acaparó gran parte del protagonismo que hasta entonces habían tenido los periódicos como transmisores veloces de noticias, y su prestigio creció enormemente durante la segunda guerra mundial, como arma propagandística de alto impacto.</w:t>
      </w:r>
      <w:r>
        <w:rPr>
          <w:position w:val="11"/>
          <w:sz w:val="16"/>
        </w:rPr>
        <w:t>183  </w:t>
      </w:r>
      <w:r>
        <w:rPr/>
        <w:t>Dada su capacidad para entrar a millones   </w:t>
      </w:r>
      <w:r>
        <w:rPr>
          <w:spacing w:val="3"/>
        </w:rPr>
        <w:t> </w:t>
      </w:r>
      <w:r>
        <w:rPr/>
        <w:t>de</w:t>
      </w:r>
    </w:p>
    <w:p>
      <w:pPr>
        <w:pStyle w:val="BodyText"/>
        <w:spacing w:line="360" w:lineRule="auto"/>
        <w:ind w:left="264" w:right="214"/>
        <w:jc w:val="both"/>
      </w:pPr>
      <w:r>
        <w:rPr/>
        <w:t>hogares y brindar información, entretenimiento, orientación social y diversión. La radio se calificó durante el siglo pasado como un motor de desarrollo social, económico y político de las comunidades a lo largo del país. La radio extiende su acción hacia la sociedad civil promoviendo campañas de asistencia social. Sin embargo su influencia en los hogares disminuyó cuando se inventó el televisor.</w:t>
      </w:r>
    </w:p>
    <w:p>
      <w:pPr>
        <w:pStyle w:val="BodyText"/>
        <w:spacing w:before="8"/>
        <w:rPr>
          <w:sz w:val="25"/>
        </w:rPr>
      </w:pPr>
      <w:r>
        <w:rPr/>
        <w:pict>
          <v:line style="position:absolute;mso-position-horizontal-relative:page;mso-position-vertical-relative:paragraph;z-index:5536;mso-wrap-distance-left:0;mso-wrap-distance-right:0" from="99.224998pt,17.053909pt" to="243.274998pt,17.053909pt" stroked="true" strokeweight=".599980pt" strokecolor="#000000">
            <w10:wrap type="topAndBottom"/>
          </v:line>
        </w:pict>
      </w:r>
    </w:p>
    <w:p>
      <w:pPr>
        <w:spacing w:before="46"/>
        <w:ind w:left="264" w:right="216" w:firstLine="0"/>
        <w:jc w:val="both"/>
        <w:rPr>
          <w:rFonts w:ascii="Calibri" w:hAnsi="Calibri"/>
          <w:sz w:val="18"/>
        </w:rPr>
      </w:pPr>
      <w:r>
        <w:rPr>
          <w:rFonts w:ascii="Calibri" w:hAnsi="Calibri"/>
          <w:position w:val="9"/>
          <w:sz w:val="12"/>
        </w:rPr>
        <w:t>182 </w:t>
      </w:r>
      <w:r>
        <w:rPr>
          <w:rFonts w:ascii="Calibri" w:hAnsi="Calibri"/>
          <w:sz w:val="18"/>
        </w:rPr>
        <w:t>Véase: </w:t>
      </w:r>
      <w:r>
        <w:rPr>
          <w:rFonts w:ascii="Calibri" w:hAnsi="Calibri"/>
          <w:i/>
          <w:sz w:val="18"/>
        </w:rPr>
        <w:t>El sol de Hidalgo</w:t>
      </w:r>
      <w:r>
        <w:rPr>
          <w:rFonts w:ascii="Calibri" w:hAnsi="Calibri"/>
          <w:sz w:val="18"/>
        </w:rPr>
        <w:t>, OEM (Organización Editorial Mexicana) 10 de agosto de 2008, [en línea], consulta 21/10/2012, disponible en: </w:t>
      </w:r>
      <w:hyperlink r:id="rId81">
        <w:r>
          <w:rPr>
            <w:rFonts w:ascii="Calibri" w:hAnsi="Calibri"/>
            <w:color w:val="0000FF"/>
            <w:sz w:val="18"/>
            <w:u w:val="single" w:color="0000FF"/>
          </w:rPr>
          <w:t>http://www.oem.com.mx/esto/notas/n807149.htm</w:t>
        </w:r>
        <w:r>
          <w:rPr>
            <w:rFonts w:ascii="Calibri" w:hAnsi="Calibri"/>
            <w:sz w:val="18"/>
          </w:rPr>
          <w:t>.</w:t>
        </w:r>
      </w:hyperlink>
      <w:r>
        <w:rPr>
          <w:rFonts w:ascii="Calibri" w:hAnsi="Calibri"/>
          <w:sz w:val="18"/>
        </w:rPr>
        <w:t> “La primera estación de radio en la ciudad de México fue la del BUEN TONO, que inició sus actividades el 15 de septiembre de 1923. Varios años más tarde, esta radiodifusora se convierte en la XEB, la "B" grande de México. El 18 de septiembre de 1930, inició sus actividades la XEW. El primer locutor de esta estación fue el actor Arturo de Córdoba, con una programación amena, interesante y versátil. Esta radiodifusora comenzó sus actividades con el slogan de "XEW: LA VOZ DE LA AMERICA LATINA DESDE MÉXICO". La XEQ se lanzó al aire en 1938 con la rúbrica de "Radio Panamericana". En esta estación se iniciaron como artistas el inmortal ídolo de México, Pedro Infante, y Consuelo Velázquez, formando parte de una Pléyade de estrellas que se convertirían en artistas consagrados. En 1947, empieza a difundir sus programas la XEX.</w:t>
      </w:r>
    </w:p>
    <w:p>
      <w:pPr>
        <w:spacing w:line="220" w:lineRule="exact" w:before="0"/>
        <w:ind w:left="264" w:right="0" w:firstLine="0"/>
        <w:jc w:val="both"/>
        <w:rPr>
          <w:rFonts w:ascii="Calibri" w:hAnsi="Calibri"/>
          <w:i/>
          <w:sz w:val="18"/>
        </w:rPr>
      </w:pPr>
      <w:r>
        <w:rPr>
          <w:position w:val="9"/>
          <w:sz w:val="12"/>
        </w:rPr>
        <w:t>183   </w:t>
      </w:r>
      <w:r>
        <w:rPr>
          <w:rFonts w:ascii="Calibri" w:hAnsi="Calibri"/>
          <w:sz w:val="18"/>
        </w:rPr>
        <w:t>Véase:  RADIO  MEXICANA,  [en  línea],  *  Extractos  del  libro  </w:t>
      </w:r>
      <w:r>
        <w:rPr>
          <w:rFonts w:ascii="Calibri" w:hAnsi="Calibri"/>
          <w:i/>
          <w:sz w:val="18"/>
        </w:rPr>
        <w:t>Industria  de  Radio  y  Televisión.  Memorias  de      su</w:t>
      </w:r>
    </w:p>
    <w:p>
      <w:pPr>
        <w:spacing w:before="0"/>
        <w:ind w:left="264" w:right="0" w:firstLine="0"/>
        <w:jc w:val="both"/>
        <w:rPr>
          <w:rFonts w:ascii="Calibri" w:hAnsi="Calibri"/>
          <w:sz w:val="18"/>
        </w:rPr>
      </w:pPr>
      <w:r>
        <w:rPr>
          <w:rFonts w:ascii="Calibri" w:hAnsi="Calibri"/>
          <w:i/>
          <w:sz w:val="18"/>
        </w:rPr>
        <w:t>compromiso con México</w:t>
      </w:r>
      <w:r>
        <w:rPr>
          <w:rFonts w:ascii="Calibri" w:hAnsi="Calibri"/>
          <w:sz w:val="18"/>
        </w:rPr>
        <w:t>. CIRT, 2003 consulta 05/09/2012, disponible en: </w:t>
      </w:r>
      <w:hyperlink r:id="rId82">
        <w:r>
          <w:rPr>
            <w:rFonts w:ascii="Calibri" w:hAnsi="Calibri"/>
            <w:color w:val="0000FF"/>
            <w:sz w:val="18"/>
            <w:u w:val="single" w:color="0000FF"/>
          </w:rPr>
          <w:t>http://www.radiomexicana.mx/historia.html</w:t>
        </w:r>
        <w:r>
          <w:rPr>
            <w:rFonts w:ascii="Calibri" w:hAnsi="Calibri"/>
            <w:sz w:val="18"/>
          </w:rPr>
          <w:t>.</w:t>
        </w:r>
      </w:hyperlink>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560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6" w:firstLine="271"/>
        <w:jc w:val="both"/>
      </w:pPr>
      <w:r>
        <w:rPr/>
        <w:t>Aun así en comparación con otros medios, éste conserva algunas ventajas, por ejemplo: la producción de programas radiales de bajo costo. Tiene excelente  poder de cobertura y penetración, otorgado por sus propiedades intrusivas; es decir, la posibilidad de estar en todas partes, hasta en las aldeas </w:t>
      </w:r>
      <w:r>
        <w:rPr>
          <w:spacing w:val="-2"/>
        </w:rPr>
        <w:t>más </w:t>
      </w:r>
      <w:r>
        <w:rPr/>
        <w:t>lejanas. Además de las derivadas del desarrollo de la imaginación que favorece el pensamiento abstracto del individuo; desde su propiedad del mensaje auditivo que acude para su comprensión al simbolismo de la palabra. Es barato y portátil. Entre sus desventajas se encuentran: Su fugacidad. No admite información</w:t>
      </w:r>
      <w:r>
        <w:rPr>
          <w:spacing w:val="-45"/>
        </w:rPr>
        <w:t> </w:t>
      </w:r>
      <w:r>
        <w:rPr/>
        <w:t>detallada.</w:t>
      </w:r>
    </w:p>
    <w:p>
      <w:pPr>
        <w:pStyle w:val="BodyText"/>
      </w:pPr>
    </w:p>
    <w:p>
      <w:pPr>
        <w:pStyle w:val="BodyText"/>
        <w:spacing w:before="9"/>
        <w:rPr>
          <w:sz w:val="29"/>
        </w:rPr>
      </w:pPr>
    </w:p>
    <w:p>
      <w:pPr>
        <w:pStyle w:val="Heading3"/>
        <w:spacing w:before="1"/>
        <w:ind w:left="684" w:right="114"/>
        <w:rPr>
          <w:rFonts w:ascii="Arial" w:hAnsi="Arial"/>
          <w:sz w:val="16"/>
        </w:rPr>
      </w:pPr>
      <w:r>
        <w:rPr>
          <w:rFonts w:ascii="Arial" w:hAnsi="Arial"/>
        </w:rPr>
        <w:t>La Televisión</w:t>
      </w:r>
      <w:r>
        <w:rPr>
          <w:rFonts w:ascii="Arial" w:hAnsi="Arial"/>
          <w:position w:val="11"/>
          <w:sz w:val="16"/>
        </w:rPr>
        <w:t>184</w:t>
      </w:r>
    </w:p>
    <w:p>
      <w:pPr>
        <w:pStyle w:val="BodyText"/>
        <w:rPr>
          <w:b/>
          <w:sz w:val="28"/>
        </w:rPr>
      </w:pPr>
    </w:p>
    <w:p>
      <w:pPr>
        <w:pStyle w:val="BodyText"/>
        <w:spacing w:before="2"/>
        <w:rPr>
          <w:b/>
          <w:sz w:val="41"/>
        </w:rPr>
      </w:pPr>
    </w:p>
    <w:p>
      <w:pPr>
        <w:pStyle w:val="BodyText"/>
        <w:spacing w:line="360" w:lineRule="auto"/>
        <w:ind w:left="684" w:right="118" w:firstLine="336"/>
        <w:jc w:val="both"/>
      </w:pPr>
      <w:r>
        <w:rPr/>
        <w:t>Las primeras emisiones comerciales de televisión se llevaron a cabo en la ciudad de Nueva York en la década de 1930, aunque el verdadero estallido del medio se produjo una vez terminada la segunda guerra mundial. Este invento originó que el siglo XX sea el espacio temporal en el que ha disminuido la importancia de la prensa escrita, en su connotación de medio de comunicación masiva.</w:t>
      </w:r>
    </w:p>
    <w:p>
      <w:pPr>
        <w:pStyle w:val="BodyText"/>
        <w:spacing w:before="3"/>
        <w:rPr>
          <w:sz w:val="14"/>
        </w:rPr>
      </w:pPr>
      <w:r>
        <w:rPr/>
        <w:pict>
          <v:line style="position:absolute;mso-position-horizontal-relative:page;mso-position-vertical-relative:paragraph;z-index:5584;mso-wrap-distance-left:0;mso-wrap-distance-right:0" from="99.224998pt,10.473895pt" to="243.274998pt,10.473895pt" stroked="true" strokeweight=".600010pt" strokecolor="#000000">
            <w10:wrap type="topAndBottom"/>
          </v:line>
        </w:pict>
      </w:r>
    </w:p>
    <w:p>
      <w:pPr>
        <w:spacing w:before="46"/>
        <w:ind w:left="684" w:right="113" w:firstLine="0"/>
        <w:jc w:val="both"/>
        <w:rPr>
          <w:rFonts w:ascii="Calibri" w:hAnsi="Calibri"/>
          <w:sz w:val="18"/>
        </w:rPr>
      </w:pPr>
      <w:r>
        <w:rPr>
          <w:rFonts w:ascii="Calibri" w:hAnsi="Calibri"/>
          <w:position w:val="9"/>
          <w:sz w:val="12"/>
        </w:rPr>
        <w:t>184 </w:t>
      </w:r>
      <w:r>
        <w:rPr>
          <w:rFonts w:ascii="Calibri" w:hAnsi="Calibri"/>
          <w:sz w:val="18"/>
        </w:rPr>
        <w:t>“Las primeras propuestas teóricas para la transmisión de imágenes por medios electrónicos aparecieron, a principios del siglo XX, cuando la televisión mecánica era todavía un «entretenimiento físico» de laboratorio. Entre dichas propuestas merecen destacarse, por su anticipación y aproximación a la solución final, las realizadas por Boris Rosing, en Rusia, en 1906, y por Alan Archibald Campbell-Swinton, en Inglaterra, en 1908.</w:t>
      </w:r>
    </w:p>
    <w:p>
      <w:pPr>
        <w:spacing w:line="240" w:lineRule="auto" w:before="0"/>
        <w:ind w:left="684" w:right="121" w:firstLine="199"/>
        <w:jc w:val="both"/>
        <w:rPr>
          <w:rFonts w:ascii="Calibri" w:hAnsi="Calibri"/>
          <w:sz w:val="18"/>
        </w:rPr>
      </w:pPr>
      <w:r>
        <w:rPr>
          <w:rFonts w:ascii="Calibri" w:hAnsi="Calibri"/>
          <w:sz w:val="18"/>
        </w:rPr>
        <w:t>De los investigadores que trabajaron en el desarrollo de la televisión electrónica, hubo dos nombres que brillaron con luz propia. Dos personajes de orígenes y personalidades muy diferentes, cuyos caminos se cruzaron en otro capítulo más de rivalidad por la primicia de un invento, a los que tan acostumbrados nos tiene la historia de las Telecomunicaciones. Se trata del norteamericano, de origen ruso Vladimir Kosma Zworykin, científico protegido por la todopoderosa RCA, y del también norteamericano, de profundas raíces mormonas e inventor independiente, Philo Taylor Farnsworth, que desarrollaron dos tipos diferentes de tubos de cámara con los que hicieron posible los primeros sistemas de televisión electrónica conocidos.</w:t>
      </w:r>
    </w:p>
    <w:p>
      <w:pPr>
        <w:tabs>
          <w:tab w:pos="1627" w:val="left" w:leader="none"/>
          <w:tab w:pos="2760" w:val="left" w:leader="none"/>
          <w:tab w:pos="3707" w:val="left" w:leader="none"/>
          <w:tab w:pos="4866" w:val="left" w:leader="none"/>
          <w:tab w:pos="6197" w:val="left" w:leader="none"/>
          <w:tab w:pos="7819" w:val="left" w:leader="none"/>
          <w:tab w:pos="9278" w:val="left" w:leader="none"/>
        </w:tabs>
        <w:spacing w:before="0"/>
        <w:ind w:left="684" w:right="113" w:firstLine="199"/>
        <w:jc w:val="both"/>
        <w:rPr>
          <w:rFonts w:ascii="Calibri" w:hAnsi="Calibri"/>
          <w:sz w:val="18"/>
        </w:rPr>
      </w:pPr>
      <w:r>
        <w:rPr>
          <w:rFonts w:ascii="Calibri" w:hAnsi="Calibri"/>
          <w:sz w:val="18"/>
        </w:rPr>
        <w:t>Los sistemas de televisión mecánica conocidos hasta esa fecha tenían dos serios inconvenientes. Por un lado, el número de elementos de imagen (pixels) que podían conseguirse era demasiado escaso como para lograr una reproducción satisfactoria de la imagen en los receptores; y, por otro, </w:t>
      </w:r>
      <w:r>
        <w:rPr>
          <w:rFonts w:ascii="Calibri" w:hAnsi="Calibri"/>
          <w:spacing w:val="-3"/>
          <w:sz w:val="18"/>
        </w:rPr>
        <w:t>la </w:t>
      </w:r>
      <w:r>
        <w:rPr>
          <w:rFonts w:ascii="Calibri" w:hAnsi="Calibri"/>
          <w:sz w:val="18"/>
        </w:rPr>
        <w:t>iluminación de la escena necesaria para excitar la célula fotoeléctrica de </w:t>
      </w:r>
      <w:r>
        <w:rPr>
          <w:rFonts w:ascii="Calibri" w:hAnsi="Calibri"/>
          <w:spacing w:val="-3"/>
          <w:sz w:val="18"/>
        </w:rPr>
        <w:t>la </w:t>
      </w:r>
      <w:r>
        <w:rPr>
          <w:rFonts w:ascii="Calibri" w:hAnsi="Calibri"/>
          <w:sz w:val="18"/>
        </w:rPr>
        <w:t>cámara era de tal intensidad, que el calor producido difícilmente podía </w:t>
      </w:r>
      <w:r>
        <w:rPr>
          <w:rFonts w:ascii="Calibri" w:hAnsi="Calibri"/>
          <w:spacing w:val="4"/>
          <w:sz w:val="18"/>
        </w:rPr>
        <w:t>ser </w:t>
      </w:r>
      <w:r>
        <w:rPr>
          <w:rFonts w:ascii="Calibri" w:hAnsi="Calibri"/>
          <w:sz w:val="18"/>
        </w:rPr>
        <w:t>soportado por  una persona. Para resolverlo, Zworykin construyó un mosaico muy fino de células fotoeléctricas, evaporando metal  sobre una superficie de mica o fibra de vidrio, las cuales adquirían una carga eléctrica diferente en función de la intensidad de luz de la escena. A continuación, transformaba aquella carga en corriente eléctrica, barriendo el mosaico de células con un haz de rayos catódicos. De esa forma, conseguía mejorar de forma extraordinaria la resolución de la imagen, además de incrementar notablemente la sensibilidad de la cámara, lo que permitía, en último extremo, rebajar la iluminación de la escena hasta valores completamente normales. PÉREZ Yuste Antonio, “Zworykin y Farnsworth: Pioneros de la Televisión Electrónica”, Universidad Politécnica de Madrid</w:t>
      </w:r>
      <w:r>
        <w:rPr>
          <w:rFonts w:ascii="Calibri" w:hAnsi="Calibri"/>
          <w:i/>
          <w:sz w:val="18"/>
        </w:rPr>
        <w:t>, Antena de Telecomunicación </w:t>
      </w:r>
      <w:r>
        <w:rPr>
          <w:rFonts w:ascii="Calibri" w:hAnsi="Calibri"/>
          <w:sz w:val="18"/>
        </w:rPr>
        <w:t>/ MARZO 2007, pp.</w:t>
        <w:tab/>
        <w:t>63-66</w:t>
        <w:tab/>
        <w:t>[en</w:t>
        <w:tab/>
        <w:t>línea],</w:t>
        <w:tab/>
        <w:t>consulta</w:t>
        <w:tab/>
        <w:t>10/11/2012,</w:t>
        <w:tab/>
        <w:t>disponible</w:t>
        <w:tab/>
        <w:t>en: </w:t>
      </w:r>
      <w:hyperlink r:id="rId83">
        <w:r>
          <w:rPr>
            <w:rFonts w:ascii="Calibri" w:hAnsi="Calibri"/>
            <w:color w:val="0000FF"/>
            <w:sz w:val="18"/>
            <w:u w:val="single" w:color="0000FF"/>
          </w:rPr>
          <w:t>http://www.coitt.es/res/revistas/Antena167_12_Television.pdf</w:t>
        </w:r>
        <w:r>
          <w:rPr>
            <w:rFonts w:ascii="Calibri" w:hAnsi="Calibri"/>
            <w:sz w:val="18"/>
          </w:rPr>
          <w:t>.</w:t>
        </w:r>
      </w:hyperlink>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565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7" w:firstLine="336"/>
        <w:jc w:val="both"/>
      </w:pPr>
      <w:r>
        <w:rPr/>
        <w:t>La televisión tiene ventajas hasta ahora insuperables por otros medios, por ejemplo: Su cualidad creativo-comunicacional, sólo superada por una pantalla de cine. a) grado de alcance y de penetración. b) Su alto rendimiento en comparación con la inversión hecha en la misma, c) El alto nivel de recordación de los mensajes televisados. Este medio logra un alto impacto a través del mensaje publicitario en la memoria y conciencia del individuo televidente. Con todo, tiene desventajas como su alto costo que impide que la pequeña empresa pueda hacer uso del medio; el desperdicio de tiempo del televidente, quien suele aprovechar su tiempo libre para ver programas improductivos; además el televisor no se puede transportar tan fácilmente como un radio, por otro lado, requiere que nosotros nos mantengamos en un solo lugar, a diferencia de otros medios, como por ejemplo la radio, misma que es posible escucharla y realizar otras actividades al mismo tiempo.</w:t>
      </w:r>
    </w:p>
    <w:p>
      <w:pPr>
        <w:pStyle w:val="BodyText"/>
        <w:spacing w:line="360" w:lineRule="auto" w:before="2"/>
        <w:ind w:left="264" w:right="217" w:firstLine="336"/>
        <w:jc w:val="both"/>
      </w:pPr>
      <w:r>
        <w:rPr/>
        <w:t>En América Latina, tanto la radio como la televisión han alcanzado un gran desarrollo. A partir de la década de los cincuenta la televisión aparece como un elemento de gran peso en el mundo de la comunicación. Este sistema de transmisión de imágenes en movimiento se ha extendido por todo el mundo; los satélites de comunicaciones permiten transmitir programas de un continente a otro y difundir acontecimientos en vivo a casi cualquier parte del mundo. Lo que convierte a la televisión en el más impactante y persuasivo de los medios de comunicación social.</w:t>
      </w:r>
    </w:p>
    <w:p>
      <w:pPr>
        <w:pStyle w:val="BodyText"/>
        <w:spacing w:line="360" w:lineRule="auto" w:before="2"/>
        <w:ind w:left="264" w:right="214" w:firstLine="336"/>
        <w:jc w:val="both"/>
      </w:pPr>
      <w:r>
        <w:rPr/>
        <w:t>El ejemplo más elocuente del gran interés del público por las noticias de actualidad lo constituye el éxito de la cadena estadounidense CNN (Cable News Network). Asimismo, muchos gobiernos están apostando por un mayor desarrollo de las televisiones públicas para convertirlas en instrumentos que reflejen los cada vez más diferenciados intereses de los distintos sectores del público. Al mismo</w:t>
      </w:r>
    </w:p>
    <w:p>
      <w:pPr>
        <w:pStyle w:val="BodyText"/>
        <w:spacing w:line="328" w:lineRule="auto" w:before="6"/>
        <w:ind w:left="264"/>
        <w:rPr>
          <w:sz w:val="16"/>
        </w:rPr>
      </w:pPr>
      <w:r>
        <w:rPr/>
        <w:t>tiempo se ha conformado una red de satélites de comunicación, que envían programas de televisión a lugares a los que todavía no ha llegado el cable. </w:t>
      </w:r>
      <w:r>
        <w:rPr>
          <w:position w:val="11"/>
          <w:sz w:val="16"/>
        </w:rPr>
        <w:t>185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3"/>
        </w:rPr>
      </w:pPr>
      <w:r>
        <w:rPr/>
        <w:pict>
          <v:line style="position:absolute;mso-position-horizontal-relative:page;mso-position-vertical-relative:paragraph;z-index:5632;mso-wrap-distance-left:0;mso-wrap-distance-right:0" from="99.224998pt,10.110415pt" to="243.274998pt,10.110415pt" stroked="true" strokeweight=".60004pt" strokecolor="#000000">
            <w10:wrap type="topAndBottom"/>
          </v:line>
        </w:pict>
      </w:r>
    </w:p>
    <w:p>
      <w:pPr>
        <w:spacing w:before="46"/>
        <w:ind w:left="264" w:right="0" w:firstLine="0"/>
        <w:jc w:val="left"/>
        <w:rPr>
          <w:rFonts w:ascii="Calibri" w:hAnsi="Calibri"/>
          <w:sz w:val="18"/>
        </w:rPr>
      </w:pPr>
      <w:r>
        <w:rPr>
          <w:rFonts w:ascii="Calibri" w:hAnsi="Calibri"/>
          <w:position w:val="9"/>
          <w:sz w:val="12"/>
        </w:rPr>
        <w:t>185   </w:t>
      </w:r>
      <w:r>
        <w:rPr>
          <w:rFonts w:ascii="Calibri" w:hAnsi="Calibri"/>
          <w:sz w:val="18"/>
        </w:rPr>
        <w:t>GUEVARA Calderón,  Bayron José, </w:t>
      </w:r>
      <w:r>
        <w:rPr>
          <w:rFonts w:ascii="Calibri" w:hAnsi="Calibri"/>
          <w:i/>
          <w:sz w:val="18"/>
        </w:rPr>
        <w:t>Óp. Cit. </w:t>
      </w:r>
      <w:r>
        <w:rPr>
          <w:rFonts w:ascii="Calibri" w:hAnsi="Calibri"/>
          <w:sz w:val="18"/>
        </w:rPr>
        <w:t>p. 11</w:t>
      </w:r>
    </w:p>
    <w:p>
      <w:pPr>
        <w:spacing w:after="0"/>
        <w:jc w:val="left"/>
        <w:rPr>
          <w:rFonts w:ascii="Calibri" w:hAnsi="Calibri"/>
          <w:sz w:val="18"/>
        </w:rPr>
        <w:sectPr>
          <w:footerReference w:type="default" r:id="rId84"/>
          <w:pgSz w:w="12240" w:h="15840"/>
          <w:pgMar w:footer="876" w:header="0"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568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18"/>
        </w:rPr>
      </w:pPr>
    </w:p>
    <w:p>
      <w:pPr>
        <w:pStyle w:val="Heading3"/>
        <w:spacing w:before="70"/>
        <w:ind w:left="820" w:right="114"/>
        <w:rPr>
          <w:rFonts w:ascii="Arial"/>
        </w:rPr>
      </w:pPr>
      <w:r>
        <w:rPr>
          <w:rFonts w:ascii="Arial"/>
        </w:rPr>
        <w:t>El cine</w:t>
      </w:r>
    </w:p>
    <w:p>
      <w:pPr>
        <w:pStyle w:val="BodyText"/>
        <w:rPr>
          <w:b/>
        </w:rPr>
      </w:pPr>
    </w:p>
    <w:p>
      <w:pPr>
        <w:pStyle w:val="BodyText"/>
        <w:spacing w:before="4"/>
        <w:rPr>
          <w:b/>
        </w:rPr>
      </w:pPr>
    </w:p>
    <w:p>
      <w:pPr>
        <w:pStyle w:val="BodyText"/>
        <w:spacing w:line="360" w:lineRule="auto"/>
        <w:ind w:left="684" w:right="117" w:firstLine="404"/>
        <w:jc w:val="both"/>
      </w:pPr>
      <w:r>
        <w:rPr/>
        <w:t>Llamada también pantalla grande, funciona como la televisión, utiliza una pantalla gigante y el contenido no proviene de estaciones transmisoras, sino que ya se posee con anterioridad. El rol del cine en el negocio publicitario está determinado por su capacidad audiovisual, que provoca en el público un impacto comunicacional superior al del medio televisivo. La pantalla gigante, el sonido estereofónico, los efectos especiales, la trama definida y la oscuridad de la sala, permiten un nivel de contemplación o concentración del público en la pantalla, reproduciendo un espacio óptimo para el anuncio publicitario constituyéndose además en un espacio de recreación estético capaz de ser reconocido como una de las bellas artes por la posibilidad del desarrollo artístico.</w:t>
      </w:r>
    </w:p>
    <w:p>
      <w:pPr>
        <w:pStyle w:val="BodyText"/>
        <w:spacing w:line="360" w:lineRule="auto" w:before="5"/>
        <w:ind w:left="684" w:right="114" w:firstLine="336"/>
        <w:jc w:val="both"/>
      </w:pPr>
      <w:r>
        <w:rPr/>
        <w:t>El cine es el medio de comunicación </w:t>
      </w:r>
      <w:r>
        <w:rPr>
          <w:spacing w:val="-2"/>
        </w:rPr>
        <w:t>más </w:t>
      </w:r>
      <w:r>
        <w:rPr/>
        <w:t>completo que existe: reúne el sonido de la radio, el color de las revistas e impresos, texto e imagen de la publicidad y el tamaño gigantesco de la pantalla. Debido al ambiente de idealización propio de una sala de cine y la imposibilidad de desertar durante los comerciales, los cine- videntes atrapados en la magia del fenómeno presentado que estimula los sentidos, se interesan </w:t>
      </w:r>
      <w:r>
        <w:rPr>
          <w:spacing w:val="-2"/>
        </w:rPr>
        <w:t>más </w:t>
      </w:r>
      <w:r>
        <w:rPr/>
        <w:t>en lo que ocurre en la pantalla, convirtiéndose así en un público extraordinariamente</w:t>
      </w:r>
      <w:r>
        <w:rPr>
          <w:spacing w:val="-25"/>
        </w:rPr>
        <w:t> </w:t>
      </w:r>
      <w:r>
        <w:rPr/>
        <w:t>cautivo.</w:t>
      </w:r>
    </w:p>
    <w:p>
      <w:pPr>
        <w:pStyle w:val="BodyText"/>
        <w:spacing w:line="360" w:lineRule="auto" w:before="2"/>
        <w:ind w:left="684" w:right="117" w:firstLine="336"/>
        <w:jc w:val="both"/>
      </w:pPr>
      <w:r>
        <w:rPr/>
        <w:t>Sus desventajas en relación a otros medios como la prensa y la televisión, son por ejemplo, el presupuesto de su realización es muy alto. Aparte de que el anunciante pueda usar una simple transparencia para su comercial, la producción fílmica es elevada.</w:t>
      </w:r>
    </w:p>
    <w:p>
      <w:pPr>
        <w:pStyle w:val="BodyText"/>
      </w:pPr>
    </w:p>
    <w:p>
      <w:pPr>
        <w:pStyle w:val="Heading3"/>
        <w:numPr>
          <w:ilvl w:val="3"/>
          <w:numId w:val="3"/>
        </w:numPr>
        <w:tabs>
          <w:tab w:pos="1036" w:val="left" w:leader="none"/>
        </w:tabs>
        <w:spacing w:line="240" w:lineRule="auto" w:before="138" w:after="0"/>
        <w:ind w:left="1035" w:right="0" w:hanging="351"/>
        <w:jc w:val="left"/>
        <w:rPr>
          <w:rFonts w:ascii="Arial" w:hAnsi="Arial"/>
        </w:rPr>
      </w:pPr>
      <w:r>
        <w:rPr>
          <w:rFonts w:ascii="Arial" w:hAnsi="Arial"/>
        </w:rPr>
        <w:t>Desarrollo de los medios de</w:t>
      </w:r>
      <w:r>
        <w:rPr>
          <w:rFonts w:ascii="Arial" w:hAnsi="Arial"/>
          <w:spacing w:val="-21"/>
        </w:rPr>
        <w:t> </w:t>
      </w:r>
      <w:r>
        <w:rPr>
          <w:rFonts w:ascii="Arial" w:hAnsi="Arial"/>
        </w:rPr>
        <w:t>comunicación</w:t>
      </w:r>
    </w:p>
    <w:p>
      <w:pPr>
        <w:pStyle w:val="BodyText"/>
        <w:rPr>
          <w:b/>
        </w:rPr>
      </w:pPr>
    </w:p>
    <w:p>
      <w:pPr>
        <w:pStyle w:val="BodyText"/>
        <w:spacing w:before="4"/>
        <w:rPr>
          <w:b/>
        </w:rPr>
      </w:pPr>
    </w:p>
    <w:p>
      <w:pPr>
        <w:pStyle w:val="BodyText"/>
        <w:spacing w:line="360" w:lineRule="auto"/>
        <w:ind w:left="684" w:right="118" w:firstLine="336"/>
        <w:jc w:val="both"/>
      </w:pPr>
      <w:r>
        <w:rPr/>
        <w:t>El siglo XX se caracteriza porque es el marco de desarrollo de la ciencia y la tecnología que incide directamente en el mejoramiento de los medios de comunicación, utilizados como elemento fundamental de la mediocracia, que revela un Estado con capacidad de insertarse en la conciencia de la soberanía a  la   que   representa.   Ya   que,   como   afirma   Anthony   Smith:   “Un   medio</w:t>
      </w:r>
      <w:r>
        <w:rPr>
          <w:spacing w:val="58"/>
        </w:rPr>
        <w:t> </w:t>
      </w:r>
      <w:r>
        <w:rPr/>
        <w:t>de</w:t>
      </w:r>
    </w:p>
    <w:p>
      <w:pPr>
        <w:spacing w:after="0" w:line="360" w:lineRule="auto"/>
        <w:jc w:val="both"/>
        <w:sectPr>
          <w:footerReference w:type="default" r:id="rId85"/>
          <w:pgSz w:w="12240" w:h="15840"/>
          <w:pgMar w:footer="876" w:header="0" w:top="520" w:bottom="1060" w:left="1300" w:right="1300"/>
          <w:pgNumType w:start="101"/>
        </w:sectPr>
      </w:pPr>
    </w:p>
    <w:p>
      <w:pPr>
        <w:pStyle w:val="Heading3"/>
      </w:pPr>
      <w:r>
        <w:rPr/>
        <w:pict>
          <v:line style="position:absolute;mso-position-horizontal-relative:page;mso-position-vertical-relative:paragraph;z-index:572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28" w:lineRule="auto" w:before="70"/>
        <w:ind w:left="264" w:right="221"/>
        <w:jc w:val="both"/>
        <w:rPr>
          <w:sz w:val="16"/>
        </w:rPr>
      </w:pPr>
      <w:r>
        <w:rPr/>
        <w:t>comunicación es un conjunto de posibilidades técnicas cuya manifestación física evoluciona con el impacto de su uso real.”</w:t>
      </w:r>
      <w:r>
        <w:rPr>
          <w:position w:val="11"/>
          <w:sz w:val="16"/>
        </w:rPr>
        <w:t>186</w:t>
      </w:r>
    </w:p>
    <w:p>
      <w:pPr>
        <w:pStyle w:val="BodyText"/>
        <w:spacing w:line="360" w:lineRule="auto" w:before="27"/>
        <w:ind w:left="264" w:right="220" w:firstLine="672"/>
        <w:jc w:val="both"/>
      </w:pPr>
      <w:r>
        <w:rPr/>
        <w:t>La historia de los medios de comunicación nos ofrece un panorama de  cómo el mundo ha comunicado sus ideas y cómo los discursos de cada época han trascendido las diferentes etapas históricas, no obstante, en los últimos años éstos han tenido una de sus fases </w:t>
      </w:r>
      <w:r>
        <w:rPr>
          <w:spacing w:val="-2"/>
        </w:rPr>
        <w:t>más </w:t>
      </w:r>
      <w:r>
        <w:rPr/>
        <w:t>exitosas, al obtener, lo que tal vez nunca se había conseguido: enviar un mensaje a la mayor cantidad de población jamás alcanzada.</w:t>
      </w:r>
    </w:p>
    <w:p>
      <w:pPr>
        <w:pStyle w:val="BodyText"/>
        <w:spacing w:line="360" w:lineRule="auto" w:before="6"/>
        <w:ind w:left="264" w:right="220" w:firstLine="336"/>
        <w:jc w:val="both"/>
      </w:pPr>
      <w:r>
        <w:rPr/>
        <w:t>El siglo XX ha dejado una huella palpable de su historia, gracias al desarrollo de los instrumentos gráficos, perfeccionados y distribuidos de manera eficiente entre toda la población. Los equipos de comunicación tales como el telégrafo, el teléfono, la telefonía celular, el cinematógrafo, la grabadora de audio, la grabadora de imagen, la televisión, el DVD, el video grabador y la red Internet, se han puesto al alcance de las masas y con ello se da cumplimiento a necesidades del hombre de comunicación, conocimiento y</w:t>
      </w:r>
      <w:r>
        <w:rPr>
          <w:spacing w:val="-24"/>
        </w:rPr>
        <w:t> </w:t>
      </w:r>
      <w:r>
        <w:rPr/>
        <w:t>recreación.</w:t>
      </w:r>
    </w:p>
    <w:p>
      <w:pPr>
        <w:pStyle w:val="BodyText"/>
        <w:spacing w:line="360" w:lineRule="auto" w:before="2"/>
        <w:ind w:left="264" w:right="218" w:firstLine="336"/>
        <w:jc w:val="both"/>
      </w:pPr>
      <w:r>
        <w:rPr/>
        <w:t>Su presencia histórica determina el modo de relacionarse; desde esta perspectiva Régis Debray comenta: “A cada mediásfera corresponde en occidente una máquina crucial de transmisión: la iglesia, la escuela, la tele. La logósfera</w:t>
      </w:r>
    </w:p>
    <w:p>
      <w:pPr>
        <w:pStyle w:val="BodyText"/>
        <w:spacing w:line="343" w:lineRule="auto" w:before="6"/>
        <w:ind w:left="264" w:right="219"/>
        <w:jc w:val="both"/>
      </w:pPr>
      <w:r>
        <w:rPr/>
        <w:t>había producido el soberano fabulador. La grafósfera engendró el estado educador, la videoesfera, el estado seductor.”</w:t>
      </w:r>
      <w:r>
        <w:rPr>
          <w:b/>
          <w:position w:val="11"/>
          <w:sz w:val="16"/>
        </w:rPr>
        <w:t>187 </w:t>
      </w:r>
      <w:r>
        <w:rPr/>
        <w:t>Lo que nos permite concluir que  el  icono  del  siglo  XX  es  sin  duda  </w:t>
      </w:r>
      <w:r>
        <w:rPr>
          <w:i/>
        </w:rPr>
        <w:t>la  comunicación  seductora</w:t>
      </w:r>
      <w:r>
        <w:rPr/>
        <w:t>,  utilizada</w:t>
      </w:r>
      <w:r>
        <w:rPr>
          <w:spacing w:val="39"/>
        </w:rPr>
        <w:t> </w:t>
      </w:r>
      <w:r>
        <w:rPr/>
        <w:t>como</w:t>
      </w:r>
    </w:p>
    <w:p>
      <w:pPr>
        <w:pStyle w:val="BodyText"/>
        <w:spacing w:line="360" w:lineRule="auto" w:before="24"/>
        <w:ind w:left="264" w:right="219"/>
        <w:jc w:val="both"/>
      </w:pPr>
      <w:r>
        <w:rPr/>
        <w:t>elemento fundamental de la mediocracia, que revela un estado con capacidad  para la manipulación y el manejo de ideologías que garanticen su supervivencia. En el sistema actual estos instrumentos se convierten en un fuerte aliado que maximiza el poder y garantiza su permanencia, caso concreto es el uso de la televisión que se expande en todo el orbe, que los especialistas en medios hoy llaman la</w:t>
      </w:r>
      <w:r>
        <w:rPr>
          <w:spacing w:val="-15"/>
        </w:rPr>
        <w:t> </w:t>
      </w:r>
      <w:r>
        <w:rPr/>
        <w:t>video-esfera.</w:t>
      </w:r>
    </w:p>
    <w:p>
      <w:pPr>
        <w:pStyle w:val="BodyText"/>
        <w:spacing w:line="331" w:lineRule="auto" w:before="2"/>
        <w:ind w:left="264" w:right="215" w:firstLine="336"/>
        <w:jc w:val="both"/>
      </w:pPr>
      <w:r>
        <w:rPr/>
        <w:t>Escenario que supone una mejor calidad de vida para todos los seres humanos,  una mejor  educación,  dada la función  educativa que ésta tiene</w:t>
      </w:r>
      <w:r>
        <w:rPr>
          <w:position w:val="11"/>
          <w:sz w:val="16"/>
        </w:rPr>
        <w:t>188</w:t>
      </w:r>
      <w:r>
        <w:rPr/>
        <w:t>,   </w:t>
      </w:r>
      <w:r>
        <w:rPr>
          <w:spacing w:val="36"/>
        </w:rPr>
        <w:t> </w:t>
      </w:r>
      <w:r>
        <w:rPr/>
        <w:t>y</w:t>
      </w:r>
    </w:p>
    <w:p>
      <w:pPr>
        <w:pStyle w:val="BodyText"/>
        <w:spacing w:before="11"/>
        <w:rPr>
          <w:sz w:val="18"/>
        </w:rPr>
      </w:pPr>
      <w:r>
        <w:rPr/>
        <w:pict>
          <v:line style="position:absolute;mso-position-horizontal-relative:page;mso-position-vertical-relative:paragraph;z-index:5704;mso-wrap-distance-left:0;mso-wrap-distance-right:0" from="99.224998pt,13.153654pt" to="243.274998pt,13.153654pt" stroked="true" strokeweight=".60004pt" strokecolor="#000000">
            <w10:wrap type="topAndBottom"/>
          </v:line>
        </w:pict>
      </w:r>
    </w:p>
    <w:p>
      <w:pPr>
        <w:spacing w:line="236" w:lineRule="exact" w:before="46"/>
        <w:ind w:left="264" w:right="0" w:firstLine="0"/>
        <w:jc w:val="left"/>
        <w:rPr>
          <w:rFonts w:ascii="Calibri" w:hAnsi="Calibri"/>
          <w:sz w:val="18"/>
        </w:rPr>
      </w:pPr>
      <w:r>
        <w:rPr>
          <w:rFonts w:ascii="Calibri" w:hAnsi="Calibri"/>
          <w:position w:val="9"/>
          <w:sz w:val="12"/>
        </w:rPr>
        <w:t>186 </w:t>
      </w:r>
      <w:r>
        <w:rPr>
          <w:rFonts w:ascii="Calibri" w:hAnsi="Calibri"/>
          <w:sz w:val="18"/>
        </w:rPr>
        <w:t>SMITH, Anthony, </w:t>
      </w:r>
      <w:r>
        <w:rPr>
          <w:rFonts w:ascii="Calibri" w:hAnsi="Calibri"/>
          <w:i/>
          <w:sz w:val="18"/>
        </w:rPr>
        <w:t>La política de la información, </w:t>
      </w:r>
      <w:r>
        <w:rPr>
          <w:rFonts w:ascii="Calibri" w:hAnsi="Calibri"/>
          <w:sz w:val="18"/>
        </w:rPr>
        <w:t>Fondo de Cultura Económica, México, 1984, p. 84</w:t>
      </w:r>
    </w:p>
    <w:p>
      <w:pPr>
        <w:spacing w:line="220" w:lineRule="exact" w:before="0"/>
        <w:ind w:left="264" w:right="0" w:firstLine="0"/>
        <w:jc w:val="left"/>
        <w:rPr>
          <w:rFonts w:ascii="Calibri" w:hAnsi="Calibri"/>
          <w:sz w:val="18"/>
        </w:rPr>
      </w:pPr>
      <w:r>
        <w:rPr>
          <w:rFonts w:ascii="Calibri" w:hAnsi="Calibri"/>
          <w:position w:val="9"/>
          <w:sz w:val="12"/>
        </w:rPr>
        <w:t>187 </w:t>
      </w:r>
      <w:r>
        <w:rPr>
          <w:rFonts w:ascii="Calibri" w:hAnsi="Calibri"/>
          <w:sz w:val="18"/>
        </w:rPr>
        <w:t>DEBRAY, Régis, </w:t>
      </w:r>
      <w:r>
        <w:rPr>
          <w:rFonts w:ascii="Calibri" w:hAnsi="Calibri"/>
          <w:i/>
          <w:sz w:val="18"/>
        </w:rPr>
        <w:t>El Estado seductor, Las revoluciones mediológicas del poder</w:t>
      </w:r>
      <w:r>
        <w:rPr>
          <w:rFonts w:ascii="Calibri" w:hAnsi="Calibri"/>
          <w:sz w:val="18"/>
        </w:rPr>
        <w:t>, Manantial, Buenos Aires, 1993, p. 58</w:t>
      </w:r>
    </w:p>
    <w:p>
      <w:pPr>
        <w:spacing w:line="236" w:lineRule="exact" w:before="0"/>
        <w:ind w:left="264" w:right="0" w:firstLine="0"/>
        <w:jc w:val="left"/>
        <w:rPr>
          <w:rFonts w:ascii="Calibri" w:hAnsi="Calibri"/>
          <w:sz w:val="18"/>
        </w:rPr>
      </w:pPr>
      <w:r>
        <w:rPr>
          <w:rFonts w:ascii="Calibri" w:hAnsi="Calibri"/>
          <w:position w:val="9"/>
          <w:sz w:val="12"/>
        </w:rPr>
        <w:t>188 </w:t>
      </w:r>
      <w:r>
        <w:rPr>
          <w:rFonts w:ascii="Calibri" w:hAnsi="Calibri"/>
          <w:sz w:val="18"/>
        </w:rPr>
        <w:t>Véase BOURDIEU, Pierre, Sobre la televisión, Anagrama, Barcelona, 1997.</w:t>
      </w:r>
    </w:p>
    <w:p>
      <w:pPr>
        <w:spacing w:after="0" w:line="236"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577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20"/>
        <w:jc w:val="both"/>
      </w:pPr>
      <w:r>
        <w:rPr/>
        <w:t>sobre todo una superación de la desigualdad y la pobreza en el mundo; supuesto que está muy alejado del uso real de la televisión, al convertirse ésta en la herramienta más eficiente para transmitir el mensaje del sistema con fines de controlar, manipular y mediatizar a la población.</w:t>
      </w:r>
    </w:p>
    <w:p>
      <w:pPr>
        <w:pStyle w:val="BodyText"/>
        <w:spacing w:line="360" w:lineRule="auto" w:before="6"/>
        <w:ind w:left="684" w:right="113" w:firstLine="336"/>
        <w:jc w:val="both"/>
      </w:pPr>
      <w:r>
        <w:rPr/>
        <w:t>La industria cultural y del entretenimiento aparece en el escenario con propuestas innovadoras. Ante esta proliferación del uso de los medios surge el concepto de cultura de masas, que incluye los productos de los medios de comunicación audiovisuales (radio, cine, TV); los gráficos (diarios y revistas, magazines) y a la industria editorial (Best sellers, literatura de consumo masivo).</w:t>
      </w:r>
    </w:p>
    <w:p>
      <w:pPr>
        <w:pStyle w:val="BodyText"/>
        <w:spacing w:line="360" w:lineRule="auto" w:before="2"/>
        <w:ind w:left="684" w:right="112" w:firstLine="336"/>
        <w:jc w:val="both"/>
      </w:pPr>
      <w:r>
        <w:rPr/>
        <w:t>A partir de este enfoque la comunicación como objeto de estudio asume un valor científico a través del uso de los Medios de Comunicación Masiva. “La irrupción  de  los  Medios  de  Comunicación  Masiva  o  Medios  de Comunicación</w:t>
      </w:r>
    </w:p>
    <w:p>
      <w:pPr>
        <w:pStyle w:val="BodyText"/>
        <w:spacing w:line="350" w:lineRule="auto" w:before="5"/>
        <w:ind w:left="684" w:right="118"/>
        <w:jc w:val="both"/>
      </w:pPr>
      <w:r>
        <w:rPr/>
        <w:t>Social (MCS), inició una nueva problemática que alentó la configuración del  estudio de los </w:t>
      </w:r>
      <w:r>
        <w:rPr>
          <w:spacing w:val="-2"/>
        </w:rPr>
        <w:t>MCS </w:t>
      </w:r>
      <w:r>
        <w:rPr/>
        <w:t>como una ciencia independiente”. </w:t>
      </w:r>
      <w:r>
        <w:rPr>
          <w:position w:val="11"/>
          <w:sz w:val="16"/>
        </w:rPr>
        <w:t>189 </w:t>
      </w:r>
      <w:r>
        <w:rPr/>
        <w:t>Ya el siglo XX se caracteriza por la aparición de grandes masas, derivada de la explosión demográfica,  expuestas  de  manera directa a la información difundida por  </w:t>
      </w:r>
      <w:r>
        <w:rPr>
          <w:spacing w:val="62"/>
        </w:rPr>
        <w:t> </w:t>
      </w:r>
      <w:r>
        <w:rPr/>
        <w:t>estos</w:t>
      </w:r>
    </w:p>
    <w:p>
      <w:pPr>
        <w:pStyle w:val="BodyText"/>
        <w:spacing w:line="360" w:lineRule="auto" w:before="16"/>
        <w:ind w:left="684" w:right="117"/>
        <w:jc w:val="both"/>
      </w:pPr>
      <w:r>
        <w:rPr/>
        <w:t>medios; en este sentido diferentes teóricos debaten respecto a la aparición de  esas multitudes en la vida social, condiciones que a partir de las nuevas tecnologías de la comunicación, se transformó en un fenómeno altamente perceptible.</w:t>
      </w:r>
    </w:p>
    <w:p>
      <w:pPr>
        <w:pStyle w:val="BodyText"/>
        <w:spacing w:line="357" w:lineRule="auto" w:before="6"/>
        <w:ind w:left="684" w:right="126" w:firstLine="336"/>
        <w:jc w:val="both"/>
      </w:pPr>
      <w:r>
        <w:rPr/>
        <w:t>De esta relación entre medios y multitudes surge la necesidad de definir la cultura de masas, ya que:</w:t>
      </w:r>
    </w:p>
    <w:p>
      <w:pPr>
        <w:pStyle w:val="BodyText"/>
        <w:spacing w:before="8"/>
        <w:rPr>
          <w:sz w:val="33"/>
        </w:rPr>
      </w:pPr>
    </w:p>
    <w:p>
      <w:pPr>
        <w:spacing w:line="240" w:lineRule="auto" w:before="0"/>
        <w:ind w:left="1393" w:right="116" w:firstLine="0"/>
        <w:jc w:val="both"/>
        <w:rPr>
          <w:sz w:val="22"/>
        </w:rPr>
      </w:pPr>
      <w:r>
        <w:rPr>
          <w:sz w:val="22"/>
        </w:rPr>
        <w:t>Los medios para las masas no son tan sólo </w:t>
      </w:r>
      <w:r>
        <w:rPr>
          <w:spacing w:val="-3"/>
          <w:sz w:val="22"/>
        </w:rPr>
        <w:t>la </w:t>
      </w:r>
      <w:r>
        <w:rPr>
          <w:sz w:val="22"/>
        </w:rPr>
        <w:t>suma total de las acciones que representan o de los mensajes que se irradian desde esas acciones. Los medios para las masas constan asimismo de diversos estratos de significados, superpuestos los unos a los otros y todos los cuales contribuyen al efecto. Cierto  es que debido a su naturaleza calculadora estos productos racionalizados parecen ser más nítidos en sus mensajes que las auténticas obras de arte, las cuales no pueden ser reducidas a uno u otro "mensaje" inconfundible. Pero el legado del significado polimorfo ha sido usurpado por </w:t>
      </w:r>
      <w:r>
        <w:rPr>
          <w:spacing w:val="-3"/>
          <w:sz w:val="22"/>
        </w:rPr>
        <w:t>la </w:t>
      </w:r>
      <w:r>
        <w:rPr>
          <w:sz w:val="22"/>
        </w:rPr>
        <w:t>industria cultural en </w:t>
      </w:r>
      <w:r>
        <w:rPr>
          <w:spacing w:val="-3"/>
          <w:sz w:val="22"/>
        </w:rPr>
        <w:t>la </w:t>
      </w:r>
      <w:r>
        <w:rPr>
          <w:sz w:val="22"/>
        </w:rPr>
        <w:t>medida en que </w:t>
      </w:r>
      <w:r>
        <w:rPr>
          <w:spacing w:val="-3"/>
          <w:sz w:val="22"/>
        </w:rPr>
        <w:t>lo </w:t>
      </w:r>
      <w:r>
        <w:rPr>
          <w:sz w:val="22"/>
        </w:rPr>
        <w:t>que trasmite se organiza por su parte con el objeto de dominar el ánimo de los espectadores en diversos niveles psicológicos a </w:t>
      </w:r>
      <w:r>
        <w:rPr>
          <w:spacing w:val="-3"/>
          <w:sz w:val="22"/>
        </w:rPr>
        <w:t>la </w:t>
      </w:r>
      <w:r>
        <w:rPr>
          <w:sz w:val="22"/>
        </w:rPr>
        <w:t>vez. A decir verdad, el mensaje oculto pueda ser más importante que el mensaje explícito, ya que el primero eludirá los controles de </w:t>
      </w:r>
      <w:r>
        <w:rPr>
          <w:spacing w:val="-3"/>
          <w:sz w:val="22"/>
        </w:rPr>
        <w:t>la </w:t>
      </w:r>
      <w:r>
        <w:rPr>
          <w:sz w:val="22"/>
        </w:rPr>
        <w:t>conciencia, no se </w:t>
      </w:r>
      <w:r>
        <w:rPr>
          <w:spacing w:val="-3"/>
          <w:sz w:val="22"/>
        </w:rPr>
        <w:t>lo </w:t>
      </w:r>
      <w:r>
        <w:rPr>
          <w:sz w:val="22"/>
        </w:rPr>
        <w:t>"verá al través", no será  </w:t>
      </w:r>
      <w:r>
        <w:rPr>
          <w:spacing w:val="43"/>
          <w:sz w:val="22"/>
        </w:rPr>
        <w:t> </w:t>
      </w:r>
      <w:r>
        <w:rPr>
          <w:sz w:val="22"/>
        </w:rPr>
        <w:t>esquivado</w:t>
      </w:r>
    </w:p>
    <w:p>
      <w:pPr>
        <w:pStyle w:val="BodyText"/>
        <w:spacing w:before="7"/>
        <w:rPr>
          <w:sz w:val="18"/>
        </w:rPr>
      </w:pPr>
      <w:r>
        <w:rPr/>
        <w:pict>
          <v:line style="position:absolute;mso-position-horizontal-relative:page;mso-position-vertical-relative:paragraph;z-index:5752;mso-wrap-distance-left:0;mso-wrap-distance-right:0" from="99.224998pt,12.968925pt" to="243.274998pt,12.968925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189 </w:t>
      </w:r>
      <w:r>
        <w:rPr>
          <w:rFonts w:ascii="Calibri" w:hAnsi="Calibri"/>
          <w:sz w:val="18"/>
        </w:rPr>
        <w:t>Debray Regis</w:t>
      </w:r>
      <w:r>
        <w:rPr>
          <w:rFonts w:ascii="Calibri" w:hAnsi="Calibri"/>
          <w:i/>
          <w:sz w:val="18"/>
        </w:rPr>
        <w:t>, Óp. Cit. </w:t>
      </w:r>
      <w:r>
        <w:rPr>
          <w:rFonts w:ascii="Calibri" w:hAnsi="Calibri"/>
          <w:sz w:val="18"/>
        </w:rPr>
        <w:t>p. 60</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582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252" w:lineRule="exact" w:before="77"/>
        <w:ind w:left="973" w:right="226" w:firstLine="0"/>
        <w:jc w:val="both"/>
        <w:rPr>
          <w:sz w:val="14"/>
        </w:rPr>
      </w:pPr>
      <w:r>
        <w:rPr>
          <w:sz w:val="22"/>
        </w:rPr>
        <w:t>por la resistencia a las ventas y, en cambio, es posible que se hunda en la mente del espectador. </w:t>
      </w:r>
      <w:r>
        <w:rPr>
          <w:position w:val="10"/>
          <w:sz w:val="14"/>
        </w:rPr>
        <w:t>190</w:t>
      </w:r>
    </w:p>
    <w:p>
      <w:pPr>
        <w:pStyle w:val="BodyText"/>
        <w:spacing w:before="9"/>
        <w:rPr>
          <w:sz w:val="35"/>
        </w:rPr>
      </w:pPr>
    </w:p>
    <w:p>
      <w:pPr>
        <w:pStyle w:val="BodyText"/>
        <w:spacing w:line="360" w:lineRule="auto" w:before="1"/>
        <w:ind w:left="264" w:right="213" w:firstLine="336"/>
        <w:jc w:val="both"/>
      </w:pPr>
      <w:r>
        <w:rPr/>
        <w:t>El impacto de estos en la vida de los individuos del siglo XX, sus alcances ante el inminente avance tecnológico de los medios de comunicación que se desarrollan en el momento exacto en que estas grandes masas comienzan a ser protagonistas de la vida pública, imponiendo así un lenguaje propio y exigencias particulares propias del nuevo sistema socio-económico, son objeto de estudio y atención para los  investigadores sociales. Al respecto Umberto Eco</w:t>
      </w:r>
      <w:r>
        <w:rPr>
          <w:spacing w:val="-32"/>
        </w:rPr>
        <w:t> </w:t>
      </w:r>
      <w:r>
        <w:rPr/>
        <w:t>señala:</w:t>
      </w:r>
    </w:p>
    <w:p>
      <w:pPr>
        <w:pStyle w:val="BodyText"/>
      </w:pPr>
    </w:p>
    <w:p>
      <w:pPr>
        <w:spacing w:line="235" w:lineRule="auto" w:before="145"/>
        <w:ind w:left="973" w:right="209" w:firstLine="0"/>
        <w:jc w:val="both"/>
        <w:rPr>
          <w:sz w:val="14"/>
        </w:rPr>
      </w:pPr>
      <w:r>
        <w:rPr>
          <w:sz w:val="22"/>
        </w:rPr>
        <w:t>[…] que el modo de divertirse, de pensar, de imaginar de las clases populares es inducido por los medios y responde a los modos de pensar de la clase dominante. Y en este sentido, los medios proponen situaciones que no tienen ninguna conexión con la realidad de los consumidores. En síntesis, la cultura de masas ofrece expresiones culturales de la burguesía a los sectores populares. </w:t>
      </w:r>
      <w:r>
        <w:rPr>
          <w:position w:val="10"/>
          <w:sz w:val="14"/>
        </w:rPr>
        <w:t>191</w:t>
      </w:r>
    </w:p>
    <w:p>
      <w:pPr>
        <w:pStyle w:val="BodyText"/>
        <w:spacing w:before="3"/>
        <w:rPr>
          <w:sz w:val="36"/>
        </w:rPr>
      </w:pPr>
    </w:p>
    <w:p>
      <w:pPr>
        <w:pStyle w:val="BodyText"/>
        <w:spacing w:line="360" w:lineRule="auto" w:before="1"/>
        <w:ind w:left="264" w:right="217" w:firstLine="336"/>
        <w:jc w:val="both"/>
      </w:pPr>
      <w:r>
        <w:rPr/>
        <w:t>De ahí que, sí los medios intervienen en diferentes ámbitos: en la cultura, en la política, en la economía, en la clase social, en el género, en la edad, en la perspectiva étnica de los pueblos, en las condiciones situacionales y contextuales, en las instituciones y en los movimientos sociales; también impactan en el pensamiento del sujeto, en sus emociones y en sus experiencias.</w:t>
      </w:r>
    </w:p>
    <w:p>
      <w:pPr>
        <w:pStyle w:val="BodyText"/>
        <w:spacing w:line="360" w:lineRule="auto" w:before="6"/>
        <w:ind w:left="264" w:right="214" w:firstLine="336"/>
        <w:jc w:val="both"/>
      </w:pPr>
      <w:r>
        <w:rPr/>
        <w:t>Cada uno de estos instrumentos tecnológicos es fuente de mediaciones y puede también entrelazar otras fuentes. Por ejemplo, en las experiencias previas de los sujetos intervienen los procesos cognoscitivos del sujeto y su forma de ver televisión, y al mismo tiempo el entendimiento del sujeto sobre éstos o el sentido que provee a esas experiencias puede mediarse por su televidencia.</w:t>
      </w:r>
    </w:p>
    <w:p>
      <w:pPr>
        <w:pStyle w:val="BodyText"/>
        <w:spacing w:before="7"/>
        <w:rPr>
          <w:sz w:val="35"/>
        </w:rPr>
      </w:pPr>
    </w:p>
    <w:p>
      <w:pPr>
        <w:pStyle w:val="Heading3"/>
        <w:numPr>
          <w:ilvl w:val="2"/>
          <w:numId w:val="3"/>
        </w:numPr>
        <w:tabs>
          <w:tab w:pos="532" w:val="left" w:leader="none"/>
        </w:tabs>
        <w:spacing w:line="240" w:lineRule="auto" w:before="0" w:after="0"/>
        <w:ind w:left="531" w:right="0" w:hanging="267"/>
        <w:jc w:val="left"/>
        <w:rPr>
          <w:rFonts w:ascii="Arial" w:hAnsi="Arial"/>
        </w:rPr>
      </w:pPr>
      <w:r>
        <w:rPr>
          <w:rFonts w:ascii="Arial" w:hAnsi="Arial"/>
        </w:rPr>
        <w:t>Comunicación, poder y dominación en América</w:t>
      </w:r>
      <w:r>
        <w:rPr>
          <w:rFonts w:ascii="Arial" w:hAnsi="Arial"/>
          <w:spacing w:val="-18"/>
        </w:rPr>
        <w:t> </w:t>
      </w:r>
      <w:r>
        <w:rPr>
          <w:rFonts w:ascii="Arial" w:hAnsi="Arial"/>
        </w:rPr>
        <w:t>Latina.</w:t>
      </w:r>
    </w:p>
    <w:p>
      <w:pPr>
        <w:pStyle w:val="BodyText"/>
        <w:rPr>
          <w:b/>
        </w:rPr>
      </w:pPr>
    </w:p>
    <w:p>
      <w:pPr>
        <w:pStyle w:val="BodyText"/>
        <w:spacing w:before="4"/>
        <w:rPr>
          <w:b/>
        </w:rPr>
      </w:pPr>
    </w:p>
    <w:p>
      <w:pPr>
        <w:pStyle w:val="BodyText"/>
        <w:spacing w:line="362" w:lineRule="auto"/>
        <w:ind w:left="264" w:right="224" w:firstLine="336"/>
        <w:jc w:val="both"/>
      </w:pPr>
      <w:r>
        <w:rPr/>
        <w:t>La comunicación se asocia convencionalmente al arte de la conversación, este oficio requiere del ejercicio práctico de dos cualidades configuradas en la vocación</w:t>
      </w:r>
    </w:p>
    <w:p>
      <w:pPr>
        <w:pStyle w:val="BodyText"/>
        <w:spacing w:before="1"/>
      </w:pPr>
      <w:r>
        <w:rPr/>
        <w:pict>
          <v:line style="position:absolute;mso-position-horizontal-relative:page;mso-position-vertical-relative:paragraph;z-index:5800;mso-wrap-distance-left:0;mso-wrap-distance-right:0" from="99.224998pt,16.129826pt" to="243.274998pt,16.129826pt" stroked="true" strokeweight=".60004pt" strokecolor="#000000">
            <w10:wrap type="topAndBottom"/>
          </v:line>
        </w:pict>
      </w:r>
    </w:p>
    <w:p>
      <w:pPr>
        <w:spacing w:before="48"/>
        <w:ind w:left="264" w:right="210" w:firstLine="0"/>
        <w:jc w:val="left"/>
        <w:rPr>
          <w:rFonts w:ascii="Calibri" w:hAnsi="Calibri"/>
          <w:sz w:val="18"/>
        </w:rPr>
      </w:pPr>
      <w:r>
        <w:rPr>
          <w:position w:val="9"/>
          <w:sz w:val="12"/>
        </w:rPr>
        <w:t>190</w:t>
      </w:r>
      <w:r>
        <w:rPr>
          <w:rFonts w:ascii="Calibri" w:hAnsi="Calibri"/>
          <w:sz w:val="18"/>
        </w:rPr>
        <w:t>CATEDRA.com. </w:t>
      </w:r>
      <w:r>
        <w:rPr>
          <w:rFonts w:ascii="Calibri" w:hAnsi="Calibri"/>
          <w:i/>
          <w:sz w:val="18"/>
        </w:rPr>
        <w:t>Comunicación y sociología de la cultura </w:t>
      </w:r>
      <w:r>
        <w:rPr>
          <w:rFonts w:ascii="Calibri" w:hAnsi="Calibri"/>
          <w:sz w:val="18"/>
        </w:rPr>
        <w:t>“Televisión y cultura de masas”, [en línea], consulta 06/09/2012, disponible en: </w:t>
      </w:r>
      <w:hyperlink r:id="rId86">
        <w:r>
          <w:rPr>
            <w:rFonts w:ascii="Calibri" w:hAnsi="Calibri"/>
            <w:color w:val="0000FF"/>
            <w:sz w:val="18"/>
            <w:u w:val="single" w:color="0000FF"/>
          </w:rPr>
          <w:t>http://www.catedras.fsoc.uba.ar/salvia/comunicacion/Adorno.pdf</w:t>
        </w:r>
        <w:r>
          <w:rPr>
            <w:rFonts w:ascii="Calibri" w:hAnsi="Calibri"/>
            <w:sz w:val="18"/>
          </w:rPr>
          <w:t>.</w:t>
        </w:r>
      </w:hyperlink>
    </w:p>
    <w:p>
      <w:pPr>
        <w:spacing w:line="220" w:lineRule="exact" w:before="0"/>
        <w:ind w:left="264" w:right="0" w:firstLine="0"/>
        <w:jc w:val="left"/>
        <w:rPr>
          <w:rFonts w:ascii="Calibri" w:hAnsi="Calibri"/>
          <w:i/>
          <w:sz w:val="18"/>
        </w:rPr>
      </w:pPr>
      <w:r>
        <w:rPr>
          <w:rFonts w:ascii="Calibri" w:hAnsi="Calibri"/>
          <w:i/>
          <w:position w:val="9"/>
          <w:sz w:val="12"/>
        </w:rPr>
        <w:t>191 </w:t>
      </w:r>
      <w:r>
        <w:rPr>
          <w:rFonts w:ascii="Calibri" w:hAnsi="Calibri"/>
          <w:i/>
          <w:sz w:val="18"/>
        </w:rPr>
        <w:t>Ídem.</w:t>
      </w:r>
    </w:p>
    <w:p>
      <w:pPr>
        <w:spacing w:after="0" w:line="220"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587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4"/>
        <w:jc w:val="both"/>
      </w:pPr>
      <w:r>
        <w:rPr/>
        <w:t>de la alteridad, escuchar y hablar. Frente a un interlocutor se precisa una sensibilidad situacional que permita sentir al otro, ponerse en su lugar, imaginar su ruta de sentido, distanciarse para entender; escuchar estar ordenado en la recepción, en la acción pasiva, en la entrega, en el lugar del que se abre al exterior. Todo conversador sabe que una buena plática depende de por lo </w:t>
      </w:r>
      <w:r>
        <w:rPr>
          <w:spacing w:val="55"/>
        </w:rPr>
        <w:t> </w:t>
      </w:r>
      <w:r>
        <w:rPr/>
        <w:t>menos</w:t>
      </w:r>
    </w:p>
    <w:p>
      <w:pPr>
        <w:pStyle w:val="BodyText"/>
        <w:spacing w:line="278" w:lineRule="exact"/>
        <w:ind w:left="684"/>
        <w:jc w:val="both"/>
      </w:pPr>
      <w:r>
        <w:rPr/>
        <w:t>dos participantes</w:t>
      </w:r>
      <w:r>
        <w:rPr>
          <w:position w:val="11"/>
          <w:sz w:val="16"/>
        </w:rPr>
        <w:t>192</w:t>
      </w:r>
      <w:r>
        <w:rPr/>
        <w:t>. La atención se concentra mejor en una persona a la vez,  una</w:t>
      </w:r>
    </w:p>
    <w:p>
      <w:pPr>
        <w:pStyle w:val="BodyText"/>
        <w:spacing w:line="360" w:lineRule="auto" w:before="140"/>
        <w:ind w:left="684" w:right="125"/>
        <w:jc w:val="both"/>
      </w:pPr>
      <w:r>
        <w:rPr/>
        <w:t>persona es importante en cada ocasión. Pero también está la imaginación, en el conversar se configuran mundos que se habitan por un instante o varias horas, esos mundos pueden entrar en comunión si el mismo mundo los pone en contacto, es el mundo creado en la conversación</w:t>
      </w:r>
      <w:r>
        <w:rPr>
          <w:spacing w:val="-31"/>
        </w:rPr>
        <w:t> </w:t>
      </w:r>
      <w:r>
        <w:rPr/>
        <w:t>misma.</w:t>
      </w:r>
    </w:p>
    <w:p>
      <w:pPr>
        <w:pStyle w:val="BodyText"/>
        <w:spacing w:line="360" w:lineRule="auto" w:before="5"/>
        <w:ind w:left="684" w:right="119" w:firstLine="332"/>
        <w:jc w:val="both"/>
      </w:pPr>
      <w:r>
        <w:rPr/>
        <w:t>Todo principia en uno o en el otro, y después sólo hay participación de lo que involucra a ambos. Cuando se escucha se trae al otro al propio interior y se le asocia a lo propio y a lo común.</w:t>
      </w:r>
    </w:p>
    <w:p>
      <w:pPr>
        <w:pStyle w:val="BodyText"/>
        <w:spacing w:line="360" w:lineRule="auto" w:before="2"/>
        <w:ind w:left="684" w:right="117" w:firstLine="336"/>
        <w:jc w:val="both"/>
      </w:pPr>
      <w:r>
        <w:rPr/>
        <w:t>En este marco de comunicación se desarrollan las estructuras de poder, que disimulan la pérdida de libertad, que se organizan de manera arbitraria pero sutil, que convencen para someter de manera tácita, implícita en un convenio aceptado y celebrado sin presión. Esta manifestación del elemento comunicacional del ser humano tiene como sustento una interiorización simbólica que muchas veces contiene un ejercicio de poder. Al respecto comenta Bourdieu: “Todo poder de violencia simbólica, o sea, todo poder que logra imponer significados e imponerlas como legítimas disimulando las relaciones de fuerza en que se funda su propia</w:t>
      </w:r>
    </w:p>
    <w:p>
      <w:pPr>
        <w:pStyle w:val="BodyText"/>
        <w:spacing w:line="345" w:lineRule="auto" w:before="2"/>
        <w:ind w:left="684" w:right="125"/>
        <w:jc w:val="both"/>
      </w:pPr>
      <w:r>
        <w:rPr/>
        <w:t>fuerza, añade su fuerza propia, es decir, propiamente simbólica, a esas relaciones de fuerza.”</w:t>
      </w:r>
      <w:r>
        <w:rPr>
          <w:position w:val="11"/>
          <w:sz w:val="16"/>
        </w:rPr>
        <w:t>193 </w:t>
      </w:r>
      <w:r>
        <w:rPr/>
        <w:t>Dando como resultado la aceptación inadvertida del mandato que en forma disimulada se envía a través del mensaje.</w:t>
      </w:r>
    </w:p>
    <w:p>
      <w:pPr>
        <w:pStyle w:val="BodyText"/>
        <w:spacing w:line="357" w:lineRule="auto" w:before="22"/>
        <w:ind w:left="684" w:right="120" w:firstLine="336"/>
        <w:jc w:val="both"/>
      </w:pPr>
      <w:r>
        <w:rPr/>
        <w:t>El objetivo del mensaje adquiere tal obviedad que pareciera un pleonasmo tratar de explicarlo, su forma es tan tenue que parece no ofensiva ni</w:t>
      </w:r>
      <w:r>
        <w:rPr>
          <w:spacing w:val="-44"/>
        </w:rPr>
        <w:t> </w:t>
      </w:r>
      <w:r>
        <w:rPr/>
        <w:t>peligrosa.</w:t>
      </w:r>
    </w:p>
    <w:p>
      <w:pPr>
        <w:pStyle w:val="BodyText"/>
      </w:pPr>
    </w:p>
    <w:p>
      <w:pPr>
        <w:spacing w:line="240" w:lineRule="auto" w:before="144"/>
        <w:ind w:left="1393" w:right="116" w:firstLine="0"/>
        <w:jc w:val="both"/>
        <w:rPr>
          <w:sz w:val="22"/>
        </w:rPr>
      </w:pPr>
      <w:r>
        <w:rPr>
          <w:sz w:val="22"/>
        </w:rPr>
        <w:t>Hay aquí una certeza sobre el ocultamiento del poder, sobre la fórmula de su ejercicio, de su operación social. Relaciones de fuerza que están ocultas por otras relaciones de fuerza donde lo que entra en combate son otros pertrechos, otras</w:t>
      </w:r>
    </w:p>
    <w:p>
      <w:pPr>
        <w:pStyle w:val="BodyText"/>
        <w:rPr>
          <w:sz w:val="12"/>
        </w:rPr>
      </w:pPr>
      <w:r>
        <w:rPr/>
        <w:pict>
          <v:line style="position:absolute;mso-position-horizontal-relative:page;mso-position-vertical-relative:paragraph;z-index:5848;mso-wrap-distance-left:0;mso-wrap-distance-right:0" from="99.224998pt,9.178927pt" to="243.274998pt,9.178927pt" stroked="true" strokeweight=".60004pt" strokecolor="#000000">
            <w10:wrap type="topAndBottom"/>
          </v:line>
        </w:pict>
      </w:r>
    </w:p>
    <w:p>
      <w:pPr>
        <w:spacing w:line="236" w:lineRule="exact" w:before="46"/>
        <w:ind w:left="684" w:right="0" w:firstLine="0"/>
        <w:jc w:val="both"/>
        <w:rPr>
          <w:rFonts w:ascii="Calibri" w:hAnsi="Calibri"/>
          <w:sz w:val="18"/>
        </w:rPr>
      </w:pPr>
      <w:r>
        <w:rPr>
          <w:rFonts w:ascii="Calibri" w:hAnsi="Calibri"/>
          <w:position w:val="9"/>
          <w:sz w:val="12"/>
        </w:rPr>
        <w:t>192</w:t>
      </w:r>
      <w:r>
        <w:rPr>
          <w:rFonts w:ascii="Calibri" w:hAnsi="Calibri"/>
          <w:sz w:val="18"/>
        </w:rPr>
        <w:t>LAMEIRAS, José y GALINDO Cáceres, Luis Jesús, (Compiladores), </w:t>
      </w:r>
      <w:r>
        <w:rPr>
          <w:rFonts w:ascii="Calibri" w:hAnsi="Calibri"/>
          <w:i/>
          <w:sz w:val="18"/>
        </w:rPr>
        <w:t>Óp. Cit</w:t>
      </w:r>
      <w:r>
        <w:rPr>
          <w:rFonts w:ascii="Calibri" w:hAnsi="Calibri"/>
          <w:sz w:val="18"/>
        </w:rPr>
        <w:t>., p. 23</w:t>
      </w:r>
    </w:p>
    <w:p>
      <w:pPr>
        <w:spacing w:line="220" w:lineRule="exact" w:before="12"/>
        <w:ind w:left="684" w:right="124" w:firstLine="0"/>
        <w:jc w:val="both"/>
        <w:rPr>
          <w:rFonts w:ascii="Calibri" w:hAnsi="Calibri"/>
          <w:sz w:val="18"/>
        </w:rPr>
      </w:pPr>
      <w:r>
        <w:rPr>
          <w:rFonts w:ascii="Calibri" w:hAnsi="Calibri"/>
          <w:position w:val="9"/>
          <w:sz w:val="12"/>
        </w:rPr>
        <w:t>193 </w:t>
      </w:r>
      <w:r>
        <w:rPr>
          <w:rFonts w:ascii="Calibri" w:hAnsi="Calibri"/>
          <w:sz w:val="18"/>
        </w:rPr>
        <w:t>NOTA de MORENO, Hugo Cesar, </w:t>
      </w:r>
      <w:r>
        <w:rPr>
          <w:rFonts w:ascii="Calibri" w:hAnsi="Calibri"/>
          <w:i/>
          <w:sz w:val="18"/>
        </w:rPr>
        <w:t>BOURDIEU, Pierre, “</w:t>
      </w:r>
      <w:r>
        <w:rPr>
          <w:rFonts w:ascii="Calibri" w:hAnsi="Calibri"/>
          <w:sz w:val="18"/>
        </w:rPr>
        <w:t>La reproducción. Elementos para una teoría del sistema de enseñanza”</w:t>
      </w:r>
      <w:r>
        <w:rPr>
          <w:rFonts w:ascii="Calibri" w:hAnsi="Calibri"/>
          <w:i/>
          <w:sz w:val="18"/>
        </w:rPr>
        <w:t>, Laia, </w:t>
      </w:r>
      <w:r>
        <w:rPr>
          <w:rFonts w:ascii="Calibri" w:hAnsi="Calibri"/>
          <w:sz w:val="18"/>
        </w:rPr>
        <w:t>Barcelona, 1977 p. 44. [ en línea], consulta el 22/06/2012, disponible en: </w:t>
      </w:r>
      <w:hyperlink r:id="rId88">
        <w:r>
          <w:rPr>
            <w:rFonts w:ascii="Calibri" w:hAnsi="Calibri"/>
            <w:color w:val="0000FF"/>
            <w:sz w:val="18"/>
            <w:u w:val="single" w:color="0000FF"/>
          </w:rPr>
          <w:t>http://www.uia.mx/actividades/publicaciones/iberoforum/2/pdf/hugo_moreno.pdf</w:t>
        </w:r>
      </w:hyperlink>
    </w:p>
    <w:p>
      <w:pPr>
        <w:spacing w:after="0" w:line="220" w:lineRule="exact"/>
        <w:jc w:val="both"/>
        <w:rPr>
          <w:rFonts w:ascii="Calibri" w:hAnsi="Calibri"/>
          <w:sz w:val="18"/>
        </w:rPr>
        <w:sectPr>
          <w:footerReference w:type="default" r:id="rId87"/>
          <w:pgSz w:w="12240" w:h="15840"/>
          <w:pgMar w:footer="876" w:header="0" w:top="520" w:bottom="1060" w:left="1300" w:right="1300"/>
        </w:sectPr>
      </w:pPr>
    </w:p>
    <w:p>
      <w:pPr>
        <w:pStyle w:val="Heading3"/>
      </w:pPr>
      <w:r>
        <w:rPr/>
        <w:pict>
          <v:line style="position:absolute;mso-position-horizontal-relative:page;mso-position-vertical-relative:paragraph;z-index:589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252" w:lineRule="exact" w:before="77"/>
        <w:ind w:left="973" w:right="229" w:firstLine="0"/>
        <w:jc w:val="both"/>
        <w:rPr>
          <w:sz w:val="14"/>
        </w:rPr>
      </w:pPr>
      <w:r>
        <w:rPr>
          <w:sz w:val="22"/>
        </w:rPr>
        <w:t>armas, donde el campo de batalla no requiere escenas sanguinolentas, pero sí la guerra.”</w:t>
      </w:r>
      <w:r>
        <w:rPr>
          <w:position w:val="10"/>
          <w:sz w:val="14"/>
        </w:rPr>
        <w:t>194</w:t>
      </w:r>
    </w:p>
    <w:p>
      <w:pPr>
        <w:pStyle w:val="BodyText"/>
        <w:spacing w:before="9"/>
        <w:rPr>
          <w:sz w:val="35"/>
        </w:rPr>
      </w:pPr>
    </w:p>
    <w:p>
      <w:pPr>
        <w:pStyle w:val="BodyText"/>
        <w:spacing w:line="360" w:lineRule="auto" w:before="1"/>
        <w:ind w:left="264" w:right="220" w:firstLine="336"/>
        <w:jc w:val="both"/>
      </w:pPr>
      <w:r>
        <w:rPr/>
        <w:t>Una manifestación de poder y dominación, que somete y ordena el mundo de los otros a través de la sutileza del mensaje. Lo que implica el reconocimiento de estructuras que se dirimen en el origen de la organización social.</w:t>
      </w:r>
    </w:p>
    <w:p>
      <w:pPr>
        <w:pStyle w:val="BodyText"/>
      </w:pPr>
    </w:p>
    <w:p>
      <w:pPr>
        <w:spacing w:line="237" w:lineRule="auto" w:before="211"/>
        <w:ind w:left="973" w:right="212" w:firstLine="0"/>
        <w:jc w:val="both"/>
        <w:rPr>
          <w:sz w:val="14"/>
        </w:rPr>
      </w:pPr>
      <w:r>
        <w:rPr>
          <w:sz w:val="22"/>
        </w:rPr>
        <w:t>[...] el poder como acto primigenio y éste, como en Foucault, posible sólo como relación de fuerzas. Esta tesis menos uno, en el eje negativo, en la prehistoria, en la época anterior, de un mundo anterior, podría ser: La posibilidad del lazo social está dada por el poder, es decir, por las relaciones de fuerza y la imposición de “unos” sobre “otros”, imponiendo una arbitrariedad y ligando así a los individuos, sujetándolos a un mundo donde la mayor fuerza ejercida está en cualquier uso de poder de violencia simbólica.</w:t>
      </w:r>
      <w:r>
        <w:rPr>
          <w:position w:val="10"/>
          <w:sz w:val="14"/>
        </w:rPr>
        <w:t>195</w:t>
      </w:r>
    </w:p>
    <w:p>
      <w:pPr>
        <w:pStyle w:val="BodyText"/>
        <w:spacing w:before="10"/>
        <w:rPr>
          <w:sz w:val="35"/>
        </w:rPr>
      </w:pPr>
    </w:p>
    <w:p>
      <w:pPr>
        <w:pStyle w:val="BodyText"/>
        <w:spacing w:line="360" w:lineRule="auto"/>
        <w:ind w:left="264" w:right="217" w:firstLine="336"/>
        <w:jc w:val="both"/>
      </w:pPr>
      <w:r>
        <w:rPr/>
        <w:t>Resulta, desde estos enfoques, que la comunicación es un acontecimiento extraordinario donde la condición humana se verifica, se construye, se configura, se somete. La vida interior y exterior se ordena en la red gigantesca de esos actos comunicativos. Existe una lógica de comprensión de lo humano implícita en este modo de ver la vida de los hombres como una unidad, como un gran proceso único, complejo pero unitario e igualmente inadvertible.</w:t>
      </w:r>
    </w:p>
    <w:p>
      <w:pPr>
        <w:pStyle w:val="BodyText"/>
        <w:spacing w:line="360" w:lineRule="auto" w:before="2"/>
        <w:ind w:left="264" w:right="212" w:firstLine="336"/>
        <w:jc w:val="both"/>
      </w:pPr>
      <w:r>
        <w:rPr/>
        <w:t>Desde este plano, la comunicación se establece como base para el desarrollo de las relaciones de poder. Del poder como un elemento sustancial en las relaciones humanas, que surge a nivel intrapersonal o mundial con la distribución  y formas de poder que en un mundo global conforman los nuevos estados nación en el mundo. Y que con elementos diferentes surge en América Latina a partir del proceso colonizador que ha sufrido por parte de Europa y Estados Unidos. Configurando naciones que se desarrollan al margen del ejercicio de poder occidental, donde las esperanzas son otras, donde las reglas son diferentes. Así para Boaventura de Sousa</w:t>
      </w:r>
      <w:r>
        <w:rPr>
          <w:spacing w:val="-18"/>
        </w:rPr>
        <w:t> </w:t>
      </w:r>
      <w:r>
        <w:rPr/>
        <w:t>Santos:</w:t>
      </w:r>
    </w:p>
    <w:p>
      <w:pPr>
        <w:pStyle w:val="BodyText"/>
        <w:rPr>
          <w:sz w:val="20"/>
        </w:rPr>
      </w:pPr>
    </w:p>
    <w:p>
      <w:pPr>
        <w:pStyle w:val="BodyText"/>
        <w:rPr>
          <w:sz w:val="20"/>
        </w:rPr>
      </w:pPr>
    </w:p>
    <w:p>
      <w:pPr>
        <w:pStyle w:val="BodyText"/>
        <w:rPr>
          <w:sz w:val="20"/>
        </w:rPr>
      </w:pPr>
    </w:p>
    <w:p>
      <w:pPr>
        <w:pStyle w:val="BodyText"/>
        <w:spacing w:before="8"/>
        <w:rPr>
          <w:sz w:val="26"/>
        </w:rPr>
      </w:pPr>
    </w:p>
    <w:p>
      <w:pPr>
        <w:spacing w:before="78"/>
        <w:ind w:left="264" w:right="214" w:firstLine="0"/>
        <w:jc w:val="both"/>
        <w:rPr>
          <w:rFonts w:ascii="Calibri" w:hAnsi="Calibri"/>
          <w:sz w:val="18"/>
        </w:rPr>
      </w:pPr>
      <w:r>
        <w:rPr>
          <w:rFonts w:ascii="Calibri" w:hAnsi="Calibri"/>
          <w:position w:val="9"/>
          <w:sz w:val="12"/>
        </w:rPr>
        <w:t>194 </w:t>
      </w:r>
      <w:r>
        <w:rPr>
          <w:rFonts w:ascii="Calibri" w:hAnsi="Calibri"/>
          <w:sz w:val="18"/>
        </w:rPr>
        <w:t>MORENO, Hugo César, “Bourdieu, Foucault y el poder”, </w:t>
      </w:r>
      <w:r>
        <w:rPr>
          <w:rFonts w:ascii="Calibri" w:hAnsi="Calibri"/>
          <w:i/>
          <w:sz w:val="18"/>
        </w:rPr>
        <w:t>IBEROFORUM</w:t>
      </w:r>
      <w:r>
        <w:rPr>
          <w:rFonts w:ascii="Calibri" w:hAnsi="Calibri"/>
          <w:sz w:val="18"/>
        </w:rPr>
        <w:t>, Vol. I, Núm. II, 2006, pp. 1-14, Universidad Iberoamericana, Ciudad de México, [en línea] consulta 24/08/2012, disponible en: </w:t>
      </w:r>
      <w:hyperlink r:id="rId90">
        <w:r>
          <w:rPr>
            <w:rFonts w:ascii="Calibri" w:hAnsi="Calibri"/>
            <w:color w:val="0000FF"/>
            <w:sz w:val="18"/>
            <w:u w:val="single" w:color="0000FF"/>
          </w:rPr>
          <w:t>http://redalyc.uaemex.mx/src/inicio/ArtPdfRed.jsp?iCve=211015573008</w:t>
        </w:r>
        <w:r>
          <w:rPr>
            <w:rFonts w:ascii="Calibri" w:hAnsi="Calibri"/>
            <w:sz w:val="18"/>
          </w:rPr>
          <w:t>.</w:t>
        </w:r>
      </w:hyperlink>
    </w:p>
    <w:p>
      <w:pPr>
        <w:spacing w:line="220" w:lineRule="exact" w:before="0"/>
        <w:ind w:left="264" w:right="0" w:firstLine="0"/>
        <w:jc w:val="both"/>
        <w:rPr>
          <w:rFonts w:ascii="Calibri" w:hAnsi="Calibri"/>
          <w:sz w:val="18"/>
        </w:rPr>
      </w:pPr>
      <w:r>
        <w:rPr>
          <w:rFonts w:ascii="Calibri" w:hAnsi="Calibri"/>
          <w:position w:val="9"/>
          <w:sz w:val="12"/>
        </w:rPr>
        <w:t>195 </w:t>
      </w:r>
      <w:r>
        <w:rPr>
          <w:rFonts w:ascii="Calibri" w:hAnsi="Calibri"/>
          <w:i/>
          <w:sz w:val="18"/>
        </w:rPr>
        <w:t>Ibíd.</w:t>
      </w:r>
      <w:r>
        <w:rPr>
          <w:rFonts w:ascii="Calibri" w:hAnsi="Calibri"/>
          <w:sz w:val="18"/>
        </w:rPr>
        <w:t>, p. 3</w:t>
      </w:r>
    </w:p>
    <w:p>
      <w:pPr>
        <w:spacing w:after="0" w:line="220" w:lineRule="exact"/>
        <w:jc w:val="both"/>
        <w:rPr>
          <w:rFonts w:ascii="Calibri" w:hAnsi="Calibri"/>
          <w:sz w:val="18"/>
        </w:rPr>
        <w:sectPr>
          <w:footerReference w:type="default" r:id="rId89"/>
          <w:pgSz w:w="12240" w:h="15840"/>
          <w:pgMar w:footer="876" w:header="0"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594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7"/>
        </w:rPr>
      </w:pPr>
    </w:p>
    <w:p>
      <w:pPr>
        <w:spacing w:line="355" w:lineRule="auto" w:before="72"/>
        <w:ind w:left="1393" w:right="112" w:firstLine="0"/>
        <w:jc w:val="both"/>
        <w:rPr>
          <w:sz w:val="14"/>
        </w:rPr>
      </w:pPr>
      <w:r>
        <w:rPr>
          <w:sz w:val="22"/>
        </w:rPr>
        <w:t>En los márgenes del </w:t>
      </w:r>
      <w:r>
        <w:rPr>
          <w:i/>
          <w:sz w:val="22"/>
        </w:rPr>
        <w:t>siglo europeo-americano</w:t>
      </w:r>
      <w:r>
        <w:rPr>
          <w:sz w:val="22"/>
        </w:rPr>
        <w:t>, arguyo, emergió otro siglo, uno en verdad nuevo y americano. Yo le llamo el </w:t>
      </w:r>
      <w:r>
        <w:rPr>
          <w:i/>
          <w:sz w:val="22"/>
        </w:rPr>
        <w:t>siglo americano de Nuestra América. </w:t>
      </w:r>
      <w:r>
        <w:rPr>
          <w:sz w:val="22"/>
        </w:rPr>
        <w:t>Mientras el primero entraña una globalización hegemónica, este último contiene en sí mismo el potencial para globalizaciones contrahegemónicas. Debido a que este potencial yace en el futuro, el siglo de </w:t>
      </w:r>
      <w:r>
        <w:rPr>
          <w:i/>
          <w:sz w:val="22"/>
        </w:rPr>
        <w:t>Nuestra América </w:t>
      </w:r>
      <w:r>
        <w:rPr>
          <w:sz w:val="22"/>
        </w:rPr>
        <w:t>bien puede ser el nombre del siglo que comienza.</w:t>
      </w:r>
      <w:r>
        <w:rPr>
          <w:position w:val="10"/>
          <w:sz w:val="14"/>
        </w:rPr>
        <w:t>196</w:t>
      </w:r>
    </w:p>
    <w:p>
      <w:pPr>
        <w:pStyle w:val="BodyText"/>
        <w:spacing w:before="3"/>
        <w:rPr>
          <w:sz w:val="36"/>
        </w:rPr>
      </w:pPr>
    </w:p>
    <w:p>
      <w:pPr>
        <w:pStyle w:val="BodyText"/>
        <w:spacing w:line="360" w:lineRule="auto"/>
        <w:ind w:left="684" w:right="117" w:firstLine="336"/>
        <w:jc w:val="both"/>
      </w:pPr>
      <w:r>
        <w:rPr/>
        <w:t>Los estados durante el siglo XX utilizaron los medios de comunicación como instrumentos para fortalecer sus estructuras, se instituyeron en correas de transmisión, dada la eficiencia de éstos para transmitir el mensaje, y fortalecer el sistema. Su eficacia se manifiesta en la posibilidad de generar confianza y credibilidad en sus estructuras de poder e instituciones, requisito fundamental para mantenerse y preservar el estado del mismo. En México y Honduras los medios de comunicación masiva entre ellos la radio, los periódicos y la televisión tuvieron un papel muy importante para difundir el mensaje político dirigido a los ciudadanos con la finalidad de mantener el control.</w:t>
      </w:r>
    </w:p>
    <w:p>
      <w:pPr>
        <w:pStyle w:val="BodyText"/>
        <w:spacing w:line="360" w:lineRule="auto" w:before="2"/>
        <w:ind w:left="684" w:right="117" w:firstLine="404"/>
        <w:jc w:val="both"/>
      </w:pPr>
      <w:r>
        <w:rPr/>
        <w:t>Además de que el poder a través de estos medios facilita la distribución de las preferencias para las alternativas de los ciudadanos y, por lo tanto depende, en lo que respecta a sus componentes, de las combinaciones de estas preferencias que el estado ofrece. Motivando con ello la acción y el despliegue del mismo estado. Sin embargo, el poder no se manifiesta como un concepto autosuficiente, sino depende de otros elementos,</w:t>
      </w:r>
    </w:p>
    <w:p>
      <w:pPr>
        <w:pStyle w:val="BodyText"/>
        <w:spacing w:line="360" w:lineRule="auto" w:before="1"/>
        <w:ind w:left="684" w:right="115" w:firstLine="336"/>
        <w:jc w:val="both"/>
      </w:pPr>
      <w:r>
        <w:rPr/>
        <w:t>En los Estados Latinoamericanos y en especial en México y Honduras la forma como se desarrolla el sistema de poder emana de un estado colonizador que se desdobla desde la Conquista Española, que con su estilo de dominio y explotación desarrolla una cultura dependiente y oprimida. En el siglo XX y XXI, la expresión del poder colonizador persiste pero ahora es perfeccionado a través del uso de los medios de comunicación masiva que permiten una aplicación del poder más sutil y efectivo, bajo un código más flexible de aplicación casi universal, por medio del mensaje enviado a través de la televisión.</w:t>
      </w:r>
    </w:p>
    <w:p>
      <w:pPr>
        <w:pStyle w:val="BodyText"/>
        <w:rPr>
          <w:sz w:val="20"/>
        </w:rPr>
      </w:pPr>
    </w:p>
    <w:p>
      <w:pPr>
        <w:pStyle w:val="BodyText"/>
        <w:spacing w:before="10"/>
        <w:rPr>
          <w:sz w:val="25"/>
        </w:rPr>
      </w:pPr>
      <w:r>
        <w:rPr/>
        <w:pict>
          <v:line style="position:absolute;mso-position-horizontal-relative:page;mso-position-vertical-relative:paragraph;z-index:5920;mso-wrap-distance-left:0;mso-wrap-distance-right:0" from="99.224998pt,17.149864pt" to="243.274998pt,17.149864pt" stroked="true" strokeweight=".60004pt" strokecolor="#000000">
            <w10:wrap type="topAndBottom"/>
          </v:line>
        </w:pict>
      </w:r>
    </w:p>
    <w:p>
      <w:pPr>
        <w:spacing w:before="48"/>
        <w:ind w:left="684" w:right="114" w:firstLine="0"/>
        <w:jc w:val="left"/>
        <w:rPr>
          <w:rFonts w:ascii="Calibri" w:hAnsi="Calibri"/>
          <w:sz w:val="18"/>
        </w:rPr>
      </w:pPr>
      <w:r>
        <w:rPr>
          <w:position w:val="9"/>
          <w:sz w:val="12"/>
        </w:rPr>
        <w:t>196 </w:t>
      </w:r>
      <w:r>
        <w:rPr>
          <w:rFonts w:ascii="Calibri" w:hAnsi="Calibri"/>
          <w:sz w:val="18"/>
        </w:rPr>
        <w:t>DE SOUSA Santos Boaventura, </w:t>
      </w:r>
      <w:r>
        <w:rPr>
          <w:rFonts w:ascii="Calibri" w:hAnsi="Calibri"/>
          <w:i/>
          <w:sz w:val="18"/>
        </w:rPr>
        <w:t>Una epistemología del sur</w:t>
      </w:r>
      <w:r>
        <w:rPr>
          <w:rFonts w:ascii="Calibri" w:hAnsi="Calibri"/>
          <w:sz w:val="18"/>
        </w:rPr>
        <w:t>, Siglo XXI, CLACSO, México, 2009, p. 228</w:t>
      </w:r>
    </w:p>
    <w:p>
      <w:pPr>
        <w:spacing w:after="0"/>
        <w:jc w:val="left"/>
        <w:rPr>
          <w:rFonts w:ascii="Calibri" w:hAnsi="Calibri"/>
          <w:sz w:val="18"/>
        </w:rPr>
        <w:sectPr>
          <w:footerReference w:type="default" r:id="rId91"/>
          <w:pgSz w:w="12240" w:h="15840"/>
          <w:pgMar w:footer="876" w:header="0" w:top="520" w:bottom="1060" w:left="1300" w:right="1300"/>
          <w:pgNumType w:start="107"/>
        </w:sectPr>
      </w:pPr>
    </w:p>
    <w:p>
      <w:pPr>
        <w:pStyle w:val="Heading3"/>
      </w:pPr>
      <w:r>
        <w:rPr/>
        <w:pict>
          <v:line style="position:absolute;mso-position-horizontal-relative:page;mso-position-vertical-relative:paragraph;z-index:596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pStyle w:val="ListParagraph"/>
        <w:numPr>
          <w:ilvl w:val="2"/>
          <w:numId w:val="3"/>
        </w:numPr>
        <w:tabs>
          <w:tab w:pos="601" w:val="left" w:leader="none"/>
        </w:tabs>
        <w:spacing w:line="240" w:lineRule="auto" w:before="70" w:after="0"/>
        <w:ind w:left="601" w:right="0" w:hanging="269"/>
        <w:jc w:val="left"/>
        <w:rPr>
          <w:b/>
          <w:sz w:val="24"/>
        </w:rPr>
      </w:pPr>
      <w:r>
        <w:rPr>
          <w:b/>
          <w:sz w:val="24"/>
        </w:rPr>
        <w:t>Educación e</w:t>
      </w:r>
      <w:r>
        <w:rPr>
          <w:b/>
          <w:spacing w:val="-7"/>
          <w:sz w:val="24"/>
        </w:rPr>
        <w:t> </w:t>
      </w:r>
      <w:r>
        <w:rPr>
          <w:b/>
          <w:sz w:val="24"/>
        </w:rPr>
        <w:t>ideología</w:t>
      </w:r>
    </w:p>
    <w:p>
      <w:pPr>
        <w:pStyle w:val="BodyText"/>
        <w:rPr>
          <w:b/>
        </w:rPr>
      </w:pPr>
    </w:p>
    <w:p>
      <w:pPr>
        <w:pStyle w:val="BodyText"/>
        <w:spacing w:before="4"/>
        <w:rPr>
          <w:b/>
        </w:rPr>
      </w:pPr>
    </w:p>
    <w:p>
      <w:pPr>
        <w:pStyle w:val="BodyText"/>
        <w:spacing w:line="360" w:lineRule="auto"/>
        <w:ind w:left="264" w:right="219" w:firstLine="336"/>
        <w:jc w:val="both"/>
      </w:pPr>
      <w:r>
        <w:rPr/>
        <w:t>La hipótesis de este trabajo de investigación precisa analizar los conceptos de educación e ideología, como tarea obligada, en virtud de la capacidad de la programación televisiva de informar y conformar al tele-vidente desde la presencia del mensaje, que se fundamenta en teorías mercadotécnicas que logran con eficacia el cambio de conductas y la transformación de costumbres y modificación de actitudes.</w:t>
      </w:r>
    </w:p>
    <w:p>
      <w:pPr>
        <w:pStyle w:val="BodyText"/>
        <w:spacing w:line="360" w:lineRule="auto" w:before="6"/>
        <w:ind w:left="264" w:right="212" w:firstLine="336"/>
        <w:jc w:val="both"/>
      </w:pPr>
      <w:r>
        <w:rPr/>
        <w:t>La televisión puede ser positiva para la formación del observador de la misma, si se selecciona la programación adecuada o sí el televidente toma una actitud crítica ante la misma. Empero en la mayoría de los casos es todo lo contrario, se busca la programación sencilla y divertida que devalúa el tiempo dedicado a ella. Que suspende el interés sobre una formación educativa de alto nivel, sobre todo de los niños y</w:t>
      </w:r>
      <w:r>
        <w:rPr>
          <w:spacing w:val="-14"/>
        </w:rPr>
        <w:t> </w:t>
      </w:r>
      <w:r>
        <w:rPr/>
        <w:t>niñas.</w:t>
      </w:r>
    </w:p>
    <w:p>
      <w:pPr>
        <w:pStyle w:val="BodyText"/>
        <w:spacing w:line="360" w:lineRule="auto" w:before="6"/>
        <w:ind w:left="264" w:right="217" w:firstLine="404"/>
        <w:jc w:val="both"/>
      </w:pPr>
      <w:r>
        <w:rPr/>
        <w:t>Lo anterior, con el conocimiento de la gran influencia que ejercen los medios a través del proceso constante de educación informal de las personas, que modifica la percepción de la realidad, los proyectos personales de cada individuo, las metas sociales, la movilidad de saberes y destrezas requeridos por el contexto social; teniendo como ejemplo la programación actual de los canales televisivos que empobrecen el contexto cultural y educativo de la sociedad, utilizando recursos que exacerban la naturaleza instintiva de los individuos, que no promueven el crecimiento espiritual, la creatividad, la emancipación y la</w:t>
      </w:r>
      <w:r>
        <w:rPr>
          <w:spacing w:val="-42"/>
        </w:rPr>
        <w:t> </w:t>
      </w:r>
      <w:r>
        <w:rPr/>
        <w:t>libertad.</w:t>
      </w:r>
    </w:p>
    <w:p>
      <w:pPr>
        <w:pStyle w:val="BodyText"/>
      </w:pPr>
    </w:p>
    <w:p>
      <w:pPr>
        <w:pStyle w:val="Heading3"/>
        <w:numPr>
          <w:ilvl w:val="3"/>
          <w:numId w:val="3"/>
        </w:numPr>
        <w:tabs>
          <w:tab w:pos="532" w:val="left" w:leader="none"/>
        </w:tabs>
        <w:spacing w:line="240" w:lineRule="auto" w:before="138" w:after="0"/>
        <w:ind w:left="531" w:right="0" w:hanging="267"/>
        <w:jc w:val="left"/>
        <w:rPr>
          <w:rFonts w:ascii="Arial" w:hAnsi="Arial"/>
        </w:rPr>
      </w:pPr>
      <w:r>
        <w:rPr>
          <w:rFonts w:ascii="Arial" w:hAnsi="Arial"/>
        </w:rPr>
        <w:t>Educación</w:t>
      </w:r>
    </w:p>
    <w:p>
      <w:pPr>
        <w:pStyle w:val="BodyText"/>
        <w:rPr>
          <w:b/>
        </w:rPr>
      </w:pPr>
    </w:p>
    <w:p>
      <w:pPr>
        <w:pStyle w:val="BodyText"/>
        <w:spacing w:before="4"/>
        <w:rPr>
          <w:b/>
        </w:rPr>
      </w:pPr>
    </w:p>
    <w:p>
      <w:pPr>
        <w:pStyle w:val="BodyText"/>
        <w:spacing w:line="360" w:lineRule="auto"/>
        <w:ind w:left="264" w:right="219" w:firstLine="271"/>
        <w:jc w:val="both"/>
      </w:pPr>
      <w:r>
        <w:rPr/>
        <w:t>Los avances en materia de ciencia y tecnología transforman las relaciones entre las personas y entre los pueblos, modificando las conductas e integrando a los individuos a la sociedad de acuerdo con los parámetros marcados por el sistema imperante, a través de un elemento indispensable en la historia humana: la educación, que tiene como fin último el desarrollo de todas las potencialidades del hombre, de manera sintética, integral y global; acompañándolo y orientándolo para</w:t>
      </w:r>
    </w:p>
    <w:p>
      <w:pPr>
        <w:spacing w:after="0" w:line="360" w:lineRule="auto"/>
        <w:jc w:val="both"/>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01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8"/>
        <w:jc w:val="both"/>
      </w:pPr>
      <w:r>
        <w:rPr/>
        <w:t>obtener la plenitud de sus posibilidades personales. Para llegar a ser lo que por naturaleza ya es, ser humano, capaz de experiencias interpersonales profundas, que le permitan enfrentar y actuar por sí en ámbitos físico- materiales y en ámbitos propios de la vida de las ideas, del espíritu.</w:t>
      </w:r>
    </w:p>
    <w:p>
      <w:pPr>
        <w:spacing w:line="357" w:lineRule="auto" w:before="2"/>
        <w:ind w:left="684" w:right="117" w:firstLine="936"/>
        <w:jc w:val="left"/>
        <w:rPr>
          <w:i/>
          <w:sz w:val="24"/>
        </w:rPr>
      </w:pPr>
      <w:r>
        <w:rPr>
          <w:sz w:val="24"/>
        </w:rPr>
        <w:t>Con respecto a este tema Sobrino Ordóñez opina en su obra “</w:t>
      </w:r>
      <w:r>
        <w:rPr>
          <w:i/>
          <w:sz w:val="24"/>
        </w:rPr>
        <w:t>En torno a </w:t>
      </w:r>
      <w:r>
        <w:rPr>
          <w:i/>
          <w:sz w:val="24"/>
        </w:rPr>
        <w:t>la Paideia”:</w:t>
      </w:r>
    </w:p>
    <w:p>
      <w:pPr>
        <w:pStyle w:val="BodyText"/>
        <w:rPr>
          <w:i/>
        </w:rPr>
      </w:pPr>
    </w:p>
    <w:p>
      <w:pPr>
        <w:spacing w:line="235" w:lineRule="auto" w:before="147"/>
        <w:ind w:left="1393" w:right="112" w:firstLine="0"/>
        <w:jc w:val="both"/>
        <w:rPr>
          <w:sz w:val="22"/>
        </w:rPr>
      </w:pPr>
      <w:r>
        <w:rPr>
          <w:i/>
          <w:sz w:val="22"/>
        </w:rPr>
        <w:t>“</w:t>
      </w:r>
      <w:r>
        <w:rPr>
          <w:sz w:val="22"/>
        </w:rPr>
        <w:t>La reflexión sobre </w:t>
      </w:r>
      <w:r>
        <w:rPr>
          <w:spacing w:val="-3"/>
          <w:sz w:val="22"/>
        </w:rPr>
        <w:t>la </w:t>
      </w:r>
      <w:r>
        <w:rPr>
          <w:sz w:val="22"/>
        </w:rPr>
        <w:t>educación ha estado ligada a las diferentes concepciones culturales y filosóficas sobre el hombre y sobre cómo é</w:t>
      </w:r>
      <w:r>
        <w:rPr>
          <w:i/>
          <w:sz w:val="22"/>
        </w:rPr>
        <w:t>ste debería ser mejorado </w:t>
      </w:r>
      <w:r>
        <w:rPr>
          <w:sz w:val="22"/>
        </w:rPr>
        <w:t>a través de </w:t>
      </w:r>
      <w:r>
        <w:rPr>
          <w:spacing w:val="-3"/>
          <w:sz w:val="22"/>
        </w:rPr>
        <w:t>la </w:t>
      </w:r>
      <w:r>
        <w:rPr>
          <w:sz w:val="22"/>
        </w:rPr>
        <w:t>acción educativa, cambiando en función de las diferentes  explicaciones antropológicas y de los distintos parámetros de conocimiento sobre  </w:t>
      </w:r>
      <w:r>
        <w:rPr>
          <w:spacing w:val="-3"/>
          <w:sz w:val="22"/>
        </w:rPr>
        <w:t>la</w:t>
      </w:r>
      <w:r>
        <w:rPr>
          <w:spacing w:val="-6"/>
          <w:sz w:val="22"/>
        </w:rPr>
        <w:t> </w:t>
      </w:r>
      <w:r>
        <w:rPr>
          <w:sz w:val="22"/>
        </w:rPr>
        <w:t>realidad”</w:t>
      </w:r>
      <w:r>
        <w:rPr>
          <w:position w:val="10"/>
          <w:sz w:val="14"/>
        </w:rPr>
        <w:t>197</w:t>
      </w:r>
      <w:r>
        <w:rPr>
          <w:sz w:val="22"/>
        </w:rPr>
        <w:t>.</w:t>
      </w:r>
    </w:p>
    <w:p>
      <w:pPr>
        <w:pStyle w:val="BodyText"/>
        <w:spacing w:before="3"/>
        <w:rPr>
          <w:sz w:val="36"/>
        </w:rPr>
      </w:pPr>
    </w:p>
    <w:p>
      <w:pPr>
        <w:pStyle w:val="BodyText"/>
        <w:spacing w:line="360" w:lineRule="auto"/>
        <w:ind w:left="684" w:right="114" w:firstLine="336"/>
        <w:jc w:val="both"/>
      </w:pPr>
      <w:r>
        <w:rPr/>
        <w:t>Lo anterior en función de la premisa de que el ser humano es eminentemente educable, principio que establece que el individuo es capaz a través de un proceso formativo de adjudicarse, ya sea de manera consciente o inconsciente, de las herramientas necesarias para integrarse al grupo social al que pertenece; este proceso se convierte en una de las preocupaciones que la mayoría de los países han asumido a través de la historia, buscando de manera importante re-significar el papel de la educación, como elemento relevante para acelerar el progreso y mejorar las condiciones sociales y económicas de los pueblos </w:t>
      </w:r>
      <w:r>
        <w:rPr>
          <w:spacing w:val="-3"/>
        </w:rPr>
        <w:t>y, </w:t>
      </w:r>
      <w:r>
        <w:rPr/>
        <w:t>en el siglo XXI, buscando la respuesta para la humanidad de un mundo virtualmente más pequeño.</w:t>
      </w:r>
    </w:p>
    <w:p>
      <w:pPr>
        <w:pStyle w:val="BodyText"/>
        <w:spacing w:line="355" w:lineRule="auto" w:before="2"/>
        <w:ind w:left="684" w:right="121" w:firstLine="336"/>
        <w:jc w:val="both"/>
        <w:rPr>
          <w:sz w:val="16"/>
        </w:rPr>
      </w:pPr>
      <w:r>
        <w:rPr/>
        <w:t>Asimismo otros filósofos y pensadores también consideran que la educación es el eje rector para cualquier cambio social, para cualquier cambio de estructuras, así se observa entre los precursores de la modernidad, una gran atención al proceso educativo como elemento básico del desarrollo de la humanidad, </w:t>
      </w:r>
      <w:r>
        <w:rPr>
          <w:spacing w:val="-3"/>
        </w:rPr>
        <w:t>ya </w:t>
      </w:r>
      <w:r>
        <w:rPr/>
        <w:t>que ésta procura su adaptación a partir de la educación y no a partir de su naturaleza instintiva: por ejemplo, para Freire la educación es el instrumento principal para que los hombres se liberen de la dominación y de la enajenación.</w:t>
      </w:r>
      <w:r>
        <w:rPr>
          <w:spacing w:val="-26"/>
        </w:rPr>
        <w:t> </w:t>
      </w:r>
      <w:r>
        <w:rPr>
          <w:position w:val="11"/>
          <w:sz w:val="16"/>
        </w:rPr>
        <w:t>198</w:t>
      </w:r>
    </w:p>
    <w:p>
      <w:pPr>
        <w:pStyle w:val="BodyText"/>
        <w:rPr>
          <w:sz w:val="20"/>
        </w:rPr>
      </w:pPr>
    </w:p>
    <w:p>
      <w:pPr>
        <w:pStyle w:val="BodyText"/>
        <w:rPr>
          <w:sz w:val="20"/>
        </w:rPr>
      </w:pPr>
    </w:p>
    <w:p>
      <w:pPr>
        <w:pStyle w:val="BodyText"/>
        <w:rPr>
          <w:sz w:val="20"/>
        </w:rPr>
      </w:pPr>
    </w:p>
    <w:p>
      <w:pPr>
        <w:pStyle w:val="BodyText"/>
        <w:spacing w:before="6"/>
        <w:rPr>
          <w:sz w:val="17"/>
        </w:rPr>
      </w:pPr>
      <w:r>
        <w:rPr/>
        <w:pict>
          <v:line style="position:absolute;mso-position-horizontal-relative:page;mso-position-vertical-relative:paragraph;z-index:5992;mso-wrap-distance-left:0;mso-wrap-distance-right:0" from="99.224998pt,12.328065pt" to="243.274998pt,12.328065pt" stroked="true" strokeweight=".60004pt" strokecolor="#000000">
            <w10:wrap type="topAndBottom"/>
          </v:line>
        </w:pict>
      </w:r>
    </w:p>
    <w:p>
      <w:pPr>
        <w:spacing w:line="237" w:lineRule="exact" w:before="46"/>
        <w:ind w:left="684" w:right="114" w:firstLine="0"/>
        <w:jc w:val="left"/>
        <w:rPr>
          <w:rFonts w:ascii="Calibri" w:hAnsi="Calibri"/>
          <w:sz w:val="18"/>
        </w:rPr>
      </w:pPr>
      <w:r>
        <w:rPr>
          <w:rFonts w:ascii="Calibri" w:hAnsi="Calibri"/>
          <w:position w:val="9"/>
          <w:sz w:val="12"/>
        </w:rPr>
        <w:t>197 </w:t>
      </w:r>
      <w:r>
        <w:rPr>
          <w:rFonts w:ascii="Calibri" w:hAnsi="Calibri"/>
          <w:sz w:val="18"/>
        </w:rPr>
        <w:t>SOBRINO Ordóñez, Miguel Ángel, </w:t>
      </w:r>
      <w:r>
        <w:rPr>
          <w:rFonts w:ascii="Calibri" w:hAnsi="Calibri"/>
          <w:i/>
          <w:sz w:val="18"/>
        </w:rPr>
        <w:t>En Torno a la Paideia</w:t>
      </w:r>
      <w:r>
        <w:rPr>
          <w:rFonts w:ascii="Calibri" w:hAnsi="Calibri"/>
          <w:sz w:val="18"/>
        </w:rPr>
        <w:t>, ISCEEM, México, 2011, p. 29</w:t>
      </w:r>
    </w:p>
    <w:p>
      <w:pPr>
        <w:spacing w:line="235" w:lineRule="exact" w:before="0"/>
        <w:ind w:left="684" w:right="114" w:firstLine="0"/>
        <w:jc w:val="left"/>
        <w:rPr>
          <w:rFonts w:ascii="Calibri" w:hAnsi="Calibri"/>
          <w:sz w:val="18"/>
        </w:rPr>
      </w:pPr>
      <w:r>
        <w:rPr>
          <w:position w:val="9"/>
          <w:sz w:val="12"/>
        </w:rPr>
        <w:t>198   </w:t>
      </w:r>
      <w:r>
        <w:rPr>
          <w:rFonts w:ascii="Calibri" w:hAnsi="Calibri"/>
          <w:sz w:val="18"/>
        </w:rPr>
        <w:t>Véase: Freire</w:t>
      </w:r>
      <w:r>
        <w:rPr>
          <w:rFonts w:ascii="Calibri" w:hAnsi="Calibri"/>
          <w:i/>
          <w:sz w:val="18"/>
        </w:rPr>
        <w:t>, Paulo, Pedagogía del Oprimido</w:t>
      </w:r>
      <w:r>
        <w:rPr>
          <w:rFonts w:ascii="Calibri" w:hAnsi="Calibri"/>
          <w:sz w:val="18"/>
        </w:rPr>
        <w:t>, Siglo XXI, México, 2005</w:t>
      </w:r>
    </w:p>
    <w:p>
      <w:pPr>
        <w:spacing w:after="0" w:line="235"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606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237" w:lineRule="auto" w:before="74"/>
        <w:ind w:left="973" w:right="214" w:firstLine="0"/>
        <w:jc w:val="both"/>
        <w:rPr>
          <w:sz w:val="14"/>
        </w:rPr>
      </w:pPr>
      <w:r>
        <w:rPr>
          <w:sz w:val="22"/>
        </w:rPr>
        <w:t>Para Kant como para Mill, para Herbart, como para Spencer, la educación tendría antes que nada por objeto realizar a cada individuo, pero llevándolo al más alto grado de perfección posible, los atributos constitutivos de la especie humana en general. Se estableció como verdad evidente que hay una educación, y una sola que, con exclusión de cualquier otra conviene indiferentemente a todos los hombres, sean cuales fueren las condiciones históricas y sociales de que dependan, y es este ideal abstracto y único lo que los teóricos de la educación se proponían determinar.</w:t>
      </w:r>
      <w:r>
        <w:rPr>
          <w:position w:val="10"/>
          <w:sz w:val="14"/>
        </w:rPr>
        <w:t>199</w:t>
      </w:r>
    </w:p>
    <w:p>
      <w:pPr>
        <w:pStyle w:val="BodyText"/>
        <w:spacing w:before="10"/>
        <w:rPr>
          <w:sz w:val="35"/>
        </w:rPr>
      </w:pPr>
    </w:p>
    <w:p>
      <w:pPr>
        <w:pStyle w:val="BodyText"/>
        <w:spacing w:line="360" w:lineRule="auto"/>
        <w:ind w:left="264" w:right="222" w:firstLine="336"/>
        <w:jc w:val="both"/>
      </w:pPr>
      <w:r>
        <w:rPr/>
        <w:t>Sin embargo, ellos hacen hincapié en que no es cualquier tipo de educación la que tendría un alto grado de eficiencia para liberar a la humanidad, es indispensable un replanteamiento de lo que hasta ahora es considerado válido, es necesario romper esquemas, crear nuevos escenarios de una sociedad justa, digna y equitativa.</w:t>
      </w:r>
    </w:p>
    <w:p>
      <w:pPr>
        <w:pStyle w:val="BodyText"/>
        <w:spacing w:line="360" w:lineRule="auto" w:before="5"/>
        <w:ind w:left="264" w:right="215" w:firstLine="336"/>
        <w:jc w:val="both"/>
      </w:pPr>
      <w:r>
        <w:rPr/>
        <w:t>En ese contexto en el siglo XX y principios del XXI, es evidente que el nuevo sistema requiere hombres educados y formados para producir en un sistema competitivo, en el que la prioridad es la economía de mercado y el capital.</w:t>
      </w:r>
    </w:p>
    <w:p>
      <w:pPr>
        <w:pStyle w:val="BodyText"/>
      </w:pPr>
    </w:p>
    <w:p>
      <w:pPr>
        <w:spacing w:line="235" w:lineRule="auto" w:before="142"/>
        <w:ind w:left="973" w:right="209" w:firstLine="0"/>
        <w:jc w:val="both"/>
        <w:rPr>
          <w:sz w:val="14"/>
        </w:rPr>
      </w:pPr>
      <w:r>
        <w:rPr>
          <w:sz w:val="24"/>
        </w:rPr>
        <w:t>[</w:t>
      </w:r>
      <w:r>
        <w:rPr>
          <w:sz w:val="22"/>
        </w:rPr>
        <w:t>...] en el contexto moderno líquido, para ser de alguna utilidad, la educación y el aprendizaje deben ser continuos e, incluso extenderse toda la vida. No es posible ninguna otra forma de educación y/o aprendizaje; es impensable que se puedan “formar” personas o personalidades de otro modo que no sea por medio de una re- formación continuada y eternamente acabada. </w:t>
      </w:r>
      <w:r>
        <w:rPr>
          <w:position w:val="10"/>
          <w:sz w:val="14"/>
        </w:rPr>
        <w:t>200</w:t>
      </w:r>
    </w:p>
    <w:p>
      <w:pPr>
        <w:pStyle w:val="BodyText"/>
        <w:spacing w:before="10"/>
        <w:rPr>
          <w:sz w:val="35"/>
        </w:rPr>
      </w:pPr>
    </w:p>
    <w:p>
      <w:pPr>
        <w:pStyle w:val="BodyText"/>
        <w:spacing w:line="360" w:lineRule="auto" w:before="1"/>
        <w:ind w:left="264" w:right="218" w:firstLine="271"/>
        <w:jc w:val="both"/>
      </w:pPr>
      <w:r>
        <w:rPr/>
        <w:t>Si, como se mencionó antes, la educación es básicamente una propiedad del ser humano, podemos afirmar que la formación del hombre ha sido el resultado de proyectos emanados de los diferentes grupos sociales, que han considerado la necesidad de prever qué tipo de ser humano necesitan para concretizar sus objetivos. Instituyendo para ello espacios, modalidades y formas para conformar a las personas de acuerdo a las necesidades del</w:t>
      </w:r>
      <w:r>
        <w:rPr>
          <w:spacing w:val="-20"/>
        </w:rPr>
        <w:t> </w:t>
      </w:r>
      <w:r>
        <w:rPr/>
        <w:t>Estado.</w:t>
      </w:r>
    </w:p>
    <w:p>
      <w:pPr>
        <w:pStyle w:val="BodyText"/>
        <w:spacing w:line="278" w:lineRule="exact"/>
        <w:ind w:left="264" w:firstLine="404"/>
        <w:jc w:val="both"/>
      </w:pPr>
      <w:r>
        <w:rPr/>
        <w:t>En México y en Honduras</w:t>
      </w:r>
      <w:r>
        <w:rPr>
          <w:position w:val="11"/>
          <w:sz w:val="16"/>
        </w:rPr>
        <w:t>201  </w:t>
      </w:r>
      <w:r>
        <w:rPr/>
        <w:t>la educación es uno de los ejes de la política   del</w:t>
      </w:r>
    </w:p>
    <w:p>
      <w:pPr>
        <w:pStyle w:val="BodyText"/>
        <w:spacing w:before="140"/>
        <w:ind w:left="264"/>
      </w:pPr>
      <w:r>
        <w:rPr/>
        <w:t>Estado, que pretende a partir de este proceso disminuir las diferencias sociales   y</w:t>
      </w:r>
    </w:p>
    <w:p>
      <w:pPr>
        <w:pStyle w:val="BodyText"/>
        <w:rPr>
          <w:sz w:val="20"/>
        </w:rPr>
      </w:pPr>
    </w:p>
    <w:p>
      <w:pPr>
        <w:pStyle w:val="BodyText"/>
        <w:spacing w:before="9"/>
        <w:rPr>
          <w:sz w:val="10"/>
        </w:rPr>
      </w:pPr>
      <w:r>
        <w:rPr/>
        <w:pict>
          <v:line style="position:absolute;mso-position-horizontal-relative:page;mso-position-vertical-relative:paragraph;z-index:6040;mso-wrap-distance-left:0;mso-wrap-distance-right:0" from="99.224998pt,8.488018pt" to="243.274998pt,8.488018pt" stroked="true" strokeweight=".599980pt" strokecolor="#000000">
            <w10:wrap type="topAndBottom"/>
          </v:line>
        </w:pict>
      </w:r>
    </w:p>
    <w:p>
      <w:pPr>
        <w:spacing w:line="235" w:lineRule="exact" w:before="48"/>
        <w:ind w:left="264" w:right="0" w:firstLine="0"/>
        <w:jc w:val="both"/>
        <w:rPr>
          <w:rFonts w:ascii="Calibri" w:hAnsi="Calibri"/>
          <w:sz w:val="18"/>
        </w:rPr>
      </w:pPr>
      <w:r>
        <w:rPr>
          <w:position w:val="9"/>
          <w:sz w:val="12"/>
        </w:rPr>
        <w:t>199  </w:t>
      </w:r>
      <w:r>
        <w:rPr>
          <w:rFonts w:ascii="Calibri" w:hAnsi="Calibri"/>
          <w:sz w:val="18"/>
        </w:rPr>
        <w:t>DURKHEIM, Emilio, </w:t>
      </w:r>
      <w:r>
        <w:rPr>
          <w:rFonts w:ascii="Calibri" w:hAnsi="Calibri"/>
          <w:i/>
          <w:sz w:val="18"/>
        </w:rPr>
        <w:t>Educación y sociología, </w:t>
      </w:r>
      <w:r>
        <w:rPr>
          <w:rFonts w:ascii="Calibri" w:hAnsi="Calibri"/>
          <w:sz w:val="18"/>
        </w:rPr>
        <w:t>Ed. Leega, México, 1990, pp. 140, 141</w:t>
      </w:r>
    </w:p>
    <w:p>
      <w:pPr>
        <w:spacing w:line="221" w:lineRule="exact" w:before="0"/>
        <w:ind w:left="264" w:right="0" w:firstLine="0"/>
        <w:jc w:val="both"/>
        <w:rPr>
          <w:rFonts w:ascii="Calibri" w:hAnsi="Calibri"/>
          <w:sz w:val="18"/>
        </w:rPr>
      </w:pPr>
      <w:r>
        <w:rPr>
          <w:rFonts w:ascii="Calibri" w:hAnsi="Calibri"/>
          <w:position w:val="9"/>
          <w:sz w:val="12"/>
        </w:rPr>
        <w:t>200 </w:t>
      </w:r>
      <w:r>
        <w:rPr>
          <w:rFonts w:ascii="Calibri" w:hAnsi="Calibri"/>
          <w:sz w:val="18"/>
        </w:rPr>
        <w:t>BAUMAN, Zigmunt, </w:t>
      </w:r>
      <w:r>
        <w:rPr>
          <w:rFonts w:ascii="Calibri" w:hAnsi="Calibri"/>
          <w:i/>
          <w:sz w:val="18"/>
        </w:rPr>
        <w:t>La Vida Líquida</w:t>
      </w:r>
      <w:r>
        <w:rPr>
          <w:rFonts w:ascii="Calibri" w:hAnsi="Calibri"/>
          <w:sz w:val="18"/>
        </w:rPr>
        <w:t>, Paidós, Barcelona, 2006, pp. 157-158</w:t>
      </w:r>
    </w:p>
    <w:p>
      <w:pPr>
        <w:spacing w:line="295" w:lineRule="exact" w:before="0"/>
        <w:ind w:left="264" w:right="0" w:firstLine="0"/>
        <w:jc w:val="both"/>
        <w:rPr>
          <w:rFonts w:ascii="Calibri" w:hAnsi="Calibri"/>
          <w:sz w:val="18"/>
        </w:rPr>
      </w:pPr>
      <w:r>
        <w:rPr>
          <w:rFonts w:ascii="Calibri" w:hAnsi="Calibri"/>
          <w:position w:val="11"/>
          <w:sz w:val="16"/>
        </w:rPr>
        <w:t>201  </w:t>
      </w:r>
      <w:r>
        <w:rPr>
          <w:rFonts w:ascii="Calibri" w:hAnsi="Calibri"/>
          <w:sz w:val="18"/>
        </w:rPr>
        <w:t>Para  Honduras,  la  prospectiva  en  esta  materia,  por  parte  del  Fondo  de  Población  de  las  Naciones  Unidas ha</w:t>
      </w:r>
    </w:p>
    <w:p>
      <w:pPr>
        <w:spacing w:line="242" w:lineRule="auto" w:before="12"/>
        <w:ind w:left="264" w:right="217" w:firstLine="0"/>
        <w:jc w:val="both"/>
        <w:rPr>
          <w:rFonts w:ascii="Calibri" w:hAnsi="Calibri"/>
          <w:sz w:val="18"/>
        </w:rPr>
      </w:pPr>
      <w:r>
        <w:rPr>
          <w:rFonts w:ascii="Calibri" w:hAnsi="Calibri"/>
          <w:sz w:val="18"/>
        </w:rPr>
        <w:t>considerado la necesidad de priorizar el proceso educativo para alcanzar mejores niveles de desarrollo haciendo el siguiente planteamiento: </w:t>
      </w:r>
      <w:r>
        <w:rPr>
          <w:rFonts w:ascii="Calibri" w:hAnsi="Calibri"/>
          <w:sz w:val="24"/>
        </w:rPr>
        <w:t>“</w:t>
      </w:r>
      <w:r>
        <w:rPr>
          <w:rFonts w:ascii="Calibri" w:hAnsi="Calibri"/>
          <w:i/>
          <w:sz w:val="18"/>
        </w:rPr>
        <w:t>Educación. </w:t>
      </w:r>
      <w:r>
        <w:rPr>
          <w:rFonts w:ascii="Calibri" w:hAnsi="Calibri"/>
          <w:sz w:val="18"/>
        </w:rPr>
        <w:t>La base del recurso humano requiere poblaciones con mejores condiciones de vida, la inversión en capital humano debe enfatizar en el mejoramiento de los niveles  de educación, pero no solo en    la</w:t>
      </w:r>
    </w:p>
    <w:p>
      <w:pPr>
        <w:spacing w:after="0" w:line="242" w:lineRule="auto"/>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11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8"/>
        <w:jc w:val="both"/>
      </w:pPr>
      <w:r>
        <w:rPr/>
        <w:t>la desigualdad económica, proporcionando a todos los ciudadanos el derecho a la misma de manera obligatoria como lo marca su </w:t>
      </w:r>
      <w:r>
        <w:rPr>
          <w:i/>
        </w:rPr>
        <w:t>Carta Magna</w:t>
      </w:r>
      <w:r>
        <w:rPr/>
        <w:t>. No obstante, los resultados obtenidos por las instituciones educativas se caracterizan por un gran rezago, por una desconexión entre lo que se imparte en las instituciones y las necesidades reales de las personas. En ese sentido afirma Sergio de la Vega:</w:t>
      </w:r>
    </w:p>
    <w:p>
      <w:pPr>
        <w:pStyle w:val="BodyText"/>
        <w:spacing w:before="7"/>
        <w:rPr>
          <w:sz w:val="22"/>
        </w:rPr>
      </w:pPr>
    </w:p>
    <w:p>
      <w:pPr>
        <w:spacing w:line="235" w:lineRule="auto" w:before="1"/>
        <w:ind w:left="1393" w:right="122" w:firstLine="0"/>
        <w:jc w:val="both"/>
        <w:rPr>
          <w:sz w:val="14"/>
        </w:rPr>
      </w:pPr>
      <w:r>
        <w:rPr>
          <w:sz w:val="22"/>
        </w:rPr>
        <w:t>La literatura reciente en investigación educativa habla de  resultados insatisfactorios en materia de educación; lo que se aprende en la escuela discrepa en alto grado con los saberes y necesidades de los colectivos en los que interactúan los egresados; tampoco ayuda a robustecer los valores de la cultura de origen ni a formar actitudes o a desarrollar capacidades como la comprensión, la autocrítica, la colaboración y la tolerancia. </w:t>
      </w:r>
      <w:r>
        <w:rPr>
          <w:position w:val="10"/>
          <w:sz w:val="14"/>
        </w:rPr>
        <w:t>202</w:t>
      </w:r>
    </w:p>
    <w:p>
      <w:pPr>
        <w:pStyle w:val="BodyText"/>
        <w:spacing w:before="3"/>
        <w:rPr>
          <w:sz w:val="36"/>
        </w:rPr>
      </w:pPr>
    </w:p>
    <w:p>
      <w:pPr>
        <w:pStyle w:val="BodyText"/>
        <w:spacing w:line="360" w:lineRule="auto"/>
        <w:ind w:left="684" w:right="114" w:firstLine="336"/>
        <w:jc w:val="both"/>
      </w:pPr>
      <w:r>
        <w:rPr/>
        <w:t>Lo que comprueba que los individuos reciben mayor formación educativa en la educación informal, cómo se dijo antes, que se imparte por medio del uso de los medios de comunicación masiva, quienes sustituyen la mayoría de las veces la función educadora que las instituciones formales deberían aportar.</w:t>
      </w:r>
    </w:p>
    <w:p>
      <w:pPr>
        <w:pStyle w:val="BodyText"/>
        <w:spacing w:line="360" w:lineRule="auto" w:before="6"/>
        <w:ind w:left="684" w:right="117" w:firstLine="336"/>
        <w:jc w:val="both"/>
      </w:pPr>
      <w:r>
        <w:rPr/>
        <w:t>Dado que los proceso educativos son procesos evidentes de la comunicación humana en el sentido más amplio de procesos de intercambio de información y significaciones, es preciso reconsiderar la forma como los medios de comunicación,   a   través   de   un   proceso   de   información   directa,      inciden</w:t>
      </w:r>
    </w:p>
    <w:p>
      <w:pPr>
        <w:pStyle w:val="BodyText"/>
        <w:rPr>
          <w:sz w:val="20"/>
        </w:rPr>
      </w:pPr>
    </w:p>
    <w:p>
      <w:pPr>
        <w:pStyle w:val="BodyText"/>
        <w:spacing w:before="4"/>
        <w:rPr>
          <w:sz w:val="11"/>
        </w:rPr>
      </w:pPr>
      <w:r>
        <w:rPr/>
        <w:pict>
          <v:line style="position:absolute;mso-position-horizontal-relative:page;mso-position-vertical-relative:paragraph;z-index:6088;mso-wrap-distance-left:0;mso-wrap-distance-right:0" from="99.224998pt,8.784878pt" to="541.174998pt,8.784878pt" stroked="true" strokeweight=".600010pt" strokecolor="#000000">
            <w10:wrap type="topAndBottom"/>
          </v:line>
        </w:pict>
      </w:r>
    </w:p>
    <w:p>
      <w:pPr>
        <w:spacing w:before="79"/>
        <w:ind w:left="684" w:right="110" w:firstLine="0"/>
        <w:jc w:val="both"/>
        <w:rPr>
          <w:rFonts w:ascii="Calibri" w:hAnsi="Calibri"/>
          <w:sz w:val="18"/>
        </w:rPr>
      </w:pPr>
      <w:r>
        <w:rPr>
          <w:rFonts w:ascii="Calibri" w:hAnsi="Calibri"/>
          <w:sz w:val="18"/>
        </w:rPr>
        <w:t>ampliación de la cobertura, sino más en la calidad de educación. En este aspecto los cambios de estructura demográfica implican que los recursos deberán acompañar esos cambios. En este sentido, todo indica que para Honduras, se debe poner el énfasis en el logro de una mayor calidad en la educación básica y una mayor cobertura en la media, pero buscando al mismo tiempo una mayor vinculación entre los contenidos y metodologías educativas con las características del mercado de trabajo. Esto significará reestructurar los presupuestos públicos en materia educativa en los diferentes niveles educativos, atendiendo a los flujos de población emergente, aunque también tomando en cuenta que, para algunos estratos, como el de la educación superior, ya existen asignaciones definidas constitucionalmente que garantizan un flujo considerable de recursos. En este sentido, es importante fijar momentos críticos en la evolución de los distintos grupos de edad: la población en edad preescolar (5-6 años) alcanzará su cúspide en efectivos en el 2020, </w:t>
      </w:r>
      <w:r>
        <w:rPr>
          <w:rFonts w:ascii="Calibri" w:hAnsi="Calibri"/>
          <w:spacing w:val="-3"/>
          <w:sz w:val="18"/>
        </w:rPr>
        <w:t>la </w:t>
      </w:r>
      <w:r>
        <w:rPr>
          <w:rFonts w:ascii="Calibri" w:hAnsi="Calibri"/>
          <w:sz w:val="18"/>
        </w:rPr>
        <w:t>escolar (7-12 años) en el 2012, </w:t>
      </w:r>
      <w:r>
        <w:rPr>
          <w:rFonts w:ascii="Calibri" w:hAnsi="Calibri"/>
          <w:spacing w:val="-3"/>
          <w:sz w:val="18"/>
        </w:rPr>
        <w:t>la </w:t>
      </w:r>
      <w:r>
        <w:rPr>
          <w:rFonts w:ascii="Calibri" w:hAnsi="Calibri"/>
          <w:sz w:val="18"/>
        </w:rPr>
        <w:t>secundaría (13-18 años) en el año 2030, mientras la universitaria (19-24 años) crecerá todo el</w:t>
      </w:r>
      <w:r>
        <w:rPr>
          <w:rFonts w:ascii="Calibri" w:hAnsi="Calibri"/>
          <w:spacing w:val="-5"/>
          <w:sz w:val="18"/>
        </w:rPr>
        <w:t> </w:t>
      </w:r>
      <w:r>
        <w:rPr>
          <w:rFonts w:ascii="Calibri" w:hAnsi="Calibri"/>
          <w:sz w:val="18"/>
        </w:rPr>
        <w:t>período.</w:t>
      </w:r>
    </w:p>
    <w:p>
      <w:pPr>
        <w:spacing w:line="240" w:lineRule="auto" w:before="0"/>
        <w:ind w:left="684" w:right="112" w:firstLine="0"/>
        <w:jc w:val="both"/>
        <w:rPr>
          <w:rFonts w:ascii="Calibri" w:hAnsi="Calibri"/>
          <w:sz w:val="18"/>
        </w:rPr>
      </w:pPr>
      <w:r>
        <w:rPr>
          <w:rFonts w:ascii="Calibri" w:hAnsi="Calibri"/>
          <w:sz w:val="18"/>
        </w:rPr>
        <w:t>Asimismo, el sistema educativo deberá fortalecer no solo la educación formal sino la no formal, aquel tipo de formación especial para el trabajo, que dote a las personas de las herramientas esenciales para desempeñar un trabajo. La educación técnica deberá proveer la formación de oficios y técnicas en todos los campos, abarcando los sectores primarios, secundarios y terciarios de la economía. En el sector educativo medio y superior se deberá reorientar las  áreas de formación profesional, de las tradicionales a aquellas que nos sugiera el mercado actual y futuro, para el caso de la formación de profesionales del área técnica y tecnológica será vital para contribuir a la economía.” </w:t>
      </w:r>
      <w:r>
        <w:rPr>
          <w:rFonts w:ascii="Calibri" w:hAnsi="Calibri"/>
          <w:i/>
          <w:sz w:val="18"/>
        </w:rPr>
        <w:t>Fondo de </w:t>
      </w:r>
      <w:r>
        <w:rPr>
          <w:rFonts w:ascii="Calibri" w:hAnsi="Calibri"/>
          <w:i/>
          <w:sz w:val="18"/>
        </w:rPr>
        <w:t>Población de las Naciones Unidas</w:t>
      </w:r>
      <w:r>
        <w:rPr>
          <w:rFonts w:ascii="Calibri" w:hAnsi="Calibri"/>
          <w:sz w:val="18"/>
        </w:rPr>
        <w:t>, Manuel Flores Fonseca, “La transición demográfica en Honduras”,       </w:t>
      </w:r>
      <w:r>
        <w:rPr>
          <w:rFonts w:ascii="Calibri" w:hAnsi="Calibri"/>
          <w:spacing w:val="7"/>
          <w:sz w:val="18"/>
        </w:rPr>
        <w:t> </w:t>
      </w:r>
      <w:r>
        <w:rPr>
          <w:rFonts w:ascii="Calibri" w:hAnsi="Calibri"/>
          <w:sz w:val="18"/>
        </w:rPr>
        <w:t>p.11, </w:t>
      </w:r>
      <w:r>
        <w:rPr>
          <w:rFonts w:ascii="Calibri" w:hAnsi="Calibri"/>
          <w:spacing w:val="-2"/>
          <w:sz w:val="18"/>
        </w:rPr>
        <w:t>[en </w:t>
      </w:r>
      <w:r>
        <w:rPr>
          <w:rFonts w:ascii="Calibri" w:hAnsi="Calibri"/>
          <w:sz w:val="18"/>
        </w:rPr>
        <w:t>línea],</w:t>
      </w:r>
    </w:p>
    <w:p>
      <w:pPr>
        <w:spacing w:line="205" w:lineRule="exact" w:before="0"/>
        <w:ind w:left="684" w:right="0" w:firstLine="0"/>
        <w:jc w:val="both"/>
        <w:rPr>
          <w:rFonts w:ascii="Calibri"/>
          <w:sz w:val="12"/>
        </w:rPr>
      </w:pPr>
      <w:r>
        <w:rPr>
          <w:rFonts w:ascii="Calibri"/>
          <w:sz w:val="18"/>
        </w:rPr>
        <w:t>consulta 24/08/2012 , disponible en : </w:t>
      </w:r>
      <w:hyperlink r:id="rId92">
        <w:r>
          <w:rPr>
            <w:rFonts w:ascii="Calibri"/>
            <w:color w:val="0000FF"/>
            <w:sz w:val="18"/>
            <w:u w:val="single" w:color="0000FF"/>
          </w:rPr>
          <w:t>http://www.unfpa.un.hn/docs/transicion.pdf </w:t>
        </w:r>
      </w:hyperlink>
      <w:r>
        <w:rPr>
          <w:rFonts w:ascii="Calibri"/>
          <w:position w:val="9"/>
          <w:sz w:val="12"/>
        </w:rPr>
        <w:t>201</w:t>
      </w:r>
    </w:p>
    <w:p>
      <w:pPr>
        <w:spacing w:line="220" w:lineRule="exact" w:before="11"/>
        <w:ind w:left="684" w:right="113" w:firstLine="0"/>
        <w:jc w:val="both"/>
        <w:rPr>
          <w:rFonts w:ascii="Calibri" w:hAnsi="Calibri"/>
          <w:sz w:val="18"/>
        </w:rPr>
      </w:pPr>
      <w:r>
        <w:rPr>
          <w:position w:val="9"/>
          <w:sz w:val="12"/>
        </w:rPr>
        <w:t>202 </w:t>
      </w:r>
      <w:r>
        <w:rPr>
          <w:rFonts w:ascii="Calibri" w:hAnsi="Calibri"/>
          <w:sz w:val="18"/>
        </w:rPr>
        <w:t>INSTITUTO NACIONAL PARA LA EDUCACION DE LOS ADULTOS, </w:t>
      </w:r>
      <w:r>
        <w:rPr>
          <w:rFonts w:ascii="Calibri" w:hAnsi="Calibri"/>
          <w:i/>
          <w:sz w:val="18"/>
        </w:rPr>
        <w:t>Necesidades Básicas Educativas de los Adultos, </w:t>
      </w:r>
      <w:r>
        <w:rPr>
          <w:rFonts w:ascii="Calibri" w:hAnsi="Calibri"/>
          <w:i/>
          <w:sz w:val="18"/>
        </w:rPr>
        <w:t>Encuentro de especialistas</w:t>
      </w:r>
      <w:r>
        <w:rPr>
          <w:rFonts w:ascii="Calibri" w:hAnsi="Calibri"/>
          <w:sz w:val="18"/>
        </w:rPr>
        <w:t>, México, 1994, p. 330.</w:t>
      </w:r>
    </w:p>
    <w:p>
      <w:pPr>
        <w:spacing w:after="0" w:line="220"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616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4"/>
        <w:jc w:val="both"/>
      </w:pPr>
      <w:r>
        <w:rPr/>
        <w:t>profundamente en la educación de los individuos.Tal es el caso de la televisión, la radio o los periódicos y revistas que de manera efectiva motivan al usuario a actuar acorde con la información que manejan e incorporan a su realidad una visión en más de una ocasión ilusoria de la misma, para que dirijan sus acciones cotidianas de acuerdo a los patrones sugeridos por los</w:t>
      </w:r>
      <w:r>
        <w:rPr>
          <w:spacing w:val="-30"/>
        </w:rPr>
        <w:t> </w:t>
      </w:r>
      <w:r>
        <w:rPr/>
        <w:t>mismos.</w:t>
      </w:r>
    </w:p>
    <w:p>
      <w:pPr>
        <w:pStyle w:val="BodyText"/>
        <w:spacing w:line="362" w:lineRule="auto" w:before="2"/>
        <w:ind w:left="264" w:right="222" w:firstLine="336"/>
        <w:jc w:val="both"/>
      </w:pPr>
      <w:r>
        <w:rPr/>
        <w:t>En el informe de la UNESCO conocido como informe Mc Bride, se afirma lo siguiente:</w:t>
      </w:r>
    </w:p>
    <w:p>
      <w:pPr>
        <w:pStyle w:val="BodyText"/>
        <w:spacing w:before="3"/>
        <w:rPr>
          <w:sz w:val="33"/>
        </w:rPr>
      </w:pPr>
    </w:p>
    <w:p>
      <w:pPr>
        <w:spacing w:line="235" w:lineRule="auto" w:before="0"/>
        <w:ind w:left="973" w:right="216" w:firstLine="0"/>
        <w:jc w:val="both"/>
        <w:rPr>
          <w:sz w:val="14"/>
        </w:rPr>
      </w:pPr>
      <w:r>
        <w:rPr>
          <w:sz w:val="22"/>
        </w:rPr>
        <w:t>Difícilmente cabe negar el impacto educativo -y no solamente pedagógico en sentido estricto- de los medios de información y de la comunicación en general, incluso cuando el contenido del mensaje no es de carácter educativo. La acción educativa y socializadora que incumbe a la comunicación implica que responda en la mayor medida posible a las necesidades de desarrollo de la sociedad y sea tratada como un bien social. </w:t>
      </w:r>
      <w:r>
        <w:rPr>
          <w:position w:val="10"/>
          <w:sz w:val="14"/>
        </w:rPr>
        <w:t>203</w:t>
      </w:r>
    </w:p>
    <w:p>
      <w:pPr>
        <w:pStyle w:val="BodyText"/>
        <w:rPr>
          <w:sz w:val="26"/>
        </w:rPr>
      </w:pPr>
    </w:p>
    <w:p>
      <w:pPr>
        <w:pStyle w:val="BodyText"/>
        <w:spacing w:line="355" w:lineRule="auto" w:before="186"/>
        <w:ind w:left="264" w:right="221" w:firstLine="336"/>
        <w:jc w:val="both"/>
        <w:rPr>
          <w:sz w:val="16"/>
        </w:rPr>
      </w:pPr>
      <w:r>
        <w:rPr/>
        <w:t>De ahí el interés por revisar los esquemas manejados por los mensajes de los medios, dada su gran capacidad de insertarse en la conciencia de los individuos y “educarlos”; por el alto contenido informativo que transmiten, por los  conocimientos que proporcionan y la capacidad de producción y reproducción cultural. El papel de la televisión en los procesos educativos tanto formales, como no formales o informales es</w:t>
      </w:r>
      <w:r>
        <w:rPr>
          <w:spacing w:val="-19"/>
        </w:rPr>
        <w:t> </w:t>
      </w:r>
      <w:r>
        <w:rPr/>
        <w:t>decisiva.</w:t>
      </w:r>
      <w:r>
        <w:rPr>
          <w:position w:val="11"/>
          <w:sz w:val="16"/>
        </w:rPr>
        <w:t>204</w:t>
      </w:r>
    </w:p>
    <w:p>
      <w:pPr>
        <w:pStyle w:val="BodyText"/>
        <w:spacing w:line="362" w:lineRule="auto"/>
        <w:ind w:left="264" w:right="223" w:firstLine="336"/>
        <w:jc w:val="both"/>
      </w:pPr>
      <w:r>
        <w:rPr/>
        <w:t>Empero, si se clasifica la forma como el ser humano adquiere las habilidades necesarias para su supervivencia, su inserción social y su formación espiritual,  es</w:t>
      </w:r>
    </w:p>
    <w:p>
      <w:pPr>
        <w:pStyle w:val="BodyText"/>
        <w:spacing w:before="6"/>
        <w:rPr>
          <w:sz w:val="27"/>
        </w:rPr>
      </w:pPr>
      <w:r>
        <w:rPr/>
        <w:pict>
          <v:line style="position:absolute;mso-position-horizontal-relative:page;mso-position-vertical-relative:paragraph;z-index:6136;mso-wrap-distance-left:0;mso-wrap-distance-right:0" from="99.224998pt,18.109867pt" to="243.274998pt,18.109867pt" stroked="true" strokeweight=".599980pt" strokecolor="#000000">
            <w10:wrap type="topAndBottom"/>
          </v:line>
        </w:pict>
      </w:r>
    </w:p>
    <w:p>
      <w:pPr>
        <w:spacing w:line="235" w:lineRule="exact" w:before="48"/>
        <w:ind w:left="264" w:right="0" w:firstLine="0"/>
        <w:jc w:val="both"/>
        <w:rPr>
          <w:rFonts w:ascii="Calibri" w:hAnsi="Calibri"/>
          <w:sz w:val="18"/>
        </w:rPr>
      </w:pPr>
      <w:r>
        <w:rPr>
          <w:position w:val="9"/>
          <w:sz w:val="12"/>
        </w:rPr>
        <w:t>203  </w:t>
      </w:r>
      <w:r>
        <w:rPr>
          <w:rFonts w:ascii="Calibri" w:hAnsi="Calibri"/>
          <w:sz w:val="18"/>
        </w:rPr>
        <w:t>UNESCO, </w:t>
      </w:r>
      <w:r>
        <w:rPr>
          <w:rFonts w:ascii="Calibri" w:hAnsi="Calibri"/>
          <w:i/>
          <w:sz w:val="18"/>
        </w:rPr>
        <w:t>Informe Mc Bride</w:t>
      </w:r>
      <w:r>
        <w:rPr>
          <w:rFonts w:ascii="Calibri" w:hAnsi="Calibri"/>
          <w:sz w:val="18"/>
        </w:rPr>
        <w:t>, citado en LAMEIRAS, José y Luis Jesús GALINDO Cáceres, </w:t>
      </w:r>
      <w:r>
        <w:rPr>
          <w:rFonts w:ascii="Calibri" w:hAnsi="Calibri"/>
          <w:i/>
          <w:sz w:val="18"/>
        </w:rPr>
        <w:t>Óp. Cit.</w:t>
      </w:r>
      <w:r>
        <w:rPr>
          <w:rFonts w:ascii="Calibri" w:hAnsi="Calibri"/>
          <w:sz w:val="18"/>
        </w:rPr>
        <w:t>, p.42</w:t>
      </w:r>
    </w:p>
    <w:p>
      <w:pPr>
        <w:spacing w:line="220" w:lineRule="exact" w:before="12"/>
        <w:ind w:left="264" w:right="211" w:firstLine="0"/>
        <w:jc w:val="both"/>
        <w:rPr>
          <w:rFonts w:ascii="Calibri" w:hAnsi="Calibri"/>
          <w:sz w:val="18"/>
        </w:rPr>
      </w:pPr>
      <w:r>
        <w:rPr>
          <w:rFonts w:ascii="Calibri" w:hAnsi="Calibri"/>
          <w:position w:val="9"/>
          <w:sz w:val="12"/>
        </w:rPr>
        <w:t>204 </w:t>
      </w:r>
      <w:r>
        <w:rPr>
          <w:rFonts w:ascii="Calibri" w:hAnsi="Calibri"/>
          <w:sz w:val="18"/>
        </w:rPr>
        <w:t>SÁNCHEZ Ruiz Enrique E., “Cultura política y medios de difusión. Educación informal y socialización” [en línea], consulta    07/08/2012,    disponible    en:     </w:t>
      </w:r>
      <w:hyperlink r:id="rId93">
        <w:r>
          <w:rPr>
            <w:rFonts w:ascii="Calibri" w:hAnsi="Calibri"/>
            <w:color w:val="0000FF"/>
            <w:sz w:val="18"/>
            <w:u w:val="single" w:color="0000FF"/>
          </w:rPr>
          <w:t>http://www.publicaciones.cucsh.udg.mx/pperiod/comsoc/pdf/21_1994/97-</w:t>
        </w:r>
      </w:hyperlink>
    </w:p>
    <w:p>
      <w:pPr>
        <w:pStyle w:val="ListParagraph"/>
        <w:numPr>
          <w:ilvl w:val="0"/>
          <w:numId w:val="6"/>
        </w:numPr>
        <w:tabs>
          <w:tab w:pos="587" w:val="left" w:leader="none"/>
        </w:tabs>
        <w:spacing w:line="240" w:lineRule="auto" w:before="4" w:after="0"/>
        <w:ind w:left="264" w:right="207" w:firstLine="0"/>
        <w:jc w:val="both"/>
        <w:rPr>
          <w:rFonts w:ascii="Calibri" w:hAnsi="Calibri"/>
          <w:sz w:val="18"/>
        </w:rPr>
      </w:pPr>
      <w:hyperlink r:id="rId93">
        <w:r>
          <w:rPr>
            <w:rFonts w:ascii="Calibri" w:hAnsi="Calibri"/>
            <w:color w:val="0000FF"/>
            <w:sz w:val="18"/>
            <w:u w:val="single" w:color="0000FF"/>
          </w:rPr>
          <w:t>pdf</w:t>
        </w:r>
        <w:r>
          <w:rPr>
            <w:rFonts w:ascii="Calibri" w:hAnsi="Calibri"/>
            <w:sz w:val="18"/>
          </w:rPr>
          <w:t>.</w:t>
        </w:r>
      </w:hyperlink>
      <w:r>
        <w:rPr>
          <w:rFonts w:ascii="Calibri" w:hAnsi="Calibri"/>
          <w:sz w:val="18"/>
        </w:rPr>
        <w:t> “Es necesario hacer énfasis en que aquí nos referimos al término 'educación' desprovisto de sus connotaciones usuales con "signo positivo", como "beneficiosa en sí misma"; más bien, le quitamos el signo: en un sentido muy amplio, entendemos por 'educación' todos los procesos de enseñanza-aprendizaje que consisten a su vez en procesos de transmisión de información y conocimientos de representaciones y esquemas cognoscitivos sobre la realidad y los "mundos posibles", de sistemas de valores y patrones de comportamiento que a su vez generan actitudes, opiniones y hábitos. En tanto trabajo de transmisión, pero también de producción y reproducción cultural, la educación, tal como la definimos es, tanto en el polo de la enseñanza como en el del aprendizaje, un trabajo de producción de sentido. En este contexto, "sentido" se puede entender en sus dos acepciones, de 'significado' y de 'dirección': en la primera, con referencia al aspecto cognoscitivo (componente semántico) y en la segunda, con respecto a la práctica, como guía para  la acción (componente pragmático o praxeológico). Desde este punto de vista, pues, la educación cubre todo ámbito posible de aprendizaje social en tanto proceso de transmisión cultural. Sostenemos, correspondientemente, a la concepción semiótica de 'cultura', como el complejo de procesos estructurados-estructurantes de producción de sentido en sociedad, interactuantes -interrelacionados e interdependientes con las condiciones históricas (sociales, políticas, económicas, en suma, materiales) dentro de las que viven los grupos humanos. La resultante de </w:t>
      </w:r>
      <w:r>
        <w:rPr>
          <w:rFonts w:ascii="Calibri" w:hAnsi="Calibri"/>
          <w:spacing w:val="2"/>
          <w:sz w:val="18"/>
        </w:rPr>
        <w:t>tales </w:t>
      </w:r>
      <w:r>
        <w:rPr>
          <w:rFonts w:ascii="Calibri" w:hAnsi="Calibri"/>
          <w:sz w:val="18"/>
        </w:rPr>
        <w:t>estructuras- procesos</w:t>
      </w:r>
      <w:r>
        <w:rPr>
          <w:rFonts w:ascii="Calibri" w:hAnsi="Calibri"/>
          <w:spacing w:val="-3"/>
          <w:sz w:val="18"/>
        </w:rPr>
        <w:t> </w:t>
      </w:r>
      <w:r>
        <w:rPr>
          <w:rFonts w:ascii="Calibri" w:hAnsi="Calibri"/>
          <w:sz w:val="18"/>
        </w:rPr>
        <w:t>es</w:t>
      </w:r>
      <w:r>
        <w:rPr>
          <w:rFonts w:ascii="Calibri" w:hAnsi="Calibri"/>
          <w:spacing w:val="-3"/>
          <w:sz w:val="18"/>
        </w:rPr>
        <w:t> </w:t>
      </w:r>
      <w:r>
        <w:rPr>
          <w:rFonts w:ascii="Calibri" w:hAnsi="Calibri"/>
          <w:sz w:val="18"/>
        </w:rPr>
        <w:t>el</w:t>
      </w:r>
      <w:r>
        <w:rPr>
          <w:rFonts w:ascii="Calibri" w:hAnsi="Calibri"/>
          <w:spacing w:val="-6"/>
          <w:sz w:val="18"/>
        </w:rPr>
        <w:t> </w:t>
      </w:r>
      <w:r>
        <w:rPr>
          <w:rFonts w:ascii="Calibri" w:hAnsi="Calibri"/>
          <w:sz w:val="18"/>
        </w:rPr>
        <w:t>mundo-como-discurso</w:t>
      </w:r>
      <w:r>
        <w:rPr>
          <w:rFonts w:ascii="Calibri" w:hAnsi="Calibri"/>
          <w:spacing w:val="-3"/>
          <w:sz w:val="18"/>
        </w:rPr>
        <w:t> </w:t>
      </w:r>
      <w:r>
        <w:rPr>
          <w:rFonts w:ascii="Calibri" w:hAnsi="Calibri"/>
          <w:sz w:val="18"/>
        </w:rPr>
        <w:t>y</w:t>
      </w:r>
      <w:r>
        <w:rPr>
          <w:rFonts w:ascii="Calibri" w:hAnsi="Calibri"/>
          <w:spacing w:val="-6"/>
          <w:sz w:val="18"/>
        </w:rPr>
        <w:t> </w:t>
      </w:r>
      <w:r>
        <w:rPr>
          <w:rFonts w:ascii="Calibri" w:hAnsi="Calibri"/>
          <w:sz w:val="18"/>
        </w:rPr>
        <w:t>el(los)</w:t>
      </w:r>
      <w:r>
        <w:rPr>
          <w:rFonts w:ascii="Calibri" w:hAnsi="Calibri"/>
          <w:spacing w:val="-1"/>
          <w:sz w:val="18"/>
        </w:rPr>
        <w:t> </w:t>
      </w:r>
      <w:r>
        <w:rPr>
          <w:rFonts w:ascii="Calibri" w:hAnsi="Calibri"/>
          <w:sz w:val="18"/>
        </w:rPr>
        <w:t>universo(s)</w:t>
      </w:r>
      <w:r>
        <w:rPr>
          <w:rFonts w:ascii="Calibri" w:hAnsi="Calibri"/>
          <w:spacing w:val="-3"/>
          <w:sz w:val="18"/>
        </w:rPr>
        <w:t> </w:t>
      </w:r>
      <w:r>
        <w:rPr>
          <w:rFonts w:ascii="Calibri" w:hAnsi="Calibri"/>
          <w:sz w:val="18"/>
        </w:rPr>
        <w:t>del</w:t>
      </w:r>
      <w:r>
        <w:rPr>
          <w:rFonts w:ascii="Calibri" w:hAnsi="Calibri"/>
          <w:spacing w:val="-6"/>
          <w:sz w:val="18"/>
        </w:rPr>
        <w:t> </w:t>
      </w:r>
      <w:r>
        <w:rPr>
          <w:rFonts w:ascii="Calibri" w:hAnsi="Calibri"/>
          <w:sz w:val="18"/>
        </w:rPr>
        <w:t>discurso</w:t>
      </w:r>
      <w:r>
        <w:rPr>
          <w:rFonts w:ascii="Calibri" w:hAnsi="Calibri"/>
          <w:spacing w:val="-3"/>
          <w:sz w:val="18"/>
        </w:rPr>
        <w:t> </w:t>
      </w:r>
      <w:r>
        <w:rPr>
          <w:rFonts w:ascii="Calibri" w:hAnsi="Calibri"/>
          <w:sz w:val="18"/>
        </w:rPr>
        <w:t>social.”</w:t>
      </w:r>
    </w:p>
    <w:p>
      <w:pPr>
        <w:spacing w:after="0" w:line="240" w:lineRule="auto"/>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18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8"/>
        <w:jc w:val="both"/>
      </w:pPr>
      <w:r>
        <w:rPr/>
        <w:t>posible hablar de: a) educación formal, b) educación no formal y c) educación informal. La primera se refiere </w:t>
      </w:r>
      <w:r>
        <w:rPr>
          <w:spacing w:val="3"/>
        </w:rPr>
        <w:t>al </w:t>
      </w:r>
      <w:r>
        <w:rPr/>
        <w:t>tipo de formación que los individuos reciben en las instituciones creadas por la sociedad específicamente para este objetivo, bajo un sistema jerárquico y estructurado; la educación no formal se estima como el proceso formativo que implica espacios educativos fuera de este tipo de instituciones, para niños, jóvenes o adultos tales como talleres de  artes, deportivos, de integración social, de alfabetización, etc. Y la educación informal que se refiere a los elementos formativos que cotidianamente el individuo incorpora a sus conocimientos, habilidades, actitudes o a su comprensión del mundo y que recibe en el hogar, en el juego, en el trabajo o por medio </w:t>
      </w:r>
      <w:r>
        <w:rPr>
          <w:spacing w:val="3"/>
        </w:rPr>
        <w:t>de </w:t>
      </w:r>
      <w:r>
        <w:rPr/>
        <w:t>los contenido emitidos por los medios de comunicación, </w:t>
      </w:r>
      <w:r>
        <w:rPr>
          <w:spacing w:val="-3"/>
        </w:rPr>
        <w:t>ya </w:t>
      </w:r>
      <w:r>
        <w:rPr/>
        <w:t>sea impresos o electrónicos.</w:t>
      </w:r>
    </w:p>
    <w:p>
      <w:pPr>
        <w:pStyle w:val="BodyText"/>
        <w:spacing w:line="360" w:lineRule="auto" w:before="5"/>
        <w:ind w:left="684" w:right="113" w:firstLine="336"/>
        <w:jc w:val="both"/>
      </w:pPr>
      <w:r>
        <w:rPr/>
        <w:t>El término de educación informal también se considera como parte del proceso de aculturación o de socialización; y en la época a la que se enfoca este estudio, o sea de 1980 a 2008, es la televisión la que ha tenido una mayor influencia en este proceso, al que se ha denominado también como aprendizaje incidental, que consiste en la adquisición y almacenamiento de datos, actitudes y conductas sin buscarlas activamente, sino por el sólo hecho de exponerse al medio de información. Aunque este fenómeno tiene distintos grados, que van desde: a) la falta de percepción de lo que se está aprendiendo, en este caso el receptor no tiene ninguna conciencia de que se está informando o formando; b) de las personas que están conscientes de que a través de los mensajes transmitidos por el televisor, están aprendiendo algo, tal es el caso de las telenovelas que en los 80s la empresa Televisa emitió para ayudar a la alfabetización, o algunas otras llamadas de refuerzo social, donde se trata de transmitir además de entretenimiento, valores que pretende rescatar el sistema.</w:t>
      </w:r>
    </w:p>
    <w:p>
      <w:pPr>
        <w:pStyle w:val="BodyText"/>
        <w:spacing w:line="360" w:lineRule="auto" w:before="6"/>
        <w:ind w:left="684" w:right="113" w:firstLine="271"/>
        <w:jc w:val="both"/>
      </w:pPr>
      <w:r>
        <w:rPr/>
        <w:t>Es oportuno resaltar que las diferentes formas de educación: formal, no formal o informal no necesariamente existen separadas pueden coexistir y van conformando al ciudadano de cada etapa histórica. En ese sentido, es importante hacer énfasis en que los medios masivos tienen una gran influencia mediadora en la educación de los seres humanos del siglo XX, sin que por  </w:t>
      </w:r>
      <w:r>
        <w:rPr>
          <w:spacing w:val="65"/>
        </w:rPr>
        <w:t> </w:t>
      </w:r>
      <w:r>
        <w:rPr/>
        <w:t>ello se olviden otras</w:t>
      </w:r>
    </w:p>
    <w:p>
      <w:pPr>
        <w:spacing w:after="0" w:line="360" w:lineRule="auto"/>
        <w:jc w:val="both"/>
        <w:sectPr>
          <w:pgSz w:w="12240" w:h="15840"/>
          <w:pgMar w:header="0" w:footer="876" w:top="520" w:bottom="1060" w:left="1300" w:right="1300"/>
        </w:sectPr>
      </w:pPr>
    </w:p>
    <w:p>
      <w:pPr>
        <w:pStyle w:val="Heading3"/>
      </w:pPr>
      <w:r>
        <w:rPr/>
        <w:pict>
          <v:line style="position:absolute;mso-position-horizontal-relative:page;mso-position-vertical-relative:paragraph;z-index:623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right="222"/>
        <w:jc w:val="both"/>
      </w:pPr>
      <w:r>
        <w:rPr/>
        <w:t>instituciones como la familia, la escuela, el grupo social, etc. que inciden dando forma a los mensajes que el individuo percibe a través de los medios.</w:t>
      </w:r>
    </w:p>
    <w:p>
      <w:pPr>
        <w:pStyle w:val="BodyText"/>
        <w:spacing w:line="360" w:lineRule="auto" w:before="8"/>
        <w:ind w:left="264" w:right="216" w:firstLine="336"/>
        <w:jc w:val="both"/>
      </w:pPr>
      <w:r>
        <w:rPr/>
        <w:t>Para la UNESCO, los medios masivos cuya tecnología cuenta con un amplio espectro comunicacional se han convertido en instrumentos de una importante influencia social. Escenario que conlleva un eje formativo al interior de los diferentes grupos sociales, que ha modificado las formas de educación, descentralizando el papel de las instituciones tradicionales como son la escuela, la iglesia o la familia. Y algunos otros procesos como la producción, la reproducción, la conservación y transmisión de los bienes culturales que se asignaba fundamentalmente a la escuela.</w:t>
      </w:r>
    </w:p>
    <w:p>
      <w:pPr>
        <w:pStyle w:val="BodyText"/>
      </w:pPr>
    </w:p>
    <w:p>
      <w:pPr>
        <w:spacing w:line="235" w:lineRule="auto" w:before="142"/>
        <w:ind w:left="973" w:right="220" w:firstLine="0"/>
        <w:jc w:val="both"/>
        <w:rPr>
          <w:sz w:val="14"/>
        </w:rPr>
      </w:pPr>
      <w:r>
        <w:rPr>
          <w:sz w:val="24"/>
        </w:rPr>
        <w:t>D</w:t>
      </w:r>
      <w:r>
        <w:rPr>
          <w:sz w:val="22"/>
        </w:rPr>
        <w:t>ifícilmente cabe negar el impacto educativo -y no solamente pedagógico en sentido estricto- de los medios de información y de la comunicación en general, incluso cuando el contenido del mensaje no es de carácter educativo. La acción educativa y socializadora que incumbe a la comunicación implica que responda en la mayor medida posible a las necesidades de desarrollo de la sociedad y sea tratada como un bien social. </w:t>
      </w:r>
      <w:r>
        <w:rPr>
          <w:position w:val="10"/>
          <w:sz w:val="14"/>
        </w:rPr>
        <w:t>205</w:t>
      </w:r>
    </w:p>
    <w:p>
      <w:pPr>
        <w:pStyle w:val="BodyText"/>
        <w:spacing w:before="3"/>
        <w:rPr>
          <w:sz w:val="36"/>
        </w:rPr>
      </w:pPr>
    </w:p>
    <w:p>
      <w:pPr>
        <w:pStyle w:val="BodyText"/>
        <w:spacing w:line="360" w:lineRule="auto"/>
        <w:ind w:left="264" w:right="215" w:firstLine="336"/>
        <w:jc w:val="both"/>
      </w:pPr>
      <w:r>
        <w:rPr/>
        <w:t>Desde este punto de vista, considerando que comunicación y educación van de la mano, que la una se nutre de la otra, que el hombre se forma a través de la relación comunicativa con otros individuos, es necesario que todos aquellos aspectos que involucren el proceso educativo y la comunicación sean examinados por la sociedad, por su impacto en la cultura y en la vida de las personas.</w:t>
      </w:r>
    </w:p>
    <w:p>
      <w:pPr>
        <w:pStyle w:val="BodyText"/>
        <w:spacing w:line="352" w:lineRule="auto" w:before="6"/>
        <w:ind w:left="264" w:right="218" w:firstLine="336"/>
        <w:jc w:val="both"/>
      </w:pPr>
      <w:r>
        <w:rPr/>
        <w:t>Aprender y enseñar en el proceso de conformación social, para Popper: “Significa influir en su ambiente, de tal modo que puedan prepararse para sus futuras tareas: la tarea de convertirse en ciudadanos, la tarea de ganar dinero, la tarea de ser padres y madres de las futuras generaciones[...]”</w:t>
      </w:r>
      <w:r>
        <w:rPr>
          <w:position w:val="11"/>
          <w:sz w:val="16"/>
        </w:rPr>
        <w:t>206 </w:t>
      </w:r>
      <w:r>
        <w:rPr/>
        <w:t>y es en la televisión donde el ser humano del siglo XX y XXI ha encontrado los contenidos</w:t>
      </w:r>
    </w:p>
    <w:p>
      <w:pPr>
        <w:pStyle w:val="BodyText"/>
        <w:spacing w:line="360" w:lineRule="auto" w:before="14"/>
        <w:ind w:left="264" w:right="218"/>
        <w:jc w:val="both"/>
      </w:pPr>
      <w:r>
        <w:rPr/>
        <w:t>educativos que le orientan en el mundo, le sugieren cómo actuar en sociedad y a la vez le proporcionan patrones que toma como modelos a seguir, que establecen sus metas y</w:t>
      </w:r>
      <w:r>
        <w:rPr>
          <w:spacing w:val="-14"/>
        </w:rPr>
        <w:t> </w:t>
      </w:r>
      <w:r>
        <w:rPr/>
        <w:t>objetivos.</w:t>
      </w:r>
    </w:p>
    <w:p>
      <w:pPr>
        <w:pStyle w:val="BodyText"/>
        <w:rPr>
          <w:sz w:val="20"/>
        </w:rPr>
      </w:pPr>
    </w:p>
    <w:p>
      <w:pPr>
        <w:pStyle w:val="BodyText"/>
        <w:spacing w:before="7"/>
        <w:rPr>
          <w:sz w:val="26"/>
        </w:rPr>
      </w:pPr>
      <w:r>
        <w:rPr/>
        <w:pict>
          <v:line style="position:absolute;mso-position-horizontal-relative:page;mso-position-vertical-relative:paragraph;z-index:6208;mso-wrap-distance-left:0;mso-wrap-distance-right:0" from="99.224998pt,17.549866pt" to="243.274998pt,17.549866pt" stroked="true" strokeweight=".60004pt" strokecolor="#000000">
            <w10:wrap type="topAndBottom"/>
          </v:line>
        </w:pict>
      </w:r>
    </w:p>
    <w:p>
      <w:pPr>
        <w:spacing w:line="236" w:lineRule="exact" w:before="46"/>
        <w:ind w:left="264" w:right="0" w:firstLine="0"/>
        <w:jc w:val="left"/>
        <w:rPr>
          <w:rFonts w:ascii="Calibri" w:hAnsi="Calibri"/>
          <w:sz w:val="18"/>
        </w:rPr>
      </w:pPr>
      <w:r>
        <w:rPr>
          <w:rFonts w:ascii="Calibri" w:hAnsi="Calibri"/>
          <w:position w:val="9"/>
          <w:sz w:val="12"/>
        </w:rPr>
        <w:t>205   </w:t>
      </w:r>
      <w:r>
        <w:rPr>
          <w:rFonts w:ascii="Calibri" w:hAnsi="Calibri"/>
          <w:sz w:val="18"/>
        </w:rPr>
        <w:t>LAMEIRAS, José y GALINDO Cáceres, Luis Jesús, </w:t>
      </w:r>
      <w:r>
        <w:rPr>
          <w:rFonts w:ascii="Calibri" w:hAnsi="Calibri"/>
          <w:i/>
          <w:sz w:val="18"/>
        </w:rPr>
        <w:t>Óp. Cit</w:t>
      </w:r>
      <w:r>
        <w:rPr>
          <w:rFonts w:ascii="Calibri" w:hAnsi="Calibri"/>
          <w:sz w:val="18"/>
        </w:rPr>
        <w:t>.  p. 42</w:t>
      </w:r>
    </w:p>
    <w:p>
      <w:pPr>
        <w:spacing w:line="236" w:lineRule="exact" w:before="0"/>
        <w:ind w:left="264" w:right="0" w:firstLine="0"/>
        <w:jc w:val="left"/>
        <w:rPr>
          <w:rFonts w:ascii="Calibri"/>
          <w:sz w:val="18"/>
        </w:rPr>
      </w:pPr>
      <w:r>
        <w:rPr>
          <w:rFonts w:ascii="Calibri"/>
          <w:position w:val="9"/>
          <w:sz w:val="12"/>
        </w:rPr>
        <w:t>206   </w:t>
      </w:r>
      <w:r>
        <w:rPr>
          <w:rFonts w:ascii="Calibri"/>
          <w:sz w:val="18"/>
        </w:rPr>
        <w:t>POPPER, Karl R., Condry, John, </w:t>
      </w:r>
      <w:r>
        <w:rPr>
          <w:rFonts w:ascii="Calibri"/>
          <w:i/>
          <w:sz w:val="18"/>
        </w:rPr>
        <w:t>et. al</w:t>
      </w:r>
      <w:r>
        <w:rPr>
          <w:rFonts w:ascii="Calibri"/>
          <w:sz w:val="18"/>
        </w:rPr>
        <w:t>.  </w:t>
      </w:r>
      <w:r>
        <w:rPr>
          <w:rFonts w:ascii="Calibri"/>
          <w:i/>
          <w:sz w:val="18"/>
        </w:rPr>
        <w:t>Op. Cit.  </w:t>
      </w:r>
      <w:r>
        <w:rPr>
          <w:rFonts w:ascii="Calibri"/>
          <w:sz w:val="18"/>
        </w:rPr>
        <w:t>p. 43</w:t>
      </w:r>
    </w:p>
    <w:p>
      <w:pPr>
        <w:spacing w:after="0" w:line="236" w:lineRule="exact"/>
        <w:jc w:val="left"/>
        <w:rPr>
          <w:rFonts w:asci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25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18"/>
        </w:rPr>
      </w:pPr>
    </w:p>
    <w:p>
      <w:pPr>
        <w:pStyle w:val="Heading3"/>
        <w:numPr>
          <w:ilvl w:val="3"/>
          <w:numId w:val="3"/>
        </w:numPr>
        <w:tabs>
          <w:tab w:pos="968" w:val="left" w:leader="none"/>
        </w:tabs>
        <w:spacing w:line="240" w:lineRule="auto" w:before="70" w:after="0"/>
        <w:ind w:left="967" w:right="0" w:hanging="283"/>
        <w:jc w:val="both"/>
        <w:rPr>
          <w:rFonts w:ascii="Arial" w:hAnsi="Arial"/>
        </w:rPr>
      </w:pPr>
      <w:bookmarkStart w:name="_TOC_250023" w:id="1"/>
      <w:bookmarkEnd w:id="1"/>
      <w:r>
        <w:rPr>
          <w:rFonts w:ascii="Arial" w:hAnsi="Arial"/>
        </w:rPr>
        <w:t>Ideología.</w:t>
      </w:r>
    </w:p>
    <w:p>
      <w:pPr>
        <w:pStyle w:val="BodyText"/>
        <w:rPr>
          <w:b/>
        </w:rPr>
      </w:pPr>
    </w:p>
    <w:p>
      <w:pPr>
        <w:pStyle w:val="BodyText"/>
        <w:rPr>
          <w:b/>
        </w:rPr>
      </w:pPr>
    </w:p>
    <w:p>
      <w:pPr>
        <w:pStyle w:val="BodyText"/>
        <w:spacing w:line="350" w:lineRule="auto"/>
        <w:ind w:left="684" w:right="113" w:firstLine="472"/>
        <w:jc w:val="both"/>
      </w:pPr>
      <w:r>
        <w:rPr/>
        <w:t>Louis Althusser, en su obra </w:t>
      </w:r>
      <w:r>
        <w:rPr>
          <w:i/>
        </w:rPr>
        <w:t>Ideología y Aparatos Ideológicos del Estado</w:t>
      </w:r>
      <w:r>
        <w:rPr/>
        <w:t>, afirma que: la ideología se convierte, desde la perspectiva </w:t>
      </w:r>
      <w:r>
        <w:rPr>
          <w:spacing w:val="5"/>
        </w:rPr>
        <w:t>de </w:t>
      </w:r>
      <w:r>
        <w:rPr/>
        <w:t>Marx, “en el sistema de ideas, de representaciones, que domina el espíritu de un hombre o un grupo social,</w:t>
      </w:r>
      <w:r>
        <w:rPr>
          <w:position w:val="11"/>
          <w:sz w:val="16"/>
        </w:rPr>
        <w:t>207  </w:t>
      </w:r>
      <w:r>
        <w:rPr/>
        <w:t>en cuyos cimientos se encuentra la génesis del discurso que  </w:t>
      </w:r>
      <w:r>
        <w:rPr>
          <w:spacing w:val="66"/>
        </w:rPr>
        <w:t> </w:t>
      </w:r>
      <w:r>
        <w:rPr/>
        <w:t>prevalece</w:t>
      </w:r>
    </w:p>
    <w:p>
      <w:pPr>
        <w:pStyle w:val="BodyText"/>
        <w:spacing w:line="360" w:lineRule="auto"/>
        <w:ind w:left="684" w:right="113"/>
        <w:jc w:val="both"/>
      </w:pPr>
      <w:r>
        <w:rPr/>
        <w:t>en cada sociedad y puede descubrirnos cuáles son los agentes que conforman el mensaje del mismo. Para Althusser es la familia, al igual que la iglesia o la escuela quienes generan de manera importante las representaciones que se manifiestan a través de un tipo determinado de ideología. Considera que ésta: “es una representación  de  la  relación  imaginaria  de  los  individuos con sus condiciones</w:t>
      </w:r>
    </w:p>
    <w:p>
      <w:pPr>
        <w:pStyle w:val="BodyText"/>
        <w:spacing w:line="278" w:lineRule="exact"/>
        <w:ind w:left="684"/>
        <w:jc w:val="both"/>
      </w:pPr>
      <w:r>
        <w:rPr/>
        <w:t>reales de existencia”,</w:t>
      </w:r>
      <w:r>
        <w:rPr>
          <w:position w:val="11"/>
          <w:sz w:val="16"/>
        </w:rPr>
        <w:t>208  </w:t>
      </w:r>
      <w:r>
        <w:rPr/>
        <w:t>partiendo de la concepción de que la mayor parte de  </w:t>
      </w:r>
      <w:r>
        <w:rPr>
          <w:spacing w:val="63"/>
        </w:rPr>
        <w:t> </w:t>
      </w:r>
      <w:r>
        <w:rPr/>
        <w:t>los</w:t>
      </w:r>
    </w:p>
    <w:p>
      <w:pPr>
        <w:pStyle w:val="BodyText"/>
        <w:spacing w:line="360" w:lineRule="auto" w:before="140"/>
        <w:ind w:left="684" w:right="116"/>
        <w:jc w:val="both"/>
      </w:pPr>
      <w:r>
        <w:rPr/>
        <w:t>mensajes que conforman el inconsciente colectivo y dan sentido de pertenencia a los individuos provienen del ámbito de la ilusión como son: la religión, los mitos, los conceptos del deber,</w:t>
      </w:r>
      <w:r>
        <w:rPr>
          <w:spacing w:val="-11"/>
        </w:rPr>
        <w:t> </w:t>
      </w:r>
      <w:r>
        <w:rPr/>
        <w:t>etc.</w:t>
      </w:r>
    </w:p>
    <w:p>
      <w:pPr>
        <w:pStyle w:val="BodyText"/>
        <w:spacing w:line="360" w:lineRule="auto" w:before="2"/>
        <w:ind w:left="684" w:right="113" w:firstLine="336"/>
        <w:jc w:val="both"/>
      </w:pPr>
      <w:r>
        <w:rPr/>
        <w:t>En este contexto hablar de ideología y hablar de la programación televisiva significa hacer un análisis que responde a la necesidad humana, entendida desde los deseos y expectativas de la misma, expuesta por la televisión desde los mensajes transmitidos que contienen una gran carga ideológica y emotiva, y sin nada de inocencia buscan provocar en el individuo la respuesta exacta para el mantenimiento de la racionalidad capitalista. De ahí que la comunicación masiva como hecho contundente a partir del siglo pasado, haya generado con el contacto simultáneo de millones de individuos, a través del televisor, una posibilidad muy amplia de unificar conciencias y compartir ideologías a partir de los mensajes difundidos.</w:t>
      </w:r>
    </w:p>
    <w:p>
      <w:pPr>
        <w:pStyle w:val="BodyText"/>
        <w:spacing w:line="360" w:lineRule="auto"/>
        <w:ind w:left="684" w:right="118" w:firstLine="404"/>
        <w:jc w:val="both"/>
      </w:pPr>
      <w:r>
        <w:rPr/>
        <w:t>La afirmación de que </w:t>
      </w:r>
      <w:r>
        <w:rPr>
          <w:i/>
        </w:rPr>
        <w:t>el medio es el mensaje</w:t>
      </w:r>
      <w:r>
        <w:rPr/>
        <w:t>, entendido esto desde la perspectiva de McLuhan, implica que así como el medio es entendido como una extensión del cuerpo humano, el mensaje va más allá de un simple contenido o información, porque finalmente su función es la modificación de conductas y relaciones de los seres humanos, así como la reorientación de su actividad.</w:t>
      </w:r>
    </w:p>
    <w:p>
      <w:pPr>
        <w:spacing w:after="0" w:line="360" w:lineRule="auto"/>
        <w:jc w:val="both"/>
        <w:sectPr>
          <w:footerReference w:type="default" r:id="rId94"/>
          <w:pgSz w:w="12240" w:h="15840"/>
          <w:pgMar w:footer="1493" w:header="0" w:top="520" w:bottom="1680" w:left="1300" w:right="1300"/>
          <w:pgNumType w:start="115"/>
        </w:sectPr>
      </w:pPr>
    </w:p>
    <w:p>
      <w:pPr>
        <w:pStyle w:val="Heading3"/>
      </w:pPr>
      <w:r>
        <w:rPr/>
        <w:pict>
          <v:line style="position:absolute;mso-position-horizontal-relative:page;mso-position-vertical-relative:paragraph;z-index:628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3" w:firstLine="336"/>
        <w:jc w:val="both"/>
      </w:pPr>
      <w:r>
        <w:rPr/>
        <w:t>La sociedad del siglo XX bajo esquemas altamente tecnologizados, en la que prevalece el fenómeno de la comunicación, utilizada por el sistema socio - político a través de los diferentes medios que la ciencia y la tecnología han proporcionado a los mismos, ha logrado enviar su mensaje de manera directa y sin obstáculos a la mayoría de la población. Mensaje que logra unificación de ideas, cohesión  social en torno a dicho mensaje, control del Estado, y una direccionalidad que hasta ahora ha logrado consolidar un sistema que se debate entre el capital y el trabajo.</w:t>
      </w:r>
    </w:p>
    <w:p>
      <w:pPr>
        <w:pStyle w:val="BodyText"/>
      </w:pPr>
    </w:p>
    <w:p>
      <w:pPr>
        <w:spacing w:line="237" w:lineRule="auto" w:before="143"/>
        <w:ind w:left="973" w:right="217" w:firstLine="0"/>
        <w:jc w:val="both"/>
        <w:rPr>
          <w:sz w:val="14"/>
        </w:rPr>
      </w:pPr>
      <w:r>
        <w:rPr>
          <w:sz w:val="22"/>
        </w:rPr>
        <w:t>Una nueva zona de conflictos, en lugar del virtualizado antagonismo de clases y prescindiendo de los conflictos que las disparidades provocan en los márgenes del sistema, sólo puede surgir allí donde la sociedad del capitalismo tardío tiene que inmunizarse por medio de la despolitización de la masa de la población contra la puesta en cuestión de la ideología tecnocrática de fondo: precisamente en el sistema de la opinión pública administrada por los medios de comunicación de masas.</w:t>
      </w:r>
      <w:r>
        <w:rPr>
          <w:position w:val="10"/>
          <w:sz w:val="14"/>
        </w:rPr>
        <w:t>209</w:t>
      </w:r>
    </w:p>
    <w:p>
      <w:pPr>
        <w:pStyle w:val="BodyText"/>
        <w:rPr>
          <w:sz w:val="26"/>
        </w:rPr>
      </w:pPr>
    </w:p>
    <w:p>
      <w:pPr>
        <w:pStyle w:val="BodyText"/>
        <w:spacing w:line="360" w:lineRule="auto" w:before="185"/>
        <w:ind w:left="264" w:right="210" w:firstLine="336"/>
        <w:jc w:val="both"/>
      </w:pPr>
      <w:r>
        <w:rPr/>
        <w:t>Si bien el concepto de ideología ha sido motivo de debate, en el que diferentes corrientes no logran ponerse de acuerdo. Mientras para algunas es el sistema que subyace en la conciencia como un medio unificador que proporciona seguridad, identifica y mantiene la comunicación y el entendimiento entre determinados grupos sociales; para otros es el medio idóneo de control social que el Estado y los centros de poder utilizan para beneficiarse y prevalecer de acuerdo a sus particulares intereses. No obstante, es un hecho que existe una gran tendencia  por parte de los grupos de poder para encubrir aquellos factores que pudieran significar procesos</w:t>
      </w:r>
      <w:r>
        <w:rPr>
          <w:spacing w:val="-23"/>
        </w:rPr>
        <w:t> </w:t>
      </w:r>
      <w:r>
        <w:rPr/>
        <w:t>emancipatorios.</w:t>
      </w:r>
    </w:p>
    <w:p>
      <w:pPr>
        <w:pStyle w:val="BodyText"/>
      </w:pPr>
    </w:p>
    <w:p>
      <w:pPr>
        <w:spacing w:line="235" w:lineRule="auto" w:before="145"/>
        <w:ind w:left="973" w:right="214" w:firstLine="0"/>
        <w:jc w:val="both"/>
        <w:rPr>
          <w:sz w:val="14"/>
        </w:rPr>
      </w:pPr>
      <w:r>
        <w:rPr>
          <w:sz w:val="22"/>
        </w:rPr>
        <w:t>[...] a algunos teóricos de </w:t>
      </w:r>
      <w:r>
        <w:rPr>
          <w:spacing w:val="-3"/>
          <w:sz w:val="22"/>
        </w:rPr>
        <w:t>la </w:t>
      </w:r>
      <w:r>
        <w:rPr>
          <w:sz w:val="22"/>
        </w:rPr>
        <w:t>ideología les resulta más sencillo abandonar sin más  el problema epistemológico, favoreciendo en su lugar un significado de ideología más sociológico o político como medio en el cual los hombres y mujeres libran sus batallas sociales y políticas en el nivel de los signos, significados y representaciones.</w:t>
      </w:r>
      <w:r>
        <w:rPr>
          <w:position w:val="10"/>
          <w:sz w:val="14"/>
        </w:rPr>
        <w:t>210</w:t>
      </w:r>
    </w:p>
    <w:p>
      <w:pPr>
        <w:spacing w:after="0" w:line="235" w:lineRule="auto"/>
        <w:jc w:val="both"/>
        <w:rPr>
          <w:sz w:val="14"/>
        </w:rPr>
        <w:sectPr>
          <w:footerReference w:type="default" r:id="rId95"/>
          <w:pgSz w:w="12240" w:h="15840"/>
          <w:pgMar w:footer="1493" w:header="0" w:top="520" w:bottom="168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32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8"/>
        <w:rPr>
          <w:rFonts w:ascii="Cambria"/>
          <w:sz w:val="19"/>
        </w:rPr>
      </w:pPr>
    </w:p>
    <w:p>
      <w:pPr>
        <w:pStyle w:val="BodyText"/>
        <w:spacing w:line="360" w:lineRule="auto" w:before="69"/>
        <w:ind w:left="684" w:right="114" w:firstLine="271"/>
        <w:jc w:val="both"/>
      </w:pPr>
      <w:r>
        <w:rPr/>
        <w:t>De esta manera lo ideológico se convierte en elemento estratégico para la organización social, ya que entrelaza toda la composición social global, de las que se derivan las relaciones de poder que se establecen entre los integrantes del grupo social, que provocan la estratificación social, la lucha de clases, la reproducción social y las transformaciones sociales. Desde esta óptica, la televisión es utilizada como medio importante para la transmisión del discurso que fundamenta y fortalece la racionalidad del sistema, ya que cuenta con características eficaces para fungir de intermediario entre el mensaje del sistema y el ciudadano común; su potencia para afianzar la racionalización y convocar a los hombres y mujeres hacia determinada acción la hace el instrumento ideal de la educación informal, así como el más eficaz para difundir la ideología imperante; Eaglerton en su obra sobre ideología establece un debate sobre el concepto de ideología, y de cómo las diferentes corrientes de pensamiento, la han definido. Así afirma:</w:t>
      </w:r>
    </w:p>
    <w:p>
      <w:pPr>
        <w:pStyle w:val="BodyText"/>
        <w:spacing w:before="10"/>
        <w:rPr>
          <w:sz w:val="35"/>
        </w:rPr>
      </w:pPr>
    </w:p>
    <w:p>
      <w:pPr>
        <w:spacing w:line="355" w:lineRule="auto" w:before="0"/>
        <w:ind w:left="1393" w:right="118" w:firstLine="0"/>
        <w:jc w:val="both"/>
        <w:rPr>
          <w:sz w:val="22"/>
        </w:rPr>
      </w:pPr>
      <w:r>
        <w:rPr>
          <w:sz w:val="22"/>
        </w:rPr>
        <w:t>Las ideologías dominantes pueden conformar activamente necesidades y deseos de las personas sometidas a ellas”, pero, también, deben implicarse significativamente con las necesidades y deseos que </w:t>
      </w:r>
      <w:r>
        <w:rPr>
          <w:spacing w:val="-3"/>
          <w:sz w:val="22"/>
        </w:rPr>
        <w:t>la </w:t>
      </w:r>
      <w:r>
        <w:rPr>
          <w:sz w:val="22"/>
        </w:rPr>
        <w:t>gente ya tiene, captando esperanzas y necesidades genuinas, modulando éstas en su propia jerga particular y re-alimentando con </w:t>
      </w:r>
      <w:r>
        <w:rPr>
          <w:spacing w:val="-3"/>
          <w:sz w:val="22"/>
        </w:rPr>
        <w:t>ella </w:t>
      </w:r>
      <w:r>
        <w:rPr>
          <w:sz w:val="22"/>
        </w:rPr>
        <w:t>a sus súbditos de una manera que vuelva a estas ideologías plausibles y</w:t>
      </w:r>
      <w:r>
        <w:rPr>
          <w:spacing w:val="-27"/>
          <w:sz w:val="22"/>
        </w:rPr>
        <w:t> </w:t>
      </w:r>
      <w:r>
        <w:rPr>
          <w:sz w:val="22"/>
        </w:rPr>
        <w:t>atractivas.</w:t>
      </w:r>
      <w:r>
        <w:rPr>
          <w:position w:val="10"/>
          <w:sz w:val="14"/>
        </w:rPr>
        <w:t>211</w:t>
      </w:r>
      <w:r>
        <w:rPr>
          <w:sz w:val="22"/>
        </w:rPr>
        <w:t>.</w:t>
      </w:r>
    </w:p>
    <w:p>
      <w:pPr>
        <w:pStyle w:val="BodyText"/>
        <w:spacing w:before="3"/>
        <w:rPr>
          <w:sz w:val="36"/>
        </w:rPr>
      </w:pPr>
    </w:p>
    <w:p>
      <w:pPr>
        <w:pStyle w:val="BodyText"/>
        <w:spacing w:line="360" w:lineRule="auto"/>
        <w:ind w:left="684" w:right="118" w:firstLine="336"/>
        <w:jc w:val="both"/>
      </w:pPr>
      <w:r>
        <w:rPr/>
        <w:t>Su función primordial es fundamentar la existencia de los individuos, resolver las contradicciones propias de su naturaleza, racionalizar las situaciones que su impulso de vida le lleva a construir, aceptar </w:t>
      </w:r>
      <w:r>
        <w:rPr>
          <w:i/>
        </w:rPr>
        <w:t>su destino </w:t>
      </w:r>
      <w:r>
        <w:rPr/>
        <w:t>sin romper con el equilibrio de su mente. Por lo tanto y siguiendo a Eaglerton, las ideologías:</w:t>
      </w:r>
    </w:p>
    <w:p>
      <w:pPr>
        <w:pStyle w:val="BodyText"/>
        <w:spacing w:before="10"/>
        <w:rPr>
          <w:sz w:val="35"/>
        </w:rPr>
      </w:pPr>
    </w:p>
    <w:p>
      <w:pPr>
        <w:spacing w:line="242" w:lineRule="auto" w:before="0"/>
        <w:ind w:left="1393" w:right="114" w:firstLine="0"/>
        <w:jc w:val="both"/>
        <w:rPr>
          <w:sz w:val="22"/>
        </w:rPr>
      </w:pPr>
      <w:r>
        <w:rPr>
          <w:sz w:val="22"/>
        </w:rPr>
        <w:t>Deben ser bastante </w:t>
      </w:r>
      <w:r>
        <w:rPr>
          <w:i/>
          <w:sz w:val="22"/>
        </w:rPr>
        <w:t>reales </w:t>
      </w:r>
      <w:r>
        <w:rPr>
          <w:sz w:val="22"/>
        </w:rPr>
        <w:t>para proporcionar la base sobre la que las personas puedan forjar una identidad coherente, deben proporcionar motivaciones sólidas para una acción efectiva y deben intentar explicar someramente sus propias contradicciones e incoherencias más flagrantes. En resumen, las ideologías que</w:t>
      </w:r>
    </w:p>
    <w:p>
      <w:pPr>
        <w:pStyle w:val="BodyText"/>
        <w:spacing w:before="3"/>
        <w:rPr>
          <w:sz w:val="23"/>
        </w:rPr>
      </w:pPr>
      <w:r>
        <w:rPr/>
        <w:pict>
          <v:line style="position:absolute;mso-position-horizontal-relative:page;mso-position-vertical-relative:paragraph;z-index:6304;mso-wrap-distance-left:0;mso-wrap-distance-right:0" from="99.224998pt,15.646038pt" to="243.274998pt,15.646038pt" stroked="true" strokeweight=".60004pt" strokecolor="#000000">
            <w10:wrap type="topAndBottom"/>
          </v:line>
        </w:pict>
      </w:r>
    </w:p>
    <w:p>
      <w:pPr>
        <w:spacing w:after="0"/>
        <w:rPr>
          <w:sz w:val="23"/>
        </w:rPr>
        <w:sectPr>
          <w:footerReference w:type="default" r:id="rId96"/>
          <w:pgSz w:w="12240" w:h="15840"/>
          <w:pgMar w:footer="1163" w:header="0" w:top="520" w:bottom="1360" w:left="1300" w:right="1300"/>
        </w:sectPr>
      </w:pPr>
    </w:p>
    <w:p>
      <w:pPr>
        <w:pStyle w:val="Heading3"/>
      </w:pPr>
      <w:r>
        <w:rPr/>
        <w:pict>
          <v:line style="position:absolute;mso-position-horizontal-relative:page;mso-position-vertical-relative:paragraph;z-index:637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232" w:lineRule="auto" w:before="79"/>
        <w:ind w:left="973" w:right="222" w:firstLine="0"/>
        <w:jc w:val="both"/>
        <w:rPr>
          <w:sz w:val="14"/>
        </w:rPr>
      </w:pPr>
      <w:r>
        <w:rPr>
          <w:sz w:val="22"/>
        </w:rPr>
        <w:t>tienen éxito deben ser más que ilusiones impuestas y a pesar de todas estas incongruencias deben transmitir a sus súbditos una visión de la realidad que sea real y suficientemente reconocible para no ser simplemente rechazadas inmediatamente.</w:t>
      </w:r>
      <w:r>
        <w:rPr>
          <w:position w:val="10"/>
          <w:sz w:val="14"/>
        </w:rPr>
        <w:t>212</w:t>
      </w:r>
    </w:p>
    <w:p>
      <w:pPr>
        <w:pStyle w:val="BodyText"/>
        <w:rPr>
          <w:sz w:val="36"/>
        </w:rPr>
      </w:pPr>
    </w:p>
    <w:p>
      <w:pPr>
        <w:pStyle w:val="BodyText"/>
        <w:spacing w:line="345" w:lineRule="auto"/>
        <w:ind w:left="264" w:right="214" w:firstLine="336"/>
        <w:jc w:val="both"/>
      </w:pPr>
      <w:r>
        <w:rPr/>
        <w:t>Otros autores como Van Dyjk consideran que aún cuando “[...] no se sabe exactamente como se desarrollan las ideologías a través del discurso y como controlan o influyen en los textos y el habla,”</w:t>
      </w:r>
      <w:r>
        <w:rPr>
          <w:position w:val="11"/>
          <w:sz w:val="16"/>
        </w:rPr>
        <w:t>213 </w:t>
      </w:r>
      <w:r>
        <w:rPr/>
        <w:t>éstas fundamentan las condiciones</w:t>
      </w:r>
    </w:p>
    <w:p>
      <w:pPr>
        <w:pStyle w:val="BodyText"/>
        <w:spacing w:line="350" w:lineRule="auto" w:before="5"/>
        <w:ind w:left="264" w:right="221"/>
        <w:jc w:val="both"/>
        <w:rPr>
          <w:sz w:val="16"/>
        </w:rPr>
      </w:pPr>
      <w:r>
        <w:rPr/>
        <w:t>socio-políticas de los grupos, dan coherencia al discurso, comparten modos de pensar y temas de opinión, “de este modo las ideologías organizan las actitudes de los grupos sociales que consisten en opiniones generalizadas organizadas esquemáticamente sobre determinados temas socialmente</w:t>
      </w:r>
      <w:r>
        <w:rPr>
          <w:spacing w:val="-31"/>
        </w:rPr>
        <w:t> </w:t>
      </w:r>
      <w:r>
        <w:rPr/>
        <w:t>relevantes.”</w:t>
      </w:r>
      <w:r>
        <w:rPr>
          <w:position w:val="11"/>
          <w:sz w:val="16"/>
        </w:rPr>
        <w:t>214</w:t>
      </w:r>
    </w:p>
    <w:p>
      <w:pPr>
        <w:pStyle w:val="BodyText"/>
        <w:spacing w:line="360" w:lineRule="auto"/>
        <w:ind w:left="264" w:right="215" w:firstLine="336"/>
        <w:jc w:val="both"/>
      </w:pPr>
      <w:r>
        <w:rPr/>
        <w:t>Es por ello que la funcionalidad del mensaje que los medios, en el siglo XX   han difundido, ha dado al individuo una racionalidad que lo incorpora de manera tácita al grupo social, sin importar el rol que juega dentro del mismo o la posición económica en que se ubica al interior del mismo, logrando armonizar y en consecuencia sintetizar las contradicciones vitales que como sujeto tiene, y le permiten además, compartir sus aspiraciones y temores, sus sentimientos y razones  de  vida  bajo  un  esquema  inexistente.  Fenómeno  que de</w:t>
      </w:r>
      <w:r>
        <w:rPr>
          <w:spacing w:val="-11"/>
        </w:rPr>
        <w:t> </w:t>
      </w:r>
      <w:r>
        <w:rPr/>
        <w:t>acuerdo con</w:t>
      </w:r>
    </w:p>
    <w:p>
      <w:pPr>
        <w:pStyle w:val="BodyText"/>
        <w:spacing w:line="278" w:lineRule="exact"/>
        <w:ind w:left="264"/>
        <w:jc w:val="both"/>
      </w:pPr>
      <w:r>
        <w:rPr/>
        <w:t>Fromm</w:t>
      </w:r>
      <w:r>
        <w:rPr>
          <w:position w:val="11"/>
          <w:sz w:val="16"/>
        </w:rPr>
        <w:t>215  </w:t>
      </w:r>
      <w:r>
        <w:rPr/>
        <w:t>genera la alienación del individuo al despersonalizar el discurso   propio</w:t>
      </w:r>
    </w:p>
    <w:p>
      <w:pPr>
        <w:pStyle w:val="BodyText"/>
        <w:spacing w:before="140"/>
        <w:ind w:left="264"/>
        <w:jc w:val="both"/>
      </w:pPr>
      <w:r>
        <w:rPr/>
        <w:t>de su realidad.</w:t>
      </w:r>
    </w:p>
    <w:p>
      <w:pPr>
        <w:pStyle w:val="BodyText"/>
      </w:pPr>
    </w:p>
    <w:p>
      <w:pPr>
        <w:pStyle w:val="BodyText"/>
        <w:spacing w:before="10"/>
        <w:rPr>
          <w:sz w:val="22"/>
        </w:rPr>
      </w:pPr>
    </w:p>
    <w:p>
      <w:pPr>
        <w:pStyle w:val="Heading3"/>
        <w:numPr>
          <w:ilvl w:val="3"/>
          <w:numId w:val="3"/>
        </w:numPr>
        <w:tabs>
          <w:tab w:pos="532" w:val="left" w:leader="none"/>
        </w:tabs>
        <w:spacing w:line="240" w:lineRule="auto" w:before="1" w:after="0"/>
        <w:ind w:left="531" w:right="0" w:hanging="267"/>
        <w:jc w:val="both"/>
        <w:rPr>
          <w:rFonts w:ascii="Arial" w:hAnsi="Arial"/>
        </w:rPr>
      </w:pPr>
      <w:bookmarkStart w:name="_TOC_250022" w:id="2"/>
      <w:r>
        <w:rPr>
          <w:rFonts w:ascii="Arial" w:hAnsi="Arial"/>
        </w:rPr>
        <w:t>Ideología y</w:t>
      </w:r>
      <w:r>
        <w:rPr>
          <w:rFonts w:ascii="Arial" w:hAnsi="Arial"/>
          <w:spacing w:val="-7"/>
        </w:rPr>
        <w:t> </w:t>
      </w:r>
      <w:bookmarkEnd w:id="2"/>
      <w:r>
        <w:rPr>
          <w:rFonts w:ascii="Arial" w:hAnsi="Arial"/>
        </w:rPr>
        <w:t>medios</w:t>
      </w:r>
    </w:p>
    <w:p>
      <w:pPr>
        <w:pStyle w:val="BodyText"/>
        <w:rPr>
          <w:b/>
        </w:rPr>
      </w:pPr>
    </w:p>
    <w:p>
      <w:pPr>
        <w:pStyle w:val="BodyText"/>
        <w:spacing w:before="4"/>
        <w:rPr>
          <w:b/>
        </w:rPr>
      </w:pPr>
    </w:p>
    <w:p>
      <w:pPr>
        <w:pStyle w:val="BodyText"/>
        <w:spacing w:line="360" w:lineRule="auto"/>
        <w:ind w:left="264" w:right="217" w:firstLine="336"/>
        <w:jc w:val="both"/>
      </w:pPr>
      <w:r>
        <w:rPr/>
        <w:t>La ideología considerada como un sistema cognitivo implica  una representación mental, que según Van Dijk se almacena en la memoria, y es utilizada para interaccionar en el mundo, para comprenderlo y darle sentido, constituyéndose a la vez en un sistema social compartido por un grupo que responde  conductualmente  al  mismo  parámetro.  Esta  ideología  es cambiante,</w:t>
      </w:r>
    </w:p>
    <w:p>
      <w:pPr>
        <w:pStyle w:val="BodyText"/>
        <w:spacing w:before="8"/>
        <w:rPr>
          <w:sz w:val="16"/>
        </w:rPr>
      </w:pPr>
      <w:r>
        <w:rPr/>
        <w:pict>
          <v:line style="position:absolute;mso-position-horizontal-relative:page;mso-position-vertical-relative:paragraph;z-index:6352;mso-wrap-distance-left:0;mso-wrap-distance-right:0" from="99.224998pt,11.883883pt" to="243.274998pt,11.883883pt" stroked="true" strokeweight=".60004pt" strokecolor="#000000">
            <w10:wrap type="topAndBottom"/>
          </v:line>
        </w:pict>
      </w:r>
    </w:p>
    <w:p>
      <w:pPr>
        <w:spacing w:line="236" w:lineRule="exact" w:before="46"/>
        <w:ind w:left="264" w:right="0" w:firstLine="0"/>
        <w:jc w:val="both"/>
        <w:rPr>
          <w:rFonts w:ascii="Calibri" w:hAnsi="Calibri"/>
          <w:i/>
          <w:sz w:val="18"/>
        </w:rPr>
      </w:pPr>
      <w:r>
        <w:rPr>
          <w:rFonts w:ascii="Calibri" w:hAnsi="Calibri"/>
          <w:position w:val="9"/>
          <w:sz w:val="12"/>
        </w:rPr>
        <w:t>212 </w:t>
      </w:r>
      <w:r>
        <w:rPr>
          <w:rFonts w:ascii="Calibri" w:hAnsi="Calibri"/>
          <w:i/>
          <w:sz w:val="18"/>
        </w:rPr>
        <w:t>Ídem.</w:t>
      </w:r>
    </w:p>
    <w:p>
      <w:pPr>
        <w:tabs>
          <w:tab w:pos="1207" w:val="left" w:leader="none"/>
          <w:tab w:pos="2385" w:val="left" w:leader="none"/>
          <w:tab w:pos="3332" w:val="left" w:leader="none"/>
          <w:tab w:pos="4447" w:val="left" w:leader="none"/>
          <w:tab w:pos="5782" w:val="left" w:leader="none"/>
          <w:tab w:pos="7405" w:val="left" w:leader="none"/>
          <w:tab w:pos="8863" w:val="left" w:leader="none"/>
        </w:tabs>
        <w:spacing w:line="220" w:lineRule="exact" w:before="12"/>
        <w:ind w:left="264" w:right="216" w:firstLine="0"/>
        <w:jc w:val="both"/>
        <w:rPr>
          <w:rFonts w:ascii="Calibri" w:hAnsi="Calibri"/>
          <w:sz w:val="18"/>
        </w:rPr>
      </w:pPr>
      <w:r>
        <w:rPr>
          <w:rFonts w:ascii="Calibri" w:hAnsi="Calibri"/>
          <w:position w:val="9"/>
          <w:sz w:val="12"/>
        </w:rPr>
        <w:t>213</w:t>
      </w:r>
      <w:r>
        <w:rPr>
          <w:rFonts w:ascii="Calibri" w:hAnsi="Calibri"/>
          <w:sz w:val="18"/>
        </w:rPr>
        <w:t>A. VAN DIJK, Teun, “Análisis del discurso ideológico”, Traducción de Ramón Alvarado, </w:t>
      </w:r>
      <w:r>
        <w:rPr>
          <w:rFonts w:ascii="Calibri" w:hAnsi="Calibri"/>
          <w:i/>
          <w:sz w:val="18"/>
        </w:rPr>
        <w:t>Versión 6 UAM-X</w:t>
      </w:r>
      <w:r>
        <w:rPr>
          <w:rFonts w:ascii="Calibri" w:hAnsi="Calibri"/>
          <w:sz w:val="18"/>
        </w:rPr>
        <w:t>, México 1996, pp.</w:t>
        <w:tab/>
        <w:t>15-43,</w:t>
        <w:tab/>
        <w:t>[en</w:t>
        <w:tab/>
        <w:t>línea]</w:t>
        <w:tab/>
        <w:t>consulta</w:t>
        <w:tab/>
        <w:t>03/02/2012,</w:t>
        <w:tab/>
        <w:t>disponible</w:t>
        <w:tab/>
        <w:t>en: </w:t>
      </w:r>
      <w:hyperlink r:id="rId98">
        <w:r>
          <w:rPr>
            <w:rFonts w:ascii="Calibri" w:hAnsi="Calibri"/>
            <w:color w:val="0000FF"/>
            <w:spacing w:val="-1"/>
            <w:sz w:val="18"/>
            <w:u w:val="single" w:color="0000FF"/>
          </w:rPr>
          <w:t>http://segundaslenguaseinmigracion.com/L2ycomptext/Anlisisideolgico.pdf</w:t>
        </w:r>
      </w:hyperlink>
      <w:r>
        <w:rPr>
          <w:rFonts w:ascii="Calibri" w:hAnsi="Calibri"/>
          <w:color w:val="0000FF"/>
          <w:spacing w:val="-1"/>
          <w:sz w:val="18"/>
          <w:u w:val="single" w:color="0000FF"/>
        </w:rPr>
        <w:t> </w:t>
      </w:r>
      <w:r>
        <w:rPr>
          <w:rFonts w:ascii="Calibri" w:hAnsi="Calibri"/>
          <w:color w:val="0000FF"/>
          <w:spacing w:val="6"/>
          <w:sz w:val="18"/>
          <w:u w:val="single" w:color="0000FF"/>
        </w:rPr>
        <w:t> </w:t>
      </w:r>
      <w:r>
        <w:rPr>
          <w:rFonts w:ascii="Calibri" w:hAnsi="Calibri"/>
          <w:sz w:val="18"/>
        </w:rPr>
        <w:t>.</w:t>
      </w:r>
    </w:p>
    <w:p>
      <w:pPr>
        <w:spacing w:line="224" w:lineRule="exact" w:before="0"/>
        <w:ind w:left="264" w:right="0" w:firstLine="0"/>
        <w:jc w:val="both"/>
        <w:rPr>
          <w:rFonts w:ascii="Calibri" w:hAnsi="Calibri"/>
          <w:sz w:val="18"/>
        </w:rPr>
      </w:pPr>
      <w:r>
        <w:rPr>
          <w:rFonts w:ascii="Calibri" w:hAnsi="Calibri"/>
          <w:position w:val="9"/>
          <w:sz w:val="12"/>
        </w:rPr>
        <w:t>214   </w:t>
      </w:r>
      <w:r>
        <w:rPr>
          <w:rFonts w:ascii="Calibri" w:hAnsi="Calibri"/>
          <w:i/>
          <w:sz w:val="18"/>
        </w:rPr>
        <w:t>Ibíd</w:t>
      </w:r>
      <w:r>
        <w:rPr>
          <w:rFonts w:ascii="Calibri" w:hAnsi="Calibri"/>
          <w:sz w:val="18"/>
        </w:rPr>
        <w:t>., p. 17</w:t>
      </w:r>
    </w:p>
    <w:p>
      <w:pPr>
        <w:spacing w:after="0" w:line="224" w:lineRule="exact"/>
        <w:jc w:val="both"/>
        <w:rPr>
          <w:rFonts w:ascii="Calibri" w:hAnsi="Calibri"/>
          <w:sz w:val="18"/>
        </w:rPr>
        <w:sectPr>
          <w:footerReference w:type="default" r:id="rId97"/>
          <w:pgSz w:w="12240" w:h="15840"/>
          <w:pgMar w:footer="1096" w:header="0" w:top="520" w:bottom="128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42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684" w:right="125"/>
        <w:jc w:val="both"/>
      </w:pPr>
      <w:r>
        <w:rPr/>
        <w:t>adquiere e imprime características especiales, dentro de contextos sociales. Típicamente, un sistema ideológico está relacionado con las cuestiones socialmente relevantes</w:t>
      </w:r>
      <w:r>
        <w:rPr>
          <w:i/>
        </w:rPr>
        <w:t>,  </w:t>
      </w:r>
      <w:r>
        <w:rPr/>
        <w:t>tales como políticas, religión, arte o educación.</w:t>
      </w:r>
    </w:p>
    <w:p>
      <w:pPr>
        <w:pStyle w:val="BodyText"/>
      </w:pPr>
    </w:p>
    <w:p>
      <w:pPr>
        <w:spacing w:line="235" w:lineRule="auto" w:before="152"/>
        <w:ind w:left="1393" w:right="109" w:firstLine="0"/>
        <w:jc w:val="both"/>
        <w:rPr>
          <w:sz w:val="14"/>
        </w:rPr>
      </w:pPr>
      <w:r>
        <w:rPr>
          <w:sz w:val="22"/>
        </w:rPr>
        <w:t>Hablando en términos cognitivos, una ideología es también compleja: no sólo consiste en </w:t>
      </w:r>
      <w:r>
        <w:rPr>
          <w:i/>
          <w:sz w:val="22"/>
        </w:rPr>
        <w:t>conocimientos </w:t>
      </w:r>
      <w:r>
        <w:rPr>
          <w:sz w:val="22"/>
        </w:rPr>
        <w:t>y </w:t>
      </w:r>
      <w:r>
        <w:rPr>
          <w:i/>
          <w:sz w:val="22"/>
        </w:rPr>
        <w:t>creencias </w:t>
      </w:r>
      <w:r>
        <w:rPr>
          <w:sz w:val="22"/>
        </w:rPr>
        <w:t>sino también en </w:t>
      </w:r>
      <w:r>
        <w:rPr>
          <w:i/>
          <w:sz w:val="22"/>
        </w:rPr>
        <w:t>opiniones y actitudes. </w:t>
      </w:r>
      <w:r>
        <w:rPr>
          <w:sz w:val="22"/>
        </w:rPr>
        <w:t>O, más aún, deberíamos decir que es un particular </w:t>
      </w:r>
      <w:r>
        <w:rPr>
          <w:i/>
          <w:sz w:val="22"/>
        </w:rPr>
        <w:t>sistema de actitudes, </w:t>
      </w:r>
      <w:r>
        <w:rPr>
          <w:sz w:val="22"/>
        </w:rPr>
        <w:t>en el cual el conocimiento, las creencias y las opiniones están organizadas. Un sistema ideológico de actitudes, debido a su naturaleza general, no sólo organiza las creencias y opiniones, ‘existentes’ sino que al mismo tiempo es un instrumento para generar</w:t>
      </w:r>
      <w:r>
        <w:rPr>
          <w:spacing w:val="-18"/>
          <w:sz w:val="22"/>
        </w:rPr>
        <w:t> </w:t>
      </w:r>
      <w:r>
        <w:rPr>
          <w:sz w:val="22"/>
        </w:rPr>
        <w:t>aquéllas.</w:t>
      </w:r>
      <w:r>
        <w:rPr>
          <w:position w:val="10"/>
          <w:sz w:val="14"/>
        </w:rPr>
        <w:t>216</w:t>
      </w:r>
    </w:p>
    <w:p>
      <w:pPr>
        <w:pStyle w:val="BodyText"/>
        <w:spacing w:before="3"/>
        <w:rPr>
          <w:sz w:val="36"/>
        </w:rPr>
      </w:pPr>
    </w:p>
    <w:p>
      <w:pPr>
        <w:pStyle w:val="BodyText"/>
        <w:spacing w:line="360" w:lineRule="auto"/>
        <w:ind w:left="684" w:right="117" w:firstLine="316"/>
        <w:jc w:val="both"/>
      </w:pPr>
      <w:r>
        <w:rPr/>
        <w:t>En otras palabras, una ideología es un instrumento, “para interpretar el mundo” por un lado y “para actuar en el mundo”, por otro. Desde luego es posible considerar que no se cuenta con ninguna ideología, y que es posible vivir al margen de cualquier influencia ideológica; y aún esa afirmación, de acuerdo con los expertos, es una forma de ideología.</w:t>
      </w:r>
    </w:p>
    <w:p>
      <w:pPr>
        <w:pStyle w:val="BodyText"/>
        <w:spacing w:before="5"/>
        <w:rPr>
          <w:sz w:val="33"/>
        </w:rPr>
      </w:pPr>
    </w:p>
    <w:p>
      <w:pPr>
        <w:spacing w:line="235" w:lineRule="auto" w:before="0"/>
        <w:ind w:left="1393" w:right="112" w:firstLine="0"/>
        <w:jc w:val="both"/>
        <w:rPr>
          <w:i/>
          <w:sz w:val="14"/>
        </w:rPr>
      </w:pPr>
      <w:r>
        <w:rPr>
          <w:sz w:val="22"/>
        </w:rPr>
        <w:t>Los sistemas ideológicos, por </w:t>
      </w:r>
      <w:r>
        <w:rPr>
          <w:spacing w:val="-3"/>
          <w:sz w:val="22"/>
        </w:rPr>
        <w:t>lo </w:t>
      </w:r>
      <w:r>
        <w:rPr>
          <w:sz w:val="22"/>
        </w:rPr>
        <w:t>general, no son independientes, sino que están relacionados. Estas interrelaciones pueden dar una </w:t>
      </w:r>
      <w:r>
        <w:rPr>
          <w:i/>
          <w:sz w:val="22"/>
        </w:rPr>
        <w:t>orientación </w:t>
      </w:r>
      <w:r>
        <w:rPr>
          <w:sz w:val="22"/>
        </w:rPr>
        <w:t>hacia los diversos sistemas. Por </w:t>
      </w:r>
      <w:r>
        <w:rPr>
          <w:spacing w:val="-3"/>
          <w:sz w:val="22"/>
        </w:rPr>
        <w:t>lo </w:t>
      </w:r>
      <w:r>
        <w:rPr>
          <w:sz w:val="22"/>
        </w:rPr>
        <w:t>tanto, hay eslabones sistemáticos entre una ideología ‘conservadora’ sobre la economía de libre empresa, </w:t>
      </w:r>
      <w:r>
        <w:rPr>
          <w:spacing w:val="-3"/>
          <w:sz w:val="22"/>
        </w:rPr>
        <w:t>la </w:t>
      </w:r>
      <w:r>
        <w:rPr>
          <w:sz w:val="22"/>
        </w:rPr>
        <w:t>educación o el tercer mundo. Tal orientación garantiza que el sistema cognitivo y sus actividades derivadas sean más o menos</w:t>
      </w:r>
      <w:r>
        <w:rPr>
          <w:spacing w:val="-25"/>
          <w:sz w:val="22"/>
        </w:rPr>
        <w:t> </w:t>
      </w:r>
      <w:r>
        <w:rPr>
          <w:i/>
          <w:sz w:val="22"/>
        </w:rPr>
        <w:t>coherentes.</w:t>
      </w:r>
      <w:r>
        <w:rPr>
          <w:i/>
          <w:position w:val="10"/>
          <w:sz w:val="14"/>
        </w:rPr>
        <w:t>217</w:t>
      </w:r>
    </w:p>
    <w:p>
      <w:pPr>
        <w:pStyle w:val="BodyText"/>
        <w:spacing w:before="3"/>
        <w:rPr>
          <w:i/>
          <w:sz w:val="36"/>
        </w:rPr>
      </w:pPr>
    </w:p>
    <w:p>
      <w:pPr>
        <w:pStyle w:val="BodyText"/>
        <w:spacing w:line="360" w:lineRule="auto"/>
        <w:ind w:left="684" w:right="121" w:firstLine="271"/>
        <w:jc w:val="both"/>
      </w:pPr>
      <w:r>
        <w:rPr/>
        <w:t>A partir de la ideología los individuos se integran a la sociedad, actúan en ella y se reafirman en la misma, produciendo y reproduciéndose culturalmente, espiritualmente, materialmente. En el discurso ideológico se descubre el “yo” y el “otro”, lo que es capaz de hacer o dejar de hacer; comprende la diferencia. Recrea metas, normas y valores, ámbitos de seguridad, y toma nota de privilegios, limitaciones y libertades; provoca la transformación, manipulación y percepción de la realidad.</w:t>
      </w:r>
    </w:p>
    <w:p>
      <w:pPr>
        <w:pStyle w:val="BodyText"/>
        <w:rPr>
          <w:sz w:val="20"/>
        </w:rPr>
      </w:pPr>
    </w:p>
    <w:p>
      <w:pPr>
        <w:pStyle w:val="BodyText"/>
        <w:spacing w:before="3"/>
        <w:rPr>
          <w:sz w:val="25"/>
        </w:rPr>
      </w:pPr>
      <w:r>
        <w:rPr/>
        <w:pict>
          <v:line style="position:absolute;mso-position-horizontal-relative:page;mso-position-vertical-relative:paragraph;z-index:6400;mso-wrap-distance-left:0;mso-wrap-distance-right:0" from="99.224998pt,16.784868pt" to="243.274998pt,16.784868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216 </w:t>
      </w:r>
      <w:r>
        <w:rPr>
          <w:rFonts w:ascii="Calibri" w:hAnsi="Calibri"/>
          <w:sz w:val="18"/>
        </w:rPr>
        <w:t>TEUN Van Dijk, “Algunas notas sobre la ideología, teoría del discurso”. Traducción: Georgina Trigos Curso sobre</w:t>
      </w:r>
      <w:r>
        <w:rPr>
          <w:rFonts w:ascii="Calibri" w:hAnsi="Calibri"/>
          <w:i/>
          <w:sz w:val="18"/>
        </w:rPr>
        <w:t>: El </w:t>
      </w:r>
      <w:r>
        <w:rPr>
          <w:rFonts w:ascii="Calibri" w:hAnsi="Calibri"/>
          <w:i/>
          <w:sz w:val="18"/>
        </w:rPr>
        <w:t>estudio Interdisciplinario del discurso</w:t>
      </w:r>
      <w:r>
        <w:rPr>
          <w:rFonts w:ascii="Calibri" w:hAnsi="Calibri"/>
          <w:sz w:val="18"/>
        </w:rPr>
        <w:t>, ofrecido en el Centro de Estudios Lingüísticos y Literarios del Colegio de México, , [en línea] consulta 10/11/2012 disponible en: </w:t>
      </w:r>
      <w:hyperlink r:id="rId100">
        <w:r>
          <w:rPr>
            <w:rFonts w:ascii="Calibri" w:hAnsi="Calibri"/>
            <w:color w:val="0000FF"/>
            <w:sz w:val="18"/>
            <w:u w:val="single" w:color="0000FF"/>
          </w:rPr>
          <w:t>http://www.discursos.org/oldarticles/Algunas%20notas%20sobre%20la%20ideolog%EDa%20y%20la%20teor%EDa%20d</w:t>
        </w:r>
      </w:hyperlink>
      <w:r>
        <w:rPr>
          <w:rFonts w:ascii="Calibri" w:hAnsi="Calibri"/>
          <w:color w:val="0000FF"/>
          <w:sz w:val="18"/>
          <w:u w:val="single" w:color="0000FF"/>
        </w:rPr>
        <w:t> </w:t>
      </w:r>
      <w:hyperlink r:id="rId100">
        <w:r>
          <w:rPr>
            <w:rFonts w:ascii="Calibri" w:hAnsi="Calibri"/>
            <w:color w:val="0000FF"/>
            <w:sz w:val="18"/>
            <w:u w:val="single" w:color="0000FF"/>
          </w:rPr>
          <w:t>el%20discurso.pdf</w:t>
        </w:r>
        <w:r>
          <w:rPr>
            <w:rFonts w:ascii="Calibri" w:hAnsi="Calibri"/>
            <w:sz w:val="18"/>
          </w:rPr>
          <w:t>.</w:t>
        </w:r>
      </w:hyperlink>
    </w:p>
    <w:p>
      <w:pPr>
        <w:spacing w:line="220" w:lineRule="exact" w:before="0"/>
        <w:ind w:left="684" w:right="114" w:firstLine="0"/>
        <w:jc w:val="left"/>
        <w:rPr>
          <w:rFonts w:ascii="Calibri"/>
          <w:i/>
          <w:sz w:val="18"/>
        </w:rPr>
      </w:pPr>
      <w:r>
        <w:rPr>
          <w:rFonts w:ascii="Calibri"/>
          <w:position w:val="9"/>
          <w:sz w:val="12"/>
        </w:rPr>
        <w:t>217   </w:t>
      </w:r>
      <w:r>
        <w:rPr>
          <w:rFonts w:ascii="Calibri"/>
          <w:sz w:val="18"/>
        </w:rPr>
        <w:t>TEUN Van Dijk, </w:t>
      </w:r>
      <w:r>
        <w:rPr>
          <w:rFonts w:ascii="Calibri"/>
          <w:i/>
          <w:sz w:val="18"/>
        </w:rPr>
        <w:t>Op. Cit.</w:t>
      </w:r>
    </w:p>
    <w:p>
      <w:pPr>
        <w:spacing w:after="0" w:line="220" w:lineRule="exact"/>
        <w:jc w:val="left"/>
        <w:rPr>
          <w:rFonts w:ascii="Calibri"/>
          <w:sz w:val="18"/>
        </w:rPr>
        <w:sectPr>
          <w:footerReference w:type="default" r:id="rId99"/>
          <w:pgSz w:w="12240" w:h="15840"/>
          <w:pgMar w:footer="876" w:header="0" w:top="520" w:bottom="1060" w:left="1300" w:right="1300"/>
          <w:pgNumType w:start="119"/>
        </w:sectPr>
      </w:pPr>
    </w:p>
    <w:p>
      <w:pPr>
        <w:pStyle w:val="Heading3"/>
      </w:pPr>
      <w:r>
        <w:rPr/>
        <w:pict>
          <v:line style="position:absolute;mso-position-horizontal-relative:page;mso-position-vertical-relative:paragraph;z-index:647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5" w:firstLine="336"/>
        <w:jc w:val="both"/>
      </w:pPr>
      <w:r>
        <w:rPr/>
        <w:t>Si bien en la ideología el individuo toma nota de su ser en el mundo y de su hacer en la sociedad, en la actualidad este fenómeno de las ideas se hace cada vez </w:t>
      </w:r>
      <w:r>
        <w:rPr>
          <w:spacing w:val="-2"/>
        </w:rPr>
        <w:t>más </w:t>
      </w:r>
      <w:r>
        <w:rPr/>
        <w:t>difuso con el apoyo de los medios que se perfeccionan continuamente, provocando un impacto mayor en la conciencia de los individuos. Si se observa, por ejemplo, la telefonía, cada vez más compleja, es capaz de transmitir ideas e imágenes en segundos, al igual que la red de Internet que a través del ordenador logra traspasar fronteras casi en forma instantánea. Así, </w:t>
      </w:r>
      <w:r>
        <w:rPr>
          <w:spacing w:val="5"/>
        </w:rPr>
        <w:t>de </w:t>
      </w:r>
      <w:r>
        <w:rPr/>
        <w:t>acuerdo con Sartori: “El progreso tecnológico no se puede detener,</w:t>
      </w:r>
      <w:r>
        <w:rPr>
          <w:spacing w:val="50"/>
        </w:rPr>
        <w:t> </w:t>
      </w:r>
      <w:r>
        <w:rPr/>
        <w:t>pero no por ello se nos</w:t>
      </w:r>
      <w:r>
        <w:rPr>
          <w:spacing w:val="53"/>
        </w:rPr>
        <w:t> </w:t>
      </w:r>
      <w:r>
        <w:rPr/>
        <w:t>puede</w:t>
      </w:r>
    </w:p>
    <w:p>
      <w:pPr>
        <w:pStyle w:val="BodyText"/>
        <w:spacing w:line="283" w:lineRule="exact"/>
        <w:ind w:left="264"/>
        <w:jc w:val="both"/>
      </w:pPr>
      <w:r>
        <w:rPr/>
        <w:t>escapar</w:t>
      </w:r>
      <w:r>
        <w:rPr>
          <w:spacing w:val="54"/>
        </w:rPr>
        <w:t> </w:t>
      </w:r>
      <w:r>
        <w:rPr/>
        <w:t>de las</w:t>
      </w:r>
      <w:r>
        <w:rPr>
          <w:spacing w:val="50"/>
        </w:rPr>
        <w:t> </w:t>
      </w:r>
      <w:r>
        <w:rPr/>
        <w:t>manos</w:t>
      </w:r>
      <w:r>
        <w:rPr>
          <w:spacing w:val="53"/>
        </w:rPr>
        <w:t> </w:t>
      </w:r>
      <w:r>
        <w:rPr/>
        <w:t>[...]”</w:t>
      </w:r>
      <w:r>
        <w:rPr>
          <w:position w:val="11"/>
          <w:sz w:val="16"/>
        </w:rPr>
        <w:t>218  </w:t>
      </w:r>
      <w:r>
        <w:rPr/>
        <w:t>haciendo alusión</w:t>
      </w:r>
      <w:r>
        <w:rPr>
          <w:spacing w:val="53"/>
        </w:rPr>
        <w:t> </w:t>
      </w:r>
      <w:r>
        <w:rPr/>
        <w:t>a que el uso de estos</w:t>
      </w:r>
      <w:r>
        <w:rPr>
          <w:spacing w:val="50"/>
        </w:rPr>
        <w:t> </w:t>
      </w:r>
      <w:r>
        <w:rPr/>
        <w:t>medios</w:t>
      </w:r>
    </w:p>
    <w:p>
      <w:pPr>
        <w:pStyle w:val="BodyText"/>
        <w:spacing w:line="360" w:lineRule="auto" w:before="136"/>
        <w:ind w:left="264" w:right="214"/>
        <w:jc w:val="both"/>
      </w:pPr>
      <w:r>
        <w:rPr/>
        <w:t>deben ser supervisados y controlados para evitar daño social, pues asegura que, para alcanzar una síntesis armoniosa del ser humano es indispensable desarrollar sus capacidades cognitivas y abstractas, que implican un desarrollo mental más elevado, que coadyuven a la reforma de la mente y el pensamiento, sustituyendo para ello la lectura en lugar del uso de la televisión en los procesos informativos, formativos y de recreación o, en su defecto, compartiendo los dos medios de manera adecuada. Equilibrando ese mundo de las imágenes que reflejan el saber de fondo de los grupos sociales del siglo XX y XXI.</w:t>
      </w:r>
    </w:p>
    <w:p>
      <w:pPr>
        <w:pStyle w:val="BodyText"/>
      </w:pPr>
    </w:p>
    <w:p>
      <w:pPr>
        <w:spacing w:line="240" w:lineRule="auto" w:before="141"/>
        <w:ind w:left="973" w:right="212" w:firstLine="0"/>
        <w:jc w:val="both"/>
        <w:rPr>
          <w:sz w:val="22"/>
        </w:rPr>
      </w:pPr>
      <w:r>
        <w:rPr>
          <w:sz w:val="22"/>
        </w:rPr>
        <w:t>Cuentas aparte tenemos el hecho de que la imagen no da, por sí misma, casi ninguna inteligibilidad. La imagen debe se explicada: y la explicación que se da de ella en la televisión es insuficiente. Si en un futuro existiera una televisión que explicará mejor (mucho mejor), entonces el discurso sobre una integración positiva entre </w:t>
      </w:r>
      <w:r>
        <w:rPr>
          <w:i/>
          <w:sz w:val="22"/>
        </w:rPr>
        <w:t>homo sapiens </w:t>
      </w:r>
      <w:r>
        <w:rPr>
          <w:sz w:val="22"/>
        </w:rPr>
        <w:t>y </w:t>
      </w:r>
      <w:r>
        <w:rPr>
          <w:i/>
          <w:sz w:val="22"/>
        </w:rPr>
        <w:t>homo videns </w:t>
      </w:r>
      <w:r>
        <w:rPr>
          <w:sz w:val="22"/>
        </w:rPr>
        <w:t>se podría reanudar. Pero, por el momento, es verdad  que  no  hay integración, sino  sustracción  y que, por tanto, el acto  de ver</w:t>
      </w:r>
    </w:p>
    <w:p>
      <w:pPr>
        <w:spacing w:line="272" w:lineRule="exact" w:before="0"/>
        <w:ind w:left="973" w:right="0" w:firstLine="0"/>
        <w:jc w:val="both"/>
        <w:rPr>
          <w:sz w:val="16"/>
        </w:rPr>
      </w:pPr>
      <w:r>
        <w:rPr>
          <w:sz w:val="22"/>
        </w:rPr>
        <w:t>está atrofiando la capacidad de entender</w:t>
      </w:r>
      <w:r>
        <w:rPr>
          <w:sz w:val="24"/>
        </w:rPr>
        <w:t>.</w:t>
      </w:r>
      <w:r>
        <w:rPr>
          <w:position w:val="11"/>
          <w:sz w:val="16"/>
        </w:rPr>
        <w:t>219</w:t>
      </w:r>
    </w:p>
    <w:p>
      <w:pPr>
        <w:pStyle w:val="BodyText"/>
        <w:spacing w:before="6"/>
        <w:rPr>
          <w:sz w:val="36"/>
        </w:rPr>
      </w:pPr>
    </w:p>
    <w:p>
      <w:pPr>
        <w:pStyle w:val="BodyText"/>
        <w:spacing w:line="360" w:lineRule="auto"/>
        <w:ind w:left="264" w:right="216" w:firstLine="336"/>
        <w:jc w:val="both"/>
      </w:pPr>
      <w:r>
        <w:rPr/>
        <w:pict>
          <v:line style="position:absolute;mso-position-horizontal-relative:page;mso-position-vertical-relative:paragraph;z-index:6448;mso-wrap-distance-left:0;mso-wrap-distance-right:0" from="99.224998pt,129.380829pt" to="243.274998pt,129.380829pt" stroked="true" strokeweight=".60004pt" strokecolor="#000000">
            <w10:wrap type="topAndBottom"/>
          </v:line>
        </w:pict>
      </w:r>
      <w:r>
        <w:rPr/>
        <w:t>La facilidad del medio, el tele-ver (Sartori), la prevalencia del ver sobre el hecho de hablar, decodificar o menos lectura, el menor esfuerzo, la concurrencia de fenómenos sociales y psicológicos orientados a la obtención de </w:t>
      </w:r>
      <w:r>
        <w:rPr>
          <w:spacing w:val="-2"/>
        </w:rPr>
        <w:t>más </w:t>
      </w:r>
      <w:r>
        <w:rPr/>
        <w:t>en menos, la des-educación, que significa el retroceso en el uso de los estímulos educativos emanados de la educación formal, son algunos de los factores que someten al individuo a la influencia de la televisión y lo mantienen de cuatro a siete horas  </w:t>
      </w:r>
      <w:r>
        <w:rPr>
          <w:spacing w:val="56"/>
        </w:rPr>
        <w:t> </w:t>
      </w:r>
      <w:r>
        <w:rPr/>
        <w:t>en</w:t>
      </w:r>
    </w:p>
    <w:p>
      <w:pPr>
        <w:spacing w:line="236" w:lineRule="exact" w:before="46"/>
        <w:ind w:left="264" w:right="0" w:firstLine="0"/>
        <w:jc w:val="left"/>
        <w:rPr>
          <w:rFonts w:ascii="Calibri" w:hAnsi="Calibri"/>
          <w:sz w:val="18"/>
        </w:rPr>
      </w:pPr>
      <w:r>
        <w:rPr>
          <w:rFonts w:ascii="Calibri" w:hAnsi="Calibri"/>
          <w:position w:val="9"/>
          <w:sz w:val="12"/>
        </w:rPr>
        <w:t>218  </w:t>
      </w:r>
      <w:r>
        <w:rPr>
          <w:rFonts w:ascii="Calibri" w:hAnsi="Calibri"/>
          <w:sz w:val="18"/>
        </w:rPr>
        <w:t>SARTORI,  Giovanni, </w:t>
      </w:r>
      <w:r>
        <w:rPr>
          <w:rFonts w:ascii="Calibri" w:hAnsi="Calibri"/>
          <w:i/>
          <w:sz w:val="18"/>
        </w:rPr>
        <w:t>Homo Videns, La sociedad teledirigida, </w:t>
      </w:r>
      <w:r>
        <w:rPr>
          <w:rFonts w:ascii="Calibri" w:hAnsi="Calibri"/>
          <w:sz w:val="18"/>
        </w:rPr>
        <w:t>Punto de Lectura, México, 2007, p. 56</w:t>
      </w:r>
    </w:p>
    <w:p>
      <w:pPr>
        <w:spacing w:line="236" w:lineRule="exact" w:before="0"/>
        <w:ind w:left="264" w:right="0" w:firstLine="0"/>
        <w:jc w:val="left"/>
        <w:rPr>
          <w:rFonts w:ascii="Calibri" w:hAnsi="Calibri"/>
          <w:sz w:val="18"/>
        </w:rPr>
      </w:pPr>
      <w:r>
        <w:rPr>
          <w:rFonts w:ascii="Calibri" w:hAnsi="Calibri"/>
          <w:position w:val="9"/>
          <w:sz w:val="12"/>
        </w:rPr>
        <w:t>219   </w:t>
      </w:r>
      <w:r>
        <w:rPr>
          <w:rFonts w:ascii="Calibri" w:hAnsi="Calibri"/>
          <w:sz w:val="18"/>
        </w:rPr>
        <w:t>SARTORI,  Giovanni, </w:t>
      </w:r>
      <w:r>
        <w:rPr>
          <w:rFonts w:ascii="Calibri" w:hAnsi="Calibri"/>
          <w:i/>
          <w:sz w:val="18"/>
        </w:rPr>
        <w:t>Óp. Cit., </w:t>
      </w:r>
      <w:r>
        <w:rPr>
          <w:rFonts w:ascii="Calibri" w:hAnsi="Calibri"/>
          <w:sz w:val="18"/>
        </w:rPr>
        <w:t>p. 57</w:t>
      </w:r>
    </w:p>
    <w:p>
      <w:pPr>
        <w:spacing w:after="0" w:line="236"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52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22"/>
        <w:jc w:val="both"/>
      </w:pPr>
      <w:r>
        <w:rPr/>
        <w:t>estado de receptor pasivo de ideologías, mensajes constantes que lo recrean (en forma pasiva), lo informan (parcialmente), lo alejan de su realidad (creando mundos alternos) y limitan su creatividad (porque aparentemente la imagen ya lo dijo todo), situación que sólo es superada en función de la formación de cada uno de los receptores–televidentes, y su capacidad crítica.</w:t>
      </w:r>
    </w:p>
    <w:p>
      <w:pPr>
        <w:pStyle w:val="BodyText"/>
      </w:pPr>
    </w:p>
    <w:p>
      <w:pPr>
        <w:pStyle w:val="BodyText"/>
      </w:pPr>
    </w:p>
    <w:p>
      <w:pPr>
        <w:pStyle w:val="BodyText"/>
        <w:spacing w:before="9"/>
        <w:rPr>
          <w:sz w:val="23"/>
        </w:rPr>
      </w:pPr>
    </w:p>
    <w:p>
      <w:pPr>
        <w:pStyle w:val="Heading3"/>
        <w:numPr>
          <w:ilvl w:val="3"/>
          <w:numId w:val="3"/>
        </w:numPr>
        <w:tabs>
          <w:tab w:pos="968" w:val="left" w:leader="none"/>
        </w:tabs>
        <w:spacing w:line="240" w:lineRule="auto" w:before="0" w:after="0"/>
        <w:ind w:left="967" w:right="0" w:hanging="283"/>
        <w:jc w:val="both"/>
        <w:rPr>
          <w:rFonts w:ascii="Arial" w:hAnsi="Arial"/>
        </w:rPr>
      </w:pPr>
      <w:bookmarkStart w:name="_TOC_250021" w:id="3"/>
      <w:r>
        <w:rPr>
          <w:rFonts w:ascii="Arial" w:hAnsi="Arial"/>
        </w:rPr>
        <w:t>El  hombre de la era de la comunicación</w:t>
      </w:r>
      <w:r>
        <w:rPr>
          <w:rFonts w:ascii="Arial" w:hAnsi="Arial"/>
          <w:spacing w:val="-22"/>
        </w:rPr>
        <w:t> </w:t>
      </w:r>
      <w:bookmarkEnd w:id="3"/>
      <w:r>
        <w:rPr>
          <w:rFonts w:ascii="Arial" w:hAnsi="Arial"/>
        </w:rPr>
        <w:t>televisiva.</w:t>
      </w:r>
    </w:p>
    <w:p>
      <w:pPr>
        <w:pStyle w:val="BodyText"/>
        <w:rPr>
          <w:b/>
        </w:rPr>
      </w:pPr>
    </w:p>
    <w:p>
      <w:pPr>
        <w:pStyle w:val="BodyText"/>
        <w:rPr>
          <w:b/>
        </w:rPr>
      </w:pPr>
    </w:p>
    <w:p>
      <w:pPr>
        <w:pStyle w:val="BodyText"/>
        <w:spacing w:before="6"/>
        <w:rPr>
          <w:b/>
          <w:sz w:val="20"/>
        </w:rPr>
      </w:pPr>
    </w:p>
    <w:p>
      <w:pPr>
        <w:pStyle w:val="BodyText"/>
        <w:spacing w:line="360" w:lineRule="auto"/>
        <w:ind w:left="684" w:right="115" w:firstLine="352"/>
        <w:jc w:val="both"/>
      </w:pPr>
      <w:r>
        <w:rPr/>
        <w:t>¿Cómo es el ser humano de la era de las comunicaciones? ¿Cómo se dan sus relaciones sociales, económicas y humanas a partir de su interacción con el mensaje televisivo? ¿Puede romper con los patrones impuestos por la formación e información que constituye su conciencia? ¿Cómo separarse de la norma que lo induce a asumir el reto de su individualidad en un contexto que generaliza y estandariza impidiéndole ser un “yo mismo”?</w:t>
      </w:r>
    </w:p>
    <w:p>
      <w:pPr>
        <w:pStyle w:val="BodyText"/>
        <w:spacing w:line="360" w:lineRule="auto" w:before="39"/>
        <w:ind w:left="684" w:right="117" w:firstLine="352"/>
        <w:jc w:val="both"/>
      </w:pPr>
      <w:r>
        <w:rPr/>
        <w:t>El </w:t>
      </w:r>
      <w:r>
        <w:rPr>
          <w:i/>
        </w:rPr>
        <w:t>homo sapiens</w:t>
      </w:r>
      <w:r>
        <w:rPr/>
        <w:t>, nos dice Sartori,</w:t>
      </w:r>
      <w:r>
        <w:rPr>
          <w:position w:val="11"/>
          <w:sz w:val="16"/>
        </w:rPr>
        <w:t>220 </w:t>
      </w:r>
      <w:r>
        <w:rPr/>
        <w:t>fundamenta su desarrollo en  su  capacidad de abstracción que le permite generar representaciones que llevan a la mente cosas visibles y concretas, pero también en la posibilidad de abstraer conceptos que no son traducidos a imágenes. La percepción e introyección de la realidad se conforma en función de símbolos que almacenan y codifican las sensaciones que los sentidos otorgan, en torno a ideas y pensamientos, cuya función es dar sentido y ubicación al individuo, asimismo amplían sus habilidades de representación del entorno y generan conocimiento, ideas y pensamientos que dan sentido a su</w:t>
      </w:r>
      <w:r>
        <w:rPr>
          <w:spacing w:val="-18"/>
        </w:rPr>
        <w:t> </w:t>
      </w:r>
      <w:r>
        <w:rPr/>
        <w:t>existencia.</w:t>
      </w:r>
    </w:p>
    <w:p>
      <w:pPr>
        <w:pStyle w:val="BodyText"/>
        <w:spacing w:line="362" w:lineRule="auto" w:before="39"/>
        <w:ind w:left="684" w:right="115" w:firstLine="352"/>
        <w:jc w:val="both"/>
      </w:pPr>
      <w:r>
        <w:rPr/>
        <w:t>En lo que se refiere a las experiencias cognitivas del individuo del siglo XX</w:t>
      </w:r>
      <w:r>
        <w:rPr>
          <w:position w:val="11"/>
          <w:sz w:val="16"/>
        </w:rPr>
        <w:t>221</w:t>
      </w:r>
      <w:r>
        <w:rPr/>
        <w:t>, se observa en México y en Honduras, que la forma de aprender ha variado al   ser</w:t>
      </w:r>
    </w:p>
    <w:p>
      <w:pPr>
        <w:pStyle w:val="BodyText"/>
        <w:spacing w:before="2"/>
      </w:pPr>
      <w:r>
        <w:rPr/>
        <w:pict>
          <v:line style="position:absolute;mso-position-horizontal-relative:page;mso-position-vertical-relative:paragraph;z-index:6496;mso-wrap-distance-left:0;mso-wrap-distance-right:0" from="99.224998pt,16.149830pt" to="243.274998pt,16.149830pt" stroked="true" strokeweight=".60004pt" strokecolor="#000000">
            <w10:wrap type="topAndBottom"/>
          </v:line>
        </w:pict>
      </w:r>
    </w:p>
    <w:p>
      <w:pPr>
        <w:spacing w:line="236" w:lineRule="exact" w:before="46"/>
        <w:ind w:left="684" w:right="0" w:firstLine="0"/>
        <w:jc w:val="both"/>
        <w:rPr>
          <w:rFonts w:ascii="Calibri" w:hAnsi="Calibri"/>
          <w:sz w:val="18"/>
        </w:rPr>
      </w:pPr>
      <w:r>
        <w:rPr>
          <w:rFonts w:ascii="Calibri" w:hAnsi="Calibri"/>
          <w:position w:val="9"/>
          <w:sz w:val="12"/>
        </w:rPr>
        <w:t>220   </w:t>
      </w:r>
      <w:r>
        <w:rPr>
          <w:rFonts w:ascii="Calibri" w:hAnsi="Calibri"/>
          <w:i/>
          <w:sz w:val="18"/>
        </w:rPr>
        <w:t>Ibíd</w:t>
      </w:r>
      <w:r>
        <w:rPr>
          <w:rFonts w:ascii="Calibri" w:hAnsi="Calibri"/>
          <w:sz w:val="18"/>
        </w:rPr>
        <w:t>.  p. 51</w:t>
      </w:r>
    </w:p>
    <w:p>
      <w:pPr>
        <w:spacing w:line="220" w:lineRule="exact" w:before="12"/>
        <w:ind w:left="684" w:right="111" w:firstLine="0"/>
        <w:jc w:val="both"/>
        <w:rPr>
          <w:rFonts w:ascii="Calibri" w:hAnsi="Calibri"/>
          <w:sz w:val="18"/>
        </w:rPr>
      </w:pPr>
      <w:r>
        <w:rPr>
          <w:rFonts w:ascii="Calibri" w:hAnsi="Calibri"/>
          <w:position w:val="9"/>
          <w:sz w:val="12"/>
        </w:rPr>
        <w:t>221 </w:t>
      </w:r>
      <w:r>
        <w:rPr>
          <w:rFonts w:ascii="Calibri" w:hAnsi="Calibri"/>
          <w:sz w:val="18"/>
        </w:rPr>
        <w:t>La alfabetización y el acceso universal gratuito a la educación es un principio fundamental. Las sociedades del conocimiento requieren una ciudadanía informada y educada. La creación de capacidad debe incluir la formación necesaria para utilizar las TIC, la capacidad crítica ante los medios de comunicación y la información, y las habilidades necesarias para una ciudadanía activa, incluyendo la capacidad de encontrar, discriminar, utilizar y crear información y tecnologías. Debe darse prioridad a los enfoques locales, horizontales, adaptados al género y dirigidos y arraigados en lo social. Debe promoverse la combinación de medios tradicionales y nuevos, así como el acceso abierto al conocimiento y</w:t>
      </w:r>
    </w:p>
    <w:p>
      <w:pPr>
        <w:spacing w:after="0" w:line="220"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656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20"/>
        <w:jc w:val="both"/>
      </w:pPr>
      <w:r>
        <w:rPr/>
        <w:t>utilizada preferentemente la imagen para transmitir mensajes y disminuir el uso de la palabra escrita y el uso de la expresión oral, intercambiándolo por el icono de la época, la imagen, y en el caso que se viene estudiando, por el uso de la televisión como transmisora de imágenes, por el ciberespacio que comunica virtualmente; que si bien en algún momento producen símbolos éstos pierden su efectividad al debilitar el esfuerzo de la conciencia para comprender el entorno.</w:t>
      </w:r>
    </w:p>
    <w:p>
      <w:pPr>
        <w:pStyle w:val="BodyText"/>
        <w:spacing w:line="360" w:lineRule="auto" w:before="78"/>
        <w:ind w:left="264" w:right="214" w:firstLine="352"/>
        <w:jc w:val="both"/>
      </w:pPr>
      <w:r>
        <w:rPr/>
        <w:t>Las herramientas que han ido conformando a este nuevo individuo, de tipo tecnológico, que transmite la información producida por los medios, el radio, la televisión, la Internet (navegación cibernética), están proporcionando nuevas formas de relación, de interacción, nuevas formas éticas y nuevos estilos de disfrute estético. Los hombres de fines de siglo han transformado sus costumbres, su lenguaje, sus relaciones humanas; su forma de vida se concreta en muchos casos a relaciones virtuales que disminuyen la calidez humana.</w:t>
      </w:r>
    </w:p>
    <w:p>
      <w:pPr>
        <w:pStyle w:val="BodyText"/>
        <w:spacing w:line="360" w:lineRule="auto" w:before="74"/>
        <w:ind w:left="264" w:right="221" w:firstLine="287"/>
        <w:jc w:val="both"/>
      </w:pPr>
      <w:r>
        <w:rPr/>
        <w:t>El siglo XXI descubre a un hombre que no sólo está desplazando la energía mecánica, producida por la máquina impulsada por el vapor, el carbón o el petroleo, sino que ahora se llega a la era de la cibernética y la automatización, que significa inclusive desplazar el pensamiento humano por el de las máquinas. “ La cibernética  y  la  automatización  (“cibernetización”)  ha  hecho  posible  </w:t>
      </w:r>
      <w:r>
        <w:rPr>
          <w:spacing w:val="59"/>
        </w:rPr>
        <w:t> </w:t>
      </w:r>
      <w:r>
        <w:rPr/>
        <w:t>construir</w:t>
      </w:r>
    </w:p>
    <w:p>
      <w:pPr>
        <w:pStyle w:val="BodyText"/>
        <w:spacing w:line="350" w:lineRule="auto" w:before="6"/>
        <w:ind w:right="219"/>
        <w:jc w:val="right"/>
      </w:pPr>
      <w:r>
        <w:rPr/>
        <w:t>máquinas, que funcionan mucho más rápidamente y con mayor exactitud que el</w:t>
      </w:r>
      <w:r>
        <w:rPr>
          <w:w w:val="99"/>
        </w:rPr>
        <w:t> </w:t>
      </w:r>
      <w:r>
        <w:rPr/>
        <w:t>cerebro humano [...]” </w:t>
      </w:r>
      <w:r>
        <w:rPr>
          <w:position w:val="11"/>
          <w:sz w:val="16"/>
        </w:rPr>
        <w:t>222 </w:t>
      </w:r>
      <w:r>
        <w:rPr/>
        <w:t>realidad que se hace más compleja cuando sólo unos cuantos tienen acceso a esos medios, que se utilizan como medios de control,</w:t>
      </w:r>
      <w:r>
        <w:rPr>
          <w:w w:val="100"/>
        </w:rPr>
        <w:t> </w:t>
      </w:r>
      <w:r>
        <w:rPr/>
        <w:t>colonización y explotación, quedando desplazado al ser humano por las máquinas.</w:t>
      </w:r>
    </w:p>
    <w:p>
      <w:pPr>
        <w:pStyle w:val="BodyText"/>
        <w:spacing w:line="360" w:lineRule="auto" w:before="17"/>
        <w:ind w:left="264" w:right="221" w:firstLine="352"/>
        <w:jc w:val="both"/>
      </w:pPr>
      <w:r>
        <w:rPr/>
        <w:t>En ese sentido el uso de los ordenadores, la cibernética, la digitalización en una palabra han cambiado la forma de aprender, la forma de aprehender  el mundo, el modo de codificar y abstraer para generar estructuras de pensamiento. Y desde esa perspectiva las posibilidades de manipulación  y enmascaramiento son mayores. Afirma</w:t>
      </w:r>
      <w:r>
        <w:rPr>
          <w:spacing w:val="-16"/>
        </w:rPr>
        <w:t> </w:t>
      </w:r>
      <w:r>
        <w:rPr/>
        <w:t>Sartori:</w:t>
      </w:r>
    </w:p>
    <w:p>
      <w:pPr>
        <w:pStyle w:val="BodyText"/>
        <w:rPr>
          <w:sz w:val="20"/>
        </w:rPr>
      </w:pPr>
    </w:p>
    <w:p>
      <w:pPr>
        <w:pStyle w:val="BodyText"/>
        <w:spacing w:before="7"/>
        <w:rPr>
          <w:sz w:val="18"/>
        </w:rPr>
      </w:pPr>
      <w:r>
        <w:rPr/>
        <w:pict>
          <v:line style="position:absolute;mso-position-horizontal-relative:page;mso-position-vertical-relative:paragraph;z-index:6544;mso-wrap-distance-left:0;mso-wrap-distance-right:0" from="99.224998pt,12.984866pt" to="541.174998pt,12.984866pt" stroked="true" strokeweight=".60004pt" strokecolor="#000000">
            <w10:wrap type="topAndBottom"/>
          </v:line>
        </w:pict>
      </w:r>
    </w:p>
    <w:p>
      <w:pPr>
        <w:spacing w:before="79"/>
        <w:ind w:left="264" w:right="224" w:firstLine="0"/>
        <w:jc w:val="both"/>
        <w:rPr>
          <w:rFonts w:ascii="Calibri" w:hAnsi="Calibri"/>
          <w:sz w:val="18"/>
        </w:rPr>
      </w:pPr>
      <w:r>
        <w:rPr>
          <w:rFonts w:ascii="Calibri" w:hAnsi="Calibri"/>
          <w:sz w:val="18"/>
        </w:rPr>
        <w:t>la información. Las bibliotecas, tanto reales como virtuales, tienen la función importante de garantizar el acceso al conocimiento y la información a todos y todas. A nivel internacional y multilateral, ha de protegerse el conocimiento y la cultura de dominio público. Las tecnologías de la información centradas en las personas pueden facilitar la erradicación de enfermedades y epidemias, y contribuir a que todas las personas tengan comida, abrigo, libertad y paz.</w:t>
      </w:r>
    </w:p>
    <w:p>
      <w:pPr>
        <w:spacing w:line="220" w:lineRule="exact" w:before="0"/>
        <w:ind w:left="264" w:right="0" w:firstLine="0"/>
        <w:jc w:val="both"/>
        <w:rPr>
          <w:rFonts w:ascii="Calibri" w:hAnsi="Calibri"/>
          <w:sz w:val="18"/>
        </w:rPr>
      </w:pPr>
      <w:r>
        <w:rPr>
          <w:rFonts w:ascii="Calibri" w:hAnsi="Calibri"/>
          <w:position w:val="9"/>
          <w:sz w:val="12"/>
        </w:rPr>
        <w:t>222  </w:t>
      </w:r>
      <w:r>
        <w:rPr>
          <w:rFonts w:ascii="Calibri" w:hAnsi="Calibri"/>
          <w:sz w:val="18"/>
        </w:rPr>
        <w:t>FROMM, Erich, </w:t>
      </w:r>
      <w:r>
        <w:rPr>
          <w:rFonts w:ascii="Calibri" w:hAnsi="Calibri"/>
          <w:i/>
          <w:sz w:val="18"/>
        </w:rPr>
        <w:t>La revolución de la esperanza</w:t>
      </w:r>
      <w:r>
        <w:rPr>
          <w:rFonts w:ascii="Calibri" w:hAnsi="Calibri"/>
          <w:sz w:val="18"/>
        </w:rPr>
        <w:t>, Fondo de Cultura Económica, México, 2002, p. 36.</w:t>
      </w:r>
    </w:p>
    <w:p>
      <w:pPr>
        <w:spacing w:after="0" w:line="220"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61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35" w:lineRule="auto" w:before="76"/>
        <w:ind w:left="1393" w:right="120" w:firstLine="16"/>
        <w:jc w:val="both"/>
        <w:rPr>
          <w:sz w:val="22"/>
        </w:rPr>
      </w:pPr>
      <w:r>
        <w:rPr>
          <w:sz w:val="22"/>
        </w:rPr>
        <w:t>Pero como las realidades virtuales son juegos que no tienen probabilidades de convertirse en realidades materiales, </w:t>
      </w:r>
      <w:r>
        <w:rPr>
          <w:spacing w:val="2"/>
          <w:sz w:val="22"/>
        </w:rPr>
        <w:t>el </w:t>
      </w:r>
      <w:r>
        <w:rPr>
          <w:sz w:val="22"/>
        </w:rPr>
        <w:t>negropontismo</w:t>
      </w:r>
      <w:r>
        <w:rPr>
          <w:position w:val="10"/>
          <w:sz w:val="14"/>
        </w:rPr>
        <w:t>223 </w:t>
      </w:r>
      <w:r>
        <w:rPr>
          <w:sz w:val="22"/>
        </w:rPr>
        <w:t>puede llegar a generar, en un extremo, un sentimiento de potencia alienado y frustrado, y en el extremo opuesto, un público de eternos niños soñadores que transcurren toda </w:t>
      </w:r>
      <w:r>
        <w:rPr>
          <w:spacing w:val="-3"/>
          <w:sz w:val="22"/>
        </w:rPr>
        <w:t>la </w:t>
      </w:r>
      <w:r>
        <w:rPr>
          <w:sz w:val="22"/>
        </w:rPr>
        <w:t>vida en mundos  imaginarios. La  facilidad  de  </w:t>
      </w:r>
      <w:r>
        <w:rPr>
          <w:spacing w:val="-3"/>
          <w:sz w:val="22"/>
        </w:rPr>
        <w:t>la  </w:t>
      </w:r>
      <w:r>
        <w:rPr>
          <w:sz w:val="22"/>
        </w:rPr>
        <w:t>era  digital representa  </w:t>
      </w:r>
      <w:r>
        <w:rPr>
          <w:spacing w:val="-3"/>
          <w:sz w:val="22"/>
        </w:rPr>
        <w:t>la  </w:t>
      </w:r>
      <w:r>
        <w:rPr>
          <w:sz w:val="22"/>
        </w:rPr>
        <w:t>facilidad  de</w:t>
      </w:r>
      <w:r>
        <w:rPr>
          <w:spacing w:val="59"/>
          <w:sz w:val="22"/>
        </w:rPr>
        <w:t> </w:t>
      </w:r>
      <w:r>
        <w:rPr>
          <w:sz w:val="22"/>
        </w:rPr>
        <w:t>la</w:t>
      </w:r>
    </w:p>
    <w:p>
      <w:pPr>
        <w:spacing w:line="274" w:lineRule="exact" w:before="0"/>
        <w:ind w:left="1393" w:right="0" w:firstLine="0"/>
        <w:jc w:val="both"/>
        <w:rPr>
          <w:sz w:val="16"/>
        </w:rPr>
      </w:pPr>
      <w:r>
        <w:rPr>
          <w:sz w:val="22"/>
        </w:rPr>
        <w:t>droga</w:t>
      </w:r>
      <w:r>
        <w:rPr>
          <w:sz w:val="24"/>
        </w:rPr>
        <w:t>.</w:t>
      </w:r>
      <w:r>
        <w:rPr>
          <w:position w:val="11"/>
          <w:sz w:val="16"/>
        </w:rPr>
        <w:t>224</w:t>
      </w:r>
    </w:p>
    <w:p>
      <w:pPr>
        <w:pStyle w:val="BodyText"/>
        <w:spacing w:before="6"/>
        <w:rPr>
          <w:sz w:val="36"/>
        </w:rPr>
      </w:pPr>
    </w:p>
    <w:p>
      <w:pPr>
        <w:pStyle w:val="BodyText"/>
        <w:ind w:left="1036" w:right="114"/>
      </w:pPr>
      <w:r>
        <w:rPr/>
        <w:t>Desde  este  planteamiento  tendrían  que  hacerse  algunos  cuestionamientos</w:t>
      </w:r>
    </w:p>
    <w:p>
      <w:pPr>
        <w:pStyle w:val="BodyText"/>
        <w:spacing w:before="136"/>
        <w:ind w:left="684"/>
        <w:jc w:val="both"/>
      </w:pPr>
      <w:r>
        <w:rPr/>
        <w:t>¿Qué implica ser un ciudadano de la era de la información y la comunicación?</w:t>
      </w:r>
    </w:p>
    <w:p>
      <w:pPr>
        <w:pStyle w:val="BodyText"/>
        <w:spacing w:line="360" w:lineRule="auto" w:before="140"/>
        <w:ind w:left="684" w:right="116"/>
        <w:jc w:val="both"/>
      </w:pPr>
      <w:r>
        <w:rPr/>
        <w:t>¿Significa ser más eficiente, inteligente o disminuye habilidades y capacidades del individuo? ¿Cuáles son las expectativas de los hombres ante la información que a lo largo de su vida reciben en grandes cantidades? ¿Es mayor el desarrollo del espíritu? ¿El desencanto es menor o la depresión e impotencia por la falta de realización al comparar modos de vida y estilos que se aspiran, pero se está muy lejos de alcanzar, hace sucumbir al individuo con indiferencia o con violencia?</w:t>
      </w:r>
    </w:p>
    <w:p>
      <w:pPr>
        <w:pStyle w:val="BodyText"/>
        <w:spacing w:line="360" w:lineRule="auto" w:before="6"/>
        <w:ind w:left="684" w:right="114" w:firstLine="287"/>
        <w:jc w:val="both"/>
      </w:pPr>
      <w:r>
        <w:rPr/>
        <w:t>La televisión muestra una realidad que parece verdad, que involucra e incumbe al usuario, mientras que el ciber-mundo muestra imágenes imaginarias, producto de la fantasía o de los alcances de la imaginación de cada quien; ahora bien, la televisión presenta esta información de manera descarnada y violenta que contamina la mente de los televidentes de dolor y amargura, pero sobre todo de violencia e inseguridad. De acuerdo con Charles S. Clark: “Un niño que ha seguido las transmisiones de contenido agresivo adquiere la impresión de que el mundo es una jungla erizada de peligros y que el único modo de sobrevivir es estar  siempre</w:t>
      </w:r>
    </w:p>
    <w:p>
      <w:pPr>
        <w:pStyle w:val="BodyText"/>
        <w:spacing w:line="282" w:lineRule="exact"/>
        <w:ind w:left="684"/>
        <w:jc w:val="both"/>
      </w:pPr>
      <w:r>
        <w:rPr/>
        <w:t>en posición de ataque,”</w:t>
      </w:r>
      <w:r>
        <w:rPr>
          <w:position w:val="11"/>
          <w:sz w:val="16"/>
        </w:rPr>
        <w:t>225 </w:t>
      </w:r>
      <w:r>
        <w:rPr/>
        <w:t>lo que desencadena una vida, probable, de violencia en</w:t>
      </w:r>
    </w:p>
    <w:p>
      <w:pPr>
        <w:pStyle w:val="BodyText"/>
        <w:spacing w:line="362" w:lineRule="auto" w:before="136"/>
        <w:ind w:left="684" w:right="124"/>
        <w:jc w:val="both"/>
      </w:pPr>
      <w:r>
        <w:rPr/>
        <w:t>su edad adulta. Todo depende del acompañamiento familiar que haya tenido en su infancia.</w:t>
      </w:r>
    </w:p>
    <w:p>
      <w:pPr>
        <w:spacing w:line="360" w:lineRule="auto" w:before="0"/>
        <w:ind w:left="684" w:right="111" w:firstLine="352"/>
        <w:jc w:val="both"/>
        <w:rPr>
          <w:sz w:val="24"/>
        </w:rPr>
      </w:pPr>
      <w:r>
        <w:rPr>
          <w:sz w:val="24"/>
        </w:rPr>
        <w:t>El mundo que los medios de comunicación exhiben tiene tal amplitud que el hombre debe contar con ciertos niveles de capacitación para comprenderlo. Así, en la Declaración de la Sociedad Civil en la Cumbre Mundial de la Sociedad de la Información realizada bajo la convocatoria denominada </w:t>
      </w:r>
      <w:r>
        <w:rPr>
          <w:i/>
          <w:sz w:val="24"/>
        </w:rPr>
        <w:t>“Construir sociedades de </w:t>
      </w:r>
      <w:r>
        <w:rPr>
          <w:i/>
          <w:sz w:val="24"/>
        </w:rPr>
        <w:t>la  información  que  atiendan  a  las   necesidades  humanas</w:t>
      </w:r>
      <w:r>
        <w:rPr>
          <w:sz w:val="24"/>
        </w:rPr>
        <w:t>"  se  consideró     </w:t>
      </w:r>
      <w:r>
        <w:rPr>
          <w:spacing w:val="56"/>
          <w:sz w:val="24"/>
        </w:rPr>
        <w:t> </w:t>
      </w:r>
      <w:r>
        <w:rPr>
          <w:sz w:val="24"/>
        </w:rPr>
        <w:t>la</w:t>
      </w:r>
    </w:p>
    <w:p>
      <w:pPr>
        <w:pStyle w:val="BodyText"/>
        <w:spacing w:before="6"/>
        <w:rPr>
          <w:sz w:val="12"/>
        </w:rPr>
      </w:pPr>
      <w:r>
        <w:rPr/>
        <w:pict>
          <v:line style="position:absolute;mso-position-horizontal-relative:page;mso-position-vertical-relative:paragraph;z-index:6592;mso-wrap-distance-left:0;mso-wrap-distance-right:0" from="99.224998pt,9.453915pt" to="243.274998pt,9.453915pt" stroked="true" strokeweight=".599980pt" strokecolor="#000000">
            <w10:wrap type="topAndBottom"/>
          </v:line>
        </w:pict>
      </w:r>
    </w:p>
    <w:p>
      <w:pPr>
        <w:spacing w:before="51"/>
        <w:ind w:left="684" w:right="114" w:firstLine="0"/>
        <w:jc w:val="left"/>
        <w:rPr>
          <w:rFonts w:ascii="Calibri" w:hAnsi="Calibri"/>
          <w:sz w:val="18"/>
        </w:rPr>
      </w:pPr>
      <w:r>
        <w:rPr>
          <w:rFonts w:ascii="Calibri" w:hAnsi="Calibri"/>
          <w:position w:val="10"/>
          <w:sz w:val="13"/>
        </w:rPr>
        <w:t>223 </w:t>
      </w:r>
      <w:r>
        <w:rPr>
          <w:rFonts w:ascii="Calibri" w:hAnsi="Calibri"/>
          <w:sz w:val="18"/>
        </w:rPr>
        <w:t>Sartori afirma que paraa Nicholas Negroponte, en su libro </w:t>
      </w:r>
      <w:r>
        <w:rPr>
          <w:rFonts w:ascii="Calibri" w:hAnsi="Calibri"/>
          <w:i/>
          <w:sz w:val="18"/>
        </w:rPr>
        <w:t>El mundo digital </w:t>
      </w:r>
      <w:r>
        <w:rPr>
          <w:rFonts w:ascii="Calibri" w:hAnsi="Calibri"/>
          <w:sz w:val="18"/>
        </w:rPr>
        <w:t>(1995), el objetivo final de la era de la información actual no es la Internet, sino el </w:t>
      </w:r>
      <w:r>
        <w:rPr>
          <w:rFonts w:ascii="Calibri" w:hAnsi="Calibri"/>
          <w:i/>
          <w:sz w:val="18"/>
        </w:rPr>
        <w:t>cibermundo</w:t>
      </w:r>
      <w:r>
        <w:rPr>
          <w:rFonts w:ascii="Calibri" w:hAnsi="Calibri"/>
          <w:sz w:val="18"/>
        </w:rPr>
        <w:t>. Sartori, Giovanni, </w:t>
      </w:r>
      <w:r>
        <w:rPr>
          <w:rFonts w:ascii="Calibri" w:hAnsi="Calibri"/>
          <w:i/>
          <w:sz w:val="18"/>
        </w:rPr>
        <w:t>Óp. Cit. </w:t>
      </w:r>
      <w:r>
        <w:rPr>
          <w:rFonts w:ascii="Calibri" w:hAnsi="Calibri"/>
          <w:sz w:val="18"/>
        </w:rPr>
        <w:t>p. 64</w:t>
      </w:r>
    </w:p>
    <w:p>
      <w:pPr>
        <w:spacing w:line="228" w:lineRule="exact" w:before="0"/>
        <w:ind w:left="684" w:right="114" w:firstLine="0"/>
        <w:jc w:val="left"/>
        <w:rPr>
          <w:rFonts w:ascii="Calibri" w:hAnsi="Calibri"/>
          <w:sz w:val="18"/>
        </w:rPr>
      </w:pPr>
      <w:r>
        <w:rPr>
          <w:rFonts w:ascii="Calibri" w:hAnsi="Calibri"/>
          <w:position w:val="10"/>
          <w:sz w:val="13"/>
        </w:rPr>
        <w:t>224 </w:t>
      </w:r>
      <w:r>
        <w:rPr>
          <w:rFonts w:ascii="Calibri" w:hAnsi="Calibri"/>
          <w:sz w:val="18"/>
        </w:rPr>
        <w:t>SARTORI, Giovanni, </w:t>
      </w:r>
      <w:r>
        <w:rPr>
          <w:rFonts w:ascii="Calibri" w:hAnsi="Calibri"/>
          <w:i/>
          <w:sz w:val="18"/>
        </w:rPr>
        <w:t>Óp. Cit. </w:t>
      </w:r>
      <w:r>
        <w:rPr>
          <w:rFonts w:ascii="Calibri" w:hAnsi="Calibri"/>
          <w:sz w:val="18"/>
        </w:rPr>
        <w:t>p. 65</w:t>
      </w:r>
    </w:p>
    <w:p>
      <w:pPr>
        <w:tabs>
          <w:tab w:pos="1392" w:val="left" w:leader="none"/>
        </w:tabs>
        <w:spacing w:line="236" w:lineRule="exact" w:before="0"/>
        <w:ind w:left="684" w:right="114" w:firstLine="0"/>
        <w:jc w:val="left"/>
        <w:rPr>
          <w:rFonts w:ascii="Calibri" w:hAnsi="Calibri"/>
          <w:sz w:val="18"/>
        </w:rPr>
      </w:pPr>
      <w:r>
        <w:rPr>
          <w:rFonts w:ascii="Calibri" w:hAnsi="Calibri"/>
          <w:position w:val="9"/>
          <w:sz w:val="12"/>
        </w:rPr>
        <w:t>225</w:t>
        <w:tab/>
      </w:r>
      <w:r>
        <w:rPr>
          <w:rFonts w:ascii="Calibri" w:hAnsi="Calibri"/>
          <w:sz w:val="18"/>
        </w:rPr>
        <w:t>POPPER, R. Karl, Condry, John, </w:t>
      </w:r>
      <w:r>
        <w:rPr>
          <w:rFonts w:ascii="Calibri" w:hAnsi="Calibri"/>
          <w:i/>
          <w:sz w:val="18"/>
        </w:rPr>
        <w:t>et. al. Óp. Cit</w:t>
      </w:r>
      <w:r>
        <w:rPr>
          <w:rFonts w:ascii="Calibri" w:hAnsi="Calibri"/>
          <w:sz w:val="18"/>
        </w:rPr>
        <w:t>., p.</w:t>
      </w:r>
      <w:r>
        <w:rPr>
          <w:rFonts w:ascii="Calibri" w:hAnsi="Calibri"/>
          <w:spacing w:val="-19"/>
          <w:sz w:val="18"/>
        </w:rPr>
        <w:t> </w:t>
      </w:r>
      <w:r>
        <w:rPr>
          <w:rFonts w:ascii="Calibri" w:hAnsi="Calibri"/>
          <w:sz w:val="18"/>
        </w:rPr>
        <w:t>91</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666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5"/>
        <w:jc w:val="both"/>
      </w:pPr>
      <w:r>
        <w:rPr/>
        <w:t>relevancia de atender las necesidades educativas de los individuos del siglo XXI, para incorporarse a esta nueva forma de vida derivada de la comunicación y la tecnología, y así obtener suficientes habilidades para hacer uso de todas las herramientas que le revela, de no ser así, sólo llega a un grado de alienación que le somete a un submundo de complejidad extrema donde se pierden sus capacidades cognitivas.</w:t>
      </w:r>
    </w:p>
    <w:p>
      <w:pPr>
        <w:pStyle w:val="BodyText"/>
        <w:spacing w:line="360" w:lineRule="auto" w:before="6"/>
        <w:ind w:left="264" w:right="221" w:firstLine="352"/>
        <w:jc w:val="both"/>
      </w:pPr>
      <w:r>
        <w:rPr/>
        <w:t>Los inventos desarrollados se han construido bajo el supuesto de proporcionar al individuo una mejor forma de vida, quien en menos de un siglo incorporó a su cotidianidad el uso de instrumentos que bajo la premisa del menor esfuerzo han integrado una nueva forma de actuar, de conocer, de relacionarse con el mundo, de disfrutar, de divertirse y además de trabajar. En este contexto encontramos hombres y mujeres dominados por la tecnología, que han modificado de manera dramática su estilo de vida, en comparación con los hombres y mujeres de principios y mediados del siglo XX, y en ese proceso de transformación, la tecnología que circunda a la televisión ha contribuido de manera importante.</w:t>
      </w:r>
    </w:p>
    <w:p>
      <w:pPr>
        <w:pStyle w:val="BodyText"/>
        <w:spacing w:line="278" w:lineRule="exact"/>
        <w:ind w:left="264" w:firstLine="271"/>
        <w:jc w:val="both"/>
        <w:rPr>
          <w:sz w:val="16"/>
        </w:rPr>
      </w:pPr>
      <w:r>
        <w:rPr/>
        <w:t>De  acuerdo  con  la  investigación  realizada  la  mayoría  de  las  personas   </w:t>
      </w:r>
      <w:r>
        <w:rPr>
          <w:position w:val="11"/>
          <w:sz w:val="16"/>
        </w:rPr>
        <w:t>226</w:t>
      </w:r>
    </w:p>
    <w:p>
      <w:pPr>
        <w:pStyle w:val="BodyText"/>
        <w:spacing w:line="355" w:lineRule="auto" w:before="140"/>
        <w:ind w:left="264" w:right="210"/>
        <w:jc w:val="both"/>
      </w:pPr>
      <w:r>
        <w:rPr/>
        <w:t>consideran que la televisión informa, entretiene, divierte e inclusive acompaña y educa sobre oficios y solución de problemas. Cabe hacer mención que en algunos casos, los televidentes no consideran que influya en su conducta.</w:t>
      </w:r>
      <w:r>
        <w:rPr>
          <w:position w:val="11"/>
          <w:sz w:val="16"/>
        </w:rPr>
        <w:t>227 </w:t>
      </w:r>
      <w:r>
        <w:rPr/>
        <w:t>También el alcance de este medio se traduce en nuevas formas de relajamiento y diversión para hombres y mujeres, sobre todo de clase media, clase media baja y clase baja. En la mayoría de los casos las experiencias estéticas de las personas entrevistadas se reducen a la programación observada en la televisión. Su diversión es cubierta por programas de contenido simple y sencillo que no eleva</w:t>
      </w:r>
      <w:r>
        <w:rPr>
          <w:spacing w:val="19"/>
        </w:rPr>
        <w:t> </w:t>
      </w:r>
      <w:r>
        <w:rPr/>
        <w:t>el</w:t>
      </w:r>
    </w:p>
    <w:p>
      <w:pPr>
        <w:pStyle w:val="BodyText"/>
        <w:spacing w:before="11"/>
        <w:ind w:left="264"/>
        <w:jc w:val="both"/>
      </w:pPr>
      <w:r>
        <w:rPr/>
        <w:t>gusto estético ni promueve la creatividad, el genio o el arte.</w:t>
      </w:r>
    </w:p>
    <w:p>
      <w:pPr>
        <w:pStyle w:val="BodyText"/>
        <w:rPr>
          <w:sz w:val="20"/>
        </w:rPr>
      </w:pPr>
    </w:p>
    <w:p>
      <w:pPr>
        <w:pStyle w:val="BodyText"/>
        <w:rPr>
          <w:sz w:val="20"/>
        </w:rPr>
      </w:pPr>
    </w:p>
    <w:p>
      <w:pPr>
        <w:pStyle w:val="BodyText"/>
        <w:rPr>
          <w:sz w:val="20"/>
        </w:rPr>
      </w:pPr>
    </w:p>
    <w:p>
      <w:pPr>
        <w:pStyle w:val="BodyText"/>
        <w:spacing w:before="4"/>
        <w:rPr>
          <w:sz w:val="17"/>
        </w:rPr>
      </w:pPr>
      <w:r>
        <w:rPr/>
        <w:pict>
          <v:line style="position:absolute;mso-position-horizontal-relative:page;mso-position-vertical-relative:paragraph;z-index:6640;mso-wrap-distance-left:0;mso-wrap-distance-right:0" from="99.224998pt,12.259965pt" to="243.274998pt,12.259965pt" stroked="true" strokeweight=".599980pt" strokecolor="#000000">
            <w10:wrap type="topAndBottom"/>
          </v:line>
        </w:pict>
      </w:r>
    </w:p>
    <w:p>
      <w:pPr>
        <w:spacing w:before="47"/>
        <w:ind w:left="264" w:right="221" w:firstLine="0"/>
        <w:jc w:val="both"/>
        <w:rPr>
          <w:rFonts w:ascii="Calibri" w:hAnsi="Calibri"/>
          <w:sz w:val="18"/>
        </w:rPr>
      </w:pPr>
      <w:r>
        <w:rPr>
          <w:rFonts w:ascii="Calibri" w:hAnsi="Calibri"/>
          <w:position w:val="9"/>
          <w:sz w:val="12"/>
        </w:rPr>
        <w:t>226 </w:t>
      </w:r>
      <w:r>
        <w:rPr>
          <w:rFonts w:ascii="Calibri" w:hAnsi="Calibri"/>
          <w:sz w:val="18"/>
        </w:rPr>
        <w:t>Véase: OVIEDO, Jorge Luis, “La T.V. En honduras. La percepción de la programación de la televisión en Honduras”, (ENCUESTA), CÁTEDRA,   ESPACIO  DE INTERACCIÓN ACADÉMICA CON ESTUDIANTES  DE LA UNAH, [en  línea]     consulta</w:t>
      </w:r>
    </w:p>
    <w:p>
      <w:pPr>
        <w:tabs>
          <w:tab w:pos="1636" w:val="left" w:leader="none"/>
          <w:tab w:pos="1870" w:val="left" w:leader="none"/>
          <w:tab w:pos="3176" w:val="left" w:leader="none"/>
          <w:tab w:pos="3317" w:val="left" w:leader="none"/>
          <w:tab w:pos="4245" w:val="left" w:leader="none"/>
          <w:tab w:pos="4927" w:val="left" w:leader="none"/>
          <w:tab w:pos="6974" w:val="left" w:leader="none"/>
          <w:tab w:pos="8865" w:val="left" w:leader="none"/>
        </w:tabs>
        <w:spacing w:before="0"/>
        <w:ind w:left="264" w:right="211" w:firstLine="0"/>
        <w:jc w:val="both"/>
        <w:rPr>
          <w:rFonts w:ascii="Calibri" w:hAnsi="Calibri"/>
          <w:sz w:val="18"/>
        </w:rPr>
      </w:pPr>
      <w:r>
        <w:rPr>
          <w:rFonts w:ascii="Calibri" w:hAnsi="Calibri"/>
          <w:sz w:val="18"/>
        </w:rPr>
        <w:t>13/06/2012,</w:t>
        <w:tab/>
        <w:tab/>
        <w:t>disponible</w:t>
        <w:tab/>
        <w:tab/>
        <w:t>en:</w:t>
        <w:tab/>
      </w:r>
      <w:hyperlink r:id="rId24">
        <w:r>
          <w:rPr>
            <w:rFonts w:ascii="Calibri" w:hAnsi="Calibri"/>
            <w:color w:val="0000FF"/>
            <w:spacing w:val="-1"/>
            <w:sz w:val="18"/>
            <w:u w:val="single" w:color="0000FF"/>
          </w:rPr>
          <w:t>http://jorgeluis-catedra.blogspot.mx/2010/07/la-t-v-en-honduras-</w:t>
        </w:r>
      </w:hyperlink>
      <w:r>
        <w:rPr>
          <w:rFonts w:ascii="Calibri" w:hAnsi="Calibri"/>
          <w:color w:val="0000FF"/>
          <w:spacing w:val="-1"/>
          <w:sz w:val="18"/>
          <w:u w:val="single" w:color="0000FF"/>
        </w:rPr>
        <w:t> </w:t>
      </w:r>
      <w:hyperlink r:id="rId24">
        <w:r>
          <w:rPr>
            <w:rFonts w:ascii="Calibri" w:hAnsi="Calibri"/>
            <w:color w:val="0000FF"/>
            <w:sz w:val="18"/>
            <w:u w:val="single" w:color="0000FF"/>
          </w:rPr>
          <w:t>encuesta.html#!/2010/07/la-t-v-en-honduras-encuesta.html</w:t>
        </w:r>
        <w:r>
          <w:rPr>
            <w:rFonts w:ascii="Calibri" w:hAnsi="Calibri"/>
            <w:sz w:val="18"/>
          </w:rPr>
          <w:t>.</w:t>
        </w:r>
      </w:hyperlink>
      <w:r>
        <w:rPr>
          <w:rFonts w:ascii="Calibri" w:hAnsi="Calibri"/>
          <w:sz w:val="18"/>
        </w:rPr>
        <w:t>, NUMERALIA, Fundación Preciado, “Televisión en México”, [en</w:t>
        <w:tab/>
        <w:t>línea]</w:t>
        <w:tab/>
        <w:t>consulta</w:t>
        <w:tab/>
        <w:tab/>
        <w:t>02/05/2012,</w:t>
        <w:tab/>
        <w:t>disponible</w:t>
        <w:tab/>
        <w:t>en: </w:t>
      </w:r>
      <w:hyperlink r:id="rId23">
        <w:r>
          <w:rPr>
            <w:rFonts w:ascii="Calibri" w:hAnsi="Calibri"/>
            <w:color w:val="0000FF"/>
            <w:sz w:val="18"/>
            <w:u w:val="single" w:color="0000FF"/>
          </w:rPr>
          <w:t>http://www.fundacionpreciado.org.mx/biencomun/bc170/Numeralia.pdf</w:t>
        </w:r>
        <w:r>
          <w:rPr>
            <w:rFonts w:ascii="Calibri" w:hAnsi="Calibri"/>
            <w:sz w:val="18"/>
          </w:rPr>
          <w:t>.</w:t>
        </w:r>
      </w:hyperlink>
    </w:p>
    <w:p>
      <w:pPr>
        <w:spacing w:line="220" w:lineRule="exact" w:before="0"/>
        <w:ind w:left="264" w:right="0" w:firstLine="0"/>
        <w:jc w:val="both"/>
        <w:rPr>
          <w:rFonts w:ascii="Calibri" w:hAnsi="Calibri"/>
          <w:i/>
          <w:sz w:val="18"/>
        </w:rPr>
      </w:pPr>
      <w:r>
        <w:rPr>
          <w:rFonts w:ascii="Calibri" w:hAnsi="Calibri"/>
          <w:position w:val="9"/>
          <w:sz w:val="12"/>
        </w:rPr>
        <w:t>227  </w:t>
      </w:r>
      <w:r>
        <w:rPr>
          <w:rFonts w:ascii="Calibri" w:hAnsi="Calibri"/>
          <w:sz w:val="18"/>
        </w:rPr>
        <w:t>Véase: Trabajo de Investigación. E. S. O. </w:t>
      </w:r>
      <w:r>
        <w:rPr>
          <w:rFonts w:ascii="Calibri" w:hAnsi="Calibri"/>
          <w:i/>
          <w:sz w:val="18"/>
        </w:rPr>
        <w:t>La influencia de la televisión en nuestra sociedad: La telebasura y el tele-</w:t>
      </w:r>
    </w:p>
    <w:p>
      <w:pPr>
        <w:spacing w:before="0"/>
        <w:ind w:left="264" w:right="0" w:firstLine="0"/>
        <w:jc w:val="both"/>
        <w:rPr>
          <w:rFonts w:ascii="Calibri"/>
          <w:sz w:val="18"/>
        </w:rPr>
      </w:pPr>
      <w:r>
        <w:rPr>
          <w:rFonts w:ascii="Calibri"/>
          <w:i/>
          <w:sz w:val="18"/>
        </w:rPr>
        <w:t>comercio</w:t>
      </w:r>
      <w:r>
        <w:rPr>
          <w:rFonts w:ascii="Calibri"/>
          <w:sz w:val="18"/>
        </w:rPr>
        <w:t>., pp. 22-28.</w:t>
      </w:r>
    </w:p>
    <w:p>
      <w:pPr>
        <w:spacing w:after="0"/>
        <w:jc w:val="both"/>
        <w:rPr>
          <w:rFonts w:asci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71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5" w:lineRule="auto" w:before="70"/>
        <w:ind w:left="684" w:right="118" w:firstLine="336"/>
        <w:jc w:val="both"/>
        <w:rPr>
          <w:sz w:val="16"/>
        </w:rPr>
      </w:pPr>
      <w:r>
        <w:rPr/>
        <w:t>Sartori considera que la televisión influye de manera continúa en el individuo, en la infancia le divierte y cubre sus necesidades lúdicas, en el adulto le brinda información y ubicación en el mundo. “En primer lugar les informa de noticias (más que de nociones), es decir, proporciona noticias de lo que acontece en el mundo, por lejano o cercano que sea. La mayoría de estas noticias terminan por ser deportivas, o sobre sucesos, o sobre asuntos del corazón (o lacrimógenas) o  sobre diferentes</w:t>
      </w:r>
      <w:r>
        <w:rPr>
          <w:spacing w:val="-17"/>
        </w:rPr>
        <w:t> </w:t>
      </w:r>
      <w:r>
        <w:rPr/>
        <w:t>catástrofes.”</w:t>
      </w:r>
      <w:r>
        <w:rPr>
          <w:position w:val="11"/>
          <w:sz w:val="16"/>
        </w:rPr>
        <w:t>228</w:t>
      </w:r>
    </w:p>
    <w:p>
      <w:pPr>
        <w:pStyle w:val="BodyText"/>
        <w:spacing w:line="360" w:lineRule="auto"/>
        <w:ind w:left="684" w:right="114" w:firstLine="271"/>
        <w:jc w:val="both"/>
      </w:pPr>
      <w:r>
        <w:rPr/>
        <w:t>En ese escenario, el ser humano del siglo XXI inserto en el mundo de la televisión, llega a este período histórico con un gran bagaje de información proporcionada por el medio televisivo, con experiencias lúdicas, con vivencias de tipo estético muy diferentes a las que tuvo el sujeto del siglo pasado; ambiente que lo hace cada vez más exigente, por lo tanto requiere experiencias más excitantes: el sexo, la violencia, el uso de efectos de velocidad y color estimulan los sentidos, buscan la experiencia catártica que aleje la angustia y el desencanto de vivir. Así, para Marcuse,</w:t>
      </w:r>
    </w:p>
    <w:p>
      <w:pPr>
        <w:pStyle w:val="BodyText"/>
      </w:pPr>
    </w:p>
    <w:p>
      <w:pPr>
        <w:spacing w:line="237" w:lineRule="auto" w:before="143"/>
        <w:ind w:left="1393" w:right="113" w:firstLine="0"/>
        <w:jc w:val="both"/>
        <w:rPr>
          <w:sz w:val="22"/>
        </w:rPr>
      </w:pPr>
      <w:r>
        <w:rPr>
          <w:sz w:val="22"/>
        </w:rPr>
        <w:t>La alienación artística es sublimación. Crea las imágenes de condiciones que son irreconciliables con el «principio de realidad» establecido pero que, como  imágenes culturales, llegan a ser tolerables, incluso edificantes y útiles. Ahora estas imágenes son invalidadas. Su incorporación a </w:t>
      </w:r>
      <w:r>
        <w:rPr>
          <w:spacing w:val="-3"/>
          <w:sz w:val="22"/>
        </w:rPr>
        <w:t>la </w:t>
      </w:r>
      <w:r>
        <w:rPr>
          <w:sz w:val="22"/>
        </w:rPr>
        <w:t>cocina, </w:t>
      </w:r>
      <w:r>
        <w:rPr>
          <w:spacing w:val="-3"/>
          <w:sz w:val="22"/>
        </w:rPr>
        <w:t>la </w:t>
      </w:r>
      <w:r>
        <w:rPr>
          <w:sz w:val="22"/>
        </w:rPr>
        <w:t>oficina, </w:t>
      </w:r>
      <w:r>
        <w:rPr>
          <w:spacing w:val="-3"/>
          <w:sz w:val="22"/>
        </w:rPr>
        <w:t>la </w:t>
      </w:r>
      <w:r>
        <w:rPr>
          <w:sz w:val="22"/>
        </w:rPr>
        <w:t>tienda; su liberación comercial como negocio y diversión es, en un sentido, desublimación: reemplaza </w:t>
      </w:r>
      <w:r>
        <w:rPr>
          <w:spacing w:val="-3"/>
          <w:sz w:val="22"/>
        </w:rPr>
        <w:t>la </w:t>
      </w:r>
      <w:r>
        <w:rPr>
          <w:sz w:val="22"/>
        </w:rPr>
        <w:t>gratificación mediatizada por </w:t>
      </w:r>
      <w:r>
        <w:rPr>
          <w:spacing w:val="-3"/>
          <w:sz w:val="22"/>
        </w:rPr>
        <w:t>la </w:t>
      </w:r>
      <w:r>
        <w:rPr>
          <w:sz w:val="22"/>
        </w:rPr>
        <w:t>inmediata. Pero es  una desublimación practicada desde una «posición de fuerza» por parte de </w:t>
      </w:r>
      <w:r>
        <w:rPr>
          <w:spacing w:val="-3"/>
          <w:sz w:val="22"/>
        </w:rPr>
        <w:t>la  </w:t>
      </w:r>
      <w:r>
        <w:rPr>
          <w:sz w:val="22"/>
        </w:rPr>
        <w:t>sociedad, que puede permitirse conceder más que antes porque sus intereses han llegado a ser los impulsos más interiorizados de sus ciudadanos y porque los placeres que concede promueven </w:t>
      </w:r>
      <w:r>
        <w:rPr>
          <w:spacing w:val="-3"/>
          <w:sz w:val="22"/>
        </w:rPr>
        <w:t>la </w:t>
      </w:r>
      <w:r>
        <w:rPr>
          <w:sz w:val="22"/>
        </w:rPr>
        <w:t>cohesión social y </w:t>
      </w:r>
      <w:r>
        <w:rPr>
          <w:spacing w:val="-3"/>
          <w:sz w:val="22"/>
        </w:rPr>
        <w:t>la</w:t>
      </w:r>
      <w:r>
        <w:rPr>
          <w:spacing w:val="-24"/>
          <w:sz w:val="22"/>
        </w:rPr>
        <w:t> </w:t>
      </w:r>
      <w:r>
        <w:rPr>
          <w:sz w:val="22"/>
        </w:rPr>
        <w:t>satisfacción</w:t>
      </w:r>
      <w:r>
        <w:rPr>
          <w:position w:val="10"/>
          <w:sz w:val="14"/>
        </w:rPr>
        <w:t>229</w:t>
      </w:r>
      <w:r>
        <w:rPr>
          <w:sz w:val="22"/>
        </w:rPr>
        <w:t>.</w:t>
      </w:r>
    </w:p>
    <w:p>
      <w:pPr>
        <w:pStyle w:val="BodyText"/>
        <w:spacing w:before="3"/>
        <w:rPr>
          <w:sz w:val="36"/>
        </w:rPr>
      </w:pPr>
    </w:p>
    <w:p>
      <w:pPr>
        <w:pStyle w:val="BodyText"/>
        <w:spacing w:line="360" w:lineRule="auto"/>
        <w:ind w:left="684" w:right="110" w:firstLine="336"/>
        <w:jc w:val="both"/>
      </w:pPr>
      <w:r>
        <w:rPr/>
        <w:t>Estas experiencias que provienen de espectáculos televisivos, cada vez acuden más a niveles instintivos que espirituales, en detrimento de los valores que toda sociedad necesita para su consolidación social. Sartori considera que: “La televisión se caracteriza por una cosa: entretiene, relaja y divierte [...] cultiva el homo  ludens;  pero  la televisión  invade nuestra vida,  se afirma incluso como </w:t>
      </w:r>
      <w:r>
        <w:rPr>
          <w:spacing w:val="13"/>
        </w:rPr>
        <w:t> </w:t>
      </w:r>
      <w:r>
        <w:rPr/>
        <w:t>un</w:t>
      </w:r>
    </w:p>
    <w:p>
      <w:pPr>
        <w:pStyle w:val="BodyText"/>
        <w:spacing w:line="278" w:lineRule="exact"/>
        <w:ind w:left="684" w:right="114"/>
      </w:pPr>
      <w:r>
        <w:rPr/>
        <w:t>demiurgo.”</w:t>
      </w:r>
      <w:r>
        <w:rPr>
          <w:position w:val="11"/>
          <w:sz w:val="16"/>
        </w:rPr>
        <w:t>230   </w:t>
      </w:r>
      <w:r>
        <w:rPr/>
        <w:t>La  televisión  atrapa,  empobrece  mentalmente  y  somete  a    sus</w:t>
      </w:r>
    </w:p>
    <w:p>
      <w:pPr>
        <w:pStyle w:val="BodyText"/>
        <w:rPr>
          <w:sz w:val="20"/>
        </w:rPr>
      </w:pPr>
    </w:p>
    <w:p>
      <w:pPr>
        <w:pStyle w:val="BodyText"/>
        <w:spacing w:before="2"/>
        <w:rPr>
          <w:sz w:val="12"/>
        </w:rPr>
      </w:pPr>
      <w:r>
        <w:rPr/>
        <w:pict>
          <v:line style="position:absolute;mso-position-horizontal-relative:page;mso-position-vertical-relative:paragraph;z-index:6688;mso-wrap-distance-left:0;mso-wrap-distance-right:0" from="99.224998pt,9.253019pt" to="243.274998pt,9.253019pt" stroked="true" strokeweight=".599980pt" strokecolor="#000000">
            <w10:wrap type="topAndBottom"/>
          </v:line>
        </w:pict>
      </w:r>
    </w:p>
    <w:p>
      <w:pPr>
        <w:spacing w:line="253" w:lineRule="exact" w:before="51"/>
        <w:ind w:left="684" w:right="114" w:firstLine="0"/>
        <w:jc w:val="left"/>
        <w:rPr>
          <w:rFonts w:ascii="Calibri" w:hAnsi="Calibri"/>
          <w:sz w:val="18"/>
        </w:rPr>
      </w:pPr>
      <w:r>
        <w:rPr>
          <w:rFonts w:ascii="Calibri" w:hAnsi="Calibri"/>
          <w:position w:val="10"/>
          <w:sz w:val="13"/>
        </w:rPr>
        <w:t>228 </w:t>
      </w:r>
      <w:r>
        <w:rPr>
          <w:rFonts w:ascii="Calibri" w:hAnsi="Calibri"/>
          <w:sz w:val="18"/>
        </w:rPr>
        <w:t>SARTORI, Giovanni, </w:t>
      </w:r>
      <w:r>
        <w:rPr>
          <w:rFonts w:ascii="Calibri" w:hAnsi="Calibri"/>
          <w:i/>
          <w:sz w:val="18"/>
        </w:rPr>
        <w:t>Óp. .Cit., </w:t>
      </w:r>
      <w:r>
        <w:rPr>
          <w:rFonts w:ascii="Calibri" w:hAnsi="Calibri"/>
          <w:sz w:val="18"/>
        </w:rPr>
        <w:t>p. 71.</w:t>
      </w:r>
    </w:p>
    <w:p>
      <w:pPr>
        <w:spacing w:line="208" w:lineRule="exact" w:before="0"/>
        <w:ind w:left="684" w:right="114" w:firstLine="0"/>
        <w:jc w:val="left"/>
        <w:rPr>
          <w:sz w:val="18"/>
        </w:rPr>
      </w:pPr>
      <w:r>
        <w:rPr>
          <w:position w:val="9"/>
          <w:sz w:val="12"/>
        </w:rPr>
        <w:t>229  </w:t>
      </w:r>
      <w:r>
        <w:rPr>
          <w:sz w:val="18"/>
        </w:rPr>
        <w:t>MARCUSE, </w:t>
      </w:r>
      <w:r>
        <w:rPr>
          <w:i/>
          <w:sz w:val="18"/>
        </w:rPr>
        <w:t>Óp. Cit., </w:t>
      </w:r>
      <w:r>
        <w:rPr>
          <w:sz w:val="18"/>
        </w:rPr>
        <w:t>p. 46</w:t>
      </w:r>
    </w:p>
    <w:p>
      <w:pPr>
        <w:spacing w:line="239" w:lineRule="exact" w:before="0"/>
        <w:ind w:left="684" w:right="114" w:firstLine="0"/>
        <w:jc w:val="left"/>
        <w:rPr>
          <w:rFonts w:ascii="Calibri" w:hAnsi="Calibri"/>
          <w:i/>
          <w:sz w:val="18"/>
        </w:rPr>
      </w:pPr>
      <w:r>
        <w:rPr>
          <w:rFonts w:ascii="Calibri" w:hAnsi="Calibri"/>
          <w:position w:val="9"/>
          <w:sz w:val="12"/>
        </w:rPr>
        <w:t>230   </w:t>
      </w:r>
      <w:r>
        <w:rPr>
          <w:rFonts w:ascii="Calibri" w:hAnsi="Calibri"/>
          <w:sz w:val="18"/>
        </w:rPr>
        <w:t>SARTORI, </w:t>
      </w:r>
      <w:r>
        <w:rPr>
          <w:rFonts w:ascii="Calibri" w:hAnsi="Calibri"/>
          <w:i/>
          <w:sz w:val="18"/>
        </w:rPr>
        <w:t>Óp. Cit. p. 71</w:t>
      </w:r>
    </w:p>
    <w:p>
      <w:pPr>
        <w:spacing w:after="0" w:line="239"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676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2" w:lineRule="auto" w:before="70"/>
        <w:ind w:left="264" w:right="218"/>
        <w:jc w:val="both"/>
      </w:pPr>
      <w:r>
        <w:rPr/>
        <w:t>seguidores bajo los gustos del productor. “Y en las condiciones socioculturales  que subyacen a ese modo de vida tal vez se refleja la racionalidad de un mundo de la vida compartido no sólo por particulares, sino por colectivos.” </w:t>
      </w:r>
      <w:r>
        <w:rPr>
          <w:position w:val="11"/>
          <w:sz w:val="16"/>
        </w:rPr>
        <w:t>231 </w:t>
      </w:r>
      <w:r>
        <w:rPr/>
        <w:t>Esto implica que en esta sociedad televisada aun cuando no todos los individuos sean televidentes son marcados por la influencia de los sujetos que han instrumentado el mensaje del</w:t>
      </w:r>
      <w:r>
        <w:rPr>
          <w:spacing w:val="-14"/>
        </w:rPr>
        <w:t> </w:t>
      </w:r>
      <w:r>
        <w:rPr/>
        <w:t>medio.</w:t>
      </w:r>
    </w:p>
    <w:p>
      <w:pPr>
        <w:pStyle w:val="BodyText"/>
        <w:spacing w:before="10"/>
        <w:rPr>
          <w:sz w:val="33"/>
        </w:rPr>
      </w:pPr>
    </w:p>
    <w:p>
      <w:pPr>
        <w:pStyle w:val="Heading3"/>
        <w:numPr>
          <w:ilvl w:val="1"/>
          <w:numId w:val="6"/>
        </w:numPr>
        <w:tabs>
          <w:tab w:pos="881" w:val="left" w:leader="none"/>
        </w:tabs>
        <w:spacing w:line="240" w:lineRule="auto" w:before="0" w:after="0"/>
        <w:ind w:left="880" w:right="0" w:hanging="267"/>
        <w:jc w:val="left"/>
        <w:rPr>
          <w:rFonts w:ascii="Arial" w:hAnsi="Arial"/>
        </w:rPr>
      </w:pPr>
      <w:bookmarkStart w:name="_TOC_250020" w:id="4"/>
      <w:r>
        <w:rPr>
          <w:rFonts w:ascii="Arial" w:hAnsi="Arial"/>
        </w:rPr>
        <w:t>La mercadotecnia en la pre-fabricación de la</w:t>
      </w:r>
      <w:r>
        <w:rPr>
          <w:rFonts w:ascii="Arial" w:hAnsi="Arial"/>
          <w:spacing w:val="-14"/>
        </w:rPr>
        <w:t> </w:t>
      </w:r>
      <w:bookmarkEnd w:id="4"/>
      <w:r>
        <w:rPr>
          <w:rFonts w:ascii="Arial" w:hAnsi="Arial"/>
        </w:rPr>
        <w:t>conciencia.</w:t>
      </w:r>
    </w:p>
    <w:p>
      <w:pPr>
        <w:pStyle w:val="BodyText"/>
        <w:rPr>
          <w:b/>
        </w:rPr>
      </w:pPr>
    </w:p>
    <w:p>
      <w:pPr>
        <w:pStyle w:val="BodyText"/>
        <w:spacing w:before="4"/>
        <w:rPr>
          <w:b/>
        </w:rPr>
      </w:pPr>
    </w:p>
    <w:p>
      <w:pPr>
        <w:pStyle w:val="BodyText"/>
        <w:spacing w:line="360" w:lineRule="auto"/>
        <w:ind w:left="264" w:right="214" w:firstLine="336"/>
        <w:jc w:val="both"/>
      </w:pPr>
      <w:r>
        <w:rPr/>
        <w:t>Se ha entregado la confianza social a los medios, su palabra es ciencia y por lo tanto verdad, sus mensajes son motivo de conversación, se opina en torno a ellos, y se toman acuerdos en función de su decir, el paradigma imperante en el siglo XX no puede prescindir de estos elementos para su fundamentación; la conciencia está imbuida de la información enviada por ellos, han sustituido las bibliotecas, la confrontación con los hechos reales, de hecho se vive en una realidad virtual, se construyen formas de pensar que reconsideran constantemente los contenidos distribuidos por las diferentes formas mediáticas y se incorporan inconscientemente a los esquemas cognitivos de los individuos.</w:t>
      </w:r>
    </w:p>
    <w:p>
      <w:pPr>
        <w:pStyle w:val="BodyText"/>
        <w:spacing w:before="2"/>
        <w:ind w:left="600"/>
      </w:pPr>
      <w:r>
        <w:rPr/>
        <w:t>Si bien como argumenta Marx:</w:t>
      </w:r>
    </w:p>
    <w:p>
      <w:pPr>
        <w:pStyle w:val="BodyText"/>
      </w:pPr>
    </w:p>
    <w:p>
      <w:pPr>
        <w:pStyle w:val="BodyText"/>
        <w:spacing w:before="10"/>
        <w:rPr>
          <w:sz w:val="23"/>
        </w:rPr>
      </w:pPr>
    </w:p>
    <w:p>
      <w:pPr>
        <w:spacing w:line="235" w:lineRule="auto" w:before="0"/>
        <w:ind w:left="973" w:right="218" w:firstLine="0"/>
        <w:jc w:val="both"/>
        <w:rPr>
          <w:sz w:val="14"/>
        </w:rPr>
      </w:pPr>
      <w:r>
        <w:rPr>
          <w:sz w:val="22"/>
        </w:rPr>
        <w:t>En </w:t>
      </w:r>
      <w:r>
        <w:rPr>
          <w:spacing w:val="-3"/>
          <w:sz w:val="22"/>
        </w:rPr>
        <w:t>la </w:t>
      </w:r>
      <w:r>
        <w:rPr>
          <w:sz w:val="22"/>
        </w:rPr>
        <w:t>producción social de su existencia, los hombres entran en relaciones determinadas, necesarias e independientes de su voluntad, en relaciones de producción que corresponden a un grado determinado de desarrollo de sus  fuerzas productivas materiales. El conjunto de estas relaciones constituye </w:t>
      </w:r>
      <w:r>
        <w:rPr>
          <w:spacing w:val="-3"/>
          <w:sz w:val="22"/>
        </w:rPr>
        <w:t>la </w:t>
      </w:r>
      <w:r>
        <w:rPr>
          <w:sz w:val="22"/>
        </w:rPr>
        <w:t>estructura económica de </w:t>
      </w:r>
      <w:r>
        <w:rPr>
          <w:spacing w:val="-3"/>
          <w:sz w:val="22"/>
        </w:rPr>
        <w:t>la </w:t>
      </w:r>
      <w:r>
        <w:rPr>
          <w:sz w:val="22"/>
        </w:rPr>
        <w:t>sociedad, o sea, la base real sobre </w:t>
      </w:r>
      <w:r>
        <w:rPr>
          <w:spacing w:val="-3"/>
          <w:sz w:val="22"/>
        </w:rPr>
        <w:t>la </w:t>
      </w:r>
      <w:r>
        <w:rPr>
          <w:sz w:val="22"/>
        </w:rPr>
        <w:t>cual se alza una superestructura jurídica y política y a </w:t>
      </w:r>
      <w:r>
        <w:rPr>
          <w:spacing w:val="-3"/>
          <w:sz w:val="22"/>
        </w:rPr>
        <w:t>la </w:t>
      </w:r>
      <w:r>
        <w:rPr>
          <w:sz w:val="22"/>
        </w:rPr>
        <w:t>cual corresponden formas determinadas de </w:t>
      </w:r>
      <w:r>
        <w:rPr>
          <w:spacing w:val="-3"/>
          <w:sz w:val="22"/>
        </w:rPr>
        <w:t>la </w:t>
      </w:r>
      <w:r>
        <w:rPr>
          <w:sz w:val="22"/>
        </w:rPr>
        <w:t>conciencia social. En general, </w:t>
      </w:r>
      <w:r>
        <w:rPr>
          <w:spacing w:val="2"/>
          <w:sz w:val="22"/>
        </w:rPr>
        <w:t>el </w:t>
      </w:r>
      <w:r>
        <w:rPr>
          <w:sz w:val="22"/>
        </w:rPr>
        <w:t>modo de producción de </w:t>
      </w:r>
      <w:r>
        <w:rPr>
          <w:spacing w:val="-3"/>
          <w:sz w:val="22"/>
        </w:rPr>
        <w:t>la </w:t>
      </w:r>
      <w:r>
        <w:rPr>
          <w:sz w:val="22"/>
        </w:rPr>
        <w:t>vida material condiciona el proceso social, político y espiritual de </w:t>
      </w:r>
      <w:r>
        <w:rPr>
          <w:spacing w:val="-3"/>
          <w:sz w:val="22"/>
        </w:rPr>
        <w:t>la </w:t>
      </w:r>
      <w:r>
        <w:rPr>
          <w:sz w:val="22"/>
        </w:rPr>
        <w:t>vida.</w:t>
      </w:r>
      <w:r>
        <w:rPr>
          <w:spacing w:val="-17"/>
          <w:sz w:val="22"/>
        </w:rPr>
        <w:t> </w:t>
      </w:r>
      <w:r>
        <w:rPr>
          <w:spacing w:val="-2"/>
          <w:position w:val="10"/>
          <w:sz w:val="14"/>
        </w:rPr>
        <w:t>232</w:t>
      </w:r>
    </w:p>
    <w:p>
      <w:pPr>
        <w:pStyle w:val="BodyText"/>
        <w:spacing w:before="1"/>
        <w:rPr>
          <w:sz w:val="33"/>
        </w:rPr>
      </w:pPr>
    </w:p>
    <w:p>
      <w:pPr>
        <w:pStyle w:val="BodyText"/>
        <w:spacing w:line="360" w:lineRule="auto"/>
        <w:ind w:left="264" w:right="224" w:firstLine="239"/>
        <w:jc w:val="both"/>
      </w:pPr>
      <w:r>
        <w:rPr/>
        <w:pict>
          <v:line style="position:absolute;mso-position-horizontal-relative:page;mso-position-vertical-relative:paragraph;z-index:6736;mso-wrap-distance-left:0;mso-wrap-distance-right:0" from="99.224998pt,68.185837pt" to="243.274998pt,68.185837pt" stroked="true" strokeweight=".60004pt" strokecolor="#000000">
            <w10:wrap type="topAndBottom"/>
          </v:line>
        </w:pict>
      </w:r>
      <w:r>
        <w:rPr/>
        <w:t>Por lo tanto de acuerdo con esta interpretación marxista de la sociedad y el hombre, éste integra su conciencia con fundamento en su vida material y en las relaciones sociales y económicas que establece a lo largo de su vida:</w:t>
      </w:r>
    </w:p>
    <w:p>
      <w:pPr>
        <w:spacing w:before="48"/>
        <w:ind w:left="264" w:right="0" w:firstLine="0"/>
        <w:jc w:val="left"/>
        <w:rPr>
          <w:rFonts w:ascii="Calibri" w:hAnsi="Calibri"/>
          <w:sz w:val="18"/>
        </w:rPr>
      </w:pPr>
      <w:r>
        <w:rPr>
          <w:position w:val="9"/>
          <w:sz w:val="12"/>
        </w:rPr>
        <w:t>231 </w:t>
      </w:r>
      <w:r>
        <w:rPr>
          <w:rFonts w:ascii="Calibri" w:hAnsi="Calibri"/>
          <w:sz w:val="18"/>
        </w:rPr>
        <w:t>HABERMAS, Jürgen, </w:t>
      </w:r>
      <w:r>
        <w:rPr>
          <w:rFonts w:ascii="Calibri" w:hAnsi="Calibri"/>
          <w:i/>
          <w:sz w:val="18"/>
        </w:rPr>
        <w:t>Teoría de la acción comunicativa, I, Racionalidad de la acción y racionalización social</w:t>
      </w:r>
      <w:r>
        <w:rPr>
          <w:rFonts w:ascii="Calibri" w:hAnsi="Calibri"/>
          <w:sz w:val="18"/>
        </w:rPr>
        <w:t>, Taurus, México, 2008, p. 70.</w:t>
      </w:r>
    </w:p>
    <w:p>
      <w:pPr>
        <w:spacing w:line="220" w:lineRule="exact" w:before="19"/>
        <w:ind w:left="264" w:right="218" w:firstLine="0"/>
        <w:jc w:val="left"/>
        <w:rPr>
          <w:rFonts w:ascii="Calibri" w:hAnsi="Calibri"/>
          <w:sz w:val="18"/>
        </w:rPr>
      </w:pPr>
      <w:r>
        <w:rPr>
          <w:rFonts w:ascii="Calibri" w:hAnsi="Calibri"/>
          <w:position w:val="10"/>
          <w:sz w:val="13"/>
        </w:rPr>
        <w:t>232 </w:t>
      </w:r>
      <w:r>
        <w:rPr>
          <w:rFonts w:ascii="Calibri" w:hAnsi="Calibri"/>
          <w:sz w:val="18"/>
        </w:rPr>
        <w:t>MARX, Carlos, </w:t>
      </w:r>
      <w:r>
        <w:rPr>
          <w:rFonts w:ascii="Calibri" w:hAnsi="Calibri"/>
          <w:i/>
          <w:sz w:val="18"/>
        </w:rPr>
        <w:t>Prólogo a la contribución a crítica a la economía política</w:t>
      </w:r>
      <w:r>
        <w:rPr>
          <w:rFonts w:ascii="Calibri" w:hAnsi="Calibri"/>
          <w:sz w:val="18"/>
        </w:rPr>
        <w:t>, [en línea] consulta 25/03/2012, disponible en </w:t>
      </w:r>
      <w:hyperlink r:id="rId101">
        <w:r>
          <w:rPr>
            <w:rFonts w:ascii="Calibri" w:hAnsi="Calibri"/>
            <w:color w:val="0000FF"/>
            <w:sz w:val="18"/>
            <w:u w:val="single" w:color="0000FF"/>
          </w:rPr>
          <w:t>http://www.marxists.org/espanol/m-e/1850s/criteconpol.htm</w:t>
        </w:r>
        <w:r>
          <w:rPr>
            <w:rFonts w:ascii="Calibri" w:hAnsi="Calibri"/>
            <w:sz w:val="18"/>
          </w:rPr>
          <w:t>.</w:t>
        </w:r>
      </w:hyperlink>
    </w:p>
    <w:p>
      <w:pPr>
        <w:spacing w:after="0" w:line="220"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80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spacing w:line="237" w:lineRule="auto" w:before="197"/>
        <w:ind w:left="1393" w:right="113" w:firstLine="0"/>
        <w:jc w:val="both"/>
        <w:rPr>
          <w:sz w:val="14"/>
        </w:rPr>
      </w:pPr>
      <w:r>
        <w:rPr>
          <w:sz w:val="22"/>
        </w:rPr>
        <w:t>No es </w:t>
      </w:r>
      <w:r>
        <w:rPr>
          <w:spacing w:val="-3"/>
          <w:sz w:val="22"/>
        </w:rPr>
        <w:t>la </w:t>
      </w:r>
      <w:r>
        <w:rPr>
          <w:sz w:val="22"/>
        </w:rPr>
        <w:t>conciencia de los hombres </w:t>
      </w:r>
      <w:r>
        <w:rPr>
          <w:spacing w:val="-3"/>
          <w:sz w:val="22"/>
        </w:rPr>
        <w:t>lo </w:t>
      </w:r>
      <w:r>
        <w:rPr>
          <w:sz w:val="22"/>
        </w:rPr>
        <w:t>que determina su ser, sino al contrario, su ser social es el que determina su conciencia. En un determinado estadio de su desarrollo las fuerzas productivas materiales de </w:t>
      </w:r>
      <w:r>
        <w:rPr>
          <w:spacing w:val="-3"/>
          <w:sz w:val="22"/>
        </w:rPr>
        <w:t>la </w:t>
      </w:r>
      <w:r>
        <w:rPr>
          <w:sz w:val="22"/>
        </w:rPr>
        <w:t>sociedad entran en  contradicción con las relaciones de producción existentes o, por usar </w:t>
      </w:r>
      <w:r>
        <w:rPr>
          <w:spacing w:val="-3"/>
          <w:sz w:val="22"/>
        </w:rPr>
        <w:t>la</w:t>
      </w:r>
      <w:r>
        <w:rPr>
          <w:spacing w:val="55"/>
          <w:sz w:val="22"/>
        </w:rPr>
        <w:t> </w:t>
      </w:r>
      <w:r>
        <w:rPr>
          <w:sz w:val="22"/>
        </w:rPr>
        <w:t>equivalente expresión jurídica, con las relaciones de propiedad dentro de  las cuales se habían movido hasta entonces. De formas de desarrollo que eran las fuerzas productivas, esas relaciones se convierten en trabas de las mismas. Empieza entonces una época de revolución</w:t>
      </w:r>
      <w:r>
        <w:rPr>
          <w:spacing w:val="-27"/>
          <w:sz w:val="22"/>
        </w:rPr>
        <w:t> </w:t>
      </w:r>
      <w:r>
        <w:rPr>
          <w:sz w:val="22"/>
        </w:rPr>
        <w:t>social.</w:t>
      </w:r>
      <w:r>
        <w:rPr>
          <w:position w:val="10"/>
          <w:sz w:val="14"/>
        </w:rPr>
        <w:t>233</w:t>
      </w:r>
    </w:p>
    <w:p>
      <w:pPr>
        <w:pStyle w:val="BodyText"/>
        <w:spacing w:before="1"/>
        <w:rPr>
          <w:sz w:val="33"/>
        </w:rPr>
      </w:pPr>
    </w:p>
    <w:p>
      <w:pPr>
        <w:pStyle w:val="BodyText"/>
        <w:spacing w:line="360" w:lineRule="auto"/>
        <w:ind w:left="684" w:right="117" w:firstLine="336"/>
        <w:jc w:val="both"/>
      </w:pPr>
      <w:r>
        <w:rPr/>
        <w:t>Y, en esta era, bajo el sistema globalizador, capitalista-imperialista la premisa es: consumismo, bienestar, objetos y felicidad. Fenómeno que se introduce en la conciencia y motiva acciones y pensamientos. El consumismo promociona bienestar, éste se obtiene a través de los objetos que finalmente conceden la felicidad anhelada, o por lo menos ésta es la promesa.</w:t>
      </w:r>
    </w:p>
    <w:p>
      <w:pPr>
        <w:pStyle w:val="BodyText"/>
        <w:spacing w:line="360" w:lineRule="auto" w:before="2"/>
        <w:ind w:left="684" w:right="120" w:firstLine="336"/>
        <w:jc w:val="both"/>
      </w:pPr>
      <w:r>
        <w:rPr/>
        <w:t>Promesa que se traduce en la fórmula de la mercadotecnia, vender cosas,  crear necesidades, descubrir aspiraciones materiales, proporcionar los objetos que las</w:t>
      </w:r>
      <w:r>
        <w:rPr>
          <w:spacing w:val="-8"/>
        </w:rPr>
        <w:t> </w:t>
      </w:r>
      <w:r>
        <w:rPr/>
        <w:t>llenen.</w:t>
      </w:r>
    </w:p>
    <w:p>
      <w:pPr>
        <w:pStyle w:val="BodyText"/>
        <w:spacing w:line="360" w:lineRule="auto" w:before="6"/>
        <w:ind w:left="684" w:right="117" w:firstLine="336"/>
        <w:jc w:val="both"/>
      </w:pPr>
      <w:r>
        <w:rPr/>
        <w:t>La meta de la mercadotecnia es adelantarse a los deseos de los individuos, indicarles que necesitan y que no (eso no se dice, pero queda implícito). Su objetivo llenar el vacío y augurar éxito y aceptación social, su condición ablandar las mentes. Así, de acuerdo con Sousa Santos: “Los cuerpos dóciles tienen experiencias, pero no expectativas o, lo que es lo mismo, sus expectativas son   el</w:t>
      </w:r>
    </w:p>
    <w:p>
      <w:pPr>
        <w:pStyle w:val="BodyText"/>
        <w:spacing w:line="278" w:lineRule="exact"/>
        <w:ind w:left="684" w:right="114"/>
      </w:pPr>
      <w:r>
        <w:rPr/>
        <w:t>espejo fiel de su experiencia.”</w:t>
      </w:r>
      <w:r>
        <w:rPr>
          <w:position w:val="11"/>
          <w:sz w:val="16"/>
        </w:rPr>
        <w:t>234  </w:t>
      </w:r>
      <w:r>
        <w:rPr/>
        <w:t>Y si la experiencia más incisiva se obtiene a</w:t>
      </w:r>
    </w:p>
    <w:p>
      <w:pPr>
        <w:pStyle w:val="BodyText"/>
        <w:spacing w:before="136"/>
        <w:ind w:left="684" w:right="114"/>
        <w:rPr>
          <w:i/>
        </w:rPr>
      </w:pPr>
      <w:r>
        <w:rPr/>
        <w:t>través  de  la  programación  televisiva  y  la  actitud  es  de  entrega  a  la   </w:t>
      </w:r>
      <w:r>
        <w:rPr>
          <w:i/>
        </w:rPr>
        <w:t>verdad</w:t>
      </w:r>
    </w:p>
    <w:p>
      <w:pPr>
        <w:pStyle w:val="BodyText"/>
        <w:spacing w:before="140"/>
        <w:ind w:left="684" w:right="114"/>
      </w:pPr>
      <w:r>
        <w:rPr/>
        <w:t>revelada, la mente y el espíritu quedan enmarcados en la mercadotecnia.</w:t>
      </w:r>
    </w:p>
    <w:p>
      <w:pPr>
        <w:pStyle w:val="BodyText"/>
        <w:spacing w:line="360" w:lineRule="auto" w:before="140"/>
        <w:ind w:left="684" w:right="118" w:firstLine="271"/>
        <w:jc w:val="both"/>
      </w:pPr>
      <w:r>
        <w:rPr/>
        <w:t>La televisión abierta en México y Honduras tiene tal impacto que cubre la mayoría de los hogares; su programación, que es patrocinada por las grandes marcas y por grandes consorcios, tiene tales características que impacta en una gran cantidad de población; con el objeto de promover su producción e involucrar al mayor número de personas, trabaja de tal manera que surja la necesidad de adquirir diversos objetos, señalados como hacedores de felicidad, utilizando todos</w:t>
      </w:r>
    </w:p>
    <w:p>
      <w:pPr>
        <w:pStyle w:val="BodyText"/>
        <w:rPr>
          <w:sz w:val="20"/>
        </w:rPr>
      </w:pPr>
    </w:p>
    <w:p>
      <w:pPr>
        <w:pStyle w:val="BodyText"/>
        <w:rPr>
          <w:sz w:val="20"/>
        </w:rPr>
      </w:pPr>
    </w:p>
    <w:p>
      <w:pPr>
        <w:pStyle w:val="BodyText"/>
        <w:spacing w:before="7"/>
        <w:rPr>
          <w:sz w:val="14"/>
        </w:rPr>
      </w:pPr>
      <w:r>
        <w:rPr/>
        <w:pict>
          <v:line style="position:absolute;mso-position-horizontal-relative:page;mso-position-vertical-relative:paragraph;z-index:6784;mso-wrap-distance-left:0;mso-wrap-distance-right:0" from="99.224998pt,10.650841pt" to="243.274998pt,10.650841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233 </w:t>
      </w:r>
      <w:r>
        <w:rPr>
          <w:rFonts w:ascii="Calibri" w:hAnsi="Calibri"/>
          <w:i/>
          <w:sz w:val="18"/>
        </w:rPr>
        <w:t>Ídem</w:t>
      </w:r>
      <w:r>
        <w:rPr>
          <w:rFonts w:ascii="Calibri" w:hAnsi="Calibri"/>
          <w:sz w:val="18"/>
        </w:rPr>
        <w:t>.</w:t>
      </w:r>
    </w:p>
    <w:p>
      <w:pPr>
        <w:spacing w:line="236" w:lineRule="exact" w:before="0"/>
        <w:ind w:left="684" w:right="114" w:firstLine="0"/>
        <w:jc w:val="left"/>
        <w:rPr>
          <w:rFonts w:ascii="Calibri" w:hAnsi="Calibri"/>
          <w:sz w:val="18"/>
        </w:rPr>
      </w:pPr>
      <w:r>
        <w:rPr>
          <w:rFonts w:ascii="Calibri" w:hAnsi="Calibri"/>
          <w:position w:val="9"/>
          <w:sz w:val="12"/>
        </w:rPr>
        <w:t>234 </w:t>
      </w:r>
      <w:r>
        <w:rPr>
          <w:rFonts w:ascii="Calibri" w:hAnsi="Calibri"/>
          <w:sz w:val="18"/>
        </w:rPr>
        <w:t>DE SOUSA Santos Boaventura, </w:t>
      </w:r>
      <w:r>
        <w:rPr>
          <w:rFonts w:ascii="Calibri" w:hAnsi="Calibri"/>
          <w:i/>
          <w:sz w:val="18"/>
        </w:rPr>
        <w:t>Óp. Cit</w:t>
      </w:r>
      <w:r>
        <w:rPr>
          <w:rFonts w:ascii="Calibri" w:hAnsi="Calibri"/>
          <w:sz w:val="18"/>
        </w:rPr>
        <w:t>., p. 84</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685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right="210"/>
      </w:pPr>
      <w:r>
        <w:rPr/>
        <w:t>los medios a su alcance para promover la adquisición de éstos, para usar cosas que sin ser necesarias se tornan indispensables en el contexto social.</w:t>
      </w:r>
    </w:p>
    <w:p>
      <w:pPr>
        <w:pStyle w:val="BodyText"/>
        <w:spacing w:line="360" w:lineRule="auto" w:before="8"/>
        <w:ind w:left="264" w:right="222" w:firstLine="336"/>
        <w:jc w:val="both"/>
      </w:pPr>
      <w:r>
        <w:rPr/>
        <w:t>Los mensajes son contradictorios, y en un mismo período de tiempo se transmiten ideas que se rechazan una a la otra. Si bien se dice no a las drogas, al mismo tiempo se ofrecen tabaco o alcohol que son drogas de alto impacto en la sociedad. Señala John Condry:</w:t>
      </w:r>
    </w:p>
    <w:p>
      <w:pPr>
        <w:pStyle w:val="BodyText"/>
      </w:pPr>
    </w:p>
    <w:p>
      <w:pPr>
        <w:spacing w:line="235" w:lineRule="auto" w:before="145"/>
        <w:ind w:left="973" w:right="219" w:firstLine="0"/>
        <w:jc w:val="both"/>
        <w:rPr>
          <w:sz w:val="14"/>
        </w:rPr>
      </w:pPr>
      <w:r>
        <w:rPr>
          <w:sz w:val="22"/>
        </w:rPr>
        <w:t>Muchos de los mensajes “pro droga” estaban insertos en anuncios publicitarios relativos a fármacos, cerveza o vino, y en las caracterizaciones en que estaban contenidos, los personajes utilizaban alegremente drogas legales -alcohol y tabaco- para sentirse mejor, para festejar un éxito, para vencer un estado  depresivo después de una derrota, para relajarse después de una jornada</w:t>
      </w:r>
      <w:r>
        <w:rPr>
          <w:spacing w:val="-40"/>
          <w:sz w:val="22"/>
        </w:rPr>
        <w:t> </w:t>
      </w:r>
      <w:r>
        <w:rPr>
          <w:sz w:val="22"/>
        </w:rPr>
        <w:t>dura.</w:t>
      </w:r>
      <w:r>
        <w:rPr>
          <w:position w:val="10"/>
          <w:sz w:val="14"/>
        </w:rPr>
        <w:t>235</w:t>
      </w:r>
    </w:p>
    <w:p>
      <w:pPr>
        <w:pStyle w:val="BodyText"/>
        <w:spacing w:before="3"/>
        <w:rPr>
          <w:sz w:val="36"/>
        </w:rPr>
      </w:pPr>
    </w:p>
    <w:p>
      <w:pPr>
        <w:pStyle w:val="BodyText"/>
        <w:ind w:left="600"/>
      </w:pPr>
      <w:r>
        <w:rPr/>
        <w:t>Por cada  mensaje que dice no a las drogas existen diez que dicen si.</w:t>
      </w:r>
    </w:p>
    <w:p>
      <w:pPr>
        <w:pStyle w:val="BodyText"/>
        <w:spacing w:line="360" w:lineRule="auto" w:before="140"/>
        <w:ind w:left="264" w:right="219" w:firstLine="336"/>
        <w:jc w:val="both"/>
      </w:pPr>
      <w:r>
        <w:rPr/>
        <w:t>El formato de la televisión abierta considera un promedio de ocho minutos de mensajes comerciales por diez u once minutos de contenido de programación, llámese telenovelas, películas, deportes, caricaturas, programas cómicos, noticias o informativos. En los ocho minutos de mensajes comerciales es posible que se intercalen hasta diecisiete mensajes diferentes que van desde mensajes alusivos  a alimentos no básicos (galletas, dulces, panadería, condimentos, bebidas, lácteos), productos cosméticos (cremas para prolongar la juventud, jabones que suavizan la piel, perfumes, tintes de cabello, desodorantes, etc.), aparatos o ropa deportiva (para fortalecer el cuerpo), juguetes (que afirman hacen más inteligentes a los niños), cigarros (que hacen exitosos a los consumidores), bebidas alcohólicas (que prometen la felicidad y el éxito sexual), moda (cuyo uso asegura admiración y respeto), autos (que sitúan al usuario en un estado superior de los que no lo tienen y prometen aventura, emoción, menor esfuerzo por medio de todas las aplicaciones que la tecnología puede ofrecer), y medicamentos que compiten por quien ofrece el mejor producto y supuestamente el mejor</w:t>
      </w:r>
      <w:r>
        <w:rPr>
          <w:spacing w:val="-43"/>
        </w:rPr>
        <w:t> </w:t>
      </w:r>
      <w:r>
        <w:rPr/>
        <w:t>precio.</w:t>
      </w:r>
    </w:p>
    <w:p>
      <w:pPr>
        <w:pStyle w:val="BodyText"/>
        <w:spacing w:line="360" w:lineRule="auto" w:before="6"/>
        <w:ind w:left="264" w:right="218" w:firstLine="336"/>
        <w:jc w:val="both"/>
      </w:pPr>
      <w:r>
        <w:rPr/>
        <w:t>Y, además, venden la programación del canal, ya que sin ello el tele-vidente no conoce lo que el canal televisivo ofrece en materia de recreación o información. Presentan avances que alimentan la curiosidad, el morbo y el deseo de recreación</w:t>
      </w:r>
    </w:p>
    <w:p>
      <w:pPr>
        <w:pStyle w:val="BodyText"/>
        <w:spacing w:before="8"/>
        <w:rPr>
          <w:sz w:val="17"/>
        </w:rPr>
      </w:pPr>
      <w:r>
        <w:rPr/>
        <w:pict>
          <v:line style="position:absolute;mso-position-horizontal-relative:page;mso-position-vertical-relative:paragraph;z-index:6832;mso-wrap-distance-left:0;mso-wrap-distance-right:0" from="99.224998pt,12.453888pt" to="243.274998pt,12.453888pt" stroked="true" strokeweight=".60004pt" strokecolor="#000000">
            <w10:wrap type="topAndBottom"/>
          </v:line>
        </w:pict>
      </w:r>
    </w:p>
    <w:p>
      <w:pPr>
        <w:spacing w:before="46"/>
        <w:ind w:left="264" w:right="0" w:firstLine="0"/>
        <w:jc w:val="left"/>
        <w:rPr>
          <w:rFonts w:ascii="Calibri"/>
          <w:sz w:val="18"/>
        </w:rPr>
      </w:pPr>
      <w:r>
        <w:rPr>
          <w:rFonts w:ascii="Calibri"/>
          <w:position w:val="9"/>
          <w:sz w:val="12"/>
        </w:rPr>
        <w:t>235 </w:t>
      </w:r>
      <w:r>
        <w:rPr>
          <w:rFonts w:ascii="Calibri"/>
          <w:sz w:val="18"/>
        </w:rPr>
        <w:t>POPPER, R. Karl, Condry John, </w:t>
      </w:r>
      <w:r>
        <w:rPr>
          <w:rFonts w:ascii="Calibri"/>
          <w:i/>
          <w:sz w:val="18"/>
        </w:rPr>
        <w:t>et. al,  Op. Cit. </w:t>
      </w:r>
      <w:r>
        <w:rPr>
          <w:rFonts w:ascii="Calibri"/>
          <w:sz w:val="18"/>
        </w:rPr>
        <w:t>p. 74</w:t>
      </w:r>
    </w:p>
    <w:p>
      <w:pPr>
        <w:spacing w:after="0"/>
        <w:jc w:val="left"/>
        <w:rPr>
          <w:rFonts w:asci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88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9"/>
        <w:jc w:val="both"/>
      </w:pPr>
      <w:r>
        <w:rPr/>
        <w:t>de los individuos, por ejemplo, de las telenovelas presentan las escenas más eróticas, o las que tienen más intensidad en el diálogo, más violencia para motivar al televidente y subrepticiamente inducirlo a que no se aleje del televisor.</w:t>
      </w:r>
    </w:p>
    <w:p>
      <w:pPr>
        <w:pStyle w:val="BodyText"/>
        <w:spacing w:line="360" w:lineRule="auto" w:before="2"/>
        <w:ind w:left="684" w:right="121" w:firstLine="336"/>
        <w:jc w:val="both"/>
      </w:pPr>
      <w:r>
        <w:rPr/>
        <w:t>Y en tiempos de campañas políticas para la elección de gobernantes las personas se convierten en productos que se venden, se transforman en comerciales, en personas que se exponen (no se discuten ideas, no se muestran capacidades sólo es el chisme barato), en este sentido la democracia se convierte en retahíla de una serie de </w:t>
      </w:r>
      <w:r>
        <w:rPr>
          <w:i/>
        </w:rPr>
        <w:t>dimes y diretes, </w:t>
      </w:r>
      <w:r>
        <w:rPr/>
        <w:t>más no en controversias de altura, donde se discuten ideas, donde se propongan proyectos y propuestas para gobernar y respetar la soberanía del pueblo. Otro producto que se vende es la actividad gubernamental, que como cualquier empresa, con una serie de comerciales pretenden convencer al pueblo de que el gobierno si está trabajando.</w:t>
      </w:r>
    </w:p>
    <w:p>
      <w:pPr>
        <w:pStyle w:val="BodyText"/>
        <w:spacing w:line="360" w:lineRule="auto" w:before="5"/>
        <w:ind w:left="684" w:right="116" w:firstLine="336"/>
        <w:jc w:val="both"/>
      </w:pPr>
      <w:r>
        <w:rPr/>
        <w:t>No obstante, considerando que la televisión ha tenido una gran influencia en la conformación del sistema, no es de ninguna manera el único instrumento; la situación es </w:t>
      </w:r>
      <w:r>
        <w:rPr>
          <w:spacing w:val="-2"/>
        </w:rPr>
        <w:t>más </w:t>
      </w:r>
      <w:r>
        <w:rPr/>
        <w:t>compleja y en ella se expresan diferentes estructuras y elementos que tienen que ver con la naturaleza del hombre, con su forma de asumir el poder y sus características gregarias. Al respecto Luhmann comenta: “Esta  condición  básica  para  la  naturaleza  real  de  la  vida  cotidiana  no</w:t>
      </w:r>
      <w:r>
        <w:rPr>
          <w:spacing w:val="20"/>
        </w:rPr>
        <w:t> </w:t>
      </w:r>
      <w:r>
        <w:rPr/>
        <w:t>puede</w:t>
      </w:r>
    </w:p>
    <w:p>
      <w:pPr>
        <w:pStyle w:val="BodyText"/>
        <w:spacing w:line="350" w:lineRule="auto" w:before="6"/>
        <w:ind w:left="684" w:right="113"/>
        <w:jc w:val="both"/>
      </w:pPr>
      <w:r>
        <w:rPr/>
        <w:t>eliminarse. Está basada en las limitaciones estrechas de la habilidad para  procesar la experiencia en forma consciente.” </w:t>
      </w:r>
      <w:r>
        <w:rPr>
          <w:position w:val="11"/>
          <w:sz w:val="16"/>
        </w:rPr>
        <w:t>236 </w:t>
      </w:r>
      <w:r>
        <w:rPr/>
        <w:t>Característica de lo humano que demuestra la gran complejidad social de la cual el fenómeno de los medios de comunicación, la ciencia y la tecnología son sólo una</w:t>
      </w:r>
      <w:r>
        <w:rPr>
          <w:spacing w:val="-30"/>
        </w:rPr>
        <w:t> </w:t>
      </w:r>
      <w:r>
        <w:rPr/>
        <w:t>parte.</w:t>
      </w:r>
    </w:p>
    <w:p>
      <w:pPr>
        <w:pStyle w:val="BodyText"/>
      </w:pPr>
    </w:p>
    <w:p>
      <w:pPr>
        <w:pStyle w:val="Heading3"/>
        <w:numPr>
          <w:ilvl w:val="2"/>
          <w:numId w:val="6"/>
        </w:numPr>
        <w:tabs>
          <w:tab w:pos="952" w:val="left" w:leader="none"/>
        </w:tabs>
        <w:spacing w:line="240" w:lineRule="auto" w:before="149" w:after="0"/>
        <w:ind w:left="951" w:right="0" w:hanging="267"/>
        <w:jc w:val="both"/>
        <w:rPr>
          <w:rFonts w:ascii="Arial"/>
        </w:rPr>
      </w:pPr>
      <w:bookmarkStart w:name="_TOC_250019" w:id="5"/>
      <w:r>
        <w:rPr>
          <w:rFonts w:ascii="Arial"/>
        </w:rPr>
        <w:t>Objetos y</w:t>
      </w:r>
      <w:r>
        <w:rPr>
          <w:rFonts w:ascii="Arial"/>
          <w:spacing w:val="-9"/>
        </w:rPr>
        <w:t> </w:t>
      </w:r>
      <w:bookmarkEnd w:id="5"/>
      <w:r>
        <w:rPr>
          <w:rFonts w:ascii="Arial"/>
        </w:rPr>
        <w:t>felicidad</w:t>
      </w:r>
    </w:p>
    <w:p>
      <w:pPr>
        <w:pStyle w:val="BodyText"/>
        <w:rPr>
          <w:b/>
        </w:rPr>
      </w:pPr>
    </w:p>
    <w:p>
      <w:pPr>
        <w:pStyle w:val="BodyText"/>
        <w:spacing w:before="4"/>
        <w:rPr>
          <w:b/>
        </w:rPr>
      </w:pPr>
    </w:p>
    <w:p>
      <w:pPr>
        <w:pStyle w:val="BodyText"/>
        <w:spacing w:line="360" w:lineRule="auto"/>
        <w:ind w:left="684" w:right="112" w:firstLine="336"/>
        <w:jc w:val="both"/>
      </w:pPr>
      <w:r>
        <w:rPr/>
        <w:t>Este apartado se incluye en el ámbito del presente trabajo dado el uso de la televisión para promover el sistema de mercado de objetos que caracterizan a nuestra época. En base a la relación que el mercado de los objetos y el mensaje propagandístico establecen para convencer al tele-vidente de incorporar a su vida diaria el uso de objetos diversos, ya sean útiles o no, generando el fenómeno</w:t>
      </w:r>
    </w:p>
    <w:p>
      <w:pPr>
        <w:spacing w:after="0" w:line="360" w:lineRule="auto"/>
        <w:jc w:val="both"/>
        <w:sectPr>
          <w:footerReference w:type="default" r:id="rId102"/>
          <w:pgSz w:w="12240" w:h="15840"/>
          <w:pgMar w:footer="1273" w:header="0" w:top="520" w:bottom="1460" w:left="1300" w:right="1300"/>
          <w:pgNumType w:start="129"/>
        </w:sectPr>
      </w:pPr>
    </w:p>
    <w:p>
      <w:pPr>
        <w:pStyle w:val="Heading3"/>
      </w:pPr>
      <w:r>
        <w:rPr/>
        <w:pict>
          <v:line style="position:absolute;mso-position-horizontal-relative:page;mso-position-vertical-relative:paragraph;z-index:692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pStyle w:val="BodyText"/>
        <w:spacing w:line="360" w:lineRule="auto" w:before="70"/>
        <w:ind w:left="264" w:right="217"/>
        <w:jc w:val="both"/>
      </w:pPr>
      <w:r>
        <w:rPr/>
        <w:t>llamado consumismo. En relación a este fenómeno, Baudrillard en su obra </w:t>
      </w:r>
      <w:r>
        <w:rPr>
          <w:i/>
        </w:rPr>
        <w:t>El </w:t>
      </w:r>
      <w:r>
        <w:rPr>
          <w:i/>
        </w:rPr>
        <w:t>sistema de los objetos</w:t>
      </w:r>
      <w:r>
        <w:rPr/>
        <w:t>, resalta el proceso social que se descubre a partir de la proliferación de objetos, y de como éstos se constituyen en elementos básicos para el hombre y su consolidación social. En su</w:t>
      </w:r>
      <w:r>
        <w:rPr>
          <w:spacing w:val="-23"/>
        </w:rPr>
        <w:t> </w:t>
      </w:r>
      <w:r>
        <w:rPr/>
        <w:t>opinión</w:t>
      </w:r>
    </w:p>
    <w:p>
      <w:pPr>
        <w:pStyle w:val="BodyText"/>
        <w:spacing w:before="9"/>
        <w:rPr>
          <w:sz w:val="33"/>
        </w:rPr>
      </w:pPr>
    </w:p>
    <w:p>
      <w:pPr>
        <w:spacing w:line="235" w:lineRule="auto" w:before="0"/>
        <w:ind w:left="973" w:right="221" w:firstLine="0"/>
        <w:jc w:val="both"/>
        <w:rPr>
          <w:sz w:val="14"/>
        </w:rPr>
      </w:pPr>
      <w:r>
        <w:rPr>
          <w:sz w:val="22"/>
        </w:rPr>
        <w:t>El habitante moderno no “consume” sus objetos. (En esto tampoco tiene nada que ver el “gusto”, </w:t>
      </w:r>
      <w:r>
        <w:rPr>
          <w:spacing w:val="2"/>
          <w:sz w:val="22"/>
        </w:rPr>
        <w:t>el </w:t>
      </w:r>
      <w:r>
        <w:rPr>
          <w:sz w:val="22"/>
        </w:rPr>
        <w:t>cual nos remite, en su doble sentido, a objetos cerrados cuya forma contiene, por así decirlo, una sustancia “comestible”, que los hace interiorizables). Los domina, los controla, los ordena. Se encuentra a sí mismo en </w:t>
      </w:r>
      <w:r>
        <w:rPr>
          <w:spacing w:val="-3"/>
          <w:sz w:val="22"/>
        </w:rPr>
        <w:t>la </w:t>
      </w:r>
      <w:r>
        <w:rPr>
          <w:sz w:val="22"/>
        </w:rPr>
        <w:t>manipulación y en </w:t>
      </w:r>
      <w:r>
        <w:rPr>
          <w:spacing w:val="2"/>
          <w:sz w:val="22"/>
        </w:rPr>
        <w:t>el </w:t>
      </w:r>
      <w:r>
        <w:rPr>
          <w:sz w:val="22"/>
        </w:rPr>
        <w:t>equilibrio táctico de un</w:t>
      </w:r>
      <w:r>
        <w:rPr>
          <w:spacing w:val="-26"/>
          <w:sz w:val="22"/>
        </w:rPr>
        <w:t> </w:t>
      </w:r>
      <w:r>
        <w:rPr>
          <w:sz w:val="22"/>
        </w:rPr>
        <w:t>sistema.</w:t>
      </w:r>
      <w:r>
        <w:rPr>
          <w:position w:val="10"/>
          <w:sz w:val="14"/>
        </w:rPr>
        <w:t>237</w:t>
      </w:r>
    </w:p>
    <w:p>
      <w:pPr>
        <w:pStyle w:val="BodyText"/>
        <w:spacing w:before="2"/>
        <w:rPr>
          <w:sz w:val="33"/>
        </w:rPr>
      </w:pPr>
    </w:p>
    <w:p>
      <w:pPr>
        <w:pStyle w:val="BodyText"/>
        <w:spacing w:line="355" w:lineRule="auto"/>
        <w:ind w:left="264" w:right="219" w:firstLine="336"/>
        <w:jc w:val="both"/>
      </w:pPr>
      <w:r>
        <w:rPr/>
        <w:t>Esto le brinda a este hombre de la modernidad un lugar dentro del sistema, un carácter pragmático y funcional. La publicidad de los objetos lo absorbe, cambia  su forma de vida, sus relaciones sociales, la forma como se integra, se convierten en reflejo de una visión del mundo, en la que cada quien se concibe como un recipiente vacío que puede ser ocupado. Sin considerar que el ser humano como individuo es un ser plenamente biológico y plenamente cultural, como apunta Edgar  Morin,</w:t>
      </w:r>
      <w:r>
        <w:rPr>
          <w:position w:val="11"/>
          <w:sz w:val="16"/>
        </w:rPr>
        <w:t>238   </w:t>
      </w:r>
      <w:r>
        <w:rPr/>
        <w:t>que  contiene  en  ese  campo  individual  una </w:t>
      </w:r>
      <w:r>
        <w:rPr>
          <w:spacing w:val="58"/>
        </w:rPr>
        <w:t> </w:t>
      </w:r>
      <w:r>
        <w:rPr/>
        <w:t>unidad/diversidad</w:t>
      </w:r>
    </w:p>
    <w:p>
      <w:pPr>
        <w:pStyle w:val="BodyText"/>
        <w:spacing w:line="265" w:lineRule="exact"/>
        <w:ind w:left="264"/>
        <w:jc w:val="both"/>
      </w:pPr>
      <w:r>
        <w:rPr/>
        <w:t>genética.</w:t>
      </w:r>
    </w:p>
    <w:p>
      <w:pPr>
        <w:pStyle w:val="BodyText"/>
      </w:pPr>
    </w:p>
    <w:p>
      <w:pPr>
        <w:pStyle w:val="BodyText"/>
        <w:spacing w:before="3"/>
      </w:pPr>
    </w:p>
    <w:p>
      <w:pPr>
        <w:spacing w:line="235" w:lineRule="auto" w:before="0"/>
        <w:ind w:left="973" w:right="216" w:firstLine="0"/>
        <w:jc w:val="both"/>
        <w:rPr>
          <w:sz w:val="14"/>
        </w:rPr>
      </w:pPr>
      <w:r>
        <w:rPr>
          <w:sz w:val="22"/>
        </w:rPr>
        <w:t>Todo humano lleva de manera genética en sí </w:t>
      </w:r>
      <w:r>
        <w:rPr>
          <w:spacing w:val="-3"/>
          <w:sz w:val="22"/>
        </w:rPr>
        <w:t>la </w:t>
      </w:r>
      <w:r>
        <w:rPr>
          <w:sz w:val="22"/>
        </w:rPr>
        <w:t>especie humana e implica genéticamente su propia singularidad anatómica, fisiológica. Hay una unidad/diversidad cerebral, mental, sociológica, afectiva, intelectual y subjetiva: todo ser humano lleva en sí cerebral, mental, sicológica, afectiva, intelectual y subjetivamente caracteres fundamentalmente comunes y al mismo tiempo tiene  sus propias singularidades cerebrales, mentales, sicológicas, afectivas, intelectuales, subjetivas</w:t>
      </w:r>
      <w:r>
        <w:rPr>
          <w:spacing w:val="-21"/>
          <w:sz w:val="22"/>
        </w:rPr>
        <w:t> </w:t>
      </w:r>
      <w:r>
        <w:rPr>
          <w:sz w:val="22"/>
        </w:rPr>
        <w:t>[…]</w:t>
      </w:r>
      <w:r>
        <w:rPr>
          <w:position w:val="10"/>
          <w:sz w:val="14"/>
        </w:rPr>
        <w:t>239</w:t>
      </w:r>
    </w:p>
    <w:p>
      <w:pPr>
        <w:pStyle w:val="BodyText"/>
        <w:spacing w:before="11"/>
        <w:rPr>
          <w:sz w:val="35"/>
        </w:rPr>
      </w:pPr>
    </w:p>
    <w:p>
      <w:pPr>
        <w:pStyle w:val="BodyText"/>
        <w:spacing w:line="360" w:lineRule="auto"/>
        <w:ind w:left="264" w:right="214" w:firstLine="336"/>
        <w:jc w:val="both"/>
      </w:pPr>
      <w:r>
        <w:rPr/>
        <w:t>Este sistema de los objetos producidos por la industria del siglo XX, y promovidos ostentosamente por la televisión ha procurado atender esa diversidad del individuo sin dejar de buscar la estandarización de sus intereses. Atendiendo  la diversidad en la cultura, pero con tal eficiencia que no omiten la individualidad de lo</w:t>
      </w:r>
      <w:r>
        <w:rPr>
          <w:spacing w:val="-9"/>
        </w:rPr>
        <w:t> </w:t>
      </w:r>
      <w:r>
        <w:rPr/>
        <w:t>humano.</w:t>
      </w:r>
    </w:p>
    <w:p>
      <w:pPr>
        <w:pStyle w:val="BodyText"/>
        <w:rPr>
          <w:sz w:val="20"/>
        </w:rPr>
      </w:pPr>
    </w:p>
    <w:p>
      <w:pPr>
        <w:pStyle w:val="BodyText"/>
        <w:spacing w:before="7"/>
        <w:rPr>
          <w:sz w:val="27"/>
        </w:rPr>
      </w:pPr>
      <w:r>
        <w:rPr/>
        <w:pict>
          <v:line style="position:absolute;mso-position-horizontal-relative:page;mso-position-vertical-relative:paragraph;z-index:6904;mso-wrap-distance-left:0;mso-wrap-distance-right:0" from="99.224998pt,18.149864pt" to="243.274998pt,18.149864pt" stroked="true" strokeweight=".60004pt" strokecolor="#000000">
            <w10:wrap type="topAndBottom"/>
          </v:line>
        </w:pict>
      </w:r>
    </w:p>
    <w:p>
      <w:pPr>
        <w:spacing w:line="236" w:lineRule="exact" w:before="46"/>
        <w:ind w:left="264" w:right="0" w:firstLine="0"/>
        <w:jc w:val="left"/>
        <w:rPr>
          <w:rFonts w:ascii="Calibri" w:hAnsi="Calibri"/>
          <w:sz w:val="18"/>
        </w:rPr>
      </w:pPr>
      <w:r>
        <w:rPr>
          <w:rFonts w:ascii="Calibri" w:hAnsi="Calibri"/>
          <w:position w:val="9"/>
          <w:sz w:val="12"/>
        </w:rPr>
        <w:t>237  </w:t>
      </w:r>
      <w:r>
        <w:rPr>
          <w:rFonts w:ascii="Calibri" w:hAnsi="Calibri"/>
          <w:sz w:val="18"/>
        </w:rPr>
        <w:t>BAUDRILLARD, Jean, </w:t>
      </w:r>
      <w:r>
        <w:rPr>
          <w:rFonts w:ascii="Calibri" w:hAnsi="Calibri"/>
          <w:i/>
          <w:sz w:val="18"/>
        </w:rPr>
        <w:t>El sistema de los objetos, </w:t>
      </w:r>
      <w:r>
        <w:rPr>
          <w:rFonts w:ascii="Calibri" w:hAnsi="Calibri"/>
          <w:sz w:val="18"/>
        </w:rPr>
        <w:t>Siglo XXI, México, 2010, p. 26</w:t>
      </w:r>
    </w:p>
    <w:p>
      <w:pPr>
        <w:spacing w:line="220" w:lineRule="exact" w:before="0"/>
        <w:ind w:left="264" w:right="0" w:firstLine="0"/>
        <w:jc w:val="left"/>
        <w:rPr>
          <w:rFonts w:ascii="Calibri" w:hAnsi="Calibri"/>
          <w:sz w:val="18"/>
        </w:rPr>
      </w:pPr>
      <w:r>
        <w:rPr>
          <w:rFonts w:ascii="Calibri" w:hAnsi="Calibri"/>
          <w:position w:val="9"/>
          <w:sz w:val="12"/>
        </w:rPr>
        <w:t>238  </w:t>
      </w:r>
      <w:r>
        <w:rPr>
          <w:rFonts w:ascii="Calibri" w:hAnsi="Calibri"/>
          <w:sz w:val="18"/>
        </w:rPr>
        <w:t>MORIN, Edgar</w:t>
      </w:r>
      <w:r>
        <w:rPr>
          <w:rFonts w:ascii="Calibri" w:hAnsi="Calibri"/>
          <w:i/>
          <w:sz w:val="18"/>
        </w:rPr>
        <w:t>, Los siete Saberes Necesarios para la Educación del Futuro</w:t>
      </w:r>
      <w:r>
        <w:rPr>
          <w:rFonts w:ascii="Calibri" w:hAnsi="Calibri"/>
          <w:sz w:val="18"/>
        </w:rPr>
        <w:t>, Siglo XXI, México, 2008, pp. 50-51</w:t>
      </w:r>
    </w:p>
    <w:p>
      <w:pPr>
        <w:spacing w:line="236" w:lineRule="exact" w:before="0"/>
        <w:ind w:left="264" w:right="0" w:firstLine="0"/>
        <w:jc w:val="left"/>
        <w:rPr>
          <w:rFonts w:ascii="Calibri" w:hAnsi="Calibri"/>
          <w:sz w:val="18"/>
        </w:rPr>
      </w:pPr>
      <w:r>
        <w:rPr>
          <w:rFonts w:ascii="Calibri" w:hAnsi="Calibri"/>
          <w:position w:val="9"/>
          <w:sz w:val="12"/>
        </w:rPr>
        <w:t>239 </w:t>
      </w:r>
      <w:r>
        <w:rPr>
          <w:rFonts w:ascii="Calibri" w:hAnsi="Calibri"/>
          <w:i/>
          <w:sz w:val="18"/>
        </w:rPr>
        <w:t>Ibíd.</w:t>
      </w:r>
      <w:r>
        <w:rPr>
          <w:rFonts w:ascii="Calibri" w:hAnsi="Calibri"/>
          <w:sz w:val="18"/>
        </w:rPr>
        <w:t>, p. 53</w:t>
      </w:r>
    </w:p>
    <w:p>
      <w:pPr>
        <w:spacing w:after="0" w:line="236" w:lineRule="exact"/>
        <w:jc w:val="left"/>
        <w:rPr>
          <w:rFonts w:ascii="Calibri" w:hAnsi="Calibri"/>
          <w:sz w:val="18"/>
        </w:rPr>
        <w:sectPr>
          <w:footerReference w:type="default" r:id="rId103"/>
          <w:pgSz w:w="12240" w:h="15840"/>
          <w:pgMar w:footer="876" w:header="0" w:top="520" w:bottom="1060" w:left="1720" w:right="1200"/>
          <w:pgNumType w:start="13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697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5" w:lineRule="auto" w:before="70"/>
        <w:ind w:left="684" w:right="118" w:firstLine="336"/>
        <w:jc w:val="both"/>
      </w:pPr>
      <w:r>
        <w:rPr/>
        <w:t>Es tan efectivo el sistema que los objetos se transforman en la meta a seguir para el individuo, en el orden que organiza, en la imagen de lo funcional y pragmático, “el objeto es fundamentalmente antropomórfico. El hombre está ligado entonces a los objetos–ambiente con la misma intimidad visceral (sin dejar de advertir las diferencias) que a los órganos de su propio cuerpo [...]”</w:t>
      </w:r>
      <w:r>
        <w:rPr>
          <w:position w:val="11"/>
          <w:sz w:val="16"/>
        </w:rPr>
        <w:t>240 </w:t>
      </w:r>
      <w:r>
        <w:rPr/>
        <w:t>Poseer las cosas u objetos le causan una sensación de estar completo, y cuando su necesidad es satisfecha su presencia le sigue recordando la felicidad alcanzada.</w:t>
      </w:r>
    </w:p>
    <w:p>
      <w:pPr>
        <w:pStyle w:val="BodyText"/>
        <w:spacing w:line="360" w:lineRule="auto" w:before="7"/>
        <w:ind w:left="684" w:right="118" w:firstLine="271"/>
        <w:jc w:val="both"/>
      </w:pPr>
      <w:r>
        <w:rPr/>
        <w:t>El siglo XX podría también denominarse el siglo de los objetos. Con el desarrollo de la industria, de los grandes trusts y consorcios internacionales, la producción en cadena y la mercantilización se promueve un sistema que sienta sus bases en la compra-venta de cosas. Con el antecedente del individuo que busca satisfacer sus necesidades básicas y satisfacer sus deseos de comodidad, una de las principales características de la sociedad industrial es la de ser capaz de producir una infinidad de objetos destinados a ser consumidos y devorados por una sociedad que cada vez demanda más, y busca la felicidad en la interiorización de las</w:t>
      </w:r>
      <w:r>
        <w:rPr>
          <w:spacing w:val="-8"/>
        </w:rPr>
        <w:t> </w:t>
      </w:r>
      <w:r>
        <w:rPr/>
        <w:t>cosas.</w:t>
      </w:r>
    </w:p>
    <w:p>
      <w:pPr>
        <w:pStyle w:val="BodyText"/>
        <w:spacing w:line="355" w:lineRule="auto" w:before="6"/>
        <w:ind w:left="684" w:right="112" w:firstLine="336"/>
        <w:jc w:val="both"/>
      </w:pPr>
      <w:r>
        <w:rPr/>
        <w:t>La necesidad de la humanidad va de la mano con la producción de objetos, la forma como éstos son elaborados les da históricamente una connotación diferente y una interacción que se manifiesta en estilos y formas de vida. “Complejos de gestos y de fuerza, de símbolos y de funciones, ilustrados, estilizados por la energía humana”</w:t>
      </w:r>
      <w:r>
        <w:rPr>
          <w:position w:val="11"/>
          <w:sz w:val="16"/>
        </w:rPr>
        <w:t>241</w:t>
      </w:r>
      <w:r>
        <w:rPr/>
        <w:t>. El objeto es el reflejo de la realidad social, de las relaciones de producción y de la forma como los hombres se han organizado social, política y económicamente, son el reflejo fiel de lo que el hombre es. De su infraestructura y</w:t>
      </w:r>
    </w:p>
    <w:p>
      <w:pPr>
        <w:pStyle w:val="BodyText"/>
        <w:spacing w:line="340" w:lineRule="auto" w:before="7"/>
        <w:ind w:left="684" w:right="118"/>
        <w:jc w:val="both"/>
        <w:rPr>
          <w:sz w:val="16"/>
        </w:rPr>
      </w:pPr>
      <w:r>
        <w:rPr/>
        <w:t>de su superestructura. Afirma Baudrillard “El hombre no está libre de sus objetos, los objetos no están libres del hombre.”</w:t>
      </w:r>
      <w:r>
        <w:rPr>
          <w:position w:val="11"/>
          <w:sz w:val="16"/>
        </w:rPr>
        <w:t>242 </w:t>
      </w:r>
      <w:r>
        <w:rPr/>
        <w:t>Y considera que “[...] la relación del hombre con el objeto se expresa en una dialéctica social que es la de las fuerzas de producción.”</w:t>
      </w:r>
      <w:r>
        <w:rPr>
          <w:position w:val="11"/>
          <w:sz w:val="16"/>
        </w:rPr>
        <w:t>243</w:t>
      </w:r>
    </w:p>
    <w:p>
      <w:pPr>
        <w:pStyle w:val="BodyText"/>
        <w:spacing w:line="362" w:lineRule="auto" w:before="8"/>
        <w:ind w:left="684" w:right="118" w:firstLine="336"/>
        <w:jc w:val="both"/>
      </w:pPr>
      <w:r>
        <w:rPr/>
        <w:pict>
          <v:line style="position:absolute;mso-position-horizontal-relative:page;mso-position-vertical-relative:paragraph;z-index:6952;mso-wrap-distance-left:0;mso-wrap-distance-right:0" from="99.224998pt,47.55584pt" to="243.274998pt,47.55584pt" stroked="true" strokeweight=".60004pt" strokecolor="#000000">
            <w10:wrap type="topAndBottom"/>
          </v:line>
        </w:pict>
      </w:r>
      <w:r>
        <w:rPr/>
        <w:t>Si bien en el transcurso de la historia las naciones y las sociedades se han distinguido por su producción y estilo de objetos y a través de ello se identifica una</w:t>
      </w:r>
    </w:p>
    <w:p>
      <w:pPr>
        <w:spacing w:line="236" w:lineRule="exact" w:before="46"/>
        <w:ind w:left="684" w:right="114" w:firstLine="0"/>
        <w:jc w:val="left"/>
        <w:rPr>
          <w:rFonts w:ascii="Calibri" w:hAnsi="Calibri"/>
          <w:sz w:val="18"/>
        </w:rPr>
      </w:pPr>
      <w:r>
        <w:rPr>
          <w:rFonts w:ascii="Calibri" w:hAnsi="Calibri"/>
          <w:position w:val="9"/>
          <w:sz w:val="12"/>
        </w:rPr>
        <w:t>240 </w:t>
      </w:r>
      <w:r>
        <w:rPr>
          <w:rFonts w:ascii="Calibri" w:hAnsi="Calibri"/>
          <w:sz w:val="18"/>
        </w:rPr>
        <w:t>BAUDRILLARD, Jean, </w:t>
      </w:r>
      <w:r>
        <w:rPr>
          <w:rFonts w:ascii="Calibri" w:hAnsi="Calibri"/>
          <w:i/>
          <w:sz w:val="18"/>
        </w:rPr>
        <w:t>Óp. Cit., </w:t>
      </w:r>
      <w:r>
        <w:rPr>
          <w:rFonts w:ascii="Calibri" w:hAnsi="Calibri"/>
          <w:sz w:val="18"/>
        </w:rPr>
        <w:t>p. 28</w:t>
      </w:r>
    </w:p>
    <w:p>
      <w:pPr>
        <w:spacing w:line="220" w:lineRule="exact" w:before="0"/>
        <w:ind w:left="684" w:right="114" w:firstLine="0"/>
        <w:jc w:val="left"/>
        <w:rPr>
          <w:rFonts w:ascii="Calibri" w:hAnsi="Calibri"/>
          <w:sz w:val="18"/>
        </w:rPr>
      </w:pPr>
      <w:r>
        <w:rPr>
          <w:rFonts w:ascii="Calibri" w:hAnsi="Calibri"/>
          <w:position w:val="9"/>
          <w:sz w:val="12"/>
        </w:rPr>
        <w:t>241   </w:t>
      </w:r>
      <w:r>
        <w:rPr>
          <w:rFonts w:ascii="Calibri" w:hAnsi="Calibri"/>
          <w:i/>
          <w:sz w:val="18"/>
        </w:rPr>
        <w:t>Ibíd</w:t>
      </w:r>
      <w:r>
        <w:rPr>
          <w:rFonts w:ascii="Calibri" w:hAnsi="Calibri"/>
          <w:sz w:val="18"/>
        </w:rPr>
        <w:t>. p. 52</w:t>
      </w:r>
    </w:p>
    <w:p>
      <w:pPr>
        <w:spacing w:line="220" w:lineRule="exact" w:before="0"/>
        <w:ind w:left="684" w:right="114" w:firstLine="0"/>
        <w:jc w:val="left"/>
        <w:rPr>
          <w:rFonts w:ascii="Calibri" w:hAnsi="Calibri"/>
          <w:i/>
          <w:sz w:val="18"/>
        </w:rPr>
      </w:pPr>
      <w:r>
        <w:rPr>
          <w:rFonts w:ascii="Calibri" w:hAnsi="Calibri"/>
          <w:position w:val="9"/>
          <w:sz w:val="12"/>
        </w:rPr>
        <w:t>242 </w:t>
      </w:r>
      <w:r>
        <w:rPr>
          <w:rFonts w:ascii="Calibri" w:hAnsi="Calibri"/>
          <w:i/>
          <w:sz w:val="18"/>
        </w:rPr>
        <w:t>Ídem.</w:t>
      </w:r>
    </w:p>
    <w:p>
      <w:pPr>
        <w:spacing w:line="236" w:lineRule="exact" w:before="0"/>
        <w:ind w:left="684" w:right="114" w:firstLine="0"/>
        <w:jc w:val="left"/>
        <w:rPr>
          <w:rFonts w:ascii="Calibri" w:hAnsi="Calibri"/>
          <w:i/>
          <w:sz w:val="18"/>
        </w:rPr>
      </w:pPr>
      <w:r>
        <w:rPr>
          <w:rFonts w:ascii="Calibri" w:hAnsi="Calibri"/>
          <w:position w:val="9"/>
          <w:sz w:val="12"/>
        </w:rPr>
        <w:t>243 </w:t>
      </w:r>
      <w:r>
        <w:rPr>
          <w:rFonts w:ascii="Calibri" w:hAnsi="Calibri"/>
          <w:i/>
          <w:sz w:val="18"/>
        </w:rPr>
        <w:t>Ídem.</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702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7"/>
        <w:jc w:val="both"/>
      </w:pPr>
      <w:r>
        <w:rPr/>
        <w:t>determinada cultura, época o clase social, el siglo XX y XXI rompieron con ese paradigma y cada vez </w:t>
      </w:r>
      <w:r>
        <w:rPr>
          <w:spacing w:val="-2"/>
        </w:rPr>
        <w:t>más </w:t>
      </w:r>
      <w:r>
        <w:rPr/>
        <w:t>hombres y mujeres han unificado usos y costumbres  en torno a algún objeto, que dado el proceso de globalización del imperialismo de mercado, se ha puesto a la disposición de habitantes de distintas regiones geográficas, de diferentes naciones e inclusive de diferentes niveles económicos. (el precio y la calidad puede hacer la diferencia, sin embargo la función es la misma) Por ejemplo el televisor, que con singulares diferencias es ubicado en diferentes estratos sociales y diversas</w:t>
      </w:r>
      <w:r>
        <w:rPr>
          <w:spacing w:val="-27"/>
        </w:rPr>
        <w:t> </w:t>
      </w:r>
      <w:r>
        <w:rPr/>
        <w:t>culturas.</w:t>
      </w:r>
    </w:p>
    <w:p>
      <w:pPr>
        <w:pStyle w:val="BodyText"/>
        <w:spacing w:line="360" w:lineRule="auto" w:before="6"/>
        <w:ind w:left="264" w:right="223" w:firstLine="336"/>
        <w:jc w:val="both"/>
      </w:pPr>
      <w:r>
        <w:rPr/>
        <w:t>La funcionalidad de este aparato (el televisor) ha dado como resultado la confirmación y status de los mismos objetos (su presencia social). Ha legitimado su propio origen al convertirse en la herramienta principal de la difusión de esos objetos que se inmiscuyen de manera insistente en la vida del individuo prometiéndole el anhelado confort y la codiciada</w:t>
      </w:r>
      <w:r>
        <w:rPr>
          <w:spacing w:val="-29"/>
        </w:rPr>
        <w:t> </w:t>
      </w:r>
      <w:r>
        <w:rPr/>
        <w:t>placidez.</w:t>
      </w:r>
    </w:p>
    <w:p>
      <w:pPr>
        <w:pStyle w:val="BodyText"/>
        <w:spacing w:line="360" w:lineRule="auto" w:before="2"/>
        <w:ind w:left="264" w:right="218" w:firstLine="336"/>
        <w:jc w:val="both"/>
      </w:pPr>
      <w:r>
        <w:rPr/>
        <w:t>Objeto que lo desplaza y aliena frente a la reproducción del mismo. Uno de los mayores retos del hombre del siglo XX fue enfrentar el avance tecnológico que cada día lo desplaza frente a la máquina productora de objetos, que disminuye sus capacidades frente al nuevo objeto, lo vuelve menos coherente en una sociedad que exige habilidades de abstracción mayores y una inteligencia más avanzada para adaptarse a las nuevas estructuras tecnológicas que le vuelven el mundo irreal y como comenta Baudrillard: “El envite de la técnica y de las ciencias parece</w:t>
      </w:r>
    </w:p>
    <w:p>
      <w:pPr>
        <w:pStyle w:val="BodyText"/>
        <w:spacing w:line="328" w:lineRule="auto" w:before="5"/>
        <w:ind w:left="264" w:right="227"/>
        <w:jc w:val="both"/>
        <w:rPr>
          <w:sz w:val="16"/>
        </w:rPr>
      </w:pPr>
      <w:r>
        <w:rPr/>
        <w:t>ser más bien el de enfrentarnos a un mundo definitivamente irreal, más allá de todo principio de verdad y</w:t>
      </w:r>
      <w:r>
        <w:rPr>
          <w:spacing w:val="-19"/>
        </w:rPr>
        <w:t> </w:t>
      </w:r>
      <w:r>
        <w:rPr/>
        <w:t>realidad.”</w:t>
      </w:r>
      <w:r>
        <w:rPr>
          <w:position w:val="11"/>
          <w:sz w:val="16"/>
        </w:rPr>
        <w:t>244</w:t>
      </w:r>
    </w:p>
    <w:p>
      <w:pPr>
        <w:pStyle w:val="BodyText"/>
        <w:spacing w:line="360" w:lineRule="auto" w:before="27"/>
        <w:ind w:left="264" w:right="214" w:firstLine="336"/>
        <w:jc w:val="both"/>
      </w:pPr>
      <w:r>
        <w:rPr/>
        <w:t>El control, la disminución del esfuerzo creativo (del televidente), la posibilidad de ejecutar acciones eficientemente se pone a la venta por medio de la televisión, que ofrece miles de artículos que con sólo mover un dedo u oprimir un botón ofrecen resultados prácticos y rápidos. Las operaciones complejas cómo las matemáticas o de cálculo son resueltas con un ordenador, las operaciones sencillas y cotidianas como lavar o elaborar alimentos se desvanecen en un acto de mínimo esfuerzo y máximo</w:t>
      </w:r>
      <w:r>
        <w:rPr>
          <w:spacing w:val="-19"/>
        </w:rPr>
        <w:t> </w:t>
      </w:r>
      <w:r>
        <w:rPr/>
        <w:t>control.</w:t>
      </w: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7000;mso-wrap-distance-left:0;mso-wrap-distance-right:0" from="99.224998pt,11.260841pt" to="243.274998pt,11.260841pt" stroked="true" strokeweight=".60004pt" strokecolor="#000000">
            <w10:wrap type="topAndBottom"/>
          </v:line>
        </w:pict>
      </w:r>
    </w:p>
    <w:p>
      <w:pPr>
        <w:spacing w:before="46"/>
        <w:ind w:left="264" w:right="0" w:firstLine="0"/>
        <w:jc w:val="left"/>
        <w:rPr>
          <w:rFonts w:ascii="Calibri"/>
          <w:sz w:val="18"/>
        </w:rPr>
      </w:pPr>
      <w:r>
        <w:rPr>
          <w:rFonts w:ascii="Calibri"/>
          <w:position w:val="9"/>
          <w:sz w:val="12"/>
        </w:rPr>
        <w:t>244  </w:t>
      </w:r>
      <w:r>
        <w:rPr>
          <w:rFonts w:ascii="Calibri"/>
          <w:sz w:val="18"/>
        </w:rPr>
        <w:t>BAUDRILLARD, Jean, </w:t>
      </w:r>
      <w:r>
        <w:rPr>
          <w:rFonts w:ascii="Calibri"/>
          <w:i/>
          <w:sz w:val="18"/>
        </w:rPr>
        <w:t>La transparencia del mal, </w:t>
      </w:r>
      <w:r>
        <w:rPr>
          <w:rFonts w:ascii="Calibri"/>
          <w:sz w:val="18"/>
        </w:rPr>
        <w:t>Anagrama, Barcelona, 2001, p. 50</w:t>
      </w:r>
    </w:p>
    <w:p>
      <w:pPr>
        <w:spacing w:after="0"/>
        <w:jc w:val="left"/>
        <w:rPr>
          <w:rFonts w:asci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704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2" w:firstLine="336"/>
        <w:jc w:val="both"/>
      </w:pPr>
      <w:r>
        <w:rPr/>
        <w:t>Ante este panorama el encuentro con la felicidad se hace cada vez más distante. Cada objeto en lugar de acercarlo a ella lo aleja más. Pues su meta está puesta en la apropiación del próximo objeto.</w:t>
      </w:r>
    </w:p>
    <w:p>
      <w:pPr>
        <w:pStyle w:val="BodyText"/>
      </w:pPr>
    </w:p>
    <w:p>
      <w:pPr>
        <w:pStyle w:val="Heading3"/>
        <w:numPr>
          <w:ilvl w:val="1"/>
          <w:numId w:val="6"/>
        </w:numPr>
        <w:tabs>
          <w:tab w:pos="952" w:val="left" w:leader="none"/>
        </w:tabs>
        <w:spacing w:line="240" w:lineRule="auto" w:before="138" w:after="0"/>
        <w:ind w:left="951" w:right="0" w:hanging="267"/>
        <w:jc w:val="left"/>
        <w:rPr>
          <w:rFonts w:ascii="Arial" w:hAnsi="Arial"/>
        </w:rPr>
      </w:pPr>
      <w:bookmarkStart w:name="_TOC_250018" w:id="6"/>
      <w:r>
        <w:rPr>
          <w:rFonts w:ascii="Arial" w:hAnsi="Arial"/>
        </w:rPr>
        <w:t>Televisión: realidad y</w:t>
      </w:r>
      <w:r>
        <w:rPr>
          <w:rFonts w:ascii="Arial" w:hAnsi="Arial"/>
          <w:spacing w:val="-11"/>
        </w:rPr>
        <w:t> </w:t>
      </w:r>
      <w:bookmarkEnd w:id="6"/>
      <w:r>
        <w:rPr>
          <w:rFonts w:ascii="Arial" w:hAnsi="Arial"/>
        </w:rPr>
        <w:t>apariencia</w:t>
      </w:r>
    </w:p>
    <w:p>
      <w:pPr>
        <w:pStyle w:val="BodyText"/>
        <w:rPr>
          <w:b/>
        </w:rPr>
      </w:pPr>
    </w:p>
    <w:p>
      <w:pPr>
        <w:pStyle w:val="BodyText"/>
        <w:spacing w:before="4"/>
        <w:rPr>
          <w:b/>
        </w:rPr>
      </w:pPr>
    </w:p>
    <w:p>
      <w:pPr>
        <w:pStyle w:val="BodyText"/>
        <w:spacing w:line="360" w:lineRule="auto"/>
        <w:ind w:left="684" w:right="114" w:firstLine="404"/>
        <w:jc w:val="both"/>
      </w:pPr>
      <w:r>
        <w:rPr/>
        <w:t>El fenómeno de la televisión que transformó la comunicación social en el siglo XX y XXI, que ha puesto en juego sus diferentes estrategias, para modificar la manera de pensar de los seres humanos expuestos a su mensaje, implica hablar de la construcción de una nueva cultura que, en esta era, significa profundizar en unos de los rubros que caracterizan a la sociedad de nuestro tiempo, la comunicación mediática, dada la cantidad y calidad de este medio para invadir el pensamiento social; difundir contenidos y generar consensos que se diseminan rápidamente, expandiéndose de manera vertiginosa, arrasando conciencias y estableciendo paradigmas nuevos y cambiantes.</w:t>
      </w:r>
    </w:p>
    <w:p>
      <w:pPr>
        <w:pStyle w:val="BodyText"/>
        <w:spacing w:line="360" w:lineRule="auto" w:before="2"/>
        <w:ind w:left="684" w:right="120" w:firstLine="336"/>
        <w:jc w:val="both"/>
      </w:pPr>
      <w:r>
        <w:rPr/>
        <w:t>Su estructura tecnológica la hace más eficiente y eficaz al reunir en torno a un solo aparato características de otros medios probados por su capacidad de transmisión, la imagen (en su sentido comunicacional), la radio ( por su uso del sonido) y el cine ( que representa la unión de los dos anteriores de una manera artística) respondiendo a los intereses del ser humano, en cuanto a su deseo de conocer y de recreación a través de sus sentidos (la vista, el oido) y la necesidad de ubicarse en el tiempo y el espacio. Bueno afirma en relación a lo anterior:</w:t>
      </w:r>
    </w:p>
    <w:p>
      <w:pPr>
        <w:pStyle w:val="BodyText"/>
        <w:spacing w:before="9"/>
      </w:pPr>
    </w:p>
    <w:p>
      <w:pPr>
        <w:spacing w:line="235" w:lineRule="auto" w:before="0"/>
        <w:ind w:left="1393" w:right="119" w:firstLine="0"/>
        <w:jc w:val="both"/>
        <w:rPr>
          <w:sz w:val="14"/>
        </w:rPr>
      </w:pPr>
      <w:r>
        <w:rPr>
          <w:sz w:val="22"/>
        </w:rPr>
        <w:t>De hecho </w:t>
      </w:r>
      <w:r>
        <w:rPr>
          <w:spacing w:val="-3"/>
          <w:sz w:val="22"/>
        </w:rPr>
        <w:t>la </w:t>
      </w:r>
      <w:r>
        <w:rPr>
          <w:sz w:val="22"/>
        </w:rPr>
        <w:t>mayor parte de los efectos que se atribuyen a </w:t>
      </w:r>
      <w:r>
        <w:rPr>
          <w:spacing w:val="-3"/>
          <w:sz w:val="22"/>
        </w:rPr>
        <w:t>la </w:t>
      </w:r>
      <w:r>
        <w:rPr>
          <w:sz w:val="22"/>
        </w:rPr>
        <w:t>televisión por parte  de los tratadistas, cabría atribuirlos a los momentos en los cuales </w:t>
      </w:r>
      <w:r>
        <w:rPr>
          <w:spacing w:val="-3"/>
          <w:sz w:val="22"/>
        </w:rPr>
        <w:t>la </w:t>
      </w:r>
      <w:r>
        <w:rPr>
          <w:sz w:val="22"/>
        </w:rPr>
        <w:t>televisión y </w:t>
      </w:r>
      <w:r>
        <w:rPr>
          <w:spacing w:val="2"/>
          <w:sz w:val="22"/>
        </w:rPr>
        <w:t>el </w:t>
      </w:r>
      <w:r>
        <w:rPr>
          <w:sz w:val="22"/>
        </w:rPr>
        <w:t>cine, y a veces </w:t>
      </w:r>
      <w:r>
        <w:rPr>
          <w:spacing w:val="-3"/>
          <w:sz w:val="22"/>
        </w:rPr>
        <w:t>la </w:t>
      </w:r>
      <w:r>
        <w:rPr>
          <w:sz w:val="22"/>
        </w:rPr>
        <w:t>radio, comportan ciertas características estructurales comunes, como puede ser </w:t>
      </w:r>
      <w:r>
        <w:rPr>
          <w:spacing w:val="-3"/>
          <w:sz w:val="22"/>
        </w:rPr>
        <w:t>la </w:t>
      </w:r>
      <w:r>
        <w:rPr>
          <w:sz w:val="22"/>
        </w:rPr>
        <w:t>pantalla en que desfilan secuencias de imágenes acompañadas, generalmente, de sonidos. La &lt;&lt;estructura&gt;&gt; de un medio no es  un sistema simple, sino complejo, con muchos niveles, capas o</w:t>
      </w:r>
      <w:r>
        <w:rPr>
          <w:spacing w:val="-40"/>
          <w:sz w:val="22"/>
        </w:rPr>
        <w:t> </w:t>
      </w:r>
      <w:r>
        <w:rPr>
          <w:sz w:val="22"/>
        </w:rPr>
        <w:t>subsistemas.</w:t>
      </w:r>
      <w:r>
        <w:rPr>
          <w:position w:val="10"/>
          <w:sz w:val="14"/>
        </w:rPr>
        <w:t>245</w:t>
      </w:r>
    </w:p>
    <w:p>
      <w:pPr>
        <w:pStyle w:val="BodyText"/>
        <w:spacing w:before="2"/>
        <w:rPr>
          <w:sz w:val="33"/>
        </w:rPr>
      </w:pPr>
    </w:p>
    <w:p>
      <w:pPr>
        <w:pStyle w:val="BodyText"/>
        <w:spacing w:line="360" w:lineRule="auto"/>
        <w:ind w:left="684" w:right="115" w:firstLine="336"/>
        <w:jc w:val="both"/>
      </w:pPr>
      <w:r>
        <w:rPr/>
        <w:t>La televisión es, en el transcurso de la historia, un ente relativamente nuevo, su inserción en la historia del hombre tiene menos de un siglo, y su importancia es tal que ha transformado a gran escala el fenómeno de la comunicación; los    ámbitos</w:t>
      </w:r>
    </w:p>
    <w:p>
      <w:pPr>
        <w:spacing w:after="0" w:line="360" w:lineRule="auto"/>
        <w:jc w:val="both"/>
        <w:sectPr>
          <w:footerReference w:type="default" r:id="rId104"/>
          <w:pgSz w:w="12240" w:h="15840"/>
          <w:pgMar w:footer="1273" w:header="0" w:top="520" w:bottom="1460" w:left="1300" w:right="1300"/>
          <w:pgNumType w:start="133"/>
        </w:sectPr>
      </w:pPr>
    </w:p>
    <w:p>
      <w:pPr>
        <w:pStyle w:val="Heading3"/>
      </w:pPr>
      <w:r>
        <w:rPr/>
        <w:pict>
          <v:line style="position:absolute;mso-position-horizontal-relative:page;mso-position-vertical-relative:paragraph;z-index:709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3"/>
        <w:jc w:val="both"/>
      </w:pPr>
      <w:r>
        <w:rPr/>
        <w:t>que implica son de tipo tecnológico y de tipo humano, su presencia aglutina un conglomerado de instituciones, de las cuales es el núcleo. Además de un conjunto de recursos humanos de un amplio espectro. Desde técnicos en electro comunicaciones, técnicos en sonido, ingenieros, actores, aparato administrativo, diseñadores de moda, de estilo; infraestructura, equipo, satélites, redes, literatos, músicos, guionistas, y muchos más, que dan soporte al trabajo creativo, conformando el fenómeno televisivo. “Podríamos decir que el ente televisivo es, en cuanto  ente  nuevo, un &lt;&lt;sistema&gt;&gt;  constituido  por  un  núcleo tecnológico y un</w:t>
      </w:r>
    </w:p>
    <w:p>
      <w:pPr>
        <w:pStyle w:val="BodyText"/>
        <w:spacing w:line="350" w:lineRule="auto" w:before="6"/>
        <w:ind w:left="264" w:right="215"/>
        <w:jc w:val="both"/>
      </w:pPr>
      <w:r>
        <w:rPr/>
        <w:t>cuerpo institucional que se mantienen entre sí en constante interacción, que determina su desarrollo conjunto.”</w:t>
      </w:r>
      <w:r>
        <w:rPr>
          <w:position w:val="11"/>
          <w:sz w:val="16"/>
        </w:rPr>
        <w:t>246 </w:t>
      </w:r>
      <w:r>
        <w:rPr/>
        <w:t>Su complejidad entrelaza una serie de estructuras que se organizan en torno a un sistema que tiene como fundamento la comunicación y la recreación.</w:t>
      </w:r>
    </w:p>
    <w:p>
      <w:pPr>
        <w:pStyle w:val="BodyText"/>
        <w:spacing w:line="360" w:lineRule="auto" w:before="16"/>
        <w:ind w:left="264" w:right="214" w:firstLine="336"/>
        <w:jc w:val="both"/>
      </w:pPr>
      <w:r>
        <w:rPr/>
        <w:t>La televisión se convierte a partir de su fundación en la herramienta más poderosa para influir en la forma de pensar, orientar acciones, modificar  conductas, conmover sentimientos y por lo tanto generar opinión. La comunicación colectiva que impacta en la sociedad es promovida de manera expedita y elocuente, como se ha mencionado antes, por este medio, con una gran carga de emotividad que provoca en los individuos pensamientos en torno a los hechos presentados, genera emociones y pasiones que orientan y guían su</w:t>
      </w:r>
      <w:r>
        <w:rPr>
          <w:spacing w:val="-41"/>
        </w:rPr>
        <w:t> </w:t>
      </w:r>
      <w:r>
        <w:rPr/>
        <w:t>actuar.</w:t>
      </w:r>
    </w:p>
    <w:p>
      <w:pPr>
        <w:pStyle w:val="BodyText"/>
        <w:spacing w:line="355" w:lineRule="auto" w:before="2"/>
        <w:ind w:left="264" w:right="218" w:firstLine="336"/>
        <w:jc w:val="both"/>
      </w:pPr>
      <w:r>
        <w:rPr/>
        <w:t>Bajo este principio, el mensaje televisivo asalta la conciencia de los individuos acudiendo a la parte no racional y más emotiva del mismo, </w:t>
      </w:r>
      <w:r>
        <w:rPr>
          <w:spacing w:val="-3"/>
        </w:rPr>
        <w:t>ya </w:t>
      </w:r>
      <w:r>
        <w:rPr/>
        <w:t>que con funciones de: informador, conductor, asesor, sabio, consejero espiritual marca en los tele- videntes pautas a seguir para obtener la ansiada felicidad. “La promesa de una felicidad inmediata o a plazos es una constante en la retórica actual, especialmente en la publicitaria”.</w:t>
      </w:r>
      <w:r>
        <w:rPr>
          <w:position w:val="11"/>
          <w:sz w:val="16"/>
        </w:rPr>
        <w:t>247 </w:t>
      </w:r>
      <w:r>
        <w:rPr/>
        <w:t>Mensajes que imprimen en los receptores un estilo de vida, que implica opiniones, acciones y sentimientos   </w:t>
      </w:r>
      <w:r>
        <w:rPr>
          <w:spacing w:val="26"/>
        </w:rPr>
        <w:t> </w:t>
      </w:r>
      <w:r>
        <w:rPr/>
        <w:t>como resultado de</w:t>
      </w:r>
    </w:p>
    <w:p>
      <w:pPr>
        <w:pStyle w:val="BodyText"/>
        <w:spacing w:before="11"/>
        <w:ind w:left="264"/>
        <w:jc w:val="both"/>
      </w:pPr>
      <w:r>
        <w:rPr/>
        <w:t>estos.</w:t>
      </w:r>
    </w:p>
    <w:p>
      <w:pPr>
        <w:pStyle w:val="BodyText"/>
        <w:spacing w:line="360" w:lineRule="auto" w:before="136"/>
        <w:ind w:left="264" w:right="219" w:firstLine="336"/>
        <w:jc w:val="both"/>
      </w:pPr>
      <w:r>
        <w:rPr/>
        <w:pict>
          <v:line style="position:absolute;mso-position-horizontal-relative:page;mso-position-vertical-relative:paragraph;z-index:7072;mso-wrap-distance-left:0;mso-wrap-distance-right:0" from="99.224998pt,71.360847pt" to="243.274998pt,71.360847pt" stroked="true" strokeweight=".60004pt" strokecolor="#000000">
            <w10:wrap type="topAndBottom"/>
          </v:line>
        </w:pict>
      </w:r>
      <w:r>
        <w:rPr/>
        <w:t>La televisión como medio principal de expansión del capitalismo, convierte su mensaje en el elemento que presenta la realidad como algo auténtico y genuino, que  en  esencia  no  lo  es.  Las  campañas  publicitarias  promovidas  por   </w:t>
      </w:r>
      <w:r>
        <w:rPr>
          <w:spacing w:val="62"/>
        </w:rPr>
        <w:t> </w:t>
      </w:r>
      <w:r>
        <w:rPr/>
        <w:t>ésta,</w:t>
      </w:r>
    </w:p>
    <w:p>
      <w:pPr>
        <w:spacing w:before="46"/>
        <w:ind w:left="264" w:right="0" w:firstLine="0"/>
        <w:jc w:val="left"/>
        <w:rPr>
          <w:rFonts w:ascii="Calibri" w:hAnsi="Calibri"/>
          <w:sz w:val="18"/>
        </w:rPr>
      </w:pPr>
      <w:r>
        <w:rPr>
          <w:rFonts w:ascii="Calibri" w:hAnsi="Calibri"/>
          <w:position w:val="9"/>
          <w:sz w:val="12"/>
        </w:rPr>
        <w:t>246   </w:t>
      </w:r>
      <w:r>
        <w:rPr>
          <w:rFonts w:ascii="Calibri" w:hAnsi="Calibri"/>
          <w:i/>
          <w:sz w:val="18"/>
        </w:rPr>
        <w:t>Ibíd. </w:t>
      </w:r>
      <w:r>
        <w:rPr>
          <w:rFonts w:ascii="Calibri" w:hAnsi="Calibri"/>
          <w:sz w:val="18"/>
        </w:rPr>
        <w:t>p. 12</w:t>
      </w:r>
    </w:p>
    <w:p>
      <w:pPr>
        <w:spacing w:after="0"/>
        <w:jc w:val="left"/>
        <w:rPr>
          <w:rFonts w:ascii="Calibri" w:hAnsi="Calibri"/>
          <w:sz w:val="18"/>
        </w:rPr>
        <w:sectPr>
          <w:footerReference w:type="default" r:id="rId105"/>
          <w:pgSz w:w="12240" w:h="15840"/>
          <w:pgMar w:footer="1096" w:header="0" w:top="520" w:bottom="128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714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7"/>
        <w:jc w:val="both"/>
      </w:pPr>
      <w:r>
        <w:rPr/>
        <w:t>prácticamente imitan la realidad, pero están tan lejos de ella como la felicidad expresada por un anuncio de productos cosméticos, con el verdadero efecto que provoca en el individuo. Los comunicadores se preparan para manejar el medio televisivo, para llegar a la población en forma elocuente y eficaz. Desde esta perspectiva Smith comenta: “Cada generación de comunicadores ha tenido que adquirir una nueva serie de capacidades adecuadas a los medios en boga en el momento,</w:t>
      </w:r>
      <w:r>
        <w:rPr>
          <w:spacing w:val="55"/>
        </w:rPr>
        <w:t> </w:t>
      </w:r>
      <w:r>
        <w:rPr/>
        <w:t>que</w:t>
      </w:r>
      <w:r>
        <w:rPr>
          <w:spacing w:val="52"/>
        </w:rPr>
        <w:t> </w:t>
      </w:r>
      <w:r>
        <w:rPr/>
        <w:t>a su vez,</w:t>
      </w:r>
      <w:r>
        <w:rPr>
          <w:spacing w:val="55"/>
        </w:rPr>
        <w:t> </w:t>
      </w:r>
      <w:r>
        <w:rPr/>
        <w:t>registra las</w:t>
      </w:r>
      <w:r>
        <w:rPr>
          <w:spacing w:val="50"/>
        </w:rPr>
        <w:t> </w:t>
      </w:r>
      <w:r>
        <w:rPr/>
        <w:t>imágenes</w:t>
      </w:r>
      <w:r>
        <w:rPr>
          <w:spacing w:val="54"/>
        </w:rPr>
        <w:t> </w:t>
      </w:r>
      <w:r>
        <w:rPr/>
        <w:t>y</w:t>
      </w:r>
      <w:r>
        <w:rPr>
          <w:spacing w:val="50"/>
        </w:rPr>
        <w:t> </w:t>
      </w:r>
      <w:r>
        <w:rPr/>
        <w:t>posturas</w:t>
      </w:r>
      <w:r>
        <w:rPr>
          <w:spacing w:val="54"/>
        </w:rPr>
        <w:t> </w:t>
      </w:r>
      <w:r>
        <w:rPr/>
        <w:t>que</w:t>
      </w:r>
      <w:r>
        <w:rPr>
          <w:spacing w:val="53"/>
        </w:rPr>
        <w:t> </w:t>
      </w:r>
      <w:r>
        <w:rPr/>
        <w:t>dominan en</w:t>
      </w:r>
      <w:r>
        <w:rPr>
          <w:spacing w:val="52"/>
        </w:rPr>
        <w:t> </w:t>
      </w:r>
      <w:r>
        <w:rPr/>
        <w:t>la</w:t>
      </w:r>
    </w:p>
    <w:p>
      <w:pPr>
        <w:pStyle w:val="BodyText"/>
        <w:spacing w:line="278" w:lineRule="exact"/>
        <w:ind w:left="684"/>
        <w:jc w:val="both"/>
      </w:pPr>
      <w:r>
        <w:rPr/>
        <w:t>sociedad  [...]”</w:t>
      </w:r>
      <w:r>
        <w:rPr>
          <w:position w:val="11"/>
          <w:sz w:val="16"/>
        </w:rPr>
        <w:t>248   </w:t>
      </w:r>
      <w:r>
        <w:rPr/>
        <w:t>Proceso  indispensable  para  lograr  el  éxito  en  el  uso  de  </w:t>
      </w:r>
      <w:r>
        <w:rPr>
          <w:spacing w:val="63"/>
        </w:rPr>
        <w:t> </w:t>
      </w:r>
      <w:r>
        <w:rPr/>
        <w:t>la</w:t>
      </w:r>
    </w:p>
    <w:p>
      <w:pPr>
        <w:pStyle w:val="BodyText"/>
        <w:spacing w:before="140"/>
        <w:ind w:left="684"/>
        <w:jc w:val="both"/>
      </w:pPr>
      <w:r>
        <w:rPr/>
        <w:t>tecnología y la adecuada transmisión del mensaje.</w:t>
      </w:r>
    </w:p>
    <w:p>
      <w:pPr>
        <w:pStyle w:val="BodyText"/>
        <w:spacing w:line="360" w:lineRule="auto" w:before="136"/>
        <w:ind w:left="684" w:right="118" w:firstLine="336"/>
        <w:jc w:val="both"/>
      </w:pPr>
      <w:r>
        <w:rPr/>
        <w:t>El siglo XX y la primera década del siglo XXI han demostrado, como se ha mencionado antes, la forma como el ser humano puede, de manera radical, transformar su estructura social, la imagen de hombres y mujeres, los estilos de vida, sus relaciones sociales; esta etapa de </w:t>
      </w:r>
      <w:r>
        <w:rPr>
          <w:spacing w:val="-2"/>
        </w:rPr>
        <w:t>más </w:t>
      </w:r>
      <w:r>
        <w:rPr/>
        <w:t>de seis milenios de historia ha cristalizado en lo que para los hombres del siglo XVIII y XIX fue ciencia ficción,  aún así con todas las esperanzas puestas en el futuro, con la idea de que el destino nos ha alcanzado; muchos aspectos negativos de la sociedad perviven y ponen de manifiesto el sentido destructivo del</w:t>
      </w:r>
      <w:r>
        <w:rPr>
          <w:spacing w:val="-35"/>
        </w:rPr>
        <w:t> </w:t>
      </w:r>
      <w:r>
        <w:rPr/>
        <w:t>hombre.</w:t>
      </w:r>
    </w:p>
    <w:p>
      <w:pPr>
        <w:pStyle w:val="BodyText"/>
        <w:spacing w:line="360" w:lineRule="auto" w:before="2"/>
        <w:ind w:left="684" w:right="117" w:firstLine="336"/>
        <w:jc w:val="both"/>
      </w:pPr>
      <w:r>
        <w:rPr/>
        <w:t>Con esto la explicación de los fenómenos sociales, pareciera en algunos casos quedar fuera del alcance epistémico, dado que las categorías con las que abstraemos el mundo y lo asimilamos a nuestra forma de entendimiento se encuentran enmarcadas en un pensamiento abismal que limita la percepción del mundo. Para Luhmann: “El mundo como lo experimentamos al ordenar la vida,</w:t>
      </w:r>
    </w:p>
    <w:p>
      <w:pPr>
        <w:pStyle w:val="BodyText"/>
        <w:spacing w:line="328" w:lineRule="auto" w:before="6"/>
        <w:ind w:left="684" w:right="117"/>
        <w:jc w:val="both"/>
        <w:rPr>
          <w:sz w:val="16"/>
        </w:rPr>
      </w:pPr>
      <w:r>
        <w:rPr/>
        <w:t>sigue siendo preconsciente, en el status de un horizonte de posibilidades no actualizadas.”</w:t>
      </w:r>
      <w:r>
        <w:rPr>
          <w:position w:val="11"/>
          <w:sz w:val="16"/>
        </w:rPr>
        <w:t>249</w:t>
      </w:r>
    </w:p>
    <w:p>
      <w:pPr>
        <w:pStyle w:val="BodyText"/>
        <w:spacing w:line="360" w:lineRule="auto" w:before="27"/>
        <w:ind w:left="684" w:right="113" w:firstLine="271"/>
        <w:jc w:val="both"/>
      </w:pPr>
      <w:r>
        <w:rPr/>
        <w:t>Status que en función de las experiencias societales ha cambiado al ser humano sin que por ello cambie su esencia de ser mítico-simbólico, que se manifiesta en un mundo objetual-conceptual, que tiene como sustento lo que se denomina mundo cultural, que contiene modelos y estructuras de relación que vinculan labores comunes, influencias directas e indirectas, con la basta posibilidad  de  comprender   y  ser  comprendidos.  En  un  mundo  cultural    </w:t>
      </w:r>
      <w:r>
        <w:rPr>
          <w:spacing w:val="23"/>
        </w:rPr>
        <w:t> </w:t>
      </w:r>
      <w:r>
        <w:rPr/>
        <w:t>que</w:t>
      </w:r>
    </w:p>
    <w:p>
      <w:pPr>
        <w:pStyle w:val="BodyText"/>
        <w:spacing w:before="8"/>
        <w:rPr>
          <w:sz w:val="8"/>
        </w:rPr>
      </w:pPr>
      <w:r>
        <w:rPr/>
        <w:pict>
          <v:line style="position:absolute;mso-position-horizontal-relative:page;mso-position-vertical-relative:paragraph;z-index:7120;mso-wrap-distance-left:0;mso-wrap-distance-right:0" from="99.224998pt,7.258888pt" to="243.274998pt,7.258888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248  </w:t>
      </w:r>
      <w:r>
        <w:rPr>
          <w:rFonts w:ascii="Calibri" w:hAnsi="Calibri"/>
          <w:sz w:val="18"/>
        </w:rPr>
        <w:t>SMITH, Anthony, </w:t>
      </w:r>
      <w:r>
        <w:rPr>
          <w:rFonts w:ascii="Calibri" w:hAnsi="Calibri"/>
          <w:i/>
          <w:sz w:val="18"/>
        </w:rPr>
        <w:t>La política de la información, </w:t>
      </w:r>
      <w:r>
        <w:rPr>
          <w:rFonts w:ascii="Calibri" w:hAnsi="Calibri"/>
          <w:sz w:val="18"/>
        </w:rPr>
        <w:t>Fondo de Cultura Económica, México, 1984, p. 45</w:t>
      </w:r>
    </w:p>
    <w:p>
      <w:pPr>
        <w:spacing w:line="236" w:lineRule="exact" w:before="0"/>
        <w:ind w:left="684" w:right="114" w:firstLine="0"/>
        <w:jc w:val="left"/>
        <w:rPr>
          <w:rFonts w:ascii="Calibri" w:hAnsi="Calibri"/>
          <w:i/>
          <w:sz w:val="18"/>
        </w:rPr>
      </w:pPr>
      <w:r>
        <w:rPr>
          <w:rFonts w:ascii="Calibri" w:hAnsi="Calibri"/>
          <w:position w:val="9"/>
          <w:sz w:val="12"/>
        </w:rPr>
        <w:t>249 </w:t>
      </w:r>
      <w:r>
        <w:rPr>
          <w:rFonts w:ascii="Calibri" w:hAnsi="Calibri"/>
          <w:i/>
          <w:sz w:val="18"/>
        </w:rPr>
        <w:t>Ídem.</w:t>
      </w:r>
    </w:p>
    <w:p>
      <w:pPr>
        <w:spacing w:after="0" w:line="236" w:lineRule="exact"/>
        <w:jc w:val="left"/>
        <w:rPr>
          <w:rFonts w:ascii="Calibri" w:hAnsi="Calibri"/>
          <w:sz w:val="18"/>
        </w:rPr>
        <w:sectPr>
          <w:footerReference w:type="default" r:id="rId106"/>
          <w:pgSz w:w="12240" w:h="15840"/>
          <w:pgMar w:footer="876" w:header="0" w:top="520" w:bottom="1060" w:left="1300" w:right="1300"/>
          <w:pgNumType w:start="135"/>
        </w:sectPr>
      </w:pPr>
    </w:p>
    <w:p>
      <w:pPr>
        <w:pStyle w:val="Heading3"/>
      </w:pPr>
      <w:r>
        <w:rPr/>
        <w:pict>
          <v:line style="position:absolute;mso-position-horizontal-relative:page;mso-position-vertical-relative:paragraph;z-index:719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right="221"/>
        <w:jc w:val="both"/>
      </w:pPr>
      <w:r>
        <w:rPr/>
        <w:t>representa una serie de significados y significaciones asignados por el grupo  social a los objetos, que adquieren valor y dan sentido a la existencia</w:t>
      </w:r>
      <w:r>
        <w:rPr>
          <w:spacing w:val="-45"/>
        </w:rPr>
        <w:t> </w:t>
      </w:r>
      <w:r>
        <w:rPr/>
        <w:t>humana.</w:t>
      </w:r>
    </w:p>
    <w:p>
      <w:pPr>
        <w:pStyle w:val="BodyText"/>
        <w:spacing w:line="360" w:lineRule="auto" w:before="8"/>
        <w:ind w:left="264" w:right="220" w:firstLine="336"/>
        <w:jc w:val="both"/>
      </w:pPr>
      <w:r>
        <w:rPr/>
        <w:t>Desde la perspectiva de Bueno, es importante señalar que la televisión tiene alcances que se insertan en esa cotidianeidad del individuo, que dan significación y orientación en el mundo. Es por esto que se puede analizar desde diferentes ámbitos: por sus alcances sociológicos, por su impacto psicológico </w:t>
      </w:r>
      <w:r>
        <w:rPr>
          <w:spacing w:val="-3"/>
        </w:rPr>
        <w:t>y, </w:t>
      </w:r>
      <w:r>
        <w:rPr/>
        <w:t>dada su estructura tecnológica, desde la teoría de los medios de</w:t>
      </w:r>
      <w:r>
        <w:rPr>
          <w:spacing w:val="-36"/>
        </w:rPr>
        <w:t> </w:t>
      </w:r>
      <w:r>
        <w:rPr/>
        <w:t>comunicación.</w:t>
      </w:r>
    </w:p>
    <w:p>
      <w:pPr>
        <w:pStyle w:val="BodyText"/>
        <w:spacing w:line="360" w:lineRule="auto" w:before="2"/>
        <w:ind w:left="264" w:right="220" w:firstLine="336"/>
        <w:jc w:val="both"/>
      </w:pPr>
      <w:r>
        <w:rPr/>
        <w:t>El surgimiento del fenómeno televisivo dio como resultado una diferencia en la forma de la interacción social, dio la pauta a un tipo de comunicación social, pero individual. ¿Y, por qué esta afirmación? porque en el centro familiar, aún cuando todos se encuentran involucrados ante una misma programación, la interacción es con el medio y no con el individuo próximo.</w:t>
      </w:r>
    </w:p>
    <w:p>
      <w:pPr>
        <w:pStyle w:val="BodyText"/>
        <w:spacing w:line="348" w:lineRule="auto" w:before="5"/>
        <w:ind w:left="264" w:right="220" w:firstLine="271"/>
        <w:jc w:val="both"/>
      </w:pPr>
      <w:r>
        <w:rPr/>
        <w:t>Sin embargo, durante el siglo pasado cuando empieza el auge de este medio, era de tal magnitud su influencia que se llegó a pensar que la televisión era factor de unión entre la familia, en virtud de que favorecía la recreación en conjunto. En la obra </w:t>
      </w:r>
      <w:r>
        <w:rPr>
          <w:i/>
        </w:rPr>
        <w:t>The age of television,         </w:t>
      </w:r>
      <w:r>
        <w:rPr>
          <w:i/>
          <w:spacing w:val="33"/>
        </w:rPr>
        <w:t> </w:t>
      </w:r>
      <w:r>
        <w:rPr/>
        <w:t>Leo Bogart,</w:t>
      </w:r>
      <w:r>
        <w:rPr>
          <w:position w:val="11"/>
          <w:sz w:val="16"/>
        </w:rPr>
        <w:t>250  </w:t>
      </w:r>
      <w:r>
        <w:rPr/>
        <w:t>considera que la influencia de la</w:t>
      </w:r>
    </w:p>
    <w:p>
      <w:pPr>
        <w:pStyle w:val="BodyText"/>
        <w:spacing w:line="360" w:lineRule="auto" w:before="6"/>
        <w:ind w:left="264" w:right="222"/>
        <w:jc w:val="both"/>
      </w:pPr>
      <w:r>
        <w:rPr/>
        <w:t>televisión tiene un carácter mediático que en función de su estructura logra  reforzar la institución familiar. De ahí empiezan una serie de estudios que tienen como finalidad revisar cual sería a largo plazo la influencia de este medio en la sociedad y en la familia. En relación a esto Rafael Ahumada Barajas</w:t>
      </w:r>
      <w:r>
        <w:rPr>
          <w:spacing w:val="-30"/>
        </w:rPr>
        <w:t> </w:t>
      </w:r>
      <w:r>
        <w:rPr/>
        <w:t>comenta:</w:t>
      </w:r>
    </w:p>
    <w:p>
      <w:pPr>
        <w:pStyle w:val="BodyText"/>
        <w:spacing w:before="9"/>
        <w:rPr>
          <w:sz w:val="33"/>
        </w:rPr>
      </w:pPr>
    </w:p>
    <w:p>
      <w:pPr>
        <w:spacing w:line="235" w:lineRule="auto" w:before="0"/>
        <w:ind w:left="973" w:right="215" w:firstLine="0"/>
        <w:jc w:val="both"/>
        <w:rPr>
          <w:sz w:val="14"/>
        </w:rPr>
      </w:pPr>
      <w:r>
        <w:rPr>
          <w:sz w:val="22"/>
        </w:rPr>
        <w:t>Desde </w:t>
      </w:r>
      <w:r>
        <w:rPr>
          <w:spacing w:val="-3"/>
          <w:sz w:val="22"/>
        </w:rPr>
        <w:t>la </w:t>
      </w:r>
      <w:r>
        <w:rPr>
          <w:sz w:val="22"/>
        </w:rPr>
        <w:t>década de los ochenta hasta nuestros días se ha venido hablando de los medios de comunicación como constructores de </w:t>
      </w:r>
      <w:r>
        <w:rPr>
          <w:spacing w:val="-3"/>
          <w:sz w:val="22"/>
        </w:rPr>
        <w:t>la </w:t>
      </w:r>
      <w:r>
        <w:rPr>
          <w:sz w:val="22"/>
        </w:rPr>
        <w:t>realidad social: Lindlof (1987 y 1988), James Lull (1988), Meyrowitz (1985), Jensen (1987) y David Morley (1996), entre otros. Esta orientación se liga sobre todo con </w:t>
      </w:r>
      <w:r>
        <w:rPr>
          <w:spacing w:val="-3"/>
          <w:sz w:val="22"/>
        </w:rPr>
        <w:t>la </w:t>
      </w:r>
      <w:r>
        <w:rPr>
          <w:sz w:val="22"/>
        </w:rPr>
        <w:t>sociología fenomenológica y se han buscado metodologías etnográficas que permitan medir el impacto de los medios en los individuos, pero no en el corto plazo -como los estudios mediológicos basados en métodos empírico-analíticos-, sino en el largo</w:t>
      </w:r>
      <w:r>
        <w:rPr>
          <w:spacing w:val="-40"/>
          <w:sz w:val="22"/>
        </w:rPr>
        <w:t> </w:t>
      </w:r>
      <w:r>
        <w:rPr>
          <w:sz w:val="22"/>
        </w:rPr>
        <w:t>plazo.</w:t>
      </w:r>
      <w:r>
        <w:rPr>
          <w:position w:val="10"/>
          <w:sz w:val="14"/>
        </w:rPr>
        <w:t>251</w:t>
      </w:r>
    </w:p>
    <w:p>
      <w:pPr>
        <w:pStyle w:val="BodyText"/>
        <w:spacing w:before="6"/>
        <w:rPr>
          <w:sz w:val="35"/>
        </w:rPr>
      </w:pPr>
    </w:p>
    <w:p>
      <w:pPr>
        <w:pStyle w:val="BodyText"/>
        <w:spacing w:line="360" w:lineRule="auto"/>
        <w:ind w:left="264" w:right="216" w:firstLine="336"/>
        <w:jc w:val="both"/>
      </w:pPr>
      <w:r>
        <w:rPr/>
        <w:t>Este enfoque implica el estudio del ente televisivo desde su contribución a la construcción social, económica y política, por el impacto que sus representaciones simbólicas tienen en la percepción subjetiva de la realidad social, que emergen</w:t>
      </w:r>
    </w:p>
    <w:p>
      <w:pPr>
        <w:pStyle w:val="BodyText"/>
        <w:spacing w:before="1"/>
        <w:rPr>
          <w:sz w:val="11"/>
        </w:rPr>
      </w:pPr>
      <w:r>
        <w:rPr/>
        <w:pict>
          <v:line style="position:absolute;mso-position-horizontal-relative:page;mso-position-vertical-relative:paragraph;z-index:7168;mso-wrap-distance-left:0;mso-wrap-distance-right:0" from="99.224998pt,8.648888pt" to="243.274998pt,8.648888pt" stroked="true" strokeweight=".60004pt" strokecolor="#000000">
            <w10:wrap type="topAndBottom"/>
          </v:line>
        </w:pict>
      </w:r>
    </w:p>
    <w:p>
      <w:pPr>
        <w:spacing w:line="236" w:lineRule="exact" w:before="46"/>
        <w:ind w:left="264" w:right="0" w:firstLine="0"/>
        <w:jc w:val="left"/>
        <w:rPr>
          <w:rFonts w:ascii="Calibri" w:hAnsi="Calibri"/>
          <w:sz w:val="18"/>
        </w:rPr>
      </w:pPr>
      <w:r>
        <w:rPr>
          <w:rFonts w:ascii="Calibri" w:hAnsi="Calibri"/>
          <w:position w:val="9"/>
          <w:sz w:val="12"/>
        </w:rPr>
        <w:t>250 </w:t>
      </w:r>
      <w:r>
        <w:rPr>
          <w:rFonts w:ascii="Calibri" w:hAnsi="Calibri"/>
          <w:sz w:val="18"/>
        </w:rPr>
        <w:t>Citado por BUENO, Gustavo, </w:t>
      </w:r>
      <w:r>
        <w:rPr>
          <w:rFonts w:ascii="Calibri" w:hAnsi="Calibri"/>
          <w:i/>
          <w:sz w:val="18"/>
        </w:rPr>
        <w:t>Óp. Cit</w:t>
      </w:r>
      <w:r>
        <w:rPr>
          <w:rFonts w:ascii="Calibri" w:hAnsi="Calibri"/>
          <w:sz w:val="18"/>
        </w:rPr>
        <w:t>. p. 14</w:t>
      </w:r>
    </w:p>
    <w:p>
      <w:pPr>
        <w:spacing w:line="220" w:lineRule="exact" w:before="12"/>
        <w:ind w:left="264" w:right="0" w:firstLine="0"/>
        <w:jc w:val="left"/>
        <w:rPr>
          <w:rFonts w:ascii="Calibri" w:hAnsi="Calibri"/>
          <w:sz w:val="18"/>
        </w:rPr>
      </w:pPr>
      <w:r>
        <w:rPr>
          <w:rFonts w:ascii="Calibri" w:hAnsi="Calibri"/>
          <w:position w:val="9"/>
          <w:sz w:val="12"/>
        </w:rPr>
        <w:t>251 </w:t>
      </w:r>
      <w:r>
        <w:rPr>
          <w:rFonts w:ascii="Calibri" w:hAnsi="Calibri"/>
          <w:sz w:val="18"/>
        </w:rPr>
        <w:t>AHUMADA Barajas, Rafael, </w:t>
      </w:r>
      <w:r>
        <w:rPr>
          <w:rFonts w:ascii="Calibri" w:hAnsi="Calibri"/>
          <w:i/>
          <w:sz w:val="18"/>
        </w:rPr>
        <w:t>T. V. Su influencia en la percepción de la realidad social, </w:t>
      </w:r>
      <w:r>
        <w:rPr>
          <w:rFonts w:ascii="Calibri" w:hAnsi="Calibri"/>
          <w:sz w:val="18"/>
        </w:rPr>
        <w:t>UNAM, Facultad de Estudios Superiores Aragón, México, 2007, p. 19</w:t>
      </w:r>
    </w:p>
    <w:p>
      <w:pPr>
        <w:spacing w:after="0" w:line="220"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724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684" w:right="122"/>
        <w:jc w:val="both"/>
      </w:pPr>
      <w:r>
        <w:rPr/>
        <w:t>bajo una contextualización mítica del mundo que sin duda modifica las condiciones en que cada individuo televidente asume su realidad.</w:t>
      </w:r>
    </w:p>
    <w:p>
      <w:pPr>
        <w:pStyle w:val="BodyText"/>
        <w:spacing w:line="360" w:lineRule="auto" w:before="8"/>
        <w:ind w:left="684" w:right="114" w:firstLine="336"/>
        <w:jc w:val="both"/>
      </w:pPr>
      <w:r>
        <w:rPr/>
        <w:t>En la actualidad, el público televidente se torna más dependiente de este medio para integrar una imagen de la realidad. Su vida diaria se ha vuelto limitada, consuetudinaria, aburrida, limitada a una rutina que le impide obtener vivencias interesantes, por lo que la imagen televisiva y su programación se convierten en el pase para gozar de experiencias novedosas y recreativas, a las que no tiene acceso comúnmente de manera directa. Experiencias que valora y organiza dándoles un sentido y un significado. Considerando que la influencia televisiva en el individuo ya sea positiva o negativa está determinada, a la vez, por la forma como se relaciona con los otros (familiares, amigos, autoridad), con su entorno (capacidad de advertir los fenómenos sociales y naturales) y con otros medios de comunicación.</w:t>
      </w:r>
    </w:p>
    <w:p>
      <w:pPr>
        <w:pStyle w:val="BodyText"/>
        <w:spacing w:line="360" w:lineRule="auto" w:before="2"/>
        <w:ind w:left="684" w:right="122" w:firstLine="336"/>
        <w:jc w:val="both"/>
      </w:pPr>
      <w:r>
        <w:rPr/>
        <w:t>Para Gustavo Bueno la televisión tiene tantas limitaciones que la posibilidad de presentar una verdadera imagen de la realidad se sintetiza en una premisa que específica de la siguiente manera: “Lo que está en la pantalla (P) está en el mundo</w:t>
      </w:r>
    </w:p>
    <w:p>
      <w:pPr>
        <w:pStyle w:val="BodyText"/>
        <w:spacing w:line="350" w:lineRule="auto" w:before="6"/>
        <w:ind w:left="684" w:right="122"/>
        <w:jc w:val="both"/>
      </w:pPr>
      <w:r>
        <w:rPr/>
        <w:t>(M), sin que esto quiera decir que lo que está en el mundo (M) haya de estar siempre en la pantalla (P)”</w:t>
      </w:r>
      <w:r>
        <w:rPr>
          <w:position w:val="11"/>
          <w:sz w:val="16"/>
        </w:rPr>
        <w:t>252</w:t>
      </w:r>
      <w:r>
        <w:rPr/>
        <w:t>. Afirma que la incapacidad de la televisión para expresar el significado de las cosas abstractas que llenan una gran  parte de la vida del ser humano, la hacen un espectáculo que limita la posibilidad de transmitir</w:t>
      </w:r>
    </w:p>
    <w:p>
      <w:pPr>
        <w:pStyle w:val="BodyText"/>
        <w:spacing w:line="360" w:lineRule="auto" w:before="16"/>
        <w:ind w:left="684" w:right="123"/>
        <w:jc w:val="both"/>
      </w:pPr>
      <w:r>
        <w:rPr/>
        <w:t>la realidad. Por lo que su mensaje sólo se constriñe a presentarnos una apariencia de la misma. La televisión se concreta por lo tanto a presentar un registro o crónica de la</w:t>
      </w:r>
      <w:r>
        <w:rPr>
          <w:spacing w:val="-16"/>
        </w:rPr>
        <w:t> </w:t>
      </w:r>
      <w:r>
        <w:rPr/>
        <w:t>realidad.</w:t>
      </w:r>
    </w:p>
    <w:p>
      <w:pPr>
        <w:pStyle w:val="BodyText"/>
        <w:spacing w:line="278" w:lineRule="exact"/>
        <w:ind w:left="684" w:firstLine="404"/>
        <w:jc w:val="both"/>
      </w:pPr>
      <w:r>
        <w:rPr/>
        <w:t>Ahora bien si atendemos a Ahumada, </w:t>
      </w:r>
      <w:r>
        <w:rPr>
          <w:position w:val="11"/>
          <w:sz w:val="16"/>
        </w:rPr>
        <w:t>253  </w:t>
      </w:r>
      <w:r>
        <w:rPr/>
        <w:t>en cuanto a que el hombre como</w:t>
      </w:r>
      <w:r>
        <w:rPr>
          <w:spacing w:val="52"/>
        </w:rPr>
        <w:t> </w:t>
      </w:r>
      <w:r>
        <w:rPr/>
        <w:t>ser</w:t>
      </w:r>
    </w:p>
    <w:p>
      <w:pPr>
        <w:pStyle w:val="BodyText"/>
        <w:spacing w:line="360" w:lineRule="auto" w:before="140"/>
        <w:ind w:left="684" w:right="117"/>
        <w:jc w:val="both"/>
      </w:pPr>
      <w:r>
        <w:rPr/>
        <w:t>simbólico requiere de símbolos y representaciones que le den sentido a su existencia y que la construcción social incluye una serie de experiencias, reflexiones, análisis, propuestas, resultados y conclusiones, principios organizados, sistemas que le permiten construir una racionalidad, y entenderse como sujeto social y como individuo diferenciado, estaremos ante un hecho que fortalece la idea de que el ente televisivo tiene presencia social, y se inserta en  </w:t>
      </w:r>
      <w:r>
        <w:rPr>
          <w:spacing w:val="3"/>
        </w:rPr>
        <w:t> </w:t>
      </w:r>
      <w:r>
        <w:rPr/>
        <w:t>la</w:t>
      </w:r>
    </w:p>
    <w:p>
      <w:pPr>
        <w:pStyle w:val="BodyText"/>
        <w:spacing w:before="8"/>
        <w:rPr>
          <w:sz w:val="8"/>
        </w:rPr>
      </w:pPr>
      <w:r>
        <w:rPr/>
        <w:pict>
          <v:line style="position:absolute;mso-position-horizontal-relative:page;mso-position-vertical-relative:paragraph;z-index:7216;mso-wrap-distance-left:0;mso-wrap-distance-right:0" from="99.224998pt,7.258888pt" to="243.274998pt,7.258888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252   </w:t>
      </w:r>
      <w:r>
        <w:rPr>
          <w:rFonts w:ascii="Calibri" w:hAnsi="Calibri"/>
          <w:sz w:val="18"/>
        </w:rPr>
        <w:t>BUENO, Gustavo, </w:t>
      </w:r>
      <w:r>
        <w:rPr>
          <w:rFonts w:ascii="Calibri" w:hAnsi="Calibri"/>
          <w:i/>
          <w:sz w:val="18"/>
        </w:rPr>
        <w:t>Óp. Cit. </w:t>
      </w:r>
      <w:r>
        <w:rPr>
          <w:rFonts w:ascii="Calibri" w:hAnsi="Calibri"/>
          <w:sz w:val="18"/>
        </w:rPr>
        <w:t>p. 57</w:t>
      </w:r>
    </w:p>
    <w:p>
      <w:pPr>
        <w:spacing w:line="236" w:lineRule="exact" w:before="0"/>
        <w:ind w:left="684" w:right="114" w:firstLine="0"/>
        <w:jc w:val="left"/>
        <w:rPr>
          <w:rFonts w:ascii="Calibri" w:hAnsi="Calibri"/>
          <w:i/>
          <w:sz w:val="18"/>
        </w:rPr>
      </w:pPr>
      <w:r>
        <w:rPr>
          <w:rFonts w:ascii="Calibri" w:hAnsi="Calibri"/>
          <w:position w:val="9"/>
          <w:sz w:val="12"/>
        </w:rPr>
        <w:t>253   </w:t>
      </w:r>
      <w:r>
        <w:rPr>
          <w:rFonts w:ascii="Calibri" w:hAnsi="Calibri"/>
          <w:sz w:val="18"/>
        </w:rPr>
        <w:t>AHUMADA Barajas</w:t>
      </w:r>
      <w:r>
        <w:rPr>
          <w:rFonts w:ascii="Calibri" w:hAnsi="Calibri"/>
          <w:i/>
          <w:sz w:val="18"/>
        </w:rPr>
        <w:t>, Óp. Cit.</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728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7"/>
        <w:jc w:val="both"/>
      </w:pPr>
      <w:r>
        <w:rPr/>
        <w:t>conciencia del individuo a través del manejo de símbolos, de significaciones y valores que orientan las acciones de la vida diaria de los televidentes incidiendo  en su</w:t>
      </w:r>
      <w:r>
        <w:rPr>
          <w:spacing w:val="-11"/>
        </w:rPr>
        <w:t> </w:t>
      </w:r>
      <w:r>
        <w:rPr/>
        <w:t>libertad.</w:t>
      </w:r>
    </w:p>
    <w:p>
      <w:pPr>
        <w:pStyle w:val="BodyText"/>
        <w:spacing w:line="355" w:lineRule="auto" w:before="2"/>
        <w:ind w:left="264" w:right="220" w:firstLine="336"/>
        <w:jc w:val="both"/>
      </w:pPr>
      <w:r>
        <w:rPr/>
        <w:t>La programación televisiva interviene de manera importante en la conformación simbólica del mundo y de la vida de los niños,</w:t>
      </w:r>
      <w:r>
        <w:rPr>
          <w:position w:val="11"/>
          <w:sz w:val="16"/>
        </w:rPr>
        <w:t>254 </w:t>
      </w:r>
      <w:r>
        <w:rPr/>
        <w:t>y dado que el ser humano, desde la niñez, acumula patrones de conducta que usa para situarse en el tiempo y el espacio para comprender su propia historia, así como para controlar las experiencias a las que ha de enfrentarse en la vida cotidiana; ese acervo acumulado será utilizado cuando se encuentre ante situaciones completamente nuevas  que  no  se  relacionen  con  el  pasado,  pero  que  son  extrapoladas con</w:t>
      </w:r>
    </w:p>
    <w:p>
      <w:pPr>
        <w:pStyle w:val="BodyText"/>
        <w:spacing w:line="360" w:lineRule="auto" w:before="11"/>
        <w:ind w:left="264" w:right="220"/>
        <w:jc w:val="both"/>
      </w:pPr>
      <w:r>
        <w:rPr/>
        <w:t>vivencias anteriores, para establecer soluciones posibles. Ese conocimiento adquirido en la base social se interioriza y será utilizado en forma particular por cada persona en el mundo social.</w:t>
      </w:r>
    </w:p>
    <w:p>
      <w:pPr>
        <w:pStyle w:val="BodyText"/>
        <w:spacing w:line="355" w:lineRule="auto" w:before="2"/>
        <w:ind w:left="264" w:right="217" w:firstLine="336"/>
        <w:jc w:val="both"/>
      </w:pPr>
      <w:r>
        <w:rPr/>
        <w:t>Por otra parte, el nivel de realidad experimentado por los televidentes a través de los eventos presentados por la televisión (por ejemplo: reality shows) provocan en el individuo la sensación de estar inmersos en las vivencias artificiales que se presentan como verdaderas, logrando que el espectador se involucre con los personajes, que opine y viva de manera alterna esas experiencias construidas para el público, con tintes de autenticidad</w:t>
      </w:r>
      <w:r>
        <w:rPr>
          <w:position w:val="11"/>
          <w:sz w:val="16"/>
        </w:rPr>
        <w:t>255</w:t>
      </w:r>
      <w:r>
        <w:rPr/>
        <w:t>. Dando por real lo que sólo</w:t>
      </w:r>
      <w:r>
        <w:rPr>
          <w:spacing w:val="-46"/>
        </w:rPr>
        <w:t> </w:t>
      </w:r>
      <w:r>
        <w:rPr/>
        <w:t>es ficción.</w:t>
      </w:r>
    </w:p>
    <w:p>
      <w:pPr>
        <w:pStyle w:val="BodyText"/>
        <w:spacing w:line="360" w:lineRule="auto"/>
        <w:ind w:left="264" w:right="216" w:firstLine="271"/>
        <w:jc w:val="both"/>
      </w:pPr>
      <w:r>
        <w:rPr/>
        <w:t>Sin embargo, la forma como reacciona ante cada situación en forma individual se ve retroalimentada por las relaciones intersubjetivas que de manera necesaria establece el individuo como ser social, con individuos cercanos y lejanos, con quienes se vincula en forma directa o indirecta, en lugares próximos y comunes en un proceso de comprensión de sí mismo y de los otros. Así Rafael Ahumada Barajas afirma: “La vida cotidiana es intersubjetiva porque el pensamiento de sentido común permite conocer y reconocer el mundo, pero no es asunto  privado,</w:t>
      </w:r>
    </w:p>
    <w:p>
      <w:pPr>
        <w:pStyle w:val="BodyText"/>
        <w:spacing w:line="282" w:lineRule="exact"/>
        <w:ind w:left="264"/>
        <w:jc w:val="both"/>
      </w:pPr>
      <w:r>
        <w:rPr/>
        <w:t>sino  intersubjetivo, es decir  socializado, por ende es  conocimiento  social.”</w:t>
      </w:r>
      <w:r>
        <w:rPr>
          <w:position w:val="11"/>
          <w:sz w:val="16"/>
        </w:rPr>
        <w:t>256    </w:t>
      </w:r>
      <w:r>
        <w:rPr/>
        <w:t>El</w:t>
      </w:r>
    </w:p>
    <w:p>
      <w:pPr>
        <w:pStyle w:val="BodyText"/>
        <w:spacing w:line="362" w:lineRule="auto" w:before="136" w:after="17"/>
        <w:ind w:left="264" w:right="220"/>
        <w:jc w:val="both"/>
      </w:pPr>
      <w:r>
        <w:rPr/>
        <w:t>mensaje de la televisión retrae la socialización, se convierte en elemento altamente  formativo,  ideal  para  transmitir  el  conocimiento  social.  De  ahí      la</w:t>
      </w:r>
    </w:p>
    <w:p>
      <w:pPr>
        <w:pStyle w:val="BodyText"/>
        <w:spacing w:line="20" w:lineRule="exact"/>
        <w:ind w:left="258"/>
        <w:rPr>
          <w:sz w:val="2"/>
        </w:rPr>
      </w:pPr>
      <w:r>
        <w:rPr>
          <w:sz w:val="2"/>
        </w:rPr>
        <w:pict>
          <v:group style="width:144.65pt;height:.6pt;mso-position-horizontal-relative:char;mso-position-vertical-relative:line" coordorigin="0,0" coordsize="2893,12">
            <v:line style="position:absolute" from="6,6" to="2887,6" stroked="true" strokeweight=".60004pt" strokecolor="#000000"/>
          </v:group>
        </w:pict>
      </w:r>
      <w:r>
        <w:rPr>
          <w:sz w:val="2"/>
        </w:rPr>
      </w:r>
    </w:p>
    <w:p>
      <w:pPr>
        <w:spacing w:before="67"/>
        <w:ind w:left="264" w:right="0" w:firstLine="0"/>
        <w:jc w:val="left"/>
        <w:rPr>
          <w:rFonts w:ascii="Calibri" w:hAnsi="Calibri"/>
          <w:sz w:val="18"/>
        </w:rPr>
      </w:pPr>
      <w:r>
        <w:rPr>
          <w:rFonts w:ascii="Calibri" w:hAnsi="Calibri"/>
          <w:position w:val="9"/>
          <w:sz w:val="12"/>
        </w:rPr>
        <w:t>254  </w:t>
      </w:r>
      <w:r>
        <w:rPr>
          <w:rFonts w:ascii="Calibri" w:hAnsi="Calibri"/>
          <w:sz w:val="18"/>
        </w:rPr>
        <w:t>Véase EQUIPO *NUEVE Y MEDIO*, Los teleniños, Laia, Barcelona, 1986</w:t>
      </w:r>
    </w:p>
    <w:p>
      <w:pPr>
        <w:spacing w:line="236" w:lineRule="exact" w:before="187"/>
        <w:ind w:left="264" w:right="0" w:firstLine="0"/>
        <w:jc w:val="left"/>
        <w:rPr>
          <w:rFonts w:ascii="Calibri"/>
          <w:sz w:val="18"/>
        </w:rPr>
      </w:pPr>
      <w:r>
        <w:rPr>
          <w:rFonts w:ascii="Calibri"/>
          <w:position w:val="9"/>
          <w:sz w:val="12"/>
        </w:rPr>
        <w:t>255   </w:t>
      </w:r>
      <w:r>
        <w:rPr>
          <w:rFonts w:ascii="Calibri"/>
          <w:sz w:val="18"/>
        </w:rPr>
        <w:t>Por ejemplo el gran hermano, la academia, la isla, etc.</w:t>
      </w:r>
    </w:p>
    <w:p>
      <w:pPr>
        <w:spacing w:line="236" w:lineRule="exact" w:before="0"/>
        <w:ind w:left="264" w:right="0" w:firstLine="0"/>
        <w:jc w:val="left"/>
        <w:rPr>
          <w:rFonts w:ascii="Calibri" w:hAnsi="Calibri"/>
          <w:sz w:val="18"/>
        </w:rPr>
      </w:pPr>
      <w:r>
        <w:rPr>
          <w:rFonts w:ascii="Calibri" w:hAnsi="Calibri"/>
          <w:position w:val="9"/>
          <w:sz w:val="12"/>
        </w:rPr>
        <w:t>256   </w:t>
      </w:r>
      <w:r>
        <w:rPr>
          <w:rFonts w:ascii="Calibri" w:hAnsi="Calibri"/>
          <w:sz w:val="18"/>
        </w:rPr>
        <w:t>AHUMADA Barajas, Rafael, </w:t>
      </w:r>
      <w:r>
        <w:rPr>
          <w:rFonts w:ascii="Calibri" w:hAnsi="Calibri"/>
          <w:i/>
          <w:sz w:val="18"/>
        </w:rPr>
        <w:t>Óp. Cit</w:t>
      </w:r>
      <w:r>
        <w:rPr>
          <w:rFonts w:ascii="Calibri" w:hAnsi="Calibri"/>
          <w:sz w:val="18"/>
        </w:rPr>
        <w:t>. p. 28.</w:t>
      </w:r>
    </w:p>
    <w:p>
      <w:pPr>
        <w:spacing w:after="0" w:line="236"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733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684" w:right="114"/>
      </w:pPr>
      <w:r>
        <w:rPr/>
        <w:t>responsabilidad que ésta tiene en lo que emite, en los contenidos que se difunden constantemente, porque los mensajes se convierten en un bien (o mal) cultural.</w:t>
      </w:r>
    </w:p>
    <w:p>
      <w:pPr>
        <w:pStyle w:val="BodyText"/>
        <w:spacing w:before="4"/>
        <w:rPr>
          <w:sz w:val="33"/>
        </w:rPr>
      </w:pPr>
    </w:p>
    <w:p>
      <w:pPr>
        <w:spacing w:line="235" w:lineRule="auto" w:before="0"/>
        <w:ind w:left="1393" w:right="114" w:firstLine="0"/>
        <w:jc w:val="both"/>
        <w:rPr>
          <w:sz w:val="14"/>
        </w:rPr>
      </w:pPr>
      <w:r>
        <w:rPr>
          <w:sz w:val="22"/>
        </w:rPr>
        <w:t>En este sentido, la escuela y la televisión como instituciones dedicadas a  la difusión y transmisión de valores que forman al ser social, cumplen con ciertos cometidos que tienen que ser analizados para poder determinar el grado de incidencia que estas instituciones han generado en la sociedad, pero poniendo énfasis en qué tanto se complementan o se confrontan como agentes socializadores.</w:t>
      </w:r>
      <w:r>
        <w:rPr>
          <w:position w:val="10"/>
          <w:sz w:val="14"/>
        </w:rPr>
        <w:t>257</w:t>
      </w:r>
    </w:p>
    <w:p>
      <w:pPr>
        <w:pStyle w:val="BodyText"/>
        <w:spacing w:before="1"/>
        <w:rPr>
          <w:sz w:val="33"/>
        </w:rPr>
      </w:pPr>
    </w:p>
    <w:p>
      <w:pPr>
        <w:pStyle w:val="BodyText"/>
        <w:spacing w:line="360" w:lineRule="auto"/>
        <w:ind w:left="684" w:right="114" w:firstLine="336"/>
        <w:jc w:val="both"/>
      </w:pPr>
      <w:r>
        <w:rPr/>
        <w:t>En un proceso constante que permea en toda la estructura social, cuya función es dar elementos de dominio a la clase en el poder y factores de socialización a la clase oprimida. De ahí la diferencia en como cada estrato recibe los mensajes emitidos por el ente televisivo. Pues mientras para un sector se percibe desde una perspectiva crítica, formativa y emancipadora para otros es alienante, mediatizante y reguladora.</w:t>
      </w:r>
    </w:p>
    <w:p>
      <w:pPr>
        <w:pStyle w:val="BodyText"/>
        <w:spacing w:line="360" w:lineRule="auto" w:before="6"/>
        <w:ind w:left="684" w:right="114" w:firstLine="271"/>
        <w:jc w:val="both"/>
      </w:pPr>
      <w:r>
        <w:rPr/>
        <w:t>El mensaje televisivo que administra una serie de códigos que adquieren sentido y significados diversos: estéticos, morales, sexuales, de reconocimiento y conocimiento, formativos e informativos son interiorizados en los televidentes, de tal manera que contribuyen en la forma como descifra e interpreta su realidad, en las relaciones sociales que establece y en el modo cómo se integra en la comunidad.</w:t>
      </w:r>
      <w:r>
        <w:rPr>
          <w:spacing w:val="26"/>
        </w:rPr>
        <w:t> </w:t>
      </w:r>
      <w:r>
        <w:rPr/>
        <w:t>Orienta</w:t>
      </w:r>
      <w:r>
        <w:rPr>
          <w:spacing w:val="27"/>
        </w:rPr>
        <w:t> </w:t>
      </w:r>
      <w:r>
        <w:rPr/>
        <w:t>también,</w:t>
      </w:r>
      <w:r>
        <w:rPr>
          <w:spacing w:val="26"/>
        </w:rPr>
        <w:t> </w:t>
      </w:r>
      <w:r>
        <w:rPr/>
        <w:t>su</w:t>
      </w:r>
      <w:r>
        <w:rPr>
          <w:spacing w:val="27"/>
        </w:rPr>
        <w:t> </w:t>
      </w:r>
      <w:r>
        <w:rPr/>
        <w:t>forma</w:t>
      </w:r>
      <w:r>
        <w:rPr>
          <w:spacing w:val="23"/>
        </w:rPr>
        <w:t> </w:t>
      </w:r>
      <w:r>
        <w:rPr/>
        <w:t>de</w:t>
      </w:r>
      <w:r>
        <w:rPr>
          <w:spacing w:val="27"/>
        </w:rPr>
        <w:t> </w:t>
      </w:r>
      <w:r>
        <w:rPr/>
        <w:t>estar</w:t>
      </w:r>
      <w:r>
        <w:rPr>
          <w:spacing w:val="29"/>
        </w:rPr>
        <w:t> </w:t>
      </w:r>
      <w:r>
        <w:rPr/>
        <w:t>en</w:t>
      </w:r>
      <w:r>
        <w:rPr>
          <w:spacing w:val="27"/>
        </w:rPr>
        <w:t> </w:t>
      </w:r>
      <w:r>
        <w:rPr/>
        <w:t>el</w:t>
      </w:r>
      <w:r>
        <w:rPr>
          <w:spacing w:val="27"/>
        </w:rPr>
        <w:t> </w:t>
      </w:r>
      <w:r>
        <w:rPr/>
        <w:t>mundo,</w:t>
      </w:r>
      <w:r>
        <w:rPr>
          <w:spacing w:val="26"/>
        </w:rPr>
        <w:t> </w:t>
      </w:r>
      <w:r>
        <w:rPr/>
        <w:t>la</w:t>
      </w:r>
      <w:r>
        <w:rPr>
          <w:spacing w:val="27"/>
        </w:rPr>
        <w:t> </w:t>
      </w:r>
      <w:r>
        <w:rPr/>
        <w:t>construcción</w:t>
      </w:r>
      <w:r>
        <w:rPr>
          <w:spacing w:val="27"/>
        </w:rPr>
        <w:t> </w:t>
      </w:r>
      <w:r>
        <w:rPr/>
        <w:t>de</w:t>
      </w:r>
    </w:p>
    <w:p>
      <w:pPr>
        <w:pStyle w:val="BodyText"/>
        <w:spacing w:line="328" w:lineRule="auto" w:before="6"/>
        <w:ind w:left="684" w:right="114"/>
        <w:rPr>
          <w:sz w:val="16"/>
        </w:rPr>
      </w:pPr>
      <w:r>
        <w:rPr/>
        <w:t>sus esquemas conceptuales y el modo de aprehender la realidad y la imagen que tienen de este. Factores que conforman su mundo subjetivo.</w:t>
      </w:r>
      <w:r>
        <w:rPr>
          <w:position w:val="11"/>
          <w:sz w:val="16"/>
        </w:rPr>
        <w:t>258</w:t>
      </w:r>
    </w:p>
    <w:p>
      <w:pPr>
        <w:pStyle w:val="BodyText"/>
        <w:spacing w:line="360" w:lineRule="auto" w:before="27"/>
        <w:ind w:left="684" w:right="117" w:firstLine="336"/>
        <w:jc w:val="both"/>
      </w:pPr>
      <w:r>
        <w:rPr/>
        <w:t>De ahí que la televisión contribuye a afianzar ese estar en el mundo del televidente, a la construcción de su realidad; ya que a la televisión le ha concedido un grado de confianza y credibilidad suficiente para considerar los mensajes emitidos, en algunos casos, dignos de ser emulados. La investigación realizada aportó  información  sobre  la  idea  que  los  televidentes  tienen  en  cuanto  a   la</w:t>
      </w:r>
    </w:p>
    <w:p>
      <w:pPr>
        <w:pStyle w:val="BodyText"/>
        <w:spacing w:before="2"/>
        <w:rPr>
          <w:sz w:val="20"/>
        </w:rPr>
      </w:pPr>
      <w:r>
        <w:rPr/>
        <w:pict>
          <v:line style="position:absolute;mso-position-horizontal-relative:page;mso-position-vertical-relative:paragraph;z-index:7312;mso-wrap-distance-left:0;mso-wrap-distance-right:0" from="99.224998pt,13.853913pt" to="243.274998pt,13.853913pt" stroked="true" strokeweight=".599980pt" strokecolor="#000000">
            <w10:wrap type="topAndBottom"/>
          </v:line>
        </w:pict>
      </w:r>
    </w:p>
    <w:p>
      <w:pPr>
        <w:spacing w:line="237" w:lineRule="exact" w:before="47"/>
        <w:ind w:left="684" w:right="0" w:firstLine="0"/>
        <w:jc w:val="both"/>
        <w:rPr>
          <w:rFonts w:ascii="Calibri" w:hAnsi="Calibri"/>
          <w:sz w:val="18"/>
        </w:rPr>
      </w:pPr>
      <w:r>
        <w:rPr>
          <w:rFonts w:ascii="Calibri" w:hAnsi="Calibri"/>
          <w:position w:val="9"/>
          <w:sz w:val="12"/>
        </w:rPr>
        <w:t>257 </w:t>
      </w:r>
      <w:r>
        <w:rPr>
          <w:rFonts w:ascii="Calibri" w:hAnsi="Calibri"/>
          <w:i/>
          <w:sz w:val="18"/>
        </w:rPr>
        <w:t>Ibíd</w:t>
      </w:r>
      <w:r>
        <w:rPr>
          <w:rFonts w:ascii="Calibri" w:hAnsi="Calibri"/>
          <w:sz w:val="18"/>
        </w:rPr>
        <w:t>. p. 31.</w:t>
      </w:r>
    </w:p>
    <w:p>
      <w:pPr>
        <w:spacing w:line="220" w:lineRule="exact" w:before="11"/>
        <w:ind w:left="684" w:right="120" w:firstLine="0"/>
        <w:jc w:val="both"/>
        <w:rPr>
          <w:rFonts w:ascii="Calibri" w:hAnsi="Calibri"/>
          <w:sz w:val="18"/>
        </w:rPr>
      </w:pPr>
      <w:r>
        <w:rPr>
          <w:position w:val="9"/>
          <w:sz w:val="12"/>
        </w:rPr>
        <w:t>258 </w:t>
      </w:r>
      <w:r>
        <w:rPr>
          <w:rFonts w:ascii="Calibri" w:hAnsi="Calibri"/>
          <w:sz w:val="18"/>
        </w:rPr>
        <w:t>HABERMAS, Jürgen, Óp. cit., p. 72-73 “Está claro que el grado de racionalidad de las imágenes del mundo no varía  con la etapa de evolución cognitiva de los individuos que orientan su acción por esas imágenes. Tenemos que partir de que los miembros adultos de las sociedades primitivas pueden adquirir fundamentalmente las mismas operaciones formales que los miembros de las sociedades modernas, si bien es verdad que las competencias de orden superior aparecen en el primer caso con menos frecuencia y de forma más selectivamente es decir, son aplicadas a áreas más reducidas de la existencia. La racionalidad de las imágenes del mundo se mide no por propiedades lógicas y semánticas, sino</w:t>
      </w:r>
      <w:r>
        <w:rPr>
          <w:rFonts w:ascii="Calibri" w:hAnsi="Calibri"/>
          <w:spacing w:val="-2"/>
          <w:sz w:val="18"/>
        </w:rPr>
        <w:t> </w:t>
      </w:r>
      <w:r>
        <w:rPr>
          <w:rFonts w:ascii="Calibri" w:hAnsi="Calibri"/>
          <w:sz w:val="18"/>
        </w:rPr>
        <w:t>por</w:t>
      </w:r>
      <w:r>
        <w:rPr>
          <w:rFonts w:ascii="Calibri" w:hAnsi="Calibri"/>
          <w:spacing w:val="-2"/>
          <w:sz w:val="18"/>
        </w:rPr>
        <w:t> </w:t>
      </w:r>
      <w:r>
        <w:rPr>
          <w:rFonts w:ascii="Calibri" w:hAnsi="Calibri"/>
          <w:sz w:val="18"/>
        </w:rPr>
        <w:t>las</w:t>
      </w:r>
      <w:r>
        <w:rPr>
          <w:rFonts w:ascii="Calibri" w:hAnsi="Calibri"/>
          <w:spacing w:val="-2"/>
          <w:sz w:val="18"/>
        </w:rPr>
        <w:t> </w:t>
      </w:r>
      <w:r>
        <w:rPr>
          <w:rFonts w:ascii="Calibri" w:hAnsi="Calibri"/>
          <w:sz w:val="18"/>
        </w:rPr>
        <w:t>categorías</w:t>
      </w:r>
      <w:r>
        <w:rPr>
          <w:rFonts w:ascii="Calibri" w:hAnsi="Calibri"/>
          <w:spacing w:val="-2"/>
          <w:sz w:val="18"/>
        </w:rPr>
        <w:t> </w:t>
      </w:r>
      <w:r>
        <w:rPr>
          <w:rFonts w:ascii="Calibri" w:hAnsi="Calibri"/>
          <w:sz w:val="18"/>
        </w:rPr>
        <w:t>que</w:t>
      </w:r>
      <w:r>
        <w:rPr>
          <w:rFonts w:ascii="Calibri" w:hAnsi="Calibri"/>
          <w:spacing w:val="-5"/>
          <w:sz w:val="18"/>
        </w:rPr>
        <w:t> </w:t>
      </w:r>
      <w:r>
        <w:rPr>
          <w:rFonts w:ascii="Calibri" w:hAnsi="Calibri"/>
          <w:sz w:val="18"/>
        </w:rPr>
        <w:t>ponen</w:t>
      </w:r>
      <w:r>
        <w:rPr>
          <w:rFonts w:ascii="Calibri" w:hAnsi="Calibri"/>
          <w:spacing w:val="-6"/>
          <w:sz w:val="18"/>
        </w:rPr>
        <w:t> </w:t>
      </w:r>
      <w:r>
        <w:rPr>
          <w:rFonts w:ascii="Calibri" w:hAnsi="Calibri"/>
          <w:sz w:val="18"/>
        </w:rPr>
        <w:t>a</w:t>
      </w:r>
      <w:r>
        <w:rPr>
          <w:rFonts w:ascii="Calibri" w:hAnsi="Calibri"/>
          <w:spacing w:val="-2"/>
          <w:sz w:val="18"/>
        </w:rPr>
        <w:t> </w:t>
      </w:r>
      <w:r>
        <w:rPr>
          <w:rFonts w:ascii="Calibri" w:hAnsi="Calibri"/>
          <w:sz w:val="18"/>
        </w:rPr>
        <w:t>disposición</w:t>
      </w:r>
      <w:r>
        <w:rPr>
          <w:rFonts w:ascii="Calibri" w:hAnsi="Calibri"/>
          <w:spacing w:val="-2"/>
          <w:sz w:val="18"/>
        </w:rPr>
        <w:t> </w:t>
      </w:r>
      <w:r>
        <w:rPr>
          <w:rFonts w:ascii="Calibri" w:hAnsi="Calibri"/>
          <w:sz w:val="18"/>
        </w:rPr>
        <w:t>de</w:t>
      </w:r>
      <w:r>
        <w:rPr>
          <w:rFonts w:ascii="Calibri" w:hAnsi="Calibri"/>
          <w:spacing w:val="-5"/>
          <w:sz w:val="18"/>
        </w:rPr>
        <w:t> </w:t>
      </w:r>
      <w:r>
        <w:rPr>
          <w:rFonts w:ascii="Calibri" w:hAnsi="Calibri"/>
          <w:sz w:val="18"/>
        </w:rPr>
        <w:t>los</w:t>
      </w:r>
      <w:r>
        <w:rPr>
          <w:rFonts w:ascii="Calibri" w:hAnsi="Calibri"/>
          <w:spacing w:val="-2"/>
          <w:sz w:val="18"/>
        </w:rPr>
        <w:t> </w:t>
      </w:r>
      <w:r>
        <w:rPr>
          <w:rFonts w:ascii="Calibri" w:hAnsi="Calibri"/>
          <w:sz w:val="18"/>
        </w:rPr>
        <w:t>individuos</w:t>
      </w:r>
      <w:r>
        <w:rPr>
          <w:rFonts w:ascii="Calibri" w:hAnsi="Calibri"/>
          <w:spacing w:val="-2"/>
          <w:sz w:val="18"/>
        </w:rPr>
        <w:t> </w:t>
      </w:r>
      <w:r>
        <w:rPr>
          <w:rFonts w:ascii="Calibri" w:hAnsi="Calibri"/>
          <w:sz w:val="18"/>
        </w:rPr>
        <w:t>para</w:t>
      </w:r>
      <w:r>
        <w:rPr>
          <w:rFonts w:ascii="Calibri" w:hAnsi="Calibri"/>
          <w:spacing w:val="-2"/>
          <w:sz w:val="18"/>
        </w:rPr>
        <w:t> </w:t>
      </w:r>
      <w:r>
        <w:rPr>
          <w:rFonts w:ascii="Calibri" w:hAnsi="Calibri"/>
          <w:spacing w:val="4"/>
          <w:sz w:val="18"/>
        </w:rPr>
        <w:t>la</w:t>
      </w:r>
      <w:r>
        <w:rPr>
          <w:rFonts w:ascii="Calibri" w:hAnsi="Calibri"/>
          <w:spacing w:val="-2"/>
          <w:sz w:val="18"/>
        </w:rPr>
        <w:t> </w:t>
      </w:r>
      <w:r>
        <w:rPr>
          <w:rFonts w:ascii="Calibri" w:hAnsi="Calibri"/>
          <w:sz w:val="18"/>
        </w:rPr>
        <w:t>interpretación</w:t>
      </w:r>
      <w:r>
        <w:rPr>
          <w:rFonts w:ascii="Calibri" w:hAnsi="Calibri"/>
          <w:spacing w:val="-2"/>
          <w:sz w:val="18"/>
        </w:rPr>
        <w:t> </w:t>
      </w:r>
      <w:r>
        <w:rPr>
          <w:rFonts w:ascii="Calibri" w:hAnsi="Calibri"/>
          <w:sz w:val="18"/>
        </w:rPr>
        <w:t>de</w:t>
      </w:r>
      <w:r>
        <w:rPr>
          <w:rFonts w:ascii="Calibri" w:hAnsi="Calibri"/>
          <w:spacing w:val="-5"/>
          <w:sz w:val="18"/>
        </w:rPr>
        <w:t> </w:t>
      </w:r>
      <w:r>
        <w:rPr>
          <w:rFonts w:ascii="Calibri" w:hAnsi="Calibri"/>
          <w:sz w:val="18"/>
        </w:rPr>
        <w:t>su</w:t>
      </w:r>
      <w:r>
        <w:rPr>
          <w:rFonts w:ascii="Calibri" w:hAnsi="Calibri"/>
          <w:spacing w:val="-2"/>
          <w:sz w:val="18"/>
        </w:rPr>
        <w:t> </w:t>
      </w:r>
      <w:r>
        <w:rPr>
          <w:rFonts w:ascii="Calibri" w:hAnsi="Calibri"/>
          <w:sz w:val="18"/>
        </w:rPr>
        <w:t>mundo.”</w:t>
      </w:r>
    </w:p>
    <w:p>
      <w:pPr>
        <w:spacing w:after="0" w:line="220"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738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3"/>
        <w:jc w:val="both"/>
      </w:pPr>
      <w:r>
        <w:rPr/>
        <w:t>veracidad o la ficción que se emite en los canales televisivos y un 35% considera que por ejemplo, en el programa de </w:t>
      </w:r>
      <w:r>
        <w:rPr>
          <w:spacing w:val="2"/>
        </w:rPr>
        <w:t>TV </w:t>
      </w:r>
      <w:r>
        <w:rPr/>
        <w:t>Azteca denominado </w:t>
      </w:r>
      <w:r>
        <w:rPr>
          <w:i/>
        </w:rPr>
        <w:t>Extranormal (</w:t>
      </w:r>
      <w:r>
        <w:rPr/>
        <w:t>marzo  de 2007</w:t>
      </w:r>
      <w:r>
        <w:rPr>
          <w:i/>
        </w:rPr>
        <w:t>)</w:t>
      </w:r>
      <w:r>
        <w:rPr/>
        <w:t>, las historias presentadas son verdaderas, porque el presentador acude al reportaje directo para presentar el fenómeno paranormal de espíritus, fantasmas o demonios. Es tal la credibilidad que se asume como verdadero lo que más bien es un montaje de sonido e imágenes con efectos especiales creados por el productor del</w:t>
      </w:r>
      <w:r>
        <w:rPr>
          <w:spacing w:val="-14"/>
        </w:rPr>
        <w:t> </w:t>
      </w:r>
      <w:r>
        <w:rPr/>
        <w:t>programa.</w:t>
      </w:r>
    </w:p>
    <w:p>
      <w:pPr>
        <w:pStyle w:val="BodyText"/>
        <w:spacing w:line="360" w:lineRule="auto" w:before="2"/>
        <w:ind w:left="264" w:right="217" w:firstLine="336"/>
        <w:jc w:val="both"/>
      </w:pPr>
      <w:r>
        <w:rPr/>
        <w:t>En consideración a esto es necesario hacer hincapié en que el aprendizaje que el ser humano comparte es adquirido a través de la educación formal o informal; algunas veces lo que se aprende en la educación formal es complementario o contradictorio de lo que se aprende en la educación informal, sin embargo, ambos contribuyen en la forma como se percibe la realidad. Esto depende de una multiplicidad de factores: psicológicos, sociales, culturales que determinan como el individuo resuelve esas contradicciones. Y en ese tenor podemos observar que la televisión ofrece una diversidad de contenidos, cuya comprensión depende de la formación de quien los visualiza, si los analiza o los acepta tal como la pantalla televisiva pretende hacer creer.</w:t>
      </w:r>
    </w:p>
    <w:p>
      <w:pPr>
        <w:pStyle w:val="BodyText"/>
        <w:spacing w:line="360" w:lineRule="auto" w:before="2"/>
        <w:ind w:left="264" w:right="218" w:firstLine="336"/>
        <w:jc w:val="both"/>
      </w:pPr>
      <w:r>
        <w:rPr/>
        <w:t>Por ejemplo: así como para algunos niños en algún lugar del mundo vive Santa Claus, y también He Man, para algunos adultos los fantasmas que presenta el programa de </w:t>
      </w:r>
      <w:r>
        <w:rPr>
          <w:i/>
        </w:rPr>
        <w:t>Extranormal </w:t>
      </w:r>
      <w:r>
        <w:rPr/>
        <w:t>son manifestaciones de energía espiritual o los efectos especiales presentados en las escenas de combate son verdaderos. Desde esta situación del pensamiento social Habermas afirma:</w:t>
      </w:r>
    </w:p>
    <w:p>
      <w:pPr>
        <w:pStyle w:val="BodyText"/>
        <w:spacing w:before="10"/>
        <w:rPr>
          <w:sz w:val="35"/>
        </w:rPr>
      </w:pPr>
    </w:p>
    <w:p>
      <w:pPr>
        <w:spacing w:line="355" w:lineRule="auto" w:before="1"/>
        <w:ind w:left="973" w:right="213" w:firstLine="0"/>
        <w:jc w:val="both"/>
        <w:rPr>
          <w:sz w:val="14"/>
        </w:rPr>
      </w:pPr>
      <w:r>
        <w:rPr>
          <w:sz w:val="22"/>
        </w:rPr>
        <w:t>Si juzgamos desde este punto de vista los sistemas culturales de interpretación, se ve claro por qué </w:t>
      </w:r>
      <w:r>
        <w:rPr>
          <w:spacing w:val="-3"/>
          <w:sz w:val="22"/>
        </w:rPr>
        <w:t>la </w:t>
      </w:r>
      <w:r>
        <w:rPr>
          <w:sz w:val="22"/>
        </w:rPr>
        <w:t>imágenes míticas del mundo representan un instructivo caso límite. En </w:t>
      </w:r>
      <w:r>
        <w:rPr>
          <w:spacing w:val="-3"/>
          <w:sz w:val="22"/>
        </w:rPr>
        <w:t>la </w:t>
      </w:r>
      <w:r>
        <w:rPr>
          <w:sz w:val="22"/>
        </w:rPr>
        <w:t>medida en que el mundo de </w:t>
      </w:r>
      <w:r>
        <w:rPr>
          <w:spacing w:val="-3"/>
          <w:sz w:val="22"/>
        </w:rPr>
        <w:t>la </w:t>
      </w:r>
      <w:r>
        <w:rPr>
          <w:sz w:val="22"/>
        </w:rPr>
        <w:t>vida de un grupo social venga interpretado por una imagen mítica del mundo, los individuos pertenecientes a él se ven exonerados del peso de </w:t>
      </w:r>
      <w:r>
        <w:rPr>
          <w:spacing w:val="-3"/>
          <w:sz w:val="22"/>
        </w:rPr>
        <w:t>la </w:t>
      </w:r>
      <w:r>
        <w:rPr>
          <w:sz w:val="22"/>
        </w:rPr>
        <w:t>interpretación, pero a </w:t>
      </w:r>
      <w:r>
        <w:rPr>
          <w:spacing w:val="-3"/>
          <w:sz w:val="22"/>
        </w:rPr>
        <w:t>la </w:t>
      </w:r>
      <w:r>
        <w:rPr>
          <w:sz w:val="22"/>
        </w:rPr>
        <w:t>vez se ven privados de  </w:t>
      </w:r>
      <w:r>
        <w:rPr>
          <w:spacing w:val="-3"/>
          <w:sz w:val="22"/>
        </w:rPr>
        <w:t>la </w:t>
      </w:r>
      <w:r>
        <w:rPr>
          <w:sz w:val="22"/>
        </w:rPr>
        <w:t>oportunidad de llegar por sí mismos a un acuerdo susceptible de</w:t>
      </w:r>
      <w:r>
        <w:rPr>
          <w:spacing w:val="-27"/>
          <w:sz w:val="22"/>
        </w:rPr>
        <w:t> </w:t>
      </w:r>
      <w:r>
        <w:rPr>
          <w:sz w:val="22"/>
        </w:rPr>
        <w:t>crítica.</w:t>
      </w:r>
      <w:r>
        <w:rPr>
          <w:position w:val="10"/>
          <w:sz w:val="14"/>
        </w:rPr>
        <w:t>259</w:t>
      </w:r>
    </w:p>
    <w:p>
      <w:pPr>
        <w:pStyle w:val="BodyText"/>
        <w:rPr>
          <w:sz w:val="20"/>
        </w:rPr>
      </w:pP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7360;mso-wrap-distance-left:0;mso-wrap-distance-right:0" from="99.224998pt,9.906233pt" to="243.274998pt,9.906233pt" stroked="true" strokeweight=".60004pt" strokecolor="#000000">
            <w10:wrap type="topAndBottom"/>
          </v:line>
        </w:pict>
      </w:r>
    </w:p>
    <w:p>
      <w:pPr>
        <w:spacing w:before="46"/>
        <w:ind w:left="264" w:right="0" w:firstLine="0"/>
        <w:jc w:val="left"/>
        <w:rPr>
          <w:rFonts w:ascii="Calibri" w:hAnsi="Calibri"/>
          <w:sz w:val="18"/>
        </w:rPr>
      </w:pPr>
      <w:r>
        <w:rPr>
          <w:rFonts w:ascii="Calibri" w:hAnsi="Calibri"/>
          <w:position w:val="9"/>
          <w:sz w:val="12"/>
        </w:rPr>
        <w:t>259 </w:t>
      </w:r>
      <w:r>
        <w:rPr>
          <w:rFonts w:ascii="Calibri" w:hAnsi="Calibri"/>
          <w:sz w:val="18"/>
        </w:rPr>
        <w:t>Habermas, Jürgen, </w:t>
      </w:r>
      <w:r>
        <w:rPr>
          <w:rFonts w:ascii="Calibri" w:hAnsi="Calibri"/>
          <w:i/>
          <w:sz w:val="18"/>
        </w:rPr>
        <w:t>Teoría de la Acción comunicativa</w:t>
      </w:r>
      <w:r>
        <w:rPr>
          <w:rFonts w:ascii="Calibri" w:hAnsi="Calibri"/>
          <w:sz w:val="18"/>
        </w:rPr>
        <w:t>, p. 105.</w:t>
      </w:r>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743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5" w:firstLine="336"/>
        <w:jc w:val="both"/>
      </w:pPr>
      <w:r>
        <w:rPr/>
        <w:t>Para entender cómo una gran mayoría de los televidentes asumen como verdadero el mensaje televisivo y lo incorporan a sus estructuras cognitivas sin cuestionamientos Habermas se refiere a esa reminiscencia del pensamiento mítico que “[…] no permite una diferenciación entre el mundo de los estados de cosas existentes,  el  mundo  de  las  normas  vigentes  y  el  mundo  de  las      vivencias</w:t>
      </w:r>
    </w:p>
    <w:p>
      <w:pPr>
        <w:pStyle w:val="BodyText"/>
        <w:spacing w:line="278" w:lineRule="exact"/>
        <w:ind w:left="684"/>
        <w:jc w:val="both"/>
      </w:pPr>
      <w:r>
        <w:rPr/>
        <w:t>subjetivas  susceptibles  de  expresión.”</w:t>
      </w:r>
      <w:r>
        <w:rPr>
          <w:position w:val="11"/>
          <w:sz w:val="16"/>
        </w:rPr>
        <w:t>260    </w:t>
      </w:r>
      <w:r>
        <w:rPr/>
        <w:t>Desde  esta  perspectiva  es   </w:t>
      </w:r>
      <w:r>
        <w:rPr>
          <w:spacing w:val="56"/>
        </w:rPr>
        <w:t> </w:t>
      </w:r>
      <w:r>
        <w:rPr/>
        <w:t>posible</w:t>
      </w:r>
    </w:p>
    <w:p>
      <w:pPr>
        <w:pStyle w:val="BodyText"/>
        <w:spacing w:line="360" w:lineRule="auto" w:before="140"/>
        <w:ind w:left="684" w:right="120"/>
        <w:jc w:val="both"/>
      </w:pPr>
      <w:r>
        <w:rPr/>
        <w:t>demostrar como el mensaje televisivo es capaz de establecer un mundo alterno, diferente al mundo real, bajo el que se rige el televidente, que condiciona su posibilidad de elección y acción en su mundo real.</w:t>
      </w:r>
    </w:p>
    <w:p>
      <w:pPr>
        <w:pStyle w:val="BodyText"/>
        <w:spacing w:before="11"/>
        <w:rPr>
          <w:sz w:val="35"/>
        </w:rPr>
      </w:pPr>
    </w:p>
    <w:p>
      <w:pPr>
        <w:pStyle w:val="Heading3"/>
        <w:numPr>
          <w:ilvl w:val="2"/>
          <w:numId w:val="6"/>
        </w:numPr>
        <w:tabs>
          <w:tab w:pos="952" w:val="left" w:leader="none"/>
        </w:tabs>
        <w:spacing w:line="240" w:lineRule="auto" w:before="0" w:after="0"/>
        <w:ind w:left="951" w:right="0" w:hanging="267"/>
        <w:jc w:val="both"/>
        <w:rPr>
          <w:rFonts w:ascii="Arial" w:hAnsi="Arial"/>
        </w:rPr>
      </w:pPr>
      <w:bookmarkStart w:name="_TOC_250017" w:id="7"/>
      <w:r>
        <w:rPr>
          <w:rFonts w:ascii="Arial" w:hAnsi="Arial"/>
        </w:rPr>
        <w:t>Construcción de la</w:t>
      </w:r>
      <w:r>
        <w:rPr>
          <w:rFonts w:ascii="Arial" w:hAnsi="Arial"/>
          <w:spacing w:val="-10"/>
        </w:rPr>
        <w:t> </w:t>
      </w:r>
      <w:bookmarkEnd w:id="7"/>
      <w:r>
        <w:rPr>
          <w:rFonts w:ascii="Arial" w:hAnsi="Arial"/>
        </w:rPr>
        <w:t>opinión</w:t>
      </w:r>
    </w:p>
    <w:p>
      <w:pPr>
        <w:pStyle w:val="BodyText"/>
        <w:rPr>
          <w:b/>
        </w:rPr>
      </w:pPr>
    </w:p>
    <w:p>
      <w:pPr>
        <w:pStyle w:val="BodyText"/>
        <w:spacing w:before="4"/>
        <w:rPr>
          <w:b/>
        </w:rPr>
      </w:pPr>
    </w:p>
    <w:p>
      <w:pPr>
        <w:pStyle w:val="BodyText"/>
        <w:spacing w:line="360" w:lineRule="auto"/>
        <w:ind w:left="684" w:right="116" w:firstLine="336"/>
        <w:jc w:val="both"/>
      </w:pPr>
      <w:r>
        <w:rPr/>
        <w:t>Las estrategias utilizadas por el sistema en materia de transmisión de mensaje a través de las comunicaciones, son en el siglo XX e inicio del siglo XXI fundamentales para la expansión cultural, para el proceso civilizatorio, para la consolidación del régimen y el control social. Y en este contexto la televisión y los medios de comunicación masiva son indispensables e insustituibles para la conservación y preservación del sistema imperante. Sus tácticas son elaboradas a partir de estudios que incorporan conceptos de mercadotecnia, psicología, arte y tecnología; integrando un sistema que se institucionaliza orientando a la comunidad hacia una forma determinada de pensar, misma que se manifiesta en procesos de construcción de la opinión pública, que o bien magnifican los acontecimientos políticos y sociales o bien los minimizan, todo esto de acuerdo a los propósitos del ambiente político e intereses de las clases dominantes.</w:t>
      </w:r>
    </w:p>
    <w:p>
      <w:pPr>
        <w:pStyle w:val="BodyText"/>
        <w:spacing w:before="6"/>
        <w:ind w:left="956" w:right="114"/>
      </w:pPr>
      <w:r>
        <w:rPr/>
        <w:t>Desde este enfoque de acuerdo con Mancera Carrero:</w:t>
      </w:r>
    </w:p>
    <w:p>
      <w:pPr>
        <w:pStyle w:val="BodyText"/>
      </w:pPr>
    </w:p>
    <w:p>
      <w:pPr>
        <w:pStyle w:val="BodyText"/>
        <w:spacing w:before="10"/>
        <w:rPr>
          <w:sz w:val="23"/>
        </w:rPr>
      </w:pPr>
    </w:p>
    <w:p>
      <w:pPr>
        <w:spacing w:line="240" w:lineRule="auto" w:before="0"/>
        <w:ind w:left="1393" w:right="114" w:firstLine="0"/>
        <w:jc w:val="both"/>
        <w:rPr>
          <w:sz w:val="22"/>
        </w:rPr>
      </w:pPr>
      <w:r>
        <w:rPr>
          <w:sz w:val="22"/>
        </w:rPr>
        <w:t>La opinión pública desde su concepción teórica, pretendió ser la expresión pública y razonada de las preocupaciones del pueblo ante la sociedad y el poder; característica que le permitió ocupar una posición axial en la sociedad como aquel ente crítico generador de poder social que limitaba el accionar del Estado. No obstante, este planteamiento trazado desde sus inicios y canalizado con el liberalismo, que le dio un poder social y una fuerza moral y crítica a la opinión pública,  es  emplazado  por  una  crisis  sustancial de  lo  público,  suscitado  en la</w:t>
      </w:r>
    </w:p>
    <w:p>
      <w:pPr>
        <w:pStyle w:val="BodyText"/>
        <w:spacing w:before="6"/>
        <w:rPr>
          <w:sz w:val="17"/>
        </w:rPr>
      </w:pPr>
      <w:r>
        <w:rPr/>
        <w:pict>
          <v:line style="position:absolute;mso-position-horizontal-relative:page;mso-position-vertical-relative:paragraph;z-index:7408;mso-wrap-distance-left:0;mso-wrap-distance-right:0" from="99.224998pt,12.368927pt" to="243.274998pt,12.368927pt" stroked="true" strokeweight=".60004pt" strokecolor="#000000">
            <w10:wrap type="topAndBottom"/>
          </v:line>
        </w:pict>
      </w:r>
    </w:p>
    <w:p>
      <w:pPr>
        <w:spacing w:before="46"/>
        <w:ind w:left="684" w:right="114" w:firstLine="0"/>
        <w:jc w:val="left"/>
        <w:rPr>
          <w:rFonts w:ascii="Calibri" w:hAnsi="Calibri"/>
          <w:i/>
          <w:sz w:val="18"/>
        </w:rPr>
      </w:pPr>
      <w:r>
        <w:rPr>
          <w:rFonts w:ascii="Calibri" w:hAnsi="Calibri"/>
          <w:position w:val="9"/>
          <w:sz w:val="12"/>
        </w:rPr>
        <w:t>260 </w:t>
      </w:r>
      <w:r>
        <w:rPr>
          <w:rFonts w:ascii="Calibri" w:hAnsi="Calibri"/>
          <w:i/>
          <w:sz w:val="18"/>
        </w:rPr>
        <w:t>Ídem.</w:t>
      </w:r>
    </w:p>
    <w:p>
      <w:pPr>
        <w:spacing w:after="0"/>
        <w:jc w:val="left"/>
        <w:rPr>
          <w:rFonts w:ascii="Calibri" w:hAnsi="Calibri"/>
          <w:sz w:val="18"/>
        </w:rPr>
        <w:sectPr>
          <w:footerReference w:type="default" r:id="rId107"/>
          <w:pgSz w:w="12240" w:h="15840"/>
          <w:pgMar w:footer="876" w:header="0" w:top="520" w:bottom="1060" w:left="1300" w:right="1300"/>
          <w:pgNumType w:start="141"/>
        </w:sectPr>
      </w:pPr>
    </w:p>
    <w:p>
      <w:pPr>
        <w:pStyle w:val="Heading3"/>
      </w:pPr>
      <w:r>
        <w:rPr/>
        <w:pict>
          <v:line style="position:absolute;mso-position-horizontal-relative:page;mso-position-vertical-relative:paragraph;z-index:748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232" w:lineRule="auto" w:before="79"/>
        <w:ind w:left="973" w:right="213" w:firstLine="0"/>
        <w:jc w:val="both"/>
        <w:rPr>
          <w:sz w:val="14"/>
        </w:rPr>
      </w:pPr>
      <w:r>
        <w:rPr>
          <w:sz w:val="22"/>
        </w:rPr>
        <w:t>sociedad de masas, donde la opinión pública ya no se constituye como un estadio de crítica social sino, por el contrario, como aquel poder de grupos privados que tiene como sujeto pasivo al pueblo y como sujeto activo a las élites y sus intereses que son las que las mueven apoyados en el poder de los medios.</w:t>
      </w:r>
      <w:r>
        <w:rPr>
          <w:position w:val="10"/>
          <w:sz w:val="14"/>
        </w:rPr>
        <w:t>261</w:t>
      </w:r>
    </w:p>
    <w:p>
      <w:pPr>
        <w:pStyle w:val="BodyText"/>
        <w:rPr>
          <w:sz w:val="36"/>
        </w:rPr>
      </w:pPr>
    </w:p>
    <w:p>
      <w:pPr>
        <w:pStyle w:val="BodyText"/>
        <w:spacing w:line="360" w:lineRule="auto"/>
        <w:ind w:left="264" w:right="225" w:firstLine="336"/>
        <w:jc w:val="both"/>
      </w:pPr>
      <w:r>
        <w:rPr/>
        <w:t>En ese proceso la desinformación, la indoctrinación y la desorientación o supresión de información son básicos para mantener a la población en un estado de pasividad, proclive a aceptar como verdad las ideas lanzadas por la televisión.</w:t>
      </w:r>
    </w:p>
    <w:p>
      <w:pPr>
        <w:pStyle w:val="BodyText"/>
        <w:spacing w:line="360" w:lineRule="auto" w:before="6"/>
        <w:ind w:left="264" w:right="222" w:firstLine="204"/>
        <w:jc w:val="both"/>
      </w:pPr>
      <w:r>
        <w:rPr/>
        <w:t>La tarea informativa se distribuye entre un grupo de profesionales, teóricos liberales que bajo un método riguroso analizan las propiedades del mensaje, para mejorar el impacto y conseguir mediante nuevas técnicas lo que se denomina la democratización de la cultura. Y con ese pretexto orientar a las personas para que acepten ideas que de no ser presentadas adecuadamente serían rechazadas.</w:t>
      </w:r>
    </w:p>
    <w:p>
      <w:pPr>
        <w:pStyle w:val="BodyText"/>
        <w:spacing w:line="360" w:lineRule="auto" w:before="2"/>
        <w:ind w:left="264" w:right="222" w:firstLine="336"/>
        <w:jc w:val="both"/>
      </w:pPr>
      <w:r>
        <w:rPr/>
        <w:t>Así, bajo una tendencia paternalista y colonial se recomienda que la dosificación de la información sea manejada por una élite de especialistas, para, según ellos, beneficiar a las masas, educándolas y forzándolas a servir al sistema. Por ejemplo, Noam Chomsky comenta:</w:t>
      </w:r>
    </w:p>
    <w:p>
      <w:pPr>
        <w:pStyle w:val="BodyText"/>
        <w:spacing w:before="6"/>
        <w:rPr>
          <w:sz w:val="35"/>
        </w:rPr>
      </w:pPr>
    </w:p>
    <w:p>
      <w:pPr>
        <w:spacing w:line="355" w:lineRule="auto" w:before="0"/>
        <w:ind w:left="973" w:right="218" w:firstLine="0"/>
        <w:jc w:val="both"/>
        <w:rPr>
          <w:sz w:val="22"/>
        </w:rPr>
      </w:pPr>
      <w:r>
        <w:rPr>
          <w:sz w:val="22"/>
        </w:rPr>
        <w:t>[...] con algo así como </w:t>
      </w:r>
      <w:r>
        <w:rPr>
          <w:i/>
          <w:sz w:val="22"/>
        </w:rPr>
        <w:t>Una teoría progresista sobre el pensamiento democrático </w:t>
      </w:r>
      <w:r>
        <w:rPr>
          <w:i/>
          <w:sz w:val="22"/>
        </w:rPr>
        <w:t>liberal. </w:t>
      </w:r>
      <w:r>
        <w:rPr>
          <w:sz w:val="22"/>
        </w:rPr>
        <w:t>Lippmann estuvo vinculado a estas comisiones de propaganda y admitió  los logros alcanzados, al tiempo que sostenía que </w:t>
      </w:r>
      <w:r>
        <w:rPr>
          <w:spacing w:val="-3"/>
          <w:sz w:val="22"/>
        </w:rPr>
        <w:t>lo </w:t>
      </w:r>
      <w:r>
        <w:rPr>
          <w:sz w:val="22"/>
        </w:rPr>
        <w:t>que él llamaba </w:t>
      </w:r>
      <w:r>
        <w:rPr>
          <w:i/>
          <w:sz w:val="22"/>
        </w:rPr>
        <w:t>revolución en </w:t>
      </w:r>
      <w:r>
        <w:rPr>
          <w:i/>
          <w:sz w:val="22"/>
        </w:rPr>
        <w:t>el arte de la democracia </w:t>
      </w:r>
      <w:r>
        <w:rPr>
          <w:sz w:val="22"/>
        </w:rPr>
        <w:t>podía utilizarse </w:t>
      </w:r>
      <w:r>
        <w:rPr>
          <w:i/>
          <w:sz w:val="22"/>
        </w:rPr>
        <w:t>para fabricar consenso, </w:t>
      </w:r>
      <w:r>
        <w:rPr>
          <w:sz w:val="22"/>
        </w:rPr>
        <w:t>es decir, para producir en </w:t>
      </w:r>
      <w:r>
        <w:rPr>
          <w:spacing w:val="-3"/>
          <w:sz w:val="22"/>
        </w:rPr>
        <w:t>la </w:t>
      </w:r>
      <w:r>
        <w:rPr>
          <w:sz w:val="22"/>
        </w:rPr>
        <w:t>población, mediante las nuevas técnicas de propaganda, </w:t>
      </w:r>
      <w:r>
        <w:rPr>
          <w:spacing w:val="-3"/>
          <w:sz w:val="22"/>
        </w:rPr>
        <w:t>la </w:t>
      </w:r>
      <w:r>
        <w:rPr>
          <w:sz w:val="22"/>
        </w:rPr>
        <w:t>aceptación de algo inicialmente no</w:t>
      </w:r>
      <w:r>
        <w:rPr>
          <w:spacing w:val="-24"/>
          <w:sz w:val="22"/>
        </w:rPr>
        <w:t> </w:t>
      </w:r>
      <w:r>
        <w:rPr>
          <w:sz w:val="22"/>
        </w:rPr>
        <w:t>deseado</w:t>
      </w:r>
      <w:r>
        <w:rPr>
          <w:position w:val="10"/>
          <w:sz w:val="14"/>
        </w:rPr>
        <w:t>262</w:t>
      </w:r>
      <w:r>
        <w:rPr>
          <w:sz w:val="22"/>
        </w:rPr>
        <w:t>.</w:t>
      </w:r>
    </w:p>
    <w:p>
      <w:pPr>
        <w:pStyle w:val="BodyText"/>
        <w:spacing w:before="2"/>
        <w:rPr>
          <w:sz w:val="27"/>
        </w:rPr>
      </w:pPr>
    </w:p>
    <w:p>
      <w:pPr>
        <w:pStyle w:val="BodyText"/>
        <w:spacing w:line="360" w:lineRule="auto" w:before="1"/>
        <w:ind w:left="264" w:right="223" w:firstLine="271"/>
        <w:jc w:val="both"/>
      </w:pPr>
      <w:r>
        <w:rPr/>
        <w:t>Es tal la presunción de esta teoría que su propuesta estima la necesidad de incluir en el grupo de especialistas a hombres inteligentes que puedan dirigir a las masas hacia lo que ellos denominan intereses comunes, negando a la población la posibilidad o la alternativa de elegir su propio camino. Chomsky asegura que  este</w:t>
      </w:r>
    </w:p>
    <w:p>
      <w:pPr>
        <w:pStyle w:val="BodyText"/>
        <w:spacing w:before="3"/>
        <w:rPr>
          <w:sz w:val="21"/>
        </w:rPr>
      </w:pPr>
      <w:r>
        <w:rPr/>
        <w:pict>
          <v:line style="position:absolute;mso-position-horizontal-relative:page;mso-position-vertical-relative:paragraph;z-index:7456;mso-wrap-distance-left:0;mso-wrap-distance-right:0" from="99.224998pt,14.47391pt" to="243.274998pt,14.47391pt" stroked="true" strokeweight=".599980pt" strokecolor="#000000">
            <w10:wrap type="topAndBottom"/>
          </v:line>
        </w:pict>
      </w:r>
    </w:p>
    <w:p>
      <w:pPr>
        <w:spacing w:line="137" w:lineRule="exact" w:before="37"/>
        <w:ind w:left="264" w:right="0" w:firstLine="0"/>
        <w:jc w:val="left"/>
        <w:rPr>
          <w:rFonts w:ascii="Times New Roman"/>
          <w:sz w:val="16"/>
        </w:rPr>
      </w:pPr>
      <w:r>
        <w:rPr>
          <w:rFonts w:ascii="Times New Roman"/>
          <w:sz w:val="16"/>
        </w:rPr>
        <w:t>261</w:t>
      </w:r>
    </w:p>
    <w:p>
      <w:pPr>
        <w:spacing w:line="173" w:lineRule="exact" w:before="0"/>
        <w:ind w:left="264" w:right="0" w:firstLine="364"/>
        <w:jc w:val="left"/>
        <w:rPr>
          <w:rFonts w:ascii="Calibri" w:hAnsi="Calibri"/>
          <w:sz w:val="18"/>
        </w:rPr>
      </w:pPr>
      <w:r>
        <w:rPr>
          <w:rFonts w:ascii="Calibri" w:hAnsi="Calibri"/>
          <w:sz w:val="18"/>
        </w:rPr>
        <w:t>MANCERA  Carrero,  Mónica   Victoria,  “Historia  de  la   Opinión   Pública   desde  las   Perspectivas   Políticas   a las</w:t>
      </w:r>
    </w:p>
    <w:p>
      <w:pPr>
        <w:spacing w:before="8"/>
        <w:ind w:left="264" w:right="335" w:firstLine="0"/>
        <w:jc w:val="left"/>
        <w:rPr>
          <w:rFonts w:ascii="Calibri" w:hAnsi="Calibri"/>
          <w:sz w:val="18"/>
        </w:rPr>
      </w:pPr>
      <w:r>
        <w:rPr>
          <w:rFonts w:ascii="Calibri" w:hAnsi="Calibri"/>
          <w:sz w:val="18"/>
        </w:rPr>
        <w:t>Perspectivas Mediáticas”, </w:t>
      </w:r>
      <w:r>
        <w:rPr>
          <w:rFonts w:ascii="Calibri" w:hAnsi="Calibri"/>
          <w:i/>
          <w:sz w:val="18"/>
        </w:rPr>
        <w:t>Pontificia Universidad Javeriana</w:t>
      </w:r>
      <w:r>
        <w:rPr>
          <w:rFonts w:ascii="Calibri" w:hAnsi="Calibri"/>
          <w:sz w:val="18"/>
        </w:rPr>
        <w:t>, Bogotá, 2007, p. 1, [en línea] consulta 11/09/2012,  disponible en:</w:t>
      </w:r>
      <w:r>
        <w:rPr>
          <w:rFonts w:ascii="Calibri" w:hAnsi="Calibri"/>
          <w:spacing w:val="-26"/>
          <w:sz w:val="18"/>
        </w:rPr>
        <w:t> </w:t>
      </w:r>
      <w:hyperlink r:id="rId108">
        <w:r>
          <w:rPr>
            <w:rFonts w:ascii="Calibri" w:hAnsi="Calibri"/>
            <w:color w:val="0000FF"/>
            <w:sz w:val="18"/>
            <w:u w:val="single" w:color="0000FF"/>
          </w:rPr>
          <w:t>http://www.javeriana.edu.co/biblos/tesis/politica/tesis72.pdf</w:t>
        </w:r>
        <w:r>
          <w:rPr>
            <w:rFonts w:ascii="Calibri" w:hAnsi="Calibri"/>
            <w:sz w:val="18"/>
          </w:rPr>
          <w:t>.</w:t>
        </w:r>
      </w:hyperlink>
    </w:p>
    <w:p>
      <w:pPr>
        <w:pStyle w:val="BodyText"/>
        <w:rPr>
          <w:rFonts w:ascii="Calibri"/>
          <w:sz w:val="25"/>
        </w:rPr>
      </w:pPr>
    </w:p>
    <w:p>
      <w:pPr>
        <w:spacing w:before="78"/>
        <w:ind w:left="264" w:right="0" w:firstLine="0"/>
        <w:jc w:val="left"/>
        <w:rPr>
          <w:rFonts w:ascii="Calibri" w:hAnsi="Calibri"/>
          <w:sz w:val="18"/>
        </w:rPr>
      </w:pPr>
      <w:r>
        <w:rPr>
          <w:rFonts w:ascii="Calibri" w:hAnsi="Calibri"/>
          <w:position w:val="9"/>
          <w:sz w:val="12"/>
        </w:rPr>
        <w:t>262</w:t>
      </w:r>
      <w:r>
        <w:rPr>
          <w:rFonts w:ascii="Calibri" w:hAnsi="Calibri"/>
          <w:sz w:val="18"/>
        </w:rPr>
        <w:t>CHOMSKY, Noam, </w:t>
      </w:r>
      <w:r>
        <w:rPr>
          <w:rFonts w:ascii="Calibri" w:hAnsi="Calibri"/>
          <w:i/>
          <w:sz w:val="18"/>
        </w:rPr>
        <w:t>La democracia del espectador, </w:t>
      </w:r>
      <w:r>
        <w:rPr>
          <w:rFonts w:ascii="Calibri" w:hAnsi="Calibri"/>
          <w:sz w:val="18"/>
        </w:rPr>
        <w:t>[en línea] consulta 30/11/2008, disponible en: </w:t>
      </w:r>
      <w:hyperlink r:id="rId109">
        <w:r>
          <w:rPr>
            <w:rFonts w:ascii="Calibri" w:hAnsi="Calibri"/>
            <w:color w:val="0000FF"/>
            <w:sz w:val="18"/>
            <w:u w:val="single" w:color="0000FF"/>
          </w:rPr>
          <w:t>http://www.laeditorialvirtual.com.ar/pages/Chomsky/Chomsky_ManufacturandoConsenso.htm</w:t>
        </w:r>
        <w:r>
          <w:rPr>
            <w:rFonts w:ascii="Calibri" w:hAnsi="Calibri"/>
            <w:sz w:val="18"/>
          </w:rPr>
          <w:t>.</w:t>
        </w:r>
      </w:hyperlink>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752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8"/>
        <w:jc w:val="both"/>
      </w:pPr>
      <w:r>
        <w:rPr/>
        <w:t>enfoque es común tanto en la ideología leninista como en la neoliberal, pues sus supuestos les llevan a asumir que la gente, la masa es de bajo coeficiente mental, y por lo tanto alguien tiene que conducirlas.</w:t>
      </w:r>
    </w:p>
    <w:p>
      <w:pPr>
        <w:pStyle w:val="BodyText"/>
        <w:spacing w:before="5"/>
      </w:pPr>
    </w:p>
    <w:p>
      <w:pPr>
        <w:spacing w:line="235" w:lineRule="auto" w:before="0"/>
        <w:ind w:left="1393" w:right="113" w:firstLine="0"/>
        <w:jc w:val="both"/>
        <w:rPr>
          <w:sz w:val="14"/>
        </w:rPr>
      </w:pPr>
      <w:r>
        <w:rPr>
          <w:sz w:val="22"/>
        </w:rPr>
        <w:t>En realidad, este enfoque se remonta a cientos de años atrás, es también un planteamiento típicamente leninista, de modo que existe una gran semejanza con </w:t>
      </w:r>
      <w:r>
        <w:rPr>
          <w:spacing w:val="-3"/>
          <w:sz w:val="22"/>
        </w:rPr>
        <w:t>la </w:t>
      </w:r>
      <w:r>
        <w:rPr>
          <w:sz w:val="22"/>
        </w:rPr>
        <w:t>idea de que una vanguardia de intelectuales revolucionarios toma el poder mediante revoluciones populares que les proporcionan </w:t>
      </w:r>
      <w:r>
        <w:rPr>
          <w:spacing w:val="-3"/>
          <w:sz w:val="22"/>
        </w:rPr>
        <w:t>la </w:t>
      </w:r>
      <w:r>
        <w:rPr>
          <w:sz w:val="22"/>
        </w:rPr>
        <w:t>fuerza necesaria para ello, para conducir después a las masas estúpidas a un futuro en el que éstas son demasiado ineptas e incompetentes para imaginar y prever nada por sí</w:t>
      </w:r>
      <w:r>
        <w:rPr>
          <w:spacing w:val="-44"/>
          <w:sz w:val="22"/>
        </w:rPr>
        <w:t> </w:t>
      </w:r>
      <w:r>
        <w:rPr>
          <w:sz w:val="22"/>
        </w:rPr>
        <w:t>mismas.</w:t>
      </w:r>
      <w:r>
        <w:rPr>
          <w:position w:val="10"/>
          <w:sz w:val="14"/>
        </w:rPr>
        <w:t>263</w:t>
      </w:r>
    </w:p>
    <w:p>
      <w:pPr>
        <w:pStyle w:val="BodyText"/>
        <w:spacing w:before="11"/>
        <w:rPr>
          <w:sz w:val="35"/>
        </w:rPr>
      </w:pPr>
    </w:p>
    <w:p>
      <w:pPr>
        <w:pStyle w:val="BodyText"/>
        <w:spacing w:line="360" w:lineRule="auto"/>
        <w:ind w:left="684" w:right="119" w:firstLine="271"/>
        <w:jc w:val="both"/>
      </w:pPr>
      <w:r>
        <w:rPr/>
        <w:t>Los mensajes utilizados son incluyentes, convincentes, emotivos, despiertan en los recipiendarios un sentimiento de pertenencia, todos somos iguales, para todos existen las mismas oportunidades, todos queremos la paz, la armonía y el progreso. Y por este objetivo el poder económico y el político trabajan conjuntamente. En este caso el control de los medios es determinante para obtener el éxito</w:t>
      </w:r>
      <w:r>
        <w:rPr>
          <w:spacing w:val="-18"/>
        </w:rPr>
        <w:t> </w:t>
      </w:r>
      <w:r>
        <w:rPr/>
        <w:t>deseado.</w:t>
      </w:r>
    </w:p>
    <w:p>
      <w:pPr>
        <w:pStyle w:val="BodyText"/>
        <w:spacing w:line="360" w:lineRule="auto" w:before="2"/>
        <w:ind w:left="684" w:right="122" w:firstLine="336"/>
        <w:jc w:val="both"/>
      </w:pPr>
      <w:r>
        <w:rPr/>
        <w:t>Esto es lo único que importa en el mensaje que se inserta en la opinión de las masas. Se trata de crear un eslogan que no pueda recibir ninguna oposición,  antes</w:t>
      </w:r>
      <w:r>
        <w:rPr>
          <w:spacing w:val="38"/>
        </w:rPr>
        <w:t> </w:t>
      </w:r>
      <w:r>
        <w:rPr/>
        <w:t>al</w:t>
      </w:r>
      <w:r>
        <w:rPr>
          <w:spacing w:val="36"/>
        </w:rPr>
        <w:t> </w:t>
      </w:r>
      <w:r>
        <w:rPr/>
        <w:t>contrario,</w:t>
      </w:r>
      <w:r>
        <w:rPr>
          <w:spacing w:val="38"/>
        </w:rPr>
        <w:t> </w:t>
      </w:r>
      <w:r>
        <w:rPr/>
        <w:t>que</w:t>
      </w:r>
      <w:r>
        <w:rPr>
          <w:spacing w:val="35"/>
        </w:rPr>
        <w:t> </w:t>
      </w:r>
      <w:r>
        <w:rPr/>
        <w:t>todo</w:t>
      </w:r>
      <w:r>
        <w:rPr>
          <w:spacing w:val="35"/>
        </w:rPr>
        <w:t> </w:t>
      </w:r>
      <w:r>
        <w:rPr/>
        <w:t>el</w:t>
      </w:r>
      <w:r>
        <w:rPr>
          <w:spacing w:val="36"/>
        </w:rPr>
        <w:t> </w:t>
      </w:r>
      <w:r>
        <w:rPr/>
        <w:t>mundo</w:t>
      </w:r>
      <w:r>
        <w:rPr>
          <w:spacing w:val="35"/>
        </w:rPr>
        <w:t> </w:t>
      </w:r>
      <w:r>
        <w:rPr/>
        <w:t>esté</w:t>
      </w:r>
      <w:r>
        <w:rPr>
          <w:spacing w:val="35"/>
        </w:rPr>
        <w:t> </w:t>
      </w:r>
      <w:r>
        <w:rPr/>
        <w:t>a</w:t>
      </w:r>
      <w:r>
        <w:rPr>
          <w:spacing w:val="35"/>
        </w:rPr>
        <w:t> </w:t>
      </w:r>
      <w:r>
        <w:rPr/>
        <w:t>favor.</w:t>
      </w:r>
      <w:r>
        <w:rPr>
          <w:spacing w:val="34"/>
        </w:rPr>
        <w:t> </w:t>
      </w:r>
      <w:r>
        <w:rPr/>
        <w:t>Nadie</w:t>
      </w:r>
      <w:r>
        <w:rPr>
          <w:spacing w:val="35"/>
        </w:rPr>
        <w:t> </w:t>
      </w:r>
      <w:r>
        <w:rPr/>
        <w:t>sabe</w:t>
      </w:r>
      <w:r>
        <w:rPr>
          <w:spacing w:val="35"/>
        </w:rPr>
        <w:t> </w:t>
      </w:r>
      <w:r>
        <w:rPr/>
        <w:t>lo</w:t>
      </w:r>
      <w:r>
        <w:rPr>
          <w:spacing w:val="35"/>
        </w:rPr>
        <w:t> </w:t>
      </w:r>
      <w:r>
        <w:rPr/>
        <w:t>que</w:t>
      </w:r>
      <w:r>
        <w:rPr>
          <w:spacing w:val="35"/>
        </w:rPr>
        <w:t> </w:t>
      </w:r>
      <w:r>
        <w:rPr/>
        <w:t>significa</w:t>
      </w:r>
    </w:p>
    <w:p>
      <w:pPr>
        <w:pStyle w:val="BodyText"/>
        <w:spacing w:line="328" w:lineRule="auto" w:before="6"/>
        <w:ind w:left="684" w:right="125"/>
        <w:jc w:val="both"/>
        <w:rPr>
          <w:sz w:val="16"/>
        </w:rPr>
      </w:pPr>
      <w:r>
        <w:rPr/>
        <w:t>porque no significa nada, y su importancia decisiva estriba en que distrae la atención de la gente respecto de preguntas que sí significan algo.</w:t>
      </w:r>
      <w:r>
        <w:rPr>
          <w:position w:val="11"/>
          <w:sz w:val="16"/>
        </w:rPr>
        <w:t>264</w:t>
      </w:r>
    </w:p>
    <w:p>
      <w:pPr>
        <w:pStyle w:val="BodyText"/>
        <w:spacing w:line="360" w:lineRule="auto" w:before="26"/>
        <w:ind w:left="684" w:right="117" w:firstLine="336"/>
        <w:jc w:val="both"/>
      </w:pPr>
      <w:r>
        <w:rPr/>
        <w:t>El objetivo es la unión en torno a frases vacías, que parecieran unificar objetivos donde las distancias sociales y económicas son evidentes. Se aseguran de comprometer a todos para que tomen parte en ello y aseguran, a la vez, que no habrá gente mala en su alrededor que destruya la anhelada paz social con sus discursos acerca de la lucha de clases, los derechos civiles y todo este tipo de cosas. La idea es que el mensaje de la televisión como promotor de opinión pública logre desarrollar la función del pensamiento y de la comprensión para </w:t>
      </w:r>
      <w:r>
        <w:rPr>
          <w:spacing w:val="21"/>
        </w:rPr>
        <w:t> </w:t>
      </w:r>
      <w:r>
        <w:rPr/>
        <w:t>que</w:t>
      </w:r>
    </w:p>
    <w:p>
      <w:pPr>
        <w:pStyle w:val="BodyText"/>
        <w:rPr>
          <w:sz w:val="20"/>
        </w:rPr>
      </w:pPr>
    </w:p>
    <w:p>
      <w:pPr>
        <w:pStyle w:val="BodyText"/>
        <w:rPr>
          <w:sz w:val="20"/>
        </w:rPr>
      </w:pPr>
    </w:p>
    <w:p>
      <w:pPr>
        <w:pStyle w:val="BodyText"/>
        <w:rPr>
          <w:sz w:val="20"/>
        </w:rPr>
      </w:pPr>
    </w:p>
    <w:p>
      <w:pPr>
        <w:pStyle w:val="BodyText"/>
        <w:spacing w:before="2"/>
        <w:rPr>
          <w:sz w:val="23"/>
        </w:rPr>
      </w:pPr>
      <w:r>
        <w:rPr/>
        <w:pict>
          <v:line style="position:absolute;mso-position-horizontal-relative:page;mso-position-vertical-relative:paragraph;z-index:7504;mso-wrap-distance-left:0;mso-wrap-distance-right:0" from="99.224998pt,15.58681pt" to="243.274998pt,15.58681pt" stroked="true" strokeweight=".60004pt" strokecolor="#000000">
            <w10:wrap type="topAndBottom"/>
          </v:line>
        </w:pict>
      </w:r>
    </w:p>
    <w:p>
      <w:pPr>
        <w:spacing w:line="236" w:lineRule="exact" w:before="46"/>
        <w:ind w:left="684" w:right="0" w:firstLine="0"/>
        <w:jc w:val="both"/>
        <w:rPr>
          <w:rFonts w:ascii="Calibri" w:hAnsi="Calibri"/>
          <w:i/>
          <w:sz w:val="18"/>
        </w:rPr>
      </w:pPr>
      <w:r>
        <w:rPr>
          <w:rFonts w:ascii="Calibri" w:hAnsi="Calibri"/>
          <w:position w:val="9"/>
          <w:sz w:val="12"/>
        </w:rPr>
        <w:t>263 </w:t>
      </w:r>
      <w:r>
        <w:rPr>
          <w:rFonts w:ascii="Calibri" w:hAnsi="Calibri"/>
          <w:i/>
          <w:sz w:val="18"/>
        </w:rPr>
        <w:t>Ídem.</w:t>
      </w:r>
    </w:p>
    <w:p>
      <w:pPr>
        <w:spacing w:line="220" w:lineRule="exact" w:before="12"/>
        <w:ind w:left="684" w:right="119" w:firstLine="0"/>
        <w:jc w:val="both"/>
        <w:rPr>
          <w:rFonts w:ascii="Calibri" w:hAnsi="Calibri"/>
          <w:sz w:val="18"/>
        </w:rPr>
      </w:pPr>
      <w:r>
        <w:rPr>
          <w:rFonts w:ascii="Calibri" w:hAnsi="Calibri"/>
          <w:position w:val="9"/>
          <w:sz w:val="12"/>
        </w:rPr>
        <w:t>264 </w:t>
      </w:r>
      <w:r>
        <w:rPr>
          <w:rFonts w:ascii="Calibri" w:hAnsi="Calibri"/>
          <w:sz w:val="18"/>
        </w:rPr>
        <w:t>El símbolo de esta despersonalización es la mirada: desde el momento en que el individuo vive pendiente de la  mirada de los demás, ya no es él, es un ser-para los-otros. Como consecuencia de este temor las relaciones humanas pierden espontaneidad, los hombres intercambian formas, obras e imágenes, pero no afectos, todo se halla bajo la omnipotente</w:t>
      </w:r>
      <w:r>
        <w:rPr>
          <w:rFonts w:ascii="Calibri" w:hAnsi="Calibri"/>
          <w:spacing w:val="-5"/>
          <w:sz w:val="18"/>
        </w:rPr>
        <w:t> </w:t>
      </w:r>
      <w:r>
        <w:rPr>
          <w:rFonts w:ascii="Calibri" w:hAnsi="Calibri"/>
          <w:sz w:val="18"/>
        </w:rPr>
        <w:t>mirada</w:t>
      </w:r>
      <w:r>
        <w:rPr>
          <w:rFonts w:ascii="Calibri" w:hAnsi="Calibri"/>
          <w:spacing w:val="-2"/>
          <w:sz w:val="18"/>
        </w:rPr>
        <w:t> </w:t>
      </w:r>
      <w:r>
        <w:rPr>
          <w:rFonts w:ascii="Calibri" w:hAnsi="Calibri"/>
          <w:sz w:val="18"/>
        </w:rPr>
        <w:t>de</w:t>
      </w:r>
      <w:r>
        <w:rPr>
          <w:rFonts w:ascii="Calibri" w:hAnsi="Calibri"/>
          <w:spacing w:val="-5"/>
          <w:sz w:val="18"/>
        </w:rPr>
        <w:t> </w:t>
      </w:r>
      <w:r>
        <w:rPr>
          <w:rFonts w:ascii="Calibri" w:hAnsi="Calibri"/>
          <w:sz w:val="18"/>
        </w:rPr>
        <w:t>la</w:t>
      </w:r>
      <w:r>
        <w:rPr>
          <w:rFonts w:ascii="Calibri" w:hAnsi="Calibri"/>
          <w:spacing w:val="-2"/>
          <w:sz w:val="18"/>
        </w:rPr>
        <w:t> </w:t>
      </w:r>
      <w:r>
        <w:rPr>
          <w:rFonts w:ascii="Calibri" w:hAnsi="Calibri"/>
          <w:sz w:val="18"/>
        </w:rPr>
        <w:t>opinión</w:t>
      </w:r>
      <w:r>
        <w:rPr>
          <w:rFonts w:ascii="Calibri" w:hAnsi="Calibri"/>
          <w:spacing w:val="-2"/>
          <w:sz w:val="18"/>
        </w:rPr>
        <w:t> </w:t>
      </w:r>
      <w:r>
        <w:rPr>
          <w:rFonts w:ascii="Calibri" w:hAnsi="Calibri"/>
          <w:sz w:val="18"/>
        </w:rPr>
        <w:t>pública.</w:t>
      </w:r>
      <w:r>
        <w:rPr>
          <w:rFonts w:ascii="Calibri" w:hAnsi="Calibri"/>
          <w:spacing w:val="-5"/>
          <w:sz w:val="18"/>
        </w:rPr>
        <w:t> </w:t>
      </w:r>
      <w:r>
        <w:rPr>
          <w:rFonts w:ascii="Calibri" w:hAnsi="Calibri"/>
          <w:sz w:val="18"/>
        </w:rPr>
        <w:t>MANCERA</w:t>
      </w:r>
      <w:r>
        <w:rPr>
          <w:rFonts w:ascii="Calibri" w:hAnsi="Calibri"/>
          <w:spacing w:val="-3"/>
          <w:sz w:val="18"/>
        </w:rPr>
        <w:t> </w:t>
      </w:r>
      <w:r>
        <w:rPr>
          <w:rFonts w:ascii="Calibri" w:hAnsi="Calibri"/>
          <w:sz w:val="18"/>
        </w:rPr>
        <w:t>Carrero,</w:t>
      </w:r>
      <w:r>
        <w:rPr>
          <w:rFonts w:ascii="Calibri" w:hAnsi="Calibri"/>
          <w:spacing w:val="-4"/>
          <w:sz w:val="18"/>
        </w:rPr>
        <w:t> </w:t>
      </w:r>
      <w:r>
        <w:rPr>
          <w:rFonts w:ascii="Calibri" w:hAnsi="Calibri"/>
          <w:sz w:val="18"/>
        </w:rPr>
        <w:t>Mónica</w:t>
      </w:r>
      <w:r>
        <w:rPr>
          <w:rFonts w:ascii="Calibri" w:hAnsi="Calibri"/>
          <w:spacing w:val="-2"/>
          <w:sz w:val="18"/>
        </w:rPr>
        <w:t> </w:t>
      </w:r>
      <w:r>
        <w:rPr>
          <w:rFonts w:ascii="Calibri" w:hAnsi="Calibri"/>
          <w:sz w:val="18"/>
        </w:rPr>
        <w:t>Victoria,</w:t>
      </w:r>
      <w:r>
        <w:rPr>
          <w:rFonts w:ascii="Calibri" w:hAnsi="Calibri"/>
          <w:spacing w:val="4"/>
          <w:sz w:val="18"/>
        </w:rPr>
        <w:t> </w:t>
      </w:r>
      <w:r>
        <w:rPr>
          <w:rFonts w:ascii="Calibri" w:hAnsi="Calibri"/>
          <w:i/>
          <w:sz w:val="18"/>
        </w:rPr>
        <w:t>Óp.</w:t>
      </w:r>
      <w:r>
        <w:rPr>
          <w:rFonts w:ascii="Calibri" w:hAnsi="Calibri"/>
          <w:i/>
          <w:spacing w:val="-5"/>
          <w:sz w:val="18"/>
        </w:rPr>
        <w:t> </w:t>
      </w:r>
      <w:r>
        <w:rPr>
          <w:rFonts w:ascii="Calibri" w:hAnsi="Calibri"/>
          <w:i/>
          <w:sz w:val="18"/>
        </w:rPr>
        <w:t>Cit</w:t>
      </w:r>
      <w:r>
        <w:rPr>
          <w:rFonts w:ascii="Calibri" w:hAnsi="Calibri"/>
          <w:sz w:val="18"/>
        </w:rPr>
        <w:t>., p.</w:t>
      </w:r>
      <w:r>
        <w:rPr>
          <w:rFonts w:ascii="Calibri" w:hAnsi="Calibri"/>
          <w:spacing w:val="-5"/>
          <w:sz w:val="18"/>
        </w:rPr>
        <w:t> </w:t>
      </w:r>
      <w:r>
        <w:rPr>
          <w:rFonts w:ascii="Calibri" w:hAnsi="Calibri"/>
          <w:sz w:val="18"/>
        </w:rPr>
        <w:t>20</w:t>
      </w:r>
    </w:p>
    <w:p>
      <w:pPr>
        <w:spacing w:after="0" w:line="220"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757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2"/>
        </w:rPr>
      </w:pPr>
    </w:p>
    <w:p>
      <w:pPr>
        <w:pStyle w:val="BodyText"/>
        <w:spacing w:line="357" w:lineRule="auto" w:before="82"/>
        <w:ind w:left="264"/>
      </w:pPr>
      <w:r>
        <w:rPr/>
        <w:t>la totalidad de los ciudadanos se una a un mismo proyecto.</w:t>
      </w:r>
      <w:r>
        <w:rPr>
          <w:position w:val="11"/>
          <w:sz w:val="16"/>
        </w:rPr>
        <w:t>265 </w:t>
      </w:r>
      <w:r>
        <w:rPr/>
        <w:t>En este caso, por el uso que se le ha dado a los medios en torno al proyecto neoliberal.</w:t>
      </w:r>
    </w:p>
    <w:p>
      <w:pPr>
        <w:pStyle w:val="BodyText"/>
        <w:spacing w:line="360" w:lineRule="auto" w:before="8"/>
        <w:ind w:left="264" w:right="213" w:firstLine="271"/>
        <w:jc w:val="both"/>
      </w:pPr>
      <w:r>
        <w:rPr/>
        <w:t>Este sistema se ha caracterizado por su eficacia, hasta hoy ha funcionado perfectamente. Obviamente consiste en algo razonado y elaborado con sumo cuidado: la gente que se dedica a la publicidad y a generar opinión pública no está ahí para divertirse; hace un trabajo, es decir, intenta inculcar los valores correctos (</w:t>
      </w:r>
      <w:r>
        <w:rPr>
          <w:i/>
        </w:rPr>
        <w:t>ad hoc </w:t>
      </w:r>
      <w:r>
        <w:rPr/>
        <w:t>al sistema).</w:t>
      </w:r>
    </w:p>
    <w:p>
      <w:pPr>
        <w:pStyle w:val="BodyText"/>
        <w:spacing w:line="360" w:lineRule="auto" w:before="6"/>
        <w:ind w:left="264" w:right="213" w:firstLine="336"/>
        <w:jc w:val="both"/>
      </w:pPr>
      <w:r>
        <w:rPr/>
        <w:t>Así, la mayoría de los televidentes al sentarse frente al televisor observan atentamente el mensaje, que enuncia como valor superior el consumo, cada vez más y mejor; que implica vivir igual a la exitosa familia de clase  media  que aparece en la pantalla que exhiben bienes como la armonía y el orgullo nacional. Pues la vida neoliberal consiste en esto. Sin embargo, tal vez algún televidente piense que puede haber algo más, manipulación o falsedad en el mensaje, pero pronto toma nota de que está solo, viendo el televisor, y da por sentado que esto es todo lo que existe ahí afuera y que es una ilusión pensar que acontezca otra realidad.</w:t>
      </w:r>
    </w:p>
    <w:p>
      <w:pPr>
        <w:pStyle w:val="BodyText"/>
        <w:spacing w:line="360" w:lineRule="auto" w:before="6"/>
        <w:ind w:left="264" w:right="223" w:firstLine="336"/>
        <w:jc w:val="both"/>
      </w:pPr>
      <w:r>
        <w:rPr/>
        <w:t>Por lo tanto la idea se estructura de acuerdo al mensaje enviado por el medio. La mercadotecnia unida con el medio alcanza su objetivo, introducirse en las mentes del receptor y generar opinión ad hoc al interés de la estructura de mercado.</w:t>
      </w:r>
    </w:p>
    <w:p>
      <w:pPr>
        <w:pStyle w:val="BodyText"/>
        <w:spacing w:line="350" w:lineRule="auto" w:before="5"/>
        <w:ind w:left="264" w:right="222" w:firstLine="271"/>
        <w:jc w:val="both"/>
        <w:rPr>
          <w:sz w:val="16"/>
        </w:rPr>
      </w:pPr>
      <w:r>
        <w:rPr/>
        <w:t>Este es el ideal de los emisores del mensaje, para alcanzarlo se han desplegado grandes esfuerzos. Y es evidente que detrás de ello existe una cierta concepción: la democracia real, </w:t>
      </w:r>
      <w:r>
        <w:rPr>
          <w:i/>
        </w:rPr>
        <w:t>sui generis</w:t>
      </w:r>
      <w:r>
        <w:rPr/>
        <w:t>, tal como se ha manejado en la última etapa histórica de México y Honduras.</w:t>
      </w:r>
      <w:r>
        <w:rPr>
          <w:spacing w:val="-14"/>
        </w:rPr>
        <w:t> </w:t>
      </w:r>
      <w:r>
        <w:rPr>
          <w:position w:val="11"/>
          <w:sz w:val="16"/>
        </w:rPr>
        <w:t>266</w:t>
      </w:r>
    </w:p>
    <w:p>
      <w:pPr>
        <w:pStyle w:val="BodyText"/>
        <w:spacing w:before="9"/>
      </w:pPr>
      <w:r>
        <w:rPr/>
        <w:pict>
          <v:line style="position:absolute;mso-position-horizontal-relative:page;mso-position-vertical-relative:paragraph;z-index:7552;mso-wrap-distance-left:0;mso-wrap-distance-right:0" from="99.224998pt,16.525866pt" to="243.274998pt,16.525866pt" stroked="true" strokeweight=".599980pt" strokecolor="#000000">
            <w10:wrap type="topAndBottom"/>
          </v:line>
        </w:pict>
      </w:r>
    </w:p>
    <w:p>
      <w:pPr>
        <w:spacing w:before="48"/>
        <w:ind w:left="264" w:right="212" w:firstLine="0"/>
        <w:jc w:val="both"/>
        <w:rPr>
          <w:rFonts w:ascii="Calibri" w:hAnsi="Calibri"/>
          <w:sz w:val="18"/>
        </w:rPr>
      </w:pPr>
      <w:r>
        <w:rPr>
          <w:position w:val="9"/>
          <w:sz w:val="12"/>
        </w:rPr>
        <w:t>265 </w:t>
      </w:r>
      <w:r>
        <w:rPr>
          <w:sz w:val="18"/>
        </w:rPr>
        <w:t>L</w:t>
      </w:r>
      <w:r>
        <w:rPr>
          <w:rFonts w:ascii="Calibri" w:hAnsi="Calibri"/>
          <w:sz w:val="18"/>
        </w:rPr>
        <w:t>a función de la televisión debiera lograr que la opinión publica sea proyectada por un público universal que modera, recrea y organiza la opinión social, que en última instancia puede limitar al poder, constituyéndose como un poder social que exprese la unidad, el interés común o general de una representación colectiva- que es el fundamento y la finalidad del nosotros- donde el habla se constituye como el esfuerzo para representar lo común a través de la razón.</w:t>
      </w:r>
    </w:p>
    <w:p>
      <w:pPr>
        <w:spacing w:line="220" w:lineRule="exact" w:before="0"/>
        <w:ind w:left="264" w:right="0" w:firstLine="0"/>
        <w:jc w:val="both"/>
        <w:rPr>
          <w:rFonts w:ascii="Calibri" w:hAnsi="Calibri"/>
          <w:sz w:val="18"/>
        </w:rPr>
      </w:pPr>
      <w:r>
        <w:rPr>
          <w:position w:val="9"/>
          <w:sz w:val="12"/>
        </w:rPr>
        <w:t>266  </w:t>
      </w:r>
      <w:r>
        <w:rPr>
          <w:rFonts w:ascii="Calibri" w:hAnsi="Calibri"/>
          <w:sz w:val="18"/>
        </w:rPr>
        <w:t>CUMBRE MUNDIAL SOBRE LA SOCIEDAD DE LA INFORMACIÓN, (CMSI) "Construir sociedades de la información    que</w:t>
      </w:r>
    </w:p>
    <w:p>
      <w:pPr>
        <w:spacing w:before="0"/>
        <w:ind w:left="264" w:right="217" w:firstLine="0"/>
        <w:jc w:val="both"/>
        <w:rPr>
          <w:rFonts w:ascii="Calibri" w:hAnsi="Calibri"/>
          <w:sz w:val="18"/>
        </w:rPr>
      </w:pPr>
      <w:r>
        <w:rPr>
          <w:rFonts w:ascii="Calibri" w:hAnsi="Calibri"/>
          <w:sz w:val="18"/>
        </w:rPr>
        <w:t>atiendan a las necesidades humanas", Declaración de la sociedad civil en la Cumbre Mundial sobre la Sociedad de la Información, Adoptada por unanimidad en Plenaria por la sociedad civil de la CMSI el 8 de diciembre de 2003. [en línea] consulta 09/09/2012, disponible en; </w:t>
      </w:r>
      <w:hyperlink r:id="rId110">
        <w:r>
          <w:rPr>
            <w:rFonts w:ascii="Calibri" w:hAnsi="Calibri"/>
            <w:color w:val="0000FF"/>
            <w:sz w:val="18"/>
            <w:u w:val="single" w:color="0000FF"/>
          </w:rPr>
          <w:t>http://www.itu.int/wsis/index-es.html</w:t>
        </w:r>
        <w:r>
          <w:rPr>
            <w:rFonts w:ascii="Calibri" w:hAnsi="Calibri"/>
            <w:sz w:val="18"/>
          </w:rPr>
          <w:t>.</w:t>
        </w:r>
      </w:hyperlink>
      <w:r>
        <w:rPr>
          <w:rFonts w:ascii="Calibri" w:hAnsi="Calibri"/>
          <w:sz w:val="18"/>
        </w:rPr>
        <w:t> “Reafirmamos que la comunicación es un proceso social esencial, una necesidad humana básica y el fundamento de toda organización social. Todos y todas, en cualquier lugar y en todo momento, deberíamos tener la oportunidad de participar en los procesos de comunicación y nadie debería ser excluido de sus beneficios. Esto hace necesario que cualquier persona deba tener acceso a los medios de comunicación y estar en condiciones de ejercer su derecho a la libertad de opinión y expresión, lo que incluye el</w:t>
      </w:r>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762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8" w:firstLine="336"/>
        <w:jc w:val="both"/>
        <w:rPr>
          <w:i/>
        </w:rPr>
      </w:pPr>
      <w:r>
        <w:rPr/>
        <w:t>Para este sistema el rebaño desconcertado es un problema. Hay que evitar que se agite y proteste, y para ello es necesario distraerlo. Todo es cuestión de lograr que los sujetos que lo forman se queden en casa viendo partidos de fútbol, telenovelas o películas violentas, aunque de vez en cuando se les saque del sopor y se les convoque a corear eslóganes sin sentido, como </w:t>
      </w:r>
      <w:r>
        <w:rPr>
          <w:i/>
        </w:rPr>
        <w:t>Apoyo a la guerra contra </w:t>
      </w:r>
      <w:r>
        <w:rPr>
          <w:i/>
        </w:rPr>
        <w:t>el narcotráfico. </w:t>
      </w:r>
      <w:r>
        <w:rPr/>
        <w:t>Lo importante para el sistema es lograr que se conserve un miedo permanente, porque a menos que los televidentes estén debidamente atemorizados por todos los posibles males que pueden destruirles, desde dentro o desde fuera, podrían empezar a pensar por sí mismos, lo cual es muy peligroso, bajo el supuesto (del sistema) de que no tienen la capacidad de hacerlo. Por ello es  importante  distraerlos  y  marginarles.  Así,  dice  Chomsky,  </w:t>
      </w:r>
      <w:r>
        <w:rPr>
          <w:i/>
        </w:rPr>
        <w:t>el  rebaño  está a</w:t>
      </w:r>
    </w:p>
    <w:p>
      <w:pPr>
        <w:spacing w:line="278" w:lineRule="exact" w:before="0"/>
        <w:ind w:left="684" w:right="114" w:firstLine="0"/>
        <w:jc w:val="left"/>
        <w:rPr>
          <w:sz w:val="16"/>
        </w:rPr>
      </w:pPr>
      <w:r>
        <w:rPr>
          <w:i/>
          <w:sz w:val="24"/>
        </w:rPr>
        <w:t>raya</w:t>
      </w:r>
      <w:r>
        <w:rPr>
          <w:sz w:val="24"/>
        </w:rPr>
        <w:t>.</w:t>
      </w:r>
      <w:r>
        <w:rPr>
          <w:position w:val="11"/>
          <w:sz w:val="16"/>
        </w:rPr>
        <w:t>267</w:t>
      </w:r>
    </w:p>
    <w:p>
      <w:pPr>
        <w:pStyle w:val="BodyText"/>
        <w:spacing w:line="360" w:lineRule="auto" w:before="144"/>
        <w:ind w:left="684" w:right="116" w:firstLine="336"/>
        <w:jc w:val="both"/>
      </w:pPr>
      <w:r>
        <w:rPr/>
        <w:t>Chomsky pone un ejemplo de lo que es una idea de democracia. De hecho, si nos remontamos al pasado (dice) la última victoria legal de los trabajadores fue realmente en 1935, con la Ley Wagner. Después del inicio de la Primera Guerra Mundial, los sindicatos entraron en un descenso al igual que lo hizo una rica y fértil</w:t>
      </w:r>
    </w:p>
    <w:p>
      <w:pPr>
        <w:pStyle w:val="BodyText"/>
        <w:tabs>
          <w:tab w:pos="1619" w:val="left" w:leader="none"/>
          <w:tab w:pos="2531" w:val="left" w:leader="none"/>
          <w:tab w:pos="3763" w:val="left" w:leader="none"/>
          <w:tab w:pos="5369" w:val="left" w:leader="none"/>
          <w:tab w:pos="5973" w:val="left" w:leader="none"/>
          <w:tab w:pos="7089" w:val="left" w:leader="none"/>
          <w:tab w:pos="8648" w:val="left" w:leader="none"/>
        </w:tabs>
        <w:spacing w:line="328" w:lineRule="auto" w:before="6"/>
        <w:ind w:left="684" w:right="121"/>
        <w:rPr>
          <w:sz w:val="16"/>
        </w:rPr>
      </w:pPr>
      <w:r>
        <w:rPr/>
        <w:t>cultura</w:t>
        <w:tab/>
        <w:t>obrera</w:t>
        <w:tab/>
        <w:t>vinculada</w:t>
        <w:tab/>
        <w:t>directamente</w:t>
        <w:tab/>
        <w:t>con</w:t>
        <w:tab/>
        <w:t>aquellos</w:t>
        <w:tab/>
        <w:t>movimientos</w:t>
        <w:tab/>
        <w:t>sociales apagados después de esta</w:t>
      </w:r>
      <w:r>
        <w:rPr>
          <w:spacing w:val="-16"/>
        </w:rPr>
        <w:t> </w:t>
      </w:r>
      <w:r>
        <w:rPr/>
        <w:t>guerra.</w:t>
      </w:r>
      <w:r>
        <w:rPr>
          <w:position w:val="11"/>
          <w:sz w:val="16"/>
        </w:rPr>
        <w:t>268</w:t>
      </w:r>
    </w:p>
    <w:p>
      <w:pPr>
        <w:pStyle w:val="BodyText"/>
        <w:spacing w:line="328" w:lineRule="auto" w:before="27"/>
        <w:ind w:left="684" w:right="114" w:firstLine="336"/>
        <w:jc w:val="both"/>
        <w:rPr>
          <w:sz w:val="16"/>
        </w:rPr>
      </w:pPr>
      <w:r>
        <w:rPr/>
        <w:t>En esta época en Estados Unidos el personaje más destacado de la industria de las relaciones  públicas, Edward  Bernays, procedía  de  la  Comisión   Creel.</w:t>
      </w:r>
      <w:r>
        <w:rPr>
          <w:position w:val="11"/>
          <w:sz w:val="16"/>
        </w:rPr>
        <w:t>269</w:t>
      </w:r>
    </w:p>
    <w:p>
      <w:pPr>
        <w:pStyle w:val="BodyText"/>
        <w:spacing w:before="6"/>
        <w:rPr>
          <w:sz w:val="26"/>
        </w:rPr>
      </w:pPr>
      <w:r>
        <w:rPr/>
        <w:pict>
          <v:line style="position:absolute;mso-position-horizontal-relative:page;mso-position-vertical-relative:paragraph;z-index:7600;mso-wrap-distance-left:0;mso-wrap-distance-right:0" from="99.224998pt,17.501524pt" to="541.174998pt,17.501524pt" stroked="true" strokeweight=".600010pt" strokecolor="#000000">
            <w10:wrap type="topAndBottom"/>
          </v:line>
        </w:pict>
      </w:r>
    </w:p>
    <w:p>
      <w:pPr>
        <w:spacing w:before="79"/>
        <w:ind w:left="684" w:right="127" w:firstLine="0"/>
        <w:jc w:val="both"/>
        <w:rPr>
          <w:rFonts w:ascii="Calibri" w:hAnsi="Calibri"/>
          <w:sz w:val="18"/>
        </w:rPr>
      </w:pPr>
      <w:r>
        <w:rPr>
          <w:rFonts w:ascii="Calibri" w:hAnsi="Calibri"/>
          <w:sz w:val="18"/>
        </w:rPr>
        <w:t>derecho a tener opiniones y a buscar, recibir y difundir información e ideas a través de cualquier medio de comunicación y con independencia de fronteras nacionales.</w:t>
      </w:r>
    </w:p>
    <w:p>
      <w:pPr>
        <w:spacing w:line="240" w:lineRule="auto" w:before="0"/>
        <w:ind w:left="684" w:right="122" w:firstLine="199"/>
        <w:jc w:val="both"/>
        <w:rPr>
          <w:rFonts w:ascii="Calibri" w:hAnsi="Calibri"/>
          <w:sz w:val="18"/>
        </w:rPr>
      </w:pPr>
      <w:r>
        <w:rPr>
          <w:rFonts w:ascii="Calibri" w:hAnsi="Calibri"/>
          <w:sz w:val="18"/>
        </w:rPr>
        <w:t>Del mismo modo, deben también mantenerse el derecho a la privacidad, el derecho al acceso a la información pública y al conocimiento de dominio público, y muchos otros derechos humanos universales que guardan relación concreta con los procesos de información y comunicación. Todos estos derechos y libertades de comunicación, así como de acceso, deben garantizarse activamente en favor de todos y todas en leyes nacionales claras, las cuales deben aplicarse en conformidad con los adecuados requisitos técnicos”.</w:t>
      </w:r>
    </w:p>
    <w:p>
      <w:pPr>
        <w:pStyle w:val="BodyText"/>
        <w:spacing w:before="4"/>
        <w:rPr>
          <w:rFonts w:ascii="Calibri"/>
          <w:sz w:val="15"/>
        </w:rPr>
      </w:pPr>
    </w:p>
    <w:p>
      <w:pPr>
        <w:spacing w:line="237" w:lineRule="exact" w:before="0"/>
        <w:ind w:left="684" w:right="0" w:firstLine="0"/>
        <w:jc w:val="both"/>
        <w:rPr>
          <w:rFonts w:ascii="Calibri" w:hAnsi="Calibri"/>
          <w:sz w:val="18"/>
        </w:rPr>
      </w:pPr>
      <w:r>
        <w:rPr>
          <w:rFonts w:ascii="Calibri" w:hAnsi="Calibri"/>
          <w:position w:val="9"/>
          <w:sz w:val="12"/>
        </w:rPr>
        <w:t>267  </w:t>
      </w:r>
      <w:r>
        <w:rPr>
          <w:rFonts w:ascii="Calibri" w:hAnsi="Calibri"/>
          <w:sz w:val="18"/>
        </w:rPr>
        <w:t>Véase,  Chomsky, Noam, </w:t>
      </w:r>
      <w:r>
        <w:rPr>
          <w:rFonts w:ascii="Calibri" w:hAnsi="Calibri"/>
          <w:i/>
          <w:sz w:val="18"/>
        </w:rPr>
        <w:t>Cómo mantener a raya a la Plebe</w:t>
      </w:r>
      <w:r>
        <w:rPr>
          <w:rFonts w:ascii="Calibri" w:hAnsi="Calibri"/>
          <w:sz w:val="18"/>
        </w:rPr>
        <w:t>, Siglo XXI, México, 2002.</w:t>
      </w:r>
    </w:p>
    <w:p>
      <w:pPr>
        <w:spacing w:line="220" w:lineRule="exact" w:before="11"/>
        <w:ind w:left="684" w:right="116" w:firstLine="0"/>
        <w:jc w:val="both"/>
        <w:rPr>
          <w:rFonts w:ascii="Calibri" w:hAnsi="Calibri"/>
          <w:sz w:val="18"/>
        </w:rPr>
      </w:pPr>
      <w:r>
        <w:rPr>
          <w:position w:val="9"/>
          <w:sz w:val="12"/>
        </w:rPr>
        <w:t>268 </w:t>
      </w:r>
      <w:r>
        <w:rPr>
          <w:sz w:val="18"/>
        </w:rPr>
        <w:t>Chomsky </w:t>
      </w:r>
      <w:r>
        <w:rPr>
          <w:rFonts w:ascii="Calibri" w:hAnsi="Calibri"/>
          <w:sz w:val="18"/>
        </w:rPr>
        <w:t>comenta que no existía ningún compromiso para elevar los estándares mínimos de supervivencia de los segmentos de la población que no podían seguir las normas y directrices imperantes ni conseguir nada por sí mismos en el plano  individual. Por otra parte, los sindicatos  prácticamente no  existían, al igual que ocurría  con  otras  formas   de</w:t>
      </w:r>
    </w:p>
    <w:p>
      <w:pPr>
        <w:spacing w:before="5"/>
        <w:ind w:left="684" w:right="114" w:firstLine="0"/>
        <w:jc w:val="both"/>
        <w:rPr>
          <w:rFonts w:ascii="Calibri" w:hAnsi="Calibri"/>
          <w:sz w:val="18"/>
        </w:rPr>
      </w:pPr>
      <w:r>
        <w:rPr>
          <w:rFonts w:ascii="Calibri" w:hAnsi="Calibri"/>
          <w:sz w:val="18"/>
        </w:rPr>
        <w:t>asociación en la esfera popular. La abolición a nivel mundial de organizaciones políticas o partidos era el propósito: muy lejos se estaba, por tanto, del ideal, al menos en el plano estructural. Los medios de información constituían un monopolio estructurado en un corporativo; todos expresaban los mismos puntos de vista. Los partidos finalmente eran facciones que representaban al partido del poder financiero y empresarial. Y así, la mayor parte de la población no se molestaba en expresar su opinión, ya que ello carecía de sentido, quedando, por ello, marginada y alejada de las decisiones políticas.</w:t>
      </w:r>
    </w:p>
    <w:p>
      <w:pPr>
        <w:spacing w:line="220" w:lineRule="exact" w:before="0"/>
        <w:ind w:left="684" w:right="0" w:firstLine="0"/>
        <w:jc w:val="both"/>
        <w:rPr>
          <w:rFonts w:ascii="Calibri" w:hAnsi="Calibri"/>
          <w:i/>
          <w:sz w:val="18"/>
        </w:rPr>
      </w:pPr>
      <w:r>
        <w:rPr>
          <w:rFonts w:ascii="Calibri" w:hAnsi="Calibri"/>
          <w:position w:val="9"/>
          <w:sz w:val="12"/>
        </w:rPr>
        <w:t>269  </w:t>
      </w:r>
      <w:r>
        <w:rPr>
          <w:rFonts w:ascii="Calibri" w:hAnsi="Calibri"/>
          <w:i/>
          <w:sz w:val="18"/>
        </w:rPr>
        <w:t>La comisión Creel se puede       afirmar que ha sido una de las maquinarias más efectivas de propaganda institucional</w:t>
      </w:r>
    </w:p>
    <w:p>
      <w:pPr>
        <w:spacing w:before="0"/>
        <w:ind w:left="684" w:right="0" w:firstLine="0"/>
        <w:jc w:val="both"/>
        <w:rPr>
          <w:rFonts w:ascii="Calibri" w:hAnsi="Calibri"/>
          <w:sz w:val="18"/>
        </w:rPr>
      </w:pPr>
      <w:r>
        <w:rPr>
          <w:rFonts w:ascii="Calibri" w:hAnsi="Calibri"/>
          <w:i/>
          <w:sz w:val="18"/>
        </w:rPr>
        <w:t>creada en Estados Unidos. En pocos meses, por medio del envío masivo de </w:t>
      </w:r>
      <w:r>
        <w:rPr>
          <w:rFonts w:ascii="Calibri" w:hAnsi="Calibri"/>
          <w:sz w:val="18"/>
        </w:rPr>
        <w:t>propaganda, manipulación de los medios,</w:t>
      </w:r>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767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4"/>
        <w:jc w:val="both"/>
      </w:pPr>
      <w:r>
        <w:rPr/>
        <w:t>Formó parte de ella, aprendió bien la lección y se puso manos a la obra a desarrollar lo que él mismo llamó la </w:t>
      </w:r>
      <w:r>
        <w:rPr>
          <w:i/>
        </w:rPr>
        <w:t>ingeniería del consenso, </w:t>
      </w:r>
      <w:r>
        <w:rPr/>
        <w:t>que describió como  la </w:t>
      </w:r>
      <w:r>
        <w:rPr>
          <w:i/>
        </w:rPr>
        <w:t>esencia de la democracia. </w:t>
      </w:r>
      <w:r>
        <w:rPr/>
        <w:t>Su premisa se basa en la idea de que los individuos capaces de fabricar consenso son los que tienen los recursos y el poder de hacerlo —la comunidad financiera y empresarial— y para ello</w:t>
      </w:r>
      <w:r>
        <w:rPr>
          <w:spacing w:val="-31"/>
        </w:rPr>
        <w:t> </w:t>
      </w:r>
      <w:r>
        <w:rPr/>
        <w:t>trabaja.</w:t>
      </w:r>
    </w:p>
    <w:p>
      <w:pPr>
        <w:pStyle w:val="BodyText"/>
        <w:spacing w:line="360" w:lineRule="auto" w:before="2"/>
        <w:ind w:left="264" w:right="216" w:firstLine="336"/>
        <w:jc w:val="both"/>
      </w:pPr>
      <w:r>
        <w:rPr/>
        <w:t>Estas estrategias utilizadas por el sistema en materia de transmisión de su mensaje a través de las comunicaciones, son en el siglo XX e inicio del siglo XXI fundamentales para la expansión cultural, para el proceso civilizatorio, para la consolidación del régimen y el control social. Y en ese sentido la televisión y los medios de comunicación masiva son indispensables e insustituibles para la conservación y preservación del Estado imperante. Sus tácticas son elaboradas a partir de estudios que incorporan conceptos de mercadotecnia, psicología, arte y tecnología. Noam Chomsky habla de las estrategias de manipulación mediática que instrumentan estos medios:</w:t>
      </w:r>
    </w:p>
    <w:p>
      <w:pPr>
        <w:pStyle w:val="ListParagraph"/>
        <w:numPr>
          <w:ilvl w:val="0"/>
          <w:numId w:val="7"/>
        </w:numPr>
        <w:tabs>
          <w:tab w:pos="697" w:val="left" w:leader="none"/>
        </w:tabs>
        <w:spacing w:line="360" w:lineRule="auto" w:before="6" w:after="0"/>
        <w:ind w:left="697" w:right="216" w:hanging="433"/>
        <w:jc w:val="both"/>
        <w:rPr>
          <w:sz w:val="24"/>
        </w:rPr>
      </w:pPr>
      <w:r>
        <w:rPr>
          <w:sz w:val="24"/>
        </w:rPr>
        <w:t>Estrategia de la distracción: que implica mantener la atención del público distraída lejos de los verdaderos problemas sociales, cautivada por problemas sin importancia real. Un ejemplo: la desaparición y muerte de una niña en su propia casa, que se transformó en un suceso mediático de gran alcance. Cuando en realidad en México existe una gran cantidad de desaparecidos por el delito de </w:t>
      </w:r>
      <w:r>
        <w:rPr>
          <w:i/>
          <w:sz w:val="24"/>
        </w:rPr>
        <w:t>trata de</w:t>
      </w:r>
      <w:r>
        <w:rPr>
          <w:i/>
          <w:spacing w:val="-15"/>
          <w:sz w:val="24"/>
        </w:rPr>
        <w:t> </w:t>
      </w:r>
      <w:r>
        <w:rPr>
          <w:i/>
          <w:sz w:val="24"/>
        </w:rPr>
        <w:t>blancas</w:t>
      </w:r>
      <w:r>
        <w:rPr>
          <w:sz w:val="24"/>
        </w:rPr>
        <w:t>.</w:t>
      </w:r>
    </w:p>
    <w:p>
      <w:pPr>
        <w:pStyle w:val="ListParagraph"/>
        <w:numPr>
          <w:ilvl w:val="0"/>
          <w:numId w:val="7"/>
        </w:numPr>
        <w:tabs>
          <w:tab w:pos="697" w:val="left" w:leader="none"/>
        </w:tabs>
        <w:spacing w:line="286" w:lineRule="exact" w:before="0" w:after="0"/>
        <w:ind w:left="697" w:right="0" w:hanging="433"/>
        <w:jc w:val="both"/>
        <w:rPr>
          <w:sz w:val="24"/>
        </w:rPr>
      </w:pPr>
      <w:r>
        <w:rPr>
          <w:sz w:val="24"/>
        </w:rPr>
        <w:t>Crear problemas, después ofrecer soluciones:</w:t>
      </w:r>
      <w:r>
        <w:rPr>
          <w:position w:val="11"/>
          <w:sz w:val="16"/>
        </w:rPr>
        <w:t>270  </w:t>
      </w:r>
      <w:r>
        <w:rPr>
          <w:sz w:val="24"/>
        </w:rPr>
        <w:t>Esta modalidad también   </w:t>
      </w:r>
      <w:r>
        <w:rPr>
          <w:spacing w:val="15"/>
          <w:sz w:val="24"/>
        </w:rPr>
        <w:t> </w:t>
      </w:r>
      <w:r>
        <w:rPr>
          <w:sz w:val="24"/>
        </w:rPr>
        <w:t>es</w:t>
      </w:r>
    </w:p>
    <w:p>
      <w:pPr>
        <w:pStyle w:val="BodyText"/>
        <w:spacing w:line="360" w:lineRule="auto" w:before="136"/>
        <w:ind w:left="696" w:right="214"/>
        <w:jc w:val="both"/>
      </w:pPr>
      <w:r>
        <w:rPr/>
        <w:t>llamada “problema-reacción-solución”, se crea un problema para causar cierta reacción en el público, que después lo lleve a tomar o exigir las medidas que el Estado espera. Por ejemplo, crear una crisis económica para aceptar como un mal necesario el retroceso de los derechos sociales. En México, el fenómeno del desempleo, provocado por la falta de apoyo a la mediana y pequeña empresa, que se ve disminuida por los grandes consorcios internacionales,    quienes    crean    fuentes    de    empleo    bajo</w:t>
      </w:r>
      <w:r>
        <w:rPr>
          <w:spacing w:val="16"/>
        </w:rPr>
        <w:t> </w:t>
      </w:r>
      <w:r>
        <w:rPr/>
        <w:t>condiciones</w:t>
      </w:r>
    </w:p>
    <w:p>
      <w:pPr>
        <w:pStyle w:val="BodyText"/>
        <w:spacing w:before="3"/>
        <w:rPr>
          <w:sz w:val="15"/>
        </w:rPr>
      </w:pPr>
      <w:r>
        <w:rPr/>
        <w:pict>
          <v:line style="position:absolute;mso-position-horizontal-relative:page;mso-position-vertical-relative:paragraph;z-index:7648;mso-wrap-distance-left:0;mso-wrap-distance-right:0" from="99.224998pt,11.063891pt" to="541.174998pt,11.063891pt" stroked="true" strokeweight=".60004pt" strokecolor="#000000">
            <w10:wrap type="topAndBottom"/>
          </v:line>
        </w:pict>
      </w:r>
    </w:p>
    <w:p>
      <w:pPr>
        <w:spacing w:before="79"/>
        <w:ind w:left="264" w:right="223" w:firstLine="0"/>
        <w:jc w:val="both"/>
        <w:rPr>
          <w:rFonts w:ascii="Calibri" w:hAnsi="Calibri"/>
          <w:i/>
          <w:sz w:val="18"/>
        </w:rPr>
      </w:pPr>
      <w:r>
        <w:rPr>
          <w:rFonts w:ascii="Calibri" w:hAnsi="Calibri"/>
          <w:sz w:val="18"/>
        </w:rPr>
        <w:t>recorte de las noticias que llegaban del frente y otras acciones en este sentido, consiguieron que la población estadounidense creyese que el enemigo alemán acechaba la frontera americana. Los carteles propagandísticos llenos de simbolismo contribuyeron enormemente al éxito de la empresa, pero fue Hollywood el principal promotor de este fenómeno. CHOMSKY, Noam, “La democracia del espectador”, </w:t>
      </w:r>
      <w:r>
        <w:rPr>
          <w:rFonts w:ascii="Calibri" w:hAnsi="Calibri"/>
          <w:i/>
          <w:sz w:val="18"/>
        </w:rPr>
        <w:t>Óp. cit.</w:t>
      </w:r>
    </w:p>
    <w:p>
      <w:pPr>
        <w:spacing w:line="220" w:lineRule="exact" w:before="0"/>
        <w:ind w:left="264" w:right="0" w:firstLine="0"/>
        <w:jc w:val="both"/>
        <w:rPr>
          <w:rFonts w:ascii="Calibri" w:hAnsi="Calibri"/>
          <w:i/>
          <w:sz w:val="18"/>
        </w:rPr>
      </w:pPr>
      <w:r>
        <w:rPr>
          <w:rFonts w:ascii="Calibri" w:hAnsi="Calibri"/>
          <w:position w:val="9"/>
          <w:sz w:val="12"/>
        </w:rPr>
        <w:t>270 </w:t>
      </w:r>
      <w:r>
        <w:rPr>
          <w:rFonts w:ascii="Calibri" w:hAnsi="Calibri"/>
          <w:i/>
          <w:sz w:val="18"/>
        </w:rPr>
        <w:t>ídem.</w:t>
      </w:r>
    </w:p>
    <w:p>
      <w:pPr>
        <w:spacing w:after="0" w:line="220"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772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1116" w:right="122"/>
        <w:jc w:val="both"/>
      </w:pPr>
      <w:r>
        <w:rPr/>
        <w:t>denigrantes, con bajos salarios para luego decir que los jóvenes  desempleados no trabajan porque no</w:t>
      </w:r>
      <w:r>
        <w:rPr>
          <w:spacing w:val="-25"/>
        </w:rPr>
        <w:t> </w:t>
      </w:r>
      <w:r>
        <w:rPr/>
        <w:t>quieren.</w:t>
      </w:r>
    </w:p>
    <w:p>
      <w:pPr>
        <w:pStyle w:val="ListParagraph"/>
        <w:numPr>
          <w:ilvl w:val="0"/>
          <w:numId w:val="7"/>
        </w:numPr>
        <w:tabs>
          <w:tab w:pos="1117" w:val="left" w:leader="none"/>
        </w:tabs>
        <w:spacing w:line="350" w:lineRule="auto" w:before="8" w:after="0"/>
        <w:ind w:left="1117" w:right="122" w:hanging="433"/>
        <w:jc w:val="both"/>
        <w:rPr>
          <w:sz w:val="24"/>
        </w:rPr>
      </w:pPr>
      <w:r>
        <w:rPr>
          <w:sz w:val="24"/>
        </w:rPr>
        <w:t>“Estrategia de la gradualidad: para hacer que se acepte una medida inaceptable, basta aplicarla gradualmente, a cuenta gotas, por años consecutivos”</w:t>
      </w:r>
      <w:r>
        <w:rPr>
          <w:position w:val="11"/>
          <w:sz w:val="16"/>
        </w:rPr>
        <w:t>271</w:t>
      </w:r>
      <w:r>
        <w:rPr>
          <w:sz w:val="24"/>
        </w:rPr>
        <w:t>. Por ejemplo el aumento de la gasolina durante el sexenio de Felipe Calderón</w:t>
      </w:r>
      <w:r>
        <w:rPr>
          <w:spacing w:val="-17"/>
          <w:sz w:val="24"/>
        </w:rPr>
        <w:t> </w:t>
      </w:r>
      <w:r>
        <w:rPr>
          <w:sz w:val="24"/>
        </w:rPr>
        <w:t>Hinojosa.</w:t>
      </w:r>
    </w:p>
    <w:p>
      <w:pPr>
        <w:pStyle w:val="ListParagraph"/>
        <w:numPr>
          <w:ilvl w:val="0"/>
          <w:numId w:val="7"/>
        </w:numPr>
        <w:tabs>
          <w:tab w:pos="1117" w:val="left" w:leader="none"/>
        </w:tabs>
        <w:spacing w:line="360" w:lineRule="auto" w:before="16" w:after="0"/>
        <w:ind w:left="1117" w:right="120" w:hanging="433"/>
        <w:jc w:val="both"/>
        <w:rPr>
          <w:sz w:val="24"/>
        </w:rPr>
      </w:pPr>
      <w:r>
        <w:rPr>
          <w:sz w:val="24"/>
        </w:rPr>
        <w:t>La estrategia de diferir: otra manera de promover la aceptación de una decisión impopular, es la de presentarla como una medida dolorosa y necesaria, obteniendo la aceptación pública, en el momento para una aplicación en el futuro. Es </w:t>
      </w:r>
      <w:r>
        <w:rPr>
          <w:spacing w:val="-2"/>
          <w:sz w:val="24"/>
        </w:rPr>
        <w:t>más </w:t>
      </w:r>
      <w:r>
        <w:rPr>
          <w:sz w:val="24"/>
        </w:rPr>
        <w:t>fácil aceptar un sacrificio futuro que un  sacrificio inmediato. Ejemplo: la reforma del ISSSTE en México del</w:t>
      </w:r>
      <w:r>
        <w:rPr>
          <w:spacing w:val="-33"/>
          <w:sz w:val="24"/>
        </w:rPr>
        <w:t> </w:t>
      </w:r>
      <w:r>
        <w:rPr>
          <w:sz w:val="24"/>
        </w:rPr>
        <w:t>2007.</w:t>
      </w:r>
    </w:p>
    <w:p>
      <w:pPr>
        <w:pStyle w:val="ListParagraph"/>
        <w:numPr>
          <w:ilvl w:val="0"/>
          <w:numId w:val="7"/>
        </w:numPr>
        <w:tabs>
          <w:tab w:pos="1117" w:val="left" w:leader="none"/>
        </w:tabs>
        <w:spacing w:line="355" w:lineRule="auto" w:before="2" w:after="0"/>
        <w:ind w:left="1117" w:right="117" w:hanging="433"/>
        <w:jc w:val="both"/>
        <w:rPr>
          <w:sz w:val="24"/>
        </w:rPr>
      </w:pPr>
      <w:r>
        <w:rPr>
          <w:sz w:val="24"/>
        </w:rPr>
        <w:t>“Dirigirse al público como criatura de poca edad: La mayoría de la publicidad dirigida al gran público utiliza discursos, argumentos y entonación particularmente infantiles, muchas veces próximo a la debilidad, como si el espectador fuese una criatura de poca edad o un deficiente mental”.</w:t>
      </w:r>
      <w:r>
        <w:rPr>
          <w:position w:val="11"/>
          <w:sz w:val="16"/>
        </w:rPr>
        <w:t>272 </w:t>
      </w:r>
      <w:r>
        <w:rPr>
          <w:sz w:val="24"/>
        </w:rPr>
        <w:t>Esta táctica parte del hecho de que si se dirige al público como un niño; la actitud de éste queda desprovista de sentido crítico, al conducirlo a pensar como un infante.</w:t>
      </w:r>
    </w:p>
    <w:p>
      <w:pPr>
        <w:pStyle w:val="ListParagraph"/>
        <w:numPr>
          <w:ilvl w:val="0"/>
          <w:numId w:val="7"/>
        </w:numPr>
        <w:tabs>
          <w:tab w:pos="1117" w:val="left" w:leader="none"/>
        </w:tabs>
        <w:spacing w:line="288" w:lineRule="exact" w:before="0" w:after="0"/>
        <w:ind w:left="1117" w:right="0" w:hanging="433"/>
        <w:jc w:val="both"/>
        <w:rPr>
          <w:sz w:val="24"/>
        </w:rPr>
      </w:pPr>
      <w:r>
        <w:rPr>
          <w:sz w:val="24"/>
        </w:rPr>
        <w:t>Utilizar  el  aspecto  emocional  mucho  más  que  la  reflexión</w:t>
      </w:r>
      <w:r>
        <w:rPr>
          <w:position w:val="11"/>
          <w:sz w:val="16"/>
        </w:rPr>
        <w:t>273</w:t>
      </w:r>
      <w:r>
        <w:rPr>
          <w:sz w:val="24"/>
        </w:rPr>
        <w:t>:  esta  es</w:t>
      </w:r>
      <w:r>
        <w:rPr>
          <w:spacing w:val="7"/>
          <w:sz w:val="24"/>
        </w:rPr>
        <w:t> </w:t>
      </w:r>
      <w:r>
        <w:rPr>
          <w:sz w:val="24"/>
        </w:rPr>
        <w:t>una</w:t>
      </w:r>
    </w:p>
    <w:p>
      <w:pPr>
        <w:pStyle w:val="BodyText"/>
        <w:spacing w:line="360" w:lineRule="auto" w:before="136"/>
        <w:ind w:left="1116" w:right="116"/>
        <w:jc w:val="both"/>
      </w:pPr>
      <w:r>
        <w:rPr/>
        <w:t>técnica para causar un corto circuito en el análisis racional, y finalmente en el sentido crítico de los individuos. Que significa la utilización del registro emocional para acceder al inconsciente para introducir o injertar ideas, deseos, temores, compulsiones, o inducir</w:t>
      </w:r>
      <w:r>
        <w:rPr>
          <w:spacing w:val="-31"/>
        </w:rPr>
        <w:t> </w:t>
      </w:r>
      <w:r>
        <w:rPr/>
        <w:t>comportamientos.</w:t>
      </w:r>
    </w:p>
    <w:p>
      <w:pPr>
        <w:pStyle w:val="ListParagraph"/>
        <w:numPr>
          <w:ilvl w:val="0"/>
          <w:numId w:val="7"/>
        </w:numPr>
        <w:tabs>
          <w:tab w:pos="1117" w:val="left" w:leader="none"/>
        </w:tabs>
        <w:spacing w:line="360" w:lineRule="auto" w:before="2" w:after="0"/>
        <w:ind w:left="1117" w:right="122" w:hanging="433"/>
        <w:jc w:val="both"/>
        <w:rPr>
          <w:sz w:val="24"/>
        </w:rPr>
      </w:pPr>
      <w:r>
        <w:rPr>
          <w:sz w:val="24"/>
        </w:rPr>
        <w:t>Mantener al público en la ignorancia y la mediocridad: en ese sentido la estrategia requiere que el público sea incapaz de comprender las tecnologías, y métodos utilizados para su control y esclavitud. “La calidad de la educación dada  a  las  clases  sociales  inferiores  debe  ser  lo  </w:t>
      </w:r>
      <w:r>
        <w:rPr>
          <w:spacing w:val="-2"/>
          <w:sz w:val="24"/>
        </w:rPr>
        <w:t>más  </w:t>
      </w:r>
      <w:r>
        <w:rPr>
          <w:sz w:val="24"/>
        </w:rPr>
        <w:t>pobre  y </w:t>
      </w:r>
      <w:r>
        <w:rPr>
          <w:spacing w:val="45"/>
          <w:sz w:val="24"/>
        </w:rPr>
        <w:t> </w:t>
      </w:r>
      <w:r>
        <w:rPr>
          <w:sz w:val="24"/>
        </w:rPr>
        <w:t>mediocre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r>
        <w:rPr/>
        <w:pict>
          <v:line style="position:absolute;mso-position-horizontal-relative:page;mso-position-vertical-relative:paragraph;z-index:7696;mso-wrap-distance-left:0;mso-wrap-distance-right:0" from="99.224998pt,12.282799pt" to="243.274998pt,12.282799pt" stroked="true" strokeweight=".60004pt" strokecolor="#000000">
            <w10:wrap type="topAndBottom"/>
          </v:line>
        </w:pict>
      </w:r>
    </w:p>
    <w:p>
      <w:pPr>
        <w:spacing w:line="236" w:lineRule="exact" w:before="46"/>
        <w:ind w:left="684" w:right="114" w:firstLine="0"/>
        <w:jc w:val="left"/>
        <w:rPr>
          <w:rFonts w:ascii="Calibri" w:hAnsi="Calibri"/>
          <w:i/>
          <w:sz w:val="18"/>
        </w:rPr>
      </w:pPr>
      <w:r>
        <w:rPr>
          <w:rFonts w:ascii="Calibri" w:hAnsi="Calibri"/>
          <w:i/>
          <w:position w:val="9"/>
          <w:sz w:val="12"/>
        </w:rPr>
        <w:t>271 </w:t>
      </w:r>
      <w:r>
        <w:rPr>
          <w:rFonts w:ascii="Calibri" w:hAnsi="Calibri"/>
          <w:i/>
          <w:sz w:val="18"/>
        </w:rPr>
        <w:t>ídem.</w:t>
      </w:r>
    </w:p>
    <w:p>
      <w:pPr>
        <w:spacing w:line="220" w:lineRule="exact" w:before="0"/>
        <w:ind w:left="684" w:right="114" w:firstLine="0"/>
        <w:jc w:val="left"/>
        <w:rPr>
          <w:rFonts w:ascii="Calibri" w:hAnsi="Calibri"/>
          <w:i/>
          <w:sz w:val="18"/>
        </w:rPr>
      </w:pPr>
      <w:r>
        <w:rPr>
          <w:rFonts w:ascii="Calibri" w:hAnsi="Calibri"/>
          <w:i/>
          <w:position w:val="9"/>
          <w:sz w:val="12"/>
        </w:rPr>
        <w:t>272 </w:t>
      </w:r>
      <w:r>
        <w:rPr>
          <w:rFonts w:ascii="Calibri" w:hAnsi="Calibri"/>
          <w:i/>
          <w:sz w:val="18"/>
        </w:rPr>
        <w:t>Ídem</w:t>
      </w:r>
    </w:p>
    <w:p>
      <w:pPr>
        <w:spacing w:line="236" w:lineRule="exact" w:before="0"/>
        <w:ind w:left="684" w:right="114" w:firstLine="0"/>
        <w:jc w:val="left"/>
        <w:rPr>
          <w:rFonts w:ascii="Calibri" w:hAnsi="Calibri"/>
          <w:i/>
          <w:sz w:val="18"/>
        </w:rPr>
      </w:pPr>
      <w:r>
        <w:rPr>
          <w:rFonts w:ascii="Calibri" w:hAnsi="Calibri"/>
          <w:position w:val="9"/>
          <w:sz w:val="12"/>
        </w:rPr>
        <w:t>273 </w:t>
      </w:r>
      <w:r>
        <w:rPr>
          <w:rFonts w:ascii="Calibri" w:hAnsi="Calibri"/>
          <w:i/>
          <w:sz w:val="18"/>
        </w:rPr>
        <w:t>.Ídem</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776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2"/>
        </w:rPr>
      </w:pPr>
    </w:p>
    <w:p>
      <w:pPr>
        <w:pStyle w:val="BodyText"/>
        <w:spacing w:line="357" w:lineRule="auto" w:before="82"/>
        <w:ind w:left="696" w:right="224"/>
        <w:jc w:val="both"/>
      </w:pPr>
      <w:r>
        <w:rPr/>
        <w:t>posible.”</w:t>
      </w:r>
      <w:r>
        <w:rPr>
          <w:position w:val="11"/>
          <w:sz w:val="16"/>
        </w:rPr>
        <w:t>274 </w:t>
      </w:r>
      <w:r>
        <w:rPr/>
        <w:t>en cuyo proceso participa todo el aparato educativo, y que sin embargo pasa inadvertido como fenómeno de control</w:t>
      </w:r>
    </w:p>
    <w:p>
      <w:pPr>
        <w:pStyle w:val="ListParagraph"/>
        <w:numPr>
          <w:ilvl w:val="0"/>
          <w:numId w:val="7"/>
        </w:numPr>
        <w:tabs>
          <w:tab w:pos="697" w:val="left" w:leader="none"/>
        </w:tabs>
        <w:spacing w:line="345" w:lineRule="auto" w:before="8" w:after="0"/>
        <w:ind w:left="697" w:right="220" w:hanging="433"/>
        <w:jc w:val="both"/>
        <w:rPr>
          <w:sz w:val="24"/>
        </w:rPr>
      </w:pPr>
      <w:r>
        <w:rPr>
          <w:sz w:val="24"/>
        </w:rPr>
        <w:t>“Estimular al público a ser complaciente con la mediocridad: Promover en el público la creencia de que es moda el hecho de ser estúpido, vulgar e inculto.”</w:t>
      </w:r>
      <w:r>
        <w:rPr>
          <w:position w:val="11"/>
          <w:sz w:val="16"/>
        </w:rPr>
        <w:t>275 </w:t>
      </w:r>
      <w:r>
        <w:rPr>
          <w:sz w:val="24"/>
        </w:rPr>
        <w:t>La idea es disminuir el ejercicio mental del</w:t>
      </w:r>
      <w:r>
        <w:rPr>
          <w:spacing w:val="-19"/>
          <w:sz w:val="24"/>
        </w:rPr>
        <w:t> </w:t>
      </w:r>
      <w:r>
        <w:rPr>
          <w:sz w:val="24"/>
        </w:rPr>
        <w:t>individuo.</w:t>
      </w:r>
    </w:p>
    <w:p>
      <w:pPr>
        <w:pStyle w:val="ListParagraph"/>
        <w:numPr>
          <w:ilvl w:val="0"/>
          <w:numId w:val="7"/>
        </w:numPr>
        <w:tabs>
          <w:tab w:pos="697" w:val="left" w:leader="none"/>
        </w:tabs>
        <w:spacing w:line="345" w:lineRule="auto" w:before="1" w:after="0"/>
        <w:ind w:left="697" w:right="214" w:hanging="433"/>
        <w:jc w:val="both"/>
        <w:rPr>
          <w:sz w:val="24"/>
        </w:rPr>
      </w:pPr>
      <w:r>
        <w:rPr>
          <w:sz w:val="24"/>
        </w:rPr>
        <w:t>“Reforzar la auto-culpabilidad: Hacer creer al individuo que solamente es  él,  el culpable de su propia desgracia, por causa de la insuficiencia de su inteligencia,</w:t>
      </w:r>
      <w:r>
        <w:rPr>
          <w:spacing w:val="31"/>
          <w:sz w:val="24"/>
        </w:rPr>
        <w:t> </w:t>
      </w:r>
      <w:r>
        <w:rPr>
          <w:sz w:val="24"/>
        </w:rPr>
        <w:t>de</w:t>
      </w:r>
      <w:r>
        <w:rPr>
          <w:spacing w:val="29"/>
          <w:sz w:val="24"/>
        </w:rPr>
        <w:t> </w:t>
      </w:r>
      <w:r>
        <w:rPr>
          <w:sz w:val="24"/>
        </w:rPr>
        <w:t>sus</w:t>
      </w:r>
      <w:r>
        <w:rPr>
          <w:spacing w:val="31"/>
          <w:sz w:val="24"/>
        </w:rPr>
        <w:t> </w:t>
      </w:r>
      <w:r>
        <w:rPr>
          <w:sz w:val="24"/>
        </w:rPr>
        <w:t>capacidades</w:t>
      </w:r>
      <w:r>
        <w:rPr>
          <w:spacing w:val="31"/>
          <w:sz w:val="24"/>
        </w:rPr>
        <w:t> </w:t>
      </w:r>
      <w:r>
        <w:rPr>
          <w:sz w:val="24"/>
        </w:rPr>
        <w:t>o</w:t>
      </w:r>
      <w:r>
        <w:rPr>
          <w:spacing w:val="32"/>
          <w:sz w:val="24"/>
        </w:rPr>
        <w:t> </w:t>
      </w:r>
      <w:r>
        <w:rPr>
          <w:sz w:val="24"/>
        </w:rPr>
        <w:t>de</w:t>
      </w:r>
      <w:r>
        <w:rPr>
          <w:spacing w:val="29"/>
          <w:sz w:val="24"/>
        </w:rPr>
        <w:t> </w:t>
      </w:r>
      <w:r>
        <w:rPr>
          <w:sz w:val="24"/>
        </w:rPr>
        <w:t>sus</w:t>
      </w:r>
      <w:r>
        <w:rPr>
          <w:spacing w:val="31"/>
          <w:sz w:val="24"/>
        </w:rPr>
        <w:t> </w:t>
      </w:r>
      <w:r>
        <w:rPr>
          <w:sz w:val="24"/>
        </w:rPr>
        <w:t>esfuerzos.</w:t>
      </w:r>
      <w:r>
        <w:rPr>
          <w:position w:val="11"/>
          <w:sz w:val="16"/>
        </w:rPr>
        <w:t>276 </w:t>
      </w:r>
      <w:r>
        <w:rPr>
          <w:spacing w:val="8"/>
          <w:position w:val="11"/>
          <w:sz w:val="16"/>
        </w:rPr>
        <w:t> </w:t>
      </w:r>
      <w:r>
        <w:rPr>
          <w:sz w:val="24"/>
        </w:rPr>
        <w:t>Provocando</w:t>
      </w:r>
      <w:r>
        <w:rPr>
          <w:spacing w:val="29"/>
          <w:sz w:val="24"/>
        </w:rPr>
        <w:t> </w:t>
      </w:r>
      <w:r>
        <w:rPr>
          <w:sz w:val="24"/>
        </w:rPr>
        <w:t>de</w:t>
      </w:r>
      <w:r>
        <w:rPr>
          <w:spacing w:val="32"/>
          <w:sz w:val="24"/>
        </w:rPr>
        <w:t> </w:t>
      </w:r>
      <w:r>
        <w:rPr>
          <w:sz w:val="24"/>
        </w:rPr>
        <w:t>esta</w:t>
      </w:r>
    </w:p>
    <w:p>
      <w:pPr>
        <w:pStyle w:val="BodyText"/>
        <w:spacing w:line="360" w:lineRule="auto" w:before="6"/>
        <w:ind w:left="696" w:right="214"/>
        <w:jc w:val="both"/>
      </w:pPr>
      <w:r>
        <w:rPr/>
        <w:t>manera que las personas en lugar de exigir soluciones al sistema se auto- invaliden y se culpen a sí mismos. Así sólo el pobre es responsable de su pobreza, por pereza y falta de trabajo. Sin embargo, vemos que en quienes recae el mayor esfuerzo laboral es en los asalariados pobres que perciben el salario mínimo.</w:t>
      </w:r>
    </w:p>
    <w:p>
      <w:pPr>
        <w:pStyle w:val="ListParagraph"/>
        <w:numPr>
          <w:ilvl w:val="0"/>
          <w:numId w:val="7"/>
        </w:numPr>
        <w:tabs>
          <w:tab w:pos="697" w:val="left" w:leader="none"/>
        </w:tabs>
        <w:spacing w:line="360" w:lineRule="auto" w:before="2" w:after="0"/>
        <w:ind w:left="697" w:right="215" w:hanging="433"/>
        <w:jc w:val="both"/>
        <w:rPr>
          <w:sz w:val="24"/>
        </w:rPr>
      </w:pPr>
      <w:r>
        <w:rPr>
          <w:sz w:val="24"/>
        </w:rPr>
        <w:t>Conocer a los individuos mejor de lo que ellos mismos se conocen: los avances de las ciencias que tienen como objetivo conocer al ser humano, (biología, psicología, medicina, neurobiología, etc) han proporcionado al sistema elementos adecuados que faciliten el control y dominación de los individuos de una manera sutil, que les permite obtener mejores resultados.  No en balde la ciencia y la tecnología están al servicio de la Iniciativa </w:t>
      </w:r>
      <w:r>
        <w:rPr>
          <w:spacing w:val="63"/>
          <w:sz w:val="24"/>
        </w:rPr>
        <w:t> </w:t>
      </w:r>
      <w:r>
        <w:rPr>
          <w:sz w:val="24"/>
        </w:rPr>
        <w:t>Privada</w:t>
      </w:r>
    </w:p>
    <w:p>
      <w:pPr>
        <w:pStyle w:val="BodyText"/>
        <w:spacing w:line="331" w:lineRule="auto" w:before="2"/>
        <w:ind w:left="696" w:right="220"/>
        <w:jc w:val="both"/>
        <w:rPr>
          <w:sz w:val="16"/>
        </w:rPr>
      </w:pPr>
      <w:r>
        <w:rPr/>
        <w:t>y de los grandes consorcios internacionales. “El sistema ha conseguido conocer mejor al individuo común de lo que él se conoce a sí mismo.”</w:t>
      </w:r>
      <w:r>
        <w:rPr>
          <w:position w:val="11"/>
          <w:sz w:val="16"/>
        </w:rPr>
        <w:t>277</w:t>
      </w:r>
    </w:p>
    <w:p>
      <w:pPr>
        <w:pStyle w:val="BodyText"/>
        <w:spacing w:line="360" w:lineRule="auto" w:before="20"/>
        <w:ind w:left="264" w:right="216" w:firstLine="336"/>
        <w:jc w:val="both"/>
      </w:pPr>
      <w:r>
        <w:rPr/>
        <w:t>De esta manera, el impacto mediático que se genera, es capaz de transformar la opinión pública, la percepción individual ante diferentes sucesos sociales, así como disminuir la movilidad social; al mismo tiempo que presenta al televidente contenidos diluidos en la verdad para enfrentar en forma distorsionada la realidad, porque una vez asimilada la información enviada por la televisión, el sujeto se siente dueño de la situación, se siente confiado ante un medio que parece administrar mensajes con cierto nivel de certeza.</w:t>
      </w:r>
    </w:p>
    <w:p>
      <w:pPr>
        <w:pStyle w:val="BodyText"/>
        <w:rPr>
          <w:sz w:val="20"/>
        </w:rPr>
      </w:pPr>
    </w:p>
    <w:p>
      <w:pPr>
        <w:pStyle w:val="BodyText"/>
        <w:spacing w:before="5"/>
        <w:rPr>
          <w:sz w:val="15"/>
        </w:rPr>
      </w:pPr>
      <w:r>
        <w:rPr/>
        <w:pict>
          <v:line style="position:absolute;mso-position-horizontal-relative:page;mso-position-vertical-relative:paragraph;z-index:7744;mso-wrap-distance-left:0;mso-wrap-distance-right:0" from="99.224998pt,11.164898pt" to="243.274998pt,11.164898pt" stroked="true" strokeweight=".599980pt" strokecolor="#000000">
            <w10:wrap type="topAndBottom"/>
          </v:line>
        </w:pict>
      </w:r>
    </w:p>
    <w:p>
      <w:pPr>
        <w:spacing w:line="236" w:lineRule="exact" w:before="46"/>
        <w:ind w:left="264" w:right="0" w:firstLine="0"/>
        <w:jc w:val="left"/>
        <w:rPr>
          <w:rFonts w:ascii="Calibri" w:hAnsi="Calibri"/>
          <w:i/>
          <w:sz w:val="18"/>
        </w:rPr>
      </w:pPr>
      <w:r>
        <w:rPr>
          <w:rFonts w:ascii="Calibri" w:hAnsi="Calibri"/>
          <w:i/>
          <w:position w:val="9"/>
          <w:sz w:val="12"/>
        </w:rPr>
        <w:t>274 </w:t>
      </w:r>
      <w:r>
        <w:rPr>
          <w:rFonts w:ascii="Calibri" w:hAnsi="Calibri"/>
          <w:i/>
          <w:sz w:val="18"/>
        </w:rPr>
        <w:t>Ídem.</w:t>
      </w:r>
    </w:p>
    <w:p>
      <w:pPr>
        <w:spacing w:line="220" w:lineRule="exact" w:before="0"/>
        <w:ind w:left="264" w:right="0" w:firstLine="0"/>
        <w:jc w:val="left"/>
        <w:rPr>
          <w:rFonts w:ascii="Calibri" w:hAnsi="Calibri"/>
          <w:i/>
          <w:sz w:val="18"/>
        </w:rPr>
      </w:pPr>
      <w:r>
        <w:rPr>
          <w:rFonts w:ascii="Calibri" w:hAnsi="Calibri"/>
          <w:i/>
          <w:position w:val="9"/>
          <w:sz w:val="12"/>
        </w:rPr>
        <w:t>275 </w:t>
      </w:r>
      <w:r>
        <w:rPr>
          <w:rFonts w:ascii="Calibri" w:hAnsi="Calibri"/>
          <w:i/>
          <w:sz w:val="18"/>
        </w:rPr>
        <w:t>Ídem.</w:t>
      </w:r>
    </w:p>
    <w:p>
      <w:pPr>
        <w:spacing w:line="217" w:lineRule="exact" w:before="0"/>
        <w:ind w:left="264" w:right="0" w:firstLine="0"/>
        <w:jc w:val="left"/>
        <w:rPr>
          <w:rFonts w:ascii="Calibri" w:hAnsi="Calibri"/>
          <w:i/>
          <w:sz w:val="18"/>
        </w:rPr>
      </w:pPr>
      <w:r>
        <w:rPr>
          <w:rFonts w:ascii="Calibri" w:hAnsi="Calibri"/>
          <w:i/>
          <w:position w:val="9"/>
          <w:sz w:val="12"/>
        </w:rPr>
        <w:t>276 </w:t>
      </w:r>
      <w:r>
        <w:rPr>
          <w:rFonts w:ascii="Calibri" w:hAnsi="Calibri"/>
          <w:i/>
          <w:sz w:val="18"/>
        </w:rPr>
        <w:t>Ídem</w:t>
      </w:r>
    </w:p>
    <w:p>
      <w:pPr>
        <w:tabs>
          <w:tab w:pos="1024" w:val="left" w:leader="none"/>
        </w:tabs>
        <w:spacing w:line="221" w:lineRule="exact" w:before="0"/>
        <w:ind w:left="264" w:right="0" w:firstLine="0"/>
        <w:jc w:val="left"/>
        <w:rPr>
          <w:i/>
          <w:sz w:val="18"/>
        </w:rPr>
      </w:pPr>
      <w:r>
        <w:rPr>
          <w:position w:val="9"/>
          <w:sz w:val="12"/>
        </w:rPr>
        <w:t>277</w:t>
        <w:tab/>
      </w:r>
      <w:r>
        <w:rPr>
          <w:i/>
          <w:sz w:val="18"/>
        </w:rPr>
        <w:t>ibídem</w:t>
      </w:r>
    </w:p>
    <w:p>
      <w:pPr>
        <w:spacing w:after="0" w:line="221" w:lineRule="exact"/>
        <w:jc w:val="left"/>
        <w:rPr>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781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21" w:firstLine="271"/>
        <w:jc w:val="both"/>
      </w:pPr>
      <w:r>
        <w:rPr/>
        <w:t>Este estilo de informar establece la agenda de opinión, muchas veces en detrimento del análisis de temas de más importancia para el grupo social. Las historias, los noticieros, las telenovelas, los eventos deportivos, los programas musicales, y los de tipo infantil se constituyen en elementos de la integración de  las representaciones sociales que se construyen en el grupo social dándole coherencia  a las acciones de los</w:t>
      </w:r>
      <w:r>
        <w:rPr>
          <w:spacing w:val="-20"/>
        </w:rPr>
        <w:t> </w:t>
      </w:r>
      <w:r>
        <w:rPr/>
        <w:t>ciudadanos.</w:t>
      </w:r>
    </w:p>
    <w:p>
      <w:pPr>
        <w:pStyle w:val="BodyText"/>
      </w:pPr>
    </w:p>
    <w:p>
      <w:pPr>
        <w:spacing w:line="240" w:lineRule="auto" w:before="140"/>
        <w:ind w:left="1393" w:right="123" w:firstLine="0"/>
        <w:jc w:val="both"/>
        <w:rPr>
          <w:sz w:val="22"/>
        </w:rPr>
      </w:pPr>
      <w:r>
        <w:rPr>
          <w:sz w:val="22"/>
        </w:rPr>
        <w:t>También estas creencias se muestran con mayor intensidad entre quienes más ven televisión y entre sujetos de los estratos mas desfavorecidos. Hay, pues, al parecer gran confianza en </w:t>
      </w:r>
      <w:r>
        <w:rPr>
          <w:spacing w:val="-3"/>
          <w:sz w:val="22"/>
        </w:rPr>
        <w:t>la </w:t>
      </w:r>
      <w:r>
        <w:rPr>
          <w:sz w:val="22"/>
        </w:rPr>
        <w:t>televisión, ésta suele establecer una parte de </w:t>
      </w:r>
      <w:r>
        <w:rPr>
          <w:spacing w:val="-3"/>
          <w:sz w:val="22"/>
        </w:rPr>
        <w:t>la </w:t>
      </w:r>
      <w:r>
        <w:rPr>
          <w:sz w:val="22"/>
        </w:rPr>
        <w:t>agenda de conversaciones, pensamientos y preocupaciones entre su público y  </w:t>
      </w:r>
      <w:r>
        <w:rPr>
          <w:spacing w:val="42"/>
          <w:sz w:val="22"/>
        </w:rPr>
        <w:t> </w:t>
      </w:r>
      <w:r>
        <w:rPr>
          <w:spacing w:val="-3"/>
          <w:sz w:val="22"/>
        </w:rPr>
        <w:t>le</w:t>
      </w:r>
    </w:p>
    <w:p>
      <w:pPr>
        <w:spacing w:line="256" w:lineRule="exact" w:before="0"/>
        <w:ind w:left="1393" w:right="125" w:firstLine="0"/>
        <w:jc w:val="both"/>
        <w:rPr>
          <w:sz w:val="22"/>
        </w:rPr>
      </w:pPr>
      <w:r>
        <w:rPr>
          <w:sz w:val="22"/>
        </w:rPr>
        <w:t>&lt;&lt;enseña&gt;&gt; por lo menos una porción de las representaciones que tiene sobre la realidad</w:t>
      </w:r>
      <w:r>
        <w:rPr>
          <w:position w:val="10"/>
          <w:sz w:val="14"/>
        </w:rPr>
        <w:t>278</w:t>
      </w:r>
      <w:r>
        <w:rPr>
          <w:sz w:val="22"/>
        </w:rPr>
        <w:t>.</w:t>
      </w:r>
    </w:p>
    <w:p>
      <w:pPr>
        <w:pStyle w:val="BodyText"/>
        <w:spacing w:before="5"/>
        <w:rPr>
          <w:sz w:val="35"/>
        </w:rPr>
      </w:pPr>
    </w:p>
    <w:p>
      <w:pPr>
        <w:pStyle w:val="BodyText"/>
        <w:spacing w:line="360" w:lineRule="auto"/>
        <w:ind w:left="684" w:right="114"/>
        <w:jc w:val="both"/>
      </w:pPr>
      <w:r>
        <w:rPr/>
        <w:t>En la medida que los jóvenes (y algunos </w:t>
      </w:r>
      <w:r>
        <w:rPr>
          <w:spacing w:val="-3"/>
        </w:rPr>
        <w:t>ya </w:t>
      </w:r>
      <w:r>
        <w:rPr/>
        <w:t>como padres de familia) y adolescentes consideren que las telenovelas presentan los problemas nacionales y que las mismas son una fuente de modelos dignos de ser imitados, sera oportuno que este fenómeno sea atendido como un problema de tipo educativo y cultural en México, por su alta capacidad de mediación cognitiva. La televisión convence a su auditorio de lo que si existe y de lo que no existe. Es capaz de canalizar la atención social hacia el deporte, hacia alguna tragedia nacional o el final de una telenovela, etc. su influencia construye opinión y distrae de los verdaderos problemas</w:t>
      </w:r>
      <w:r>
        <w:rPr>
          <w:spacing w:val="-17"/>
        </w:rPr>
        <w:t> </w:t>
      </w:r>
      <w:r>
        <w:rPr/>
        <w:t>nacionales.</w:t>
      </w:r>
    </w:p>
    <w:p>
      <w:pPr>
        <w:pStyle w:val="BodyText"/>
        <w:spacing w:before="11"/>
        <w:rPr>
          <w:sz w:val="35"/>
        </w:rPr>
      </w:pPr>
    </w:p>
    <w:p>
      <w:pPr>
        <w:pStyle w:val="Heading3"/>
        <w:numPr>
          <w:ilvl w:val="2"/>
          <w:numId w:val="6"/>
        </w:numPr>
        <w:tabs>
          <w:tab w:pos="968" w:val="left" w:leader="none"/>
        </w:tabs>
        <w:spacing w:line="240" w:lineRule="auto" w:before="0" w:after="0"/>
        <w:ind w:left="967" w:right="0" w:hanging="283"/>
        <w:jc w:val="both"/>
        <w:rPr>
          <w:rFonts w:ascii="Arial" w:hAnsi="Arial"/>
        </w:rPr>
      </w:pPr>
      <w:bookmarkStart w:name="_TOC_250016" w:id="8"/>
      <w:r>
        <w:rPr>
          <w:rFonts w:ascii="Arial" w:hAnsi="Arial"/>
        </w:rPr>
        <w:t>Televisión que forma y conforma</w:t>
      </w:r>
      <w:r>
        <w:rPr>
          <w:rFonts w:ascii="Arial" w:hAnsi="Arial"/>
          <w:spacing w:val="-20"/>
        </w:rPr>
        <w:t> </w:t>
      </w:r>
      <w:bookmarkEnd w:id="8"/>
      <w:r>
        <w:rPr>
          <w:rFonts w:ascii="Arial" w:hAnsi="Arial"/>
        </w:rPr>
        <w:t>conciencias</w:t>
      </w:r>
    </w:p>
    <w:p>
      <w:pPr>
        <w:pStyle w:val="BodyText"/>
        <w:rPr>
          <w:b/>
        </w:rPr>
      </w:pPr>
    </w:p>
    <w:p>
      <w:pPr>
        <w:pStyle w:val="BodyText"/>
        <w:spacing w:before="4"/>
        <w:rPr>
          <w:b/>
        </w:rPr>
      </w:pPr>
    </w:p>
    <w:p>
      <w:pPr>
        <w:pStyle w:val="BodyText"/>
        <w:spacing w:line="360" w:lineRule="auto"/>
        <w:ind w:left="684" w:right="113" w:firstLine="336"/>
        <w:jc w:val="both"/>
      </w:pPr>
      <w:r>
        <w:rPr/>
        <w:pict>
          <v:line style="position:absolute;mso-position-horizontal-relative:page;mso-position-vertical-relative:paragraph;z-index:7792;mso-wrap-distance-left:0;mso-wrap-distance-right:0" from="99.224998pt,149.180832pt" to="243.274998pt,149.180832pt" stroked="true" strokeweight=".60004pt" strokecolor="#000000">
            <w10:wrap type="topAndBottom"/>
          </v:line>
        </w:pict>
      </w:r>
      <w:r>
        <w:rPr/>
        <w:t>¿Por qué? y ¿Cómo la televisión se convierte en elemento formador y  educador de la sociedad? son algunas de las preocupaciones de la presente investigación; la televisión que ha reescrito la historia contemporánea por su dimensión espectacular y estimulante de los sentidos, que responde a condicionamientos económicos e ideológicos, incrementada por su propia especificidad tecnológica y por su diseño narrativo, que la convierte en un instrumento  tecnológico  esencial  en  la  vida  económica  y  cultural,  dadas  </w:t>
      </w:r>
      <w:r>
        <w:rPr>
          <w:spacing w:val="9"/>
        </w:rPr>
        <w:t> </w:t>
      </w:r>
      <w:r>
        <w:rPr/>
        <w:t>sus</w:t>
      </w:r>
    </w:p>
    <w:p>
      <w:pPr>
        <w:spacing w:before="46"/>
        <w:ind w:left="684" w:right="114" w:firstLine="0"/>
        <w:jc w:val="left"/>
        <w:rPr>
          <w:rFonts w:ascii="Calibri" w:hAnsi="Calibri"/>
          <w:sz w:val="18"/>
        </w:rPr>
      </w:pPr>
      <w:r>
        <w:rPr>
          <w:rFonts w:ascii="Calibri" w:hAnsi="Calibri"/>
          <w:position w:val="9"/>
          <w:sz w:val="12"/>
        </w:rPr>
        <w:t>278  </w:t>
      </w:r>
      <w:r>
        <w:rPr>
          <w:rFonts w:ascii="Calibri" w:hAnsi="Calibri"/>
          <w:sz w:val="18"/>
        </w:rPr>
        <w:t>LAMEIRAS, José y GALINDO Cáceres, Luis Jesús, </w:t>
      </w:r>
      <w:r>
        <w:rPr>
          <w:rFonts w:ascii="Calibri" w:hAnsi="Calibri"/>
          <w:i/>
          <w:sz w:val="18"/>
        </w:rPr>
        <w:t>Óp. Cit</w:t>
      </w:r>
      <w:r>
        <w:rPr>
          <w:rFonts w:ascii="Calibri" w:hAnsi="Calibri"/>
          <w:sz w:val="18"/>
        </w:rPr>
        <w:t>., p. 52</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786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right="210"/>
      </w:pPr>
      <w:r>
        <w:rPr/>
        <w:t>cualidades de medio para el intercambio formativo e informativo, ideológico y cultural, de entretenimiento y diversión, económico y pragmático.</w:t>
      </w:r>
    </w:p>
    <w:p>
      <w:pPr>
        <w:pStyle w:val="BodyText"/>
        <w:spacing w:line="360" w:lineRule="auto" w:before="8"/>
        <w:ind w:left="264" w:right="214" w:firstLine="404"/>
        <w:jc w:val="both"/>
      </w:pPr>
      <w:r>
        <w:rPr/>
        <w:t>La televisión transmite ideas y valores desde lo sensorial más que de la razón, desde lo sensual </w:t>
      </w:r>
      <w:r>
        <w:rPr>
          <w:spacing w:val="-2"/>
        </w:rPr>
        <w:t>más </w:t>
      </w:r>
      <w:r>
        <w:rPr/>
        <w:t>que desde lo conceptual, monopoliza las imágenes más que las palabras, aborda al individuo desde las emociones más que desde el pensamiento lógico, trabaja a nivel del subconsciente </w:t>
      </w:r>
      <w:r>
        <w:rPr>
          <w:spacing w:val="-2"/>
        </w:rPr>
        <w:t>más </w:t>
      </w:r>
      <w:r>
        <w:rPr/>
        <w:t>que desde la conciencia. Se ha comprobado que una gran mayoría de las personas, atribuyen a la televisión una importante influencia en la conciencia social, no obstante, tal influencia no es reconocida con la misma intensidad sobre </w:t>
      </w:r>
      <w:r>
        <w:rPr>
          <w:spacing w:val="3"/>
        </w:rPr>
        <w:t>sí </w:t>
      </w:r>
      <w:r>
        <w:rPr/>
        <w:t>mismos. La ilusión  de la conciencia individual tiende a manifestar que está a salvo de esta influencia, cómo si se avergonzara de aceptar que está siendo manipulada. “Así pues, se observa una ilusión de inmunidad: el </w:t>
      </w:r>
      <w:r>
        <w:rPr>
          <w:spacing w:val="-3"/>
        </w:rPr>
        <w:t>yo </w:t>
      </w:r>
      <w:r>
        <w:rPr/>
        <w:t>no es vulnerable a una influencia social que, por lo general, puede considerarse presionadora, coartadora de</w:t>
      </w:r>
      <w:r>
        <w:rPr>
          <w:spacing w:val="42"/>
        </w:rPr>
        <w:t> </w:t>
      </w:r>
      <w:r>
        <w:rPr/>
        <w:t>pensamiento</w:t>
      </w:r>
    </w:p>
    <w:p>
      <w:pPr>
        <w:pStyle w:val="BodyText"/>
        <w:spacing w:line="279" w:lineRule="exact"/>
        <w:ind w:left="264"/>
        <w:rPr>
          <w:sz w:val="16"/>
        </w:rPr>
      </w:pPr>
      <w:r>
        <w:rPr/>
        <w:t>y de la libertad.”</w:t>
      </w:r>
      <w:r>
        <w:rPr>
          <w:spacing w:val="56"/>
        </w:rPr>
        <w:t> </w:t>
      </w:r>
      <w:r>
        <w:rPr>
          <w:position w:val="11"/>
          <w:sz w:val="16"/>
        </w:rPr>
        <w:t>279</w:t>
      </w:r>
    </w:p>
    <w:p>
      <w:pPr>
        <w:pStyle w:val="BodyText"/>
        <w:spacing w:line="352" w:lineRule="auto" w:before="140"/>
        <w:ind w:left="264" w:right="216" w:firstLine="336"/>
        <w:jc w:val="both"/>
        <w:rPr>
          <w:sz w:val="16"/>
        </w:rPr>
      </w:pPr>
      <w:r>
        <w:rPr/>
        <w:t>En este estado de cosas de acuerdo con algunos autores, la desinformación como acto de silenciar o manipular la verdad, habitualmente en los medios de comunicación de masas, es la que conduce a los individuos a actuar, a pensar, inclusive a hablar de tal o cual manera, según como el sistema lo induce, aún cuando esa influencia no se percibe o acepta tácitamente.</w:t>
      </w:r>
      <w:r>
        <w:rPr>
          <w:position w:val="11"/>
          <w:sz w:val="16"/>
        </w:rPr>
        <w:t>280</w:t>
      </w:r>
    </w:p>
    <w:p>
      <w:pPr>
        <w:pStyle w:val="BodyText"/>
        <w:spacing w:line="360" w:lineRule="auto"/>
        <w:ind w:left="264" w:right="225" w:firstLine="336"/>
        <w:jc w:val="both"/>
      </w:pPr>
      <w:r>
        <w:rPr/>
        <w:t>Para Noam Chomsky, este fenómeno que toma fuerza a mediados del siglo  XX, es el que ha llevado a pueblos enteros a la manipulación de conciencias, por medio de la publicidad pública de un régimen político o de la publicidad privada al servicio del mejor</w:t>
      </w:r>
      <w:r>
        <w:rPr>
          <w:spacing w:val="-17"/>
        </w:rPr>
        <w:t> </w:t>
      </w:r>
      <w:r>
        <w:rPr/>
        <w:t>postor.</w:t>
      </w:r>
    </w:p>
    <w:p>
      <w:pPr>
        <w:pStyle w:val="BodyText"/>
        <w:spacing w:before="10"/>
        <w:rPr>
          <w:sz w:val="35"/>
        </w:rPr>
      </w:pPr>
    </w:p>
    <w:p>
      <w:pPr>
        <w:spacing w:line="240" w:lineRule="auto" w:before="0"/>
        <w:ind w:left="973" w:right="211" w:firstLine="0"/>
        <w:jc w:val="both"/>
        <w:rPr>
          <w:sz w:val="22"/>
        </w:rPr>
      </w:pPr>
      <w:r>
        <w:rPr>
          <w:sz w:val="22"/>
        </w:rPr>
        <w:t>Utilizando los “</w:t>
      </w:r>
      <w:r>
        <w:rPr>
          <w:i/>
          <w:sz w:val="22"/>
        </w:rPr>
        <w:t>hoax”</w:t>
      </w:r>
      <w:r>
        <w:rPr>
          <w:sz w:val="22"/>
        </w:rPr>
        <w:t>, filtraciones interesadas o rumores o por medio de "sondeo", estadísticas o estudios presuntamente científicos e imparciales </w:t>
      </w:r>
      <w:r>
        <w:rPr>
          <w:spacing w:val="2"/>
          <w:sz w:val="22"/>
        </w:rPr>
        <w:t>pero </w:t>
      </w:r>
      <w:r>
        <w:rPr>
          <w:sz w:val="22"/>
        </w:rPr>
        <w:t>pagados por empresas o corporaciones económicas interesadas; por el uso de "globos sonda"  o afirmaciones no autorizadas para inspeccionar los argumentos adversos que pueda  suscitar  una  medida  y  anticipar  respuestas,  y  el  uso  de  medios     </w:t>
      </w:r>
      <w:r>
        <w:rPr>
          <w:spacing w:val="8"/>
          <w:sz w:val="22"/>
        </w:rPr>
        <w:t> </w:t>
      </w:r>
      <w:r>
        <w:rPr>
          <w:sz w:val="22"/>
        </w:rPr>
        <w:t>no</w:t>
      </w:r>
    </w:p>
    <w:p>
      <w:pPr>
        <w:pStyle w:val="BodyText"/>
        <w:rPr>
          <w:sz w:val="20"/>
        </w:rPr>
      </w:pPr>
    </w:p>
    <w:p>
      <w:pPr>
        <w:pStyle w:val="BodyText"/>
        <w:rPr>
          <w:sz w:val="20"/>
        </w:rPr>
      </w:pPr>
    </w:p>
    <w:p>
      <w:pPr>
        <w:pStyle w:val="BodyText"/>
        <w:spacing w:before="1"/>
        <w:rPr>
          <w:sz w:val="28"/>
        </w:rPr>
      </w:pPr>
      <w:r>
        <w:rPr/>
        <w:pict>
          <v:line style="position:absolute;mso-position-horizontal-relative:page;mso-position-vertical-relative:paragraph;z-index:7840;mso-wrap-distance-left:0;mso-wrap-distance-right:0" from="99.224998pt,18.400881pt" to="243.274998pt,18.400881pt" stroked="true" strokeweight=".60004pt" strokecolor="#000000">
            <w10:wrap type="topAndBottom"/>
          </v:line>
        </w:pict>
      </w:r>
    </w:p>
    <w:p>
      <w:pPr>
        <w:spacing w:before="48"/>
        <w:ind w:left="264" w:right="213" w:firstLine="0"/>
        <w:jc w:val="both"/>
        <w:rPr>
          <w:rFonts w:ascii="Calibri" w:hAnsi="Calibri"/>
          <w:sz w:val="18"/>
        </w:rPr>
      </w:pPr>
      <w:r>
        <w:rPr>
          <w:position w:val="9"/>
          <w:sz w:val="12"/>
        </w:rPr>
        <w:t>279 </w:t>
      </w:r>
      <w:r>
        <w:rPr>
          <w:rFonts w:ascii="Calibri" w:hAnsi="Calibri"/>
          <w:sz w:val="18"/>
        </w:rPr>
        <w:t>FERRÉS, Joan, ROCA, Neus, “Creencias populares sobre los efectos de la televisión”, Universidad de Pompeu Fabra y Universidad de Barcelona, </w:t>
      </w:r>
      <w:r>
        <w:rPr>
          <w:rFonts w:ascii="Calibri" w:hAnsi="Calibri"/>
          <w:i/>
          <w:sz w:val="18"/>
        </w:rPr>
        <w:t>Comunicación y cultura</w:t>
      </w:r>
      <w:r>
        <w:rPr>
          <w:rFonts w:ascii="Calibri" w:hAnsi="Calibri"/>
          <w:sz w:val="18"/>
        </w:rPr>
        <w:t>, pp. 25-42, [En línea] consulta 22 de marzo de 2010, disponible en: dialnet.unirioja.es/descarga/articulo/2901223.pdf. p. 31</w:t>
      </w:r>
    </w:p>
    <w:p>
      <w:pPr>
        <w:spacing w:line="220" w:lineRule="exact" w:before="0"/>
        <w:ind w:left="264" w:right="0" w:firstLine="0"/>
        <w:jc w:val="both"/>
        <w:rPr>
          <w:rFonts w:ascii="Calibri" w:hAnsi="Calibri"/>
          <w:sz w:val="18"/>
        </w:rPr>
      </w:pPr>
      <w:r>
        <w:rPr>
          <w:rFonts w:ascii="Calibri" w:hAnsi="Calibri"/>
          <w:position w:val="9"/>
          <w:sz w:val="12"/>
        </w:rPr>
        <w:t>280 </w:t>
      </w:r>
      <w:r>
        <w:rPr>
          <w:rFonts w:ascii="Calibri" w:hAnsi="Calibri"/>
          <w:sz w:val="18"/>
        </w:rPr>
        <w:t>Véase, el estudio hecho por Ferres y Roca, Óp. Cit., p. 32</w:t>
      </w:r>
    </w:p>
    <w:p>
      <w:pPr>
        <w:spacing w:after="0" w:line="220"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791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68" w:lineRule="exact" w:before="64"/>
        <w:ind w:left="1393" w:right="504" w:firstLine="0"/>
        <w:jc w:val="left"/>
        <w:rPr>
          <w:sz w:val="16"/>
        </w:rPr>
      </w:pPr>
      <w:r>
        <w:rPr>
          <w:sz w:val="22"/>
        </w:rPr>
        <w:t>independientes o financiados en parte por quien divulga </w:t>
      </w:r>
      <w:r>
        <w:rPr>
          <w:spacing w:val="-3"/>
          <w:sz w:val="22"/>
        </w:rPr>
        <w:t>la </w:t>
      </w:r>
      <w:r>
        <w:rPr>
          <w:sz w:val="22"/>
        </w:rPr>
        <w:t>noticia, o con  periodistas sin contrato fijo.</w:t>
      </w:r>
      <w:r>
        <w:rPr>
          <w:spacing w:val="-13"/>
          <w:sz w:val="22"/>
        </w:rPr>
        <w:t> </w:t>
      </w:r>
      <w:r>
        <w:rPr>
          <w:position w:val="11"/>
          <w:sz w:val="16"/>
        </w:rPr>
        <w:t>281</w:t>
      </w:r>
    </w:p>
    <w:p>
      <w:pPr>
        <w:pStyle w:val="BodyText"/>
        <w:spacing w:before="3"/>
        <w:rPr>
          <w:sz w:val="36"/>
        </w:rPr>
      </w:pPr>
    </w:p>
    <w:p>
      <w:pPr>
        <w:pStyle w:val="BodyText"/>
        <w:spacing w:line="357" w:lineRule="auto"/>
        <w:ind w:left="684" w:right="128" w:firstLine="336"/>
        <w:jc w:val="both"/>
      </w:pPr>
      <w:r>
        <w:rPr/>
        <w:t>De esa manera el sistema busca los medios para ser más eficiente y garantizar el control de las conciencias.</w:t>
      </w:r>
    </w:p>
    <w:p>
      <w:pPr>
        <w:pStyle w:val="BodyText"/>
        <w:spacing w:line="360" w:lineRule="auto" w:before="8"/>
        <w:ind w:left="684" w:right="118" w:firstLine="336"/>
        <w:jc w:val="both"/>
      </w:pPr>
      <w:r>
        <w:rPr/>
        <w:t>Además, según este autor, muchas de estas palabras suelen atraer otros elementos en cadena formando campos semánticos, pleonasmos o como él les llama </w:t>
      </w:r>
      <w:r>
        <w:rPr>
          <w:i/>
        </w:rPr>
        <w:t>lexías</w:t>
      </w:r>
      <w:r>
        <w:rPr/>
        <w:t>: adhesión inquebrantable, inasequible al desaliento (incorrecto, </w:t>
      </w:r>
      <w:r>
        <w:rPr>
          <w:spacing w:val="-3"/>
        </w:rPr>
        <w:t>ya  </w:t>
      </w:r>
      <w:r>
        <w:rPr/>
        <w:t>que inasequible significa inalcanzable, inconseguible), deber insoslayable, turbios manejos, legítimas aspiraciones, absolutamente imprescindible; </w:t>
      </w:r>
      <w:r>
        <w:rPr>
          <w:i/>
        </w:rPr>
        <w:t>lexías </w:t>
      </w:r>
      <w:r>
        <w:rPr/>
        <w:t>redundantes, como totalmente denigrable, todas ellas esgrimidas para despertar la pasión, la emoción, el sentimiento dirigido hacia un objetivo del</w:t>
      </w:r>
      <w:r>
        <w:rPr>
          <w:spacing w:val="-43"/>
        </w:rPr>
        <w:t> </w:t>
      </w:r>
      <w:r>
        <w:rPr/>
        <w:t>sistema.</w:t>
      </w:r>
    </w:p>
    <w:p>
      <w:pPr>
        <w:pStyle w:val="BodyText"/>
        <w:spacing w:line="360" w:lineRule="auto" w:before="2"/>
        <w:ind w:left="684" w:right="116" w:firstLine="336"/>
        <w:jc w:val="both"/>
      </w:pPr>
      <w:r>
        <w:rPr/>
        <w:t>Si bien este fenómeno se endurece a partir de la segunda mitad del siglo pasado, en la actualidad con los adelantos técnicos en cuestión de medios de comunicación, la metáfora de la reproducción social, tomada de la biología, es </w:t>
      </w:r>
      <w:r>
        <w:rPr>
          <w:spacing w:val="-2"/>
        </w:rPr>
        <w:t>más </w:t>
      </w:r>
      <w:r>
        <w:rPr/>
        <w:t>factible, los sistemas económicos, en este caso el capitalismo, contienen una dinámica interna -que podemos denominar leyes de desarrollo-, mediante las cuales no sólo se mantienen estructurados en el tiempo y en el espacio, conservando los elementos que le dan identidad, sino que tienden a perpetuar sus condiciones de existencia, mediante la constante producción y reproducción de sus componentes</w:t>
      </w:r>
      <w:r>
        <w:rPr>
          <w:spacing w:val="-15"/>
        </w:rPr>
        <w:t> </w:t>
      </w:r>
      <w:r>
        <w:rPr/>
        <w:t>básicos.</w:t>
      </w:r>
    </w:p>
    <w:p>
      <w:pPr>
        <w:pStyle w:val="BodyText"/>
        <w:spacing w:line="360" w:lineRule="auto" w:before="6"/>
        <w:ind w:left="684" w:right="113" w:firstLine="336"/>
        <w:jc w:val="both"/>
      </w:pPr>
      <w:r>
        <w:rPr/>
        <w:t>Pierre Bourdieu y Jean Claude Passeron han tomado la noción de reproducción como el concepto clave para articular una teoría del sistema de enseñanza en un país capitalista como Francia, situación que se hace manifiesta en Latinoamérica de manera predominante. Así desde la televisión se educa, los medios se convierten en los medios idóneos para limitar la libertad del individuo y canalizarlo hacia los objetivos del sistema, lo básico es la explotación </w:t>
      </w:r>
      <w:r>
        <w:rPr>
          <w:spacing w:val="-3"/>
        </w:rPr>
        <w:t>ya </w:t>
      </w:r>
      <w:r>
        <w:rPr/>
        <w:t>sea de conciencias  o material de los grupos</w:t>
      </w:r>
      <w:r>
        <w:rPr>
          <w:spacing w:val="-21"/>
        </w:rPr>
        <w:t> </w:t>
      </w:r>
      <w:r>
        <w:rPr/>
        <w:t>sociales.</w:t>
      </w:r>
    </w:p>
    <w:p>
      <w:pPr>
        <w:pStyle w:val="BodyText"/>
        <w:spacing w:line="357" w:lineRule="auto" w:before="6"/>
        <w:ind w:left="684" w:right="123" w:firstLine="336"/>
        <w:jc w:val="both"/>
      </w:pPr>
      <w:r>
        <w:rPr/>
        <w:t>Para sustentar dicho proceso de explotación social es fundamental desarrollar desde el aparato del Estado dos procesos básicos: el proceso de coerción   social,</w:t>
      </w:r>
    </w:p>
    <w:p>
      <w:pPr>
        <w:pStyle w:val="BodyText"/>
        <w:spacing w:before="10"/>
        <w:rPr>
          <w:sz w:val="15"/>
        </w:rPr>
      </w:pPr>
      <w:r>
        <w:rPr/>
        <w:pict>
          <v:line style="position:absolute;mso-position-horizontal-relative:page;mso-position-vertical-relative:paragraph;z-index:7888;mso-wrap-distance-left:0;mso-wrap-distance-right:0" from="99.224998pt,11.392951pt" to="243.274998pt,11.392951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281 </w:t>
      </w:r>
      <w:r>
        <w:rPr>
          <w:rFonts w:ascii="Calibri" w:hAnsi="Calibri"/>
          <w:sz w:val="18"/>
        </w:rPr>
        <w:t>CHOMSKY, Noam, </w:t>
      </w:r>
      <w:r>
        <w:rPr>
          <w:rFonts w:ascii="Calibri" w:hAnsi="Calibri"/>
          <w:i/>
          <w:sz w:val="18"/>
        </w:rPr>
        <w:t>El control de los medios de comunicación</w:t>
      </w:r>
      <w:r>
        <w:rPr>
          <w:rFonts w:ascii="Calibri" w:hAnsi="Calibri"/>
          <w:sz w:val="18"/>
        </w:rPr>
        <w:t>, [en línea] consultado 22/11/2008, disponible en: </w:t>
      </w:r>
      <w:hyperlink r:id="rId111">
        <w:r>
          <w:rPr>
            <w:rFonts w:ascii="Calibri" w:hAnsi="Calibri"/>
            <w:color w:val="0000FF"/>
            <w:sz w:val="18"/>
            <w:u w:val="single" w:color="0000FF"/>
          </w:rPr>
          <w:t>http://www.luisemiliorecabarren.cl/files/Chomsky,%20Noam%20-</w:t>
        </w:r>
      </w:hyperlink>
    </w:p>
    <w:p>
      <w:pPr>
        <w:spacing w:before="0"/>
        <w:ind w:left="684" w:right="114" w:firstLine="0"/>
        <w:jc w:val="left"/>
        <w:rPr>
          <w:rFonts w:ascii="Calibri" w:hAnsi="Calibri"/>
          <w:sz w:val="18"/>
        </w:rPr>
      </w:pPr>
      <w:hyperlink r:id="rId111">
        <w:r>
          <w:rPr>
            <w:rFonts w:ascii="Calibri" w:hAnsi="Calibri"/>
            <w:color w:val="0000FF"/>
            <w:sz w:val="18"/>
            <w:u w:val="single" w:color="0000FF"/>
          </w:rPr>
          <w:t>%20El%20control%20de%20los%20medios%20de%20comunicación.pdf</w:t>
        </w:r>
      </w:hyperlink>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796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8"/>
        <w:jc w:val="both"/>
      </w:pPr>
      <w:r>
        <w:rPr/>
        <w:t>mediante el cual el sistema impone sus "modelos de desarrollo" a las masas y grupos subordinados, y el proceso de consenso social, mediante el cual el sistema trata de obtener consenso de los dominados y estructurar la hegemonía social, a partir de ciertas convicciones simbólicas. Es decir, mediante el proceso de consenso social, que se articula como un proceso de ilusiones ideológicas, en este sentido el Estado espiritualiza su dominación material. Para esto los medios se han autentificado como los instrumentos adecuados para inducir, indoctrinar, para controlar, clasificar, además, como una necesidad del</w:t>
      </w:r>
      <w:r>
        <w:rPr>
          <w:spacing w:val="-30"/>
        </w:rPr>
        <w:t> </w:t>
      </w:r>
      <w:r>
        <w:rPr/>
        <w:t>Estado</w:t>
      </w:r>
    </w:p>
    <w:p>
      <w:pPr>
        <w:pStyle w:val="BodyText"/>
      </w:pPr>
    </w:p>
    <w:p>
      <w:pPr>
        <w:spacing w:line="237" w:lineRule="auto" w:before="143"/>
        <w:ind w:left="973" w:right="215" w:firstLine="0"/>
        <w:jc w:val="both"/>
        <w:rPr>
          <w:sz w:val="14"/>
        </w:rPr>
      </w:pPr>
      <w:r>
        <w:rPr>
          <w:sz w:val="22"/>
        </w:rPr>
        <w:t>[…] para domesticar </w:t>
      </w:r>
      <w:r>
        <w:rPr>
          <w:spacing w:val="2"/>
          <w:sz w:val="22"/>
        </w:rPr>
        <w:t>al </w:t>
      </w:r>
      <w:r>
        <w:rPr>
          <w:sz w:val="22"/>
        </w:rPr>
        <w:t>rebaño perplejo; algo que viene a ser </w:t>
      </w:r>
      <w:r>
        <w:rPr>
          <w:spacing w:val="-3"/>
          <w:sz w:val="22"/>
        </w:rPr>
        <w:t>la </w:t>
      </w:r>
      <w:r>
        <w:rPr>
          <w:sz w:val="22"/>
        </w:rPr>
        <w:t>nueva revolución en el arte de </w:t>
      </w:r>
      <w:r>
        <w:rPr>
          <w:spacing w:val="-3"/>
          <w:sz w:val="22"/>
        </w:rPr>
        <w:t>la </w:t>
      </w:r>
      <w:r>
        <w:rPr>
          <w:sz w:val="22"/>
        </w:rPr>
        <w:t>democracia: </w:t>
      </w:r>
      <w:r>
        <w:rPr>
          <w:spacing w:val="-3"/>
          <w:sz w:val="22"/>
        </w:rPr>
        <w:t>la </w:t>
      </w:r>
      <w:r>
        <w:rPr>
          <w:sz w:val="22"/>
        </w:rPr>
        <w:t>fabricación del consenso. Los medios de comunicación, las escuelas y </w:t>
      </w:r>
      <w:r>
        <w:rPr>
          <w:spacing w:val="-3"/>
          <w:sz w:val="22"/>
        </w:rPr>
        <w:t>la </w:t>
      </w:r>
      <w:r>
        <w:rPr>
          <w:sz w:val="22"/>
        </w:rPr>
        <w:t>cultura popular tienen que estar divididos. La clase política y los responsables de tomar decisiones tienen que brindar algún sentido tolerable de realidad, aunque también tengan que inculcar las opiniones adecuadas. Aquí </w:t>
      </w:r>
      <w:r>
        <w:rPr>
          <w:spacing w:val="-3"/>
          <w:sz w:val="22"/>
        </w:rPr>
        <w:t>la </w:t>
      </w:r>
      <w:r>
        <w:rPr>
          <w:sz w:val="22"/>
        </w:rPr>
        <w:t>premisa no declarada de forma explícita —e incluso los hombres responsables tienen que darse cuenta de esto ellos solos— tiene que ver con </w:t>
      </w:r>
      <w:r>
        <w:rPr>
          <w:spacing w:val="-3"/>
          <w:sz w:val="22"/>
        </w:rPr>
        <w:t>la </w:t>
      </w:r>
      <w:r>
        <w:rPr>
          <w:sz w:val="22"/>
        </w:rPr>
        <w:t>cuestión de cómo se llega a obtener </w:t>
      </w:r>
      <w:r>
        <w:rPr>
          <w:spacing w:val="-3"/>
          <w:sz w:val="22"/>
        </w:rPr>
        <w:t>la </w:t>
      </w:r>
      <w:r>
        <w:rPr>
          <w:sz w:val="22"/>
        </w:rPr>
        <w:t>autoridad para tomar decisiones.</w:t>
      </w:r>
      <w:r>
        <w:rPr>
          <w:spacing w:val="-12"/>
          <w:sz w:val="22"/>
        </w:rPr>
        <w:t> </w:t>
      </w:r>
      <w:r>
        <w:rPr>
          <w:spacing w:val="-2"/>
          <w:position w:val="10"/>
          <w:sz w:val="14"/>
        </w:rPr>
        <w:t>282</w:t>
      </w:r>
    </w:p>
    <w:p>
      <w:pPr>
        <w:pStyle w:val="BodyText"/>
        <w:spacing w:before="2"/>
        <w:rPr>
          <w:sz w:val="36"/>
        </w:rPr>
      </w:pPr>
    </w:p>
    <w:p>
      <w:pPr>
        <w:pStyle w:val="BodyText"/>
        <w:spacing w:line="350" w:lineRule="auto"/>
        <w:ind w:left="264" w:right="217" w:firstLine="336"/>
        <w:jc w:val="both"/>
      </w:pPr>
      <w:r>
        <w:rPr/>
        <w:t>Los estados para preservar su poder, y conservar sus privilegios utilizan los medios para transmitir, afirmar e imponer la ideología necesaria a sus intereses; evitan ejercer la violencia física pero si utilizan en este caso la " violencia simbólica," </w:t>
      </w:r>
      <w:r>
        <w:rPr>
          <w:position w:val="11"/>
          <w:sz w:val="16"/>
        </w:rPr>
        <w:t>283</w:t>
      </w:r>
      <w:r>
        <w:rPr/>
        <w:t>que permite a la clase dominante,  y también por  lo  mismo,   </w:t>
      </w:r>
      <w:r>
        <w:rPr>
          <w:spacing w:val="65"/>
        </w:rPr>
        <w:t> </w:t>
      </w:r>
      <w:r>
        <w:rPr/>
        <w:t>clase</w:t>
      </w:r>
    </w:p>
    <w:p>
      <w:pPr>
        <w:pStyle w:val="BodyText"/>
        <w:spacing w:line="352" w:lineRule="auto"/>
        <w:ind w:left="264" w:right="213"/>
        <w:jc w:val="both"/>
        <w:rPr>
          <w:sz w:val="16"/>
        </w:rPr>
      </w:pPr>
      <w:r>
        <w:rPr/>
        <w:t>"privilegiada", como dijera Chomsky, mantener a “la plebe” a raya; que se ha logrado por medio de la centralización de los grandes aparatos de poder, como los consorcios en materia de electrónica, cibernética y telecomunicación. En un artículo de 1949, Albert Einstein comenta acerca del papel de los aparatos de poder:</w:t>
      </w:r>
      <w:r>
        <w:rPr>
          <w:position w:val="11"/>
          <w:sz w:val="16"/>
        </w:rPr>
        <w:t>284</w:t>
      </w:r>
    </w:p>
    <w:p>
      <w:pPr>
        <w:pStyle w:val="BodyText"/>
        <w:spacing w:before="4"/>
        <w:rPr>
          <w:sz w:val="35"/>
        </w:rPr>
      </w:pPr>
    </w:p>
    <w:p>
      <w:pPr>
        <w:spacing w:before="0"/>
        <w:ind w:left="973" w:right="220" w:firstLine="0"/>
        <w:jc w:val="both"/>
        <w:rPr>
          <w:sz w:val="22"/>
        </w:rPr>
      </w:pPr>
      <w:r>
        <w:rPr>
          <w:sz w:val="22"/>
        </w:rPr>
        <w:t>El capital privado tiende a concentrarse en pocas manos, en parte debido a la competencia entre los capitalistas, y en parte porque el desarrollo tecnológico y  el</w:t>
      </w:r>
    </w:p>
    <w:p>
      <w:pPr>
        <w:pStyle w:val="BodyText"/>
        <w:spacing w:before="3"/>
        <w:rPr>
          <w:sz w:val="19"/>
        </w:rPr>
      </w:pPr>
      <w:r>
        <w:rPr/>
        <w:pict>
          <v:line style="position:absolute;mso-position-horizontal-relative:page;mso-position-vertical-relative:paragraph;z-index:7936;mso-wrap-distance-left:0;mso-wrap-distance-right:0" from="99.224998pt,13.368919pt" to="243.274998pt,13.368919pt" stroked="true" strokeweight=".60004pt" strokecolor="#000000">
            <w10:wrap type="topAndBottom"/>
          </v:line>
        </w:pict>
      </w:r>
    </w:p>
    <w:p>
      <w:pPr>
        <w:spacing w:line="254" w:lineRule="auto" w:before="49"/>
        <w:ind w:left="264" w:right="220" w:firstLine="0"/>
        <w:jc w:val="both"/>
        <w:rPr>
          <w:rFonts w:ascii="Calibri" w:hAnsi="Calibri"/>
          <w:sz w:val="18"/>
        </w:rPr>
      </w:pPr>
      <w:r>
        <w:rPr>
          <w:rFonts w:ascii="Calibri" w:hAnsi="Calibri"/>
          <w:position w:val="11"/>
          <w:sz w:val="16"/>
        </w:rPr>
        <w:t>282 </w:t>
      </w:r>
      <w:r>
        <w:rPr>
          <w:rFonts w:ascii="Calibri" w:hAnsi="Calibri"/>
          <w:sz w:val="18"/>
        </w:rPr>
        <w:t>TORRES N, Carlos A., “Ideología, Educación Y Reproducción Social”. </w:t>
      </w:r>
      <w:r>
        <w:rPr>
          <w:rFonts w:ascii="Calibri" w:hAnsi="Calibri"/>
          <w:i/>
          <w:sz w:val="18"/>
        </w:rPr>
        <w:t>Universidad Pedagógica Nacional</w:t>
      </w:r>
      <w:r>
        <w:rPr>
          <w:rFonts w:ascii="Calibri" w:hAnsi="Calibri"/>
          <w:sz w:val="18"/>
        </w:rPr>
        <w:t>. [en línea] consulta 24/11/2008 Disponible en: </w:t>
      </w:r>
      <w:hyperlink r:id="rId112">
        <w:r>
          <w:rPr>
            <w:rFonts w:ascii="Calibri" w:hAnsi="Calibri"/>
            <w:color w:val="0000FF"/>
            <w:sz w:val="18"/>
            <w:u w:val="single" w:color="0000FF"/>
          </w:rPr>
          <w:t>http://www.anuies.mx/servicios/p_anuies/publicaciones/revsup/res032/txt3.htm</w:t>
        </w:r>
        <w:r>
          <w:rPr>
            <w:rFonts w:ascii="Calibri" w:hAnsi="Calibri"/>
            <w:sz w:val="18"/>
          </w:rPr>
          <w:t>.</w:t>
        </w:r>
      </w:hyperlink>
    </w:p>
    <w:p>
      <w:pPr>
        <w:spacing w:line="207" w:lineRule="exact" w:before="0"/>
        <w:ind w:left="264" w:right="0" w:firstLine="0"/>
        <w:jc w:val="both"/>
        <w:rPr>
          <w:rFonts w:ascii="Calibri" w:hAnsi="Calibri"/>
          <w:i/>
          <w:sz w:val="18"/>
        </w:rPr>
      </w:pPr>
      <w:r>
        <w:rPr>
          <w:position w:val="9"/>
          <w:sz w:val="12"/>
        </w:rPr>
        <w:t>283   </w:t>
      </w:r>
      <w:r>
        <w:rPr>
          <w:rFonts w:ascii="Calibri" w:hAnsi="Calibri"/>
          <w:sz w:val="18"/>
        </w:rPr>
        <w:t>Véase:  CALDERONE,  Mónica,  “Sobre  Violencia  Simbólica  en  Bourdieu”,  ártículo  publicado  en  “</w:t>
      </w:r>
      <w:r>
        <w:rPr>
          <w:rFonts w:ascii="Calibri" w:hAnsi="Calibri"/>
          <w:i/>
          <w:sz w:val="18"/>
        </w:rPr>
        <w:t>La  Trama  de  la</w:t>
      </w:r>
    </w:p>
    <w:p>
      <w:pPr>
        <w:tabs>
          <w:tab w:pos="1634" w:val="left" w:leader="none"/>
          <w:tab w:pos="2844" w:val="left" w:leader="none"/>
          <w:tab w:pos="3997" w:val="left" w:leader="none"/>
        </w:tabs>
        <w:spacing w:before="0"/>
        <w:ind w:left="264" w:right="211" w:firstLine="0"/>
        <w:jc w:val="both"/>
        <w:rPr>
          <w:rFonts w:ascii="Calibri" w:hAnsi="Calibri"/>
          <w:sz w:val="18"/>
        </w:rPr>
      </w:pPr>
      <w:r>
        <w:rPr>
          <w:rFonts w:ascii="Calibri" w:hAnsi="Calibri"/>
          <w:i/>
          <w:sz w:val="18"/>
        </w:rPr>
        <w:t>Comunicación” </w:t>
      </w:r>
      <w:r>
        <w:rPr>
          <w:rFonts w:ascii="Calibri" w:hAnsi="Calibri"/>
          <w:sz w:val="18"/>
        </w:rPr>
        <w:t>Vol. 9, Anuario del Departamento de Ciencias de la Comunicación. Facultad de Ciencia Política y Relaciones Internacionales, Universidad Nacional de Rosario. Rosario. Argentina. UNR Editora, </w:t>
      </w:r>
      <w:r>
        <w:rPr>
          <w:rFonts w:ascii="Calibri" w:hAnsi="Calibri"/>
          <w:spacing w:val="2"/>
          <w:sz w:val="18"/>
        </w:rPr>
        <w:t>2004. </w:t>
      </w:r>
      <w:r>
        <w:rPr>
          <w:rFonts w:ascii="Calibri" w:hAnsi="Calibri"/>
          <w:sz w:val="18"/>
        </w:rPr>
        <w:t>[en línea] consulta 28/10/2012,</w:t>
        <w:tab/>
        <w:t>disponible</w:t>
        <w:tab/>
        <w:t>en:</w:t>
        <w:tab/>
      </w:r>
      <w:hyperlink r:id="rId113">
        <w:r>
          <w:rPr>
            <w:rFonts w:ascii="Calibri" w:hAnsi="Calibri"/>
            <w:color w:val="0000FF"/>
            <w:sz w:val="18"/>
            <w:u w:val="single" w:color="0000FF"/>
          </w:rPr>
          <w:t>http://rephip.unr.edu.ar/bitstream/handle/2133/487/Calderone%20-</w:t>
        </w:r>
      </w:hyperlink>
    </w:p>
    <w:p>
      <w:pPr>
        <w:spacing w:line="203" w:lineRule="exact" w:before="0"/>
        <w:ind w:left="264" w:right="0" w:firstLine="0"/>
        <w:jc w:val="both"/>
        <w:rPr>
          <w:rFonts w:ascii="Calibri"/>
          <w:sz w:val="18"/>
        </w:rPr>
      </w:pPr>
      <w:hyperlink r:id="rId113">
        <w:r>
          <w:rPr>
            <w:rFonts w:ascii="Calibri"/>
            <w:color w:val="0000FF"/>
            <w:sz w:val="18"/>
            <w:u w:val="single" w:color="0000FF"/>
          </w:rPr>
          <w:t>%20Violencia%20Simb%C3%B3lica%20en%20Bourdieu_A1a.pdf?sequence=1</w:t>
        </w:r>
        <w:r>
          <w:rPr>
            <w:rFonts w:ascii="Calibri"/>
            <w:sz w:val="18"/>
          </w:rPr>
          <w:t>.</w:t>
        </w:r>
      </w:hyperlink>
    </w:p>
    <w:p>
      <w:pPr>
        <w:spacing w:line="236" w:lineRule="exact" w:before="0"/>
        <w:ind w:left="264" w:right="0" w:firstLine="0"/>
        <w:jc w:val="both"/>
        <w:rPr>
          <w:rFonts w:ascii="Calibri" w:hAnsi="Calibri"/>
          <w:sz w:val="18"/>
        </w:rPr>
      </w:pPr>
      <w:r>
        <w:rPr>
          <w:rFonts w:ascii="Calibri" w:hAnsi="Calibri"/>
          <w:position w:val="9"/>
          <w:sz w:val="12"/>
        </w:rPr>
        <w:t>284 </w:t>
      </w:r>
      <w:r>
        <w:rPr>
          <w:rFonts w:ascii="Calibri" w:hAnsi="Calibri"/>
          <w:sz w:val="18"/>
        </w:rPr>
        <w:t>WIKIPEDIA, [EN LÍNEA], consulta 23/09/2009, disponible en: </w:t>
      </w:r>
      <w:hyperlink r:id="rId114">
        <w:r>
          <w:rPr>
            <w:rFonts w:ascii="Calibri" w:hAnsi="Calibri"/>
            <w:color w:val="0000FF"/>
            <w:sz w:val="18"/>
            <w:u w:val="single" w:color="0000FF"/>
          </w:rPr>
          <w:t>http://es.wikipedia.org/wiki/indoctrinacionl</w:t>
        </w:r>
        <w:r>
          <w:rPr>
            <w:rFonts w:ascii="Calibri" w:hAnsi="Calibri"/>
            <w:sz w:val="18"/>
          </w:rPr>
          <w:t>.</w:t>
        </w:r>
      </w:hyperlink>
    </w:p>
    <w:p>
      <w:pPr>
        <w:spacing w:after="0" w:line="236"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800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40" w:lineRule="auto" w:before="72"/>
        <w:ind w:left="1393" w:right="114" w:firstLine="0"/>
        <w:jc w:val="both"/>
        <w:rPr>
          <w:i/>
          <w:sz w:val="22"/>
        </w:rPr>
      </w:pPr>
      <w:r>
        <w:rPr>
          <w:sz w:val="22"/>
        </w:rPr>
        <w:t>aumento de la división del trabajo animan la formación de unidades de producción más grandes a expensas de las más pequeñas. El resultado de este proceso es una oligarquía del capital privado cuyo enorme poder no se puede controlar con eficacia incluso en una sociedad organizada políticamente de forma democrática. Esto es así porque los miembros de los cuerpos legislativos son seleccionados por los partidos políticos, financiados en gran parte o influidos de otra manera por los capitalistas privados quienes, para todos los propósitos prácticos, separan al electorado de la legislatura. La consecuencia es que los representantes del pueblo de hecho no protegen suficientemente los intereses de los grupos no privilegiados de la población. Albert Einstein, </w:t>
      </w:r>
      <w:r>
        <w:rPr>
          <w:i/>
          <w:sz w:val="22"/>
        </w:rPr>
        <w:t>Why Socialism?</w:t>
      </w:r>
    </w:p>
    <w:p>
      <w:pPr>
        <w:pStyle w:val="BodyText"/>
        <w:rPr>
          <w:i/>
          <w:sz w:val="22"/>
        </w:rPr>
      </w:pPr>
    </w:p>
    <w:p>
      <w:pPr>
        <w:pStyle w:val="BodyText"/>
        <w:spacing w:line="360" w:lineRule="auto" w:before="167"/>
        <w:ind w:left="684" w:right="114" w:firstLine="336"/>
        <w:jc w:val="both"/>
      </w:pPr>
      <w:r>
        <w:rPr/>
        <w:t>Desde esta perspectiva es posible deducir que este aparato de poder se valdrá de todos los medios a su alcance para mantenerse, y continuar con el estado de cosas más conveniente a sus intereses. Así, hace uso de ese instrumento tecnológico, casi mágico, como es la televisión. La ventana del mundo para las grandes masas, que incide en el pensamiento de los individuos llevándoles a la construcción de sueños alejados de su realidad.</w:t>
      </w:r>
    </w:p>
    <w:p>
      <w:pPr>
        <w:pStyle w:val="BodyText"/>
        <w:spacing w:line="355" w:lineRule="auto" w:before="6"/>
        <w:ind w:left="684" w:right="117" w:firstLine="336"/>
        <w:jc w:val="both"/>
      </w:pPr>
      <w:r>
        <w:rPr/>
        <w:t>Si bien por sus facultades la televisión puede ser de gran impacto en la formación de las personas, su condición de instrumento del capital la torna en elemento manipulador y coercitivo. En la actualidad, dice Enrique Dussel,</w:t>
      </w:r>
      <w:r>
        <w:rPr>
          <w:position w:val="11"/>
          <w:sz w:val="16"/>
        </w:rPr>
        <w:t>285 </w:t>
      </w:r>
      <w:r>
        <w:rPr/>
        <w:t>los medios de comunicación (televisión, radio, prensa) en manos de capitales privados o de trasnacionales de la comunicación, para quienes el objetivo de los medios es sólo la diversión y no la educación, porque el contenido de la comunicación no es considerado un medio de cultura, sino una mercancía que </w:t>
      </w:r>
      <w:r>
        <w:rPr>
          <w:spacing w:val="50"/>
        </w:rPr>
        <w:t> </w:t>
      </w:r>
      <w:r>
        <w:rPr/>
        <w:t>se</w:t>
      </w:r>
    </w:p>
    <w:p>
      <w:pPr>
        <w:pStyle w:val="BodyText"/>
        <w:spacing w:line="355" w:lineRule="auto" w:before="7"/>
        <w:ind w:left="684" w:right="112"/>
        <w:jc w:val="both"/>
        <w:rPr>
          <w:sz w:val="16"/>
        </w:rPr>
      </w:pPr>
      <w:r>
        <w:rPr/>
        <w:t>vende al mejor postor; premisa que se comprueba en las cadenas nacionales de la gran televisión que </w:t>
      </w:r>
      <w:r>
        <w:rPr>
          <w:i/>
        </w:rPr>
        <w:t>vende </w:t>
      </w:r>
      <w:r>
        <w:rPr/>
        <w:t>tiempo de programas en gran medida superficiales, que son pagados como propaganda por los capitales en competencia, para informar o formar la </w:t>
      </w:r>
      <w:r>
        <w:rPr>
          <w:i/>
        </w:rPr>
        <w:t>opinión </w:t>
      </w:r>
      <w:r>
        <w:rPr/>
        <w:t>de los compradores en el amplio mercado que abren dichos medios de comunicación. “De manera que éstos han dejado de ser </w:t>
      </w:r>
      <w:r>
        <w:rPr>
          <w:i/>
        </w:rPr>
        <w:t>expresión </w:t>
      </w:r>
      <w:r>
        <w:rPr/>
        <w:t>de la "opinión pública" (y mucho menos </w:t>
      </w:r>
      <w:r>
        <w:rPr>
          <w:i/>
        </w:rPr>
        <w:t>política), </w:t>
      </w:r>
      <w:r>
        <w:rPr/>
        <w:t>para transformarse en </w:t>
      </w:r>
      <w:r>
        <w:rPr>
          <w:i/>
        </w:rPr>
        <w:t>formadores </w:t>
      </w:r>
      <w:r>
        <w:rPr/>
        <w:t>o </w:t>
      </w:r>
      <w:r>
        <w:rPr>
          <w:i/>
        </w:rPr>
        <w:t>conformadores </w:t>
      </w:r>
      <w:r>
        <w:rPr/>
        <w:t>de la "opinión pública", pero no como una comunidad política, sino como una pluralidad de compradores, es decir, mercado”. </w:t>
      </w:r>
      <w:r>
        <w:rPr>
          <w:position w:val="11"/>
          <w:sz w:val="16"/>
        </w:rPr>
        <w:t>286</w:t>
      </w:r>
    </w:p>
    <w:p>
      <w:pPr>
        <w:pStyle w:val="BodyText"/>
        <w:rPr>
          <w:sz w:val="20"/>
        </w:rPr>
      </w:pPr>
    </w:p>
    <w:p>
      <w:pPr>
        <w:pStyle w:val="BodyText"/>
        <w:spacing w:before="2"/>
        <w:rPr>
          <w:sz w:val="17"/>
        </w:rPr>
      </w:pPr>
      <w:r>
        <w:rPr/>
        <w:pict>
          <v:line style="position:absolute;mso-position-horizontal-relative:page;mso-position-vertical-relative:paragraph;z-index:7984;mso-wrap-distance-left:0;mso-wrap-distance-right:0" from="99.224998pt,12.131115pt" to="243.274998pt,12.131115pt" stroked="true" strokeweight=".60004pt" strokecolor="#000000">
            <w10:wrap type="topAndBottom"/>
          </v:line>
        </w:pict>
      </w:r>
    </w:p>
    <w:p>
      <w:pPr>
        <w:tabs>
          <w:tab w:pos="2153" w:val="left" w:leader="none"/>
          <w:tab w:pos="3241" w:val="left" w:leader="none"/>
          <w:tab w:pos="4496" w:val="left" w:leader="none"/>
          <w:tab w:pos="5968" w:val="left" w:leader="none"/>
          <w:tab w:pos="7682" w:val="left" w:leader="none"/>
          <w:tab w:pos="9286" w:val="left" w:leader="none"/>
        </w:tabs>
        <w:spacing w:before="46"/>
        <w:ind w:left="684" w:right="119" w:firstLine="0"/>
        <w:jc w:val="both"/>
        <w:rPr>
          <w:rFonts w:ascii="Calibri" w:hAnsi="Calibri"/>
          <w:sz w:val="18"/>
        </w:rPr>
      </w:pPr>
      <w:r>
        <w:rPr>
          <w:rFonts w:ascii="Calibri" w:hAnsi="Calibri"/>
          <w:position w:val="9"/>
          <w:sz w:val="12"/>
        </w:rPr>
        <w:t>285 </w:t>
      </w:r>
      <w:r>
        <w:rPr>
          <w:rFonts w:ascii="Calibri" w:hAnsi="Calibri"/>
          <w:sz w:val="18"/>
        </w:rPr>
        <w:t>Enrique Dussel, “Mediocracia y Hermenéutica. Democracia-Opinión. Poder”, </w:t>
      </w:r>
      <w:r>
        <w:rPr>
          <w:rFonts w:ascii="Calibri" w:hAnsi="Calibri"/>
          <w:i/>
          <w:sz w:val="18"/>
        </w:rPr>
        <w:t>La jornada </w:t>
      </w:r>
      <w:r>
        <w:rPr>
          <w:rFonts w:ascii="Calibri" w:hAnsi="Calibri"/>
          <w:sz w:val="18"/>
        </w:rPr>
        <w:t>03/03/2006, México, D. F. Artículo.</w:t>
        <w:tab/>
        <w:t>[en</w:t>
        <w:tab/>
        <w:t>línea]</w:t>
        <w:tab/>
        <w:t>consulta</w:t>
        <w:tab/>
        <w:t>15/06/2011</w:t>
        <w:tab/>
        <w:t>disponible</w:t>
        <w:tab/>
        <w:t>en: </w:t>
      </w:r>
      <w:hyperlink r:id="rId115">
        <w:r>
          <w:rPr>
            <w:rFonts w:ascii="Calibri" w:hAnsi="Calibri"/>
            <w:color w:val="0000FF"/>
            <w:sz w:val="18"/>
            <w:u w:val="single" w:color="0000FF"/>
          </w:rPr>
          <w:t>http://www.jornada.unam.mx/2006/03/30/index.php?section=opinion&amp;article=010a1pol</w:t>
        </w:r>
        <w:r>
          <w:rPr>
            <w:rFonts w:ascii="Calibri" w:hAnsi="Calibri"/>
            <w:sz w:val="18"/>
          </w:rPr>
          <w:t>.</w:t>
        </w:r>
      </w:hyperlink>
    </w:p>
    <w:p>
      <w:pPr>
        <w:spacing w:line="220" w:lineRule="exact" w:before="0"/>
        <w:ind w:left="684" w:right="0" w:firstLine="0"/>
        <w:jc w:val="both"/>
        <w:rPr>
          <w:rFonts w:ascii="Calibri" w:hAnsi="Calibri"/>
          <w:i/>
          <w:sz w:val="18"/>
        </w:rPr>
      </w:pPr>
      <w:r>
        <w:rPr>
          <w:rFonts w:ascii="Calibri" w:hAnsi="Calibri"/>
          <w:position w:val="9"/>
          <w:sz w:val="12"/>
        </w:rPr>
        <w:t>286 </w:t>
      </w:r>
      <w:r>
        <w:rPr>
          <w:rFonts w:ascii="Calibri" w:hAnsi="Calibri"/>
          <w:i/>
          <w:sz w:val="18"/>
        </w:rPr>
        <w:t>Ídem.</w:t>
      </w:r>
    </w:p>
    <w:p>
      <w:pPr>
        <w:spacing w:after="0" w:line="220" w:lineRule="exact"/>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805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5" w:firstLine="271"/>
        <w:jc w:val="both"/>
      </w:pPr>
      <w:r>
        <w:rPr/>
        <w:t>Conformar opinión, inducir conductas, la pregunta es ¿desde qué perspectiva los medios logran ese control? Porque cierto es que la naturaleza humana, bajo el instinto de sobrevivencia se desplaza en búsqueda de ejercer su libertad, pero también, la naturaleza humana además de cubrir las necesidades propias de su sobrevivencia busca la felicidad y la armonía, busca su trans-sobrevivencia, que responde a sus necesidades de libertad, de amor, de identidad,</w:t>
      </w:r>
      <w:r>
        <w:rPr>
          <w:spacing w:val="-35"/>
        </w:rPr>
        <w:t> </w:t>
      </w:r>
      <w:r>
        <w:rPr/>
        <w:t>etc.</w:t>
      </w:r>
    </w:p>
    <w:p>
      <w:pPr>
        <w:pStyle w:val="BodyText"/>
        <w:spacing w:line="350" w:lineRule="auto" w:before="6"/>
        <w:ind w:left="264" w:right="218" w:firstLine="336"/>
        <w:jc w:val="both"/>
      </w:pPr>
      <w:r>
        <w:rPr/>
        <w:t>Para Erich Fromm, la necesidad de ser social trasciende el instinto. “El anhelo de vivir “más allá de supervivencia”, es la creación del hombre a través de su historia, su alternativa frente a la desesperación y el fracaso.”</w:t>
      </w:r>
      <w:r>
        <w:rPr>
          <w:b/>
          <w:position w:val="11"/>
          <w:sz w:val="16"/>
        </w:rPr>
        <w:t>287 </w:t>
      </w:r>
      <w:r>
        <w:rPr/>
        <w:t>Si los medios han logrado  domesticar conciencias, sí los hombres han  aceptado  ese  proceso,  </w:t>
      </w:r>
      <w:r>
        <w:rPr>
          <w:spacing w:val="58"/>
        </w:rPr>
        <w:t> </w:t>
      </w:r>
      <w:r>
        <w:rPr/>
        <w:t>es</w:t>
      </w:r>
    </w:p>
    <w:p>
      <w:pPr>
        <w:pStyle w:val="BodyText"/>
        <w:spacing w:line="350" w:lineRule="auto" w:before="17"/>
        <w:ind w:left="264" w:right="217"/>
        <w:jc w:val="both"/>
      </w:pPr>
      <w:r>
        <w:rPr/>
        <w:t>bajo ciertas premisas de su misma naturaleza, por lo que es necesario revisarlas y buscar alternativas que abran la conciencia de la humanidad.</w:t>
      </w:r>
      <w:r>
        <w:rPr>
          <w:position w:val="11"/>
          <w:sz w:val="16"/>
        </w:rPr>
        <w:t>288 </w:t>
      </w:r>
      <w:r>
        <w:rPr/>
        <w:t>Para Habermas, es de vital importancia despertar en el sujeto la conciencia sobre lo que  es objetivo, lo que procede del ámbito social y lo que conforma el área subjetiva,</w:t>
      </w:r>
      <w:r>
        <w:rPr>
          <w:spacing w:val="-8"/>
        </w:rPr>
        <w:t> </w:t>
      </w:r>
      <w:r>
        <w:rPr/>
        <w:t>para</w:t>
      </w:r>
    </w:p>
    <w:p>
      <w:pPr>
        <w:pStyle w:val="BodyText"/>
        <w:spacing w:before="16"/>
        <w:ind w:left="264"/>
        <w:jc w:val="both"/>
      </w:pPr>
      <w:r>
        <w:rPr/>
        <w:t>dar orientación a su acción y proceder con mayor objetividad.</w:t>
      </w:r>
    </w:p>
    <w:p>
      <w:pPr>
        <w:pStyle w:val="BodyText"/>
      </w:pPr>
    </w:p>
    <w:p>
      <w:pPr>
        <w:pStyle w:val="BodyText"/>
        <w:spacing w:before="7"/>
        <w:rPr>
          <w:sz w:val="23"/>
        </w:rPr>
      </w:pPr>
    </w:p>
    <w:p>
      <w:pPr>
        <w:pStyle w:val="Heading3"/>
        <w:spacing w:before="0"/>
        <w:ind w:left="264"/>
        <w:jc w:val="both"/>
        <w:rPr>
          <w:rFonts w:ascii="Arial" w:hAnsi="Arial"/>
        </w:rPr>
      </w:pPr>
      <w:bookmarkStart w:name="_TOC_250015" w:id="9"/>
      <w:bookmarkEnd w:id="9"/>
      <w:r>
        <w:rPr>
          <w:rFonts w:ascii="Arial" w:hAnsi="Arial"/>
        </w:rPr>
        <w:t>6. Crítica a la cultura de masas</w:t>
      </w:r>
    </w:p>
    <w:p>
      <w:pPr>
        <w:pStyle w:val="BodyText"/>
        <w:rPr>
          <w:b/>
        </w:rPr>
      </w:pPr>
    </w:p>
    <w:p>
      <w:pPr>
        <w:pStyle w:val="BodyText"/>
        <w:spacing w:before="4"/>
        <w:rPr>
          <w:b/>
        </w:rPr>
      </w:pPr>
    </w:p>
    <w:p>
      <w:pPr>
        <w:pStyle w:val="BodyText"/>
        <w:spacing w:line="360" w:lineRule="auto"/>
        <w:ind w:left="264" w:right="219" w:firstLine="271"/>
        <w:jc w:val="both"/>
      </w:pPr>
      <w:r>
        <w:rPr/>
        <w:t>La masificación de la cultura es uno de los resultados del uso indiscriminado de la televisión, que ha distribuido de manera continua contenidos científicos, religiosos ( que incorporan el conocimiento de diferentes religiones a la cultura de hombres y mujeres de remotos espacios y alguna vez con una gran distancia en el tiempo), políticos, deportivos, estéticos, económicos, artísticos, y costumbristas. Para muchos teóricos, por ejemplo Bauman, Bourdieu, Sartori, Fromm,  entre otros, el problema principal de nuestros días es el formato de control que se les ha atribuido a los medios de comunicación, de información y formación.</w:t>
      </w:r>
    </w:p>
    <w:p>
      <w:pPr>
        <w:pStyle w:val="BodyText"/>
        <w:rPr>
          <w:sz w:val="20"/>
        </w:rPr>
      </w:pPr>
    </w:p>
    <w:p>
      <w:pPr>
        <w:pStyle w:val="BodyText"/>
        <w:spacing w:before="1"/>
        <w:rPr>
          <w:sz w:val="29"/>
        </w:rPr>
      </w:pPr>
      <w:r>
        <w:rPr/>
        <w:pict>
          <v:line style="position:absolute;mso-position-horizontal-relative:page;mso-position-vertical-relative:paragraph;z-index:8032;mso-wrap-distance-left:0;mso-wrap-distance-right:0" from="99.224998pt,18.984865pt" to="243.274998pt,18.984865pt" stroked="true" strokeweight=".60004pt" strokecolor="#000000">
            <w10:wrap type="topAndBottom"/>
          </v:line>
        </w:pict>
      </w:r>
    </w:p>
    <w:p>
      <w:pPr>
        <w:spacing w:line="237" w:lineRule="exact" w:before="46"/>
        <w:ind w:left="264" w:right="0" w:firstLine="0"/>
        <w:jc w:val="both"/>
        <w:rPr>
          <w:rFonts w:ascii="Calibri" w:hAnsi="Calibri"/>
          <w:sz w:val="18"/>
        </w:rPr>
      </w:pPr>
      <w:r>
        <w:rPr>
          <w:rFonts w:ascii="Calibri" w:hAnsi="Calibri"/>
          <w:position w:val="9"/>
          <w:sz w:val="12"/>
        </w:rPr>
        <w:t>287 </w:t>
      </w:r>
      <w:r>
        <w:rPr>
          <w:rFonts w:ascii="Calibri" w:hAnsi="Calibri"/>
          <w:sz w:val="18"/>
        </w:rPr>
        <w:t>FROMM, Erich,  </w:t>
      </w:r>
      <w:r>
        <w:rPr>
          <w:rFonts w:ascii="Calibri" w:hAnsi="Calibri"/>
          <w:i/>
          <w:sz w:val="18"/>
        </w:rPr>
        <w:t>La revolución de la  esperanza</w:t>
      </w:r>
      <w:r>
        <w:rPr>
          <w:rFonts w:ascii="Calibri" w:hAnsi="Calibri"/>
          <w:sz w:val="18"/>
        </w:rPr>
        <w:t>, p. 92</w:t>
      </w:r>
    </w:p>
    <w:p>
      <w:pPr>
        <w:spacing w:line="220" w:lineRule="exact" w:before="11"/>
        <w:ind w:left="264" w:right="222" w:firstLine="0"/>
        <w:jc w:val="both"/>
        <w:rPr>
          <w:rFonts w:ascii="Calibri" w:hAnsi="Calibri"/>
          <w:sz w:val="18"/>
        </w:rPr>
      </w:pPr>
      <w:r>
        <w:rPr>
          <w:position w:val="9"/>
          <w:sz w:val="12"/>
        </w:rPr>
        <w:t>288 </w:t>
      </w:r>
      <w:r>
        <w:rPr>
          <w:rFonts w:ascii="Calibri" w:hAnsi="Calibri"/>
          <w:sz w:val="18"/>
        </w:rPr>
        <w:t>Habermas afirma: “La tradición cultural tiene que poner a disposición de los agentes los conceptos formales de mundo objetivo, mundo social y mundo subjetivo, tiene que permitir pretensiones de validez diferenciadas (verdad proposicional, rectitud normativa, verdad subjetiva) e incitar a la correspondiente diferenciación de actitudes básicas (objetivante, de conformidad/no conformidad con las normas, y expresiva). Sólo entonces pueden generarse manifestaciones simbólicas a un nivel formal en que pueden quedar sistemáticamente conectadas con razones y ser accesibles a un enjuiciamiento objetivo.” HABERMAS, </w:t>
      </w:r>
      <w:r>
        <w:rPr>
          <w:rFonts w:ascii="Calibri" w:hAnsi="Calibri"/>
          <w:i/>
          <w:sz w:val="18"/>
        </w:rPr>
        <w:t>Óp. Cit. </w:t>
      </w:r>
      <w:r>
        <w:rPr>
          <w:rFonts w:ascii="Calibri" w:hAnsi="Calibri"/>
          <w:sz w:val="18"/>
        </w:rPr>
        <w:t>pp. 105-106</w:t>
      </w:r>
    </w:p>
    <w:p>
      <w:pPr>
        <w:spacing w:after="0" w:line="220" w:lineRule="exact"/>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810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37" w:lineRule="auto" w:before="74"/>
        <w:ind w:left="1393" w:right="112" w:firstLine="0"/>
        <w:jc w:val="both"/>
        <w:rPr>
          <w:sz w:val="14"/>
        </w:rPr>
      </w:pPr>
      <w:r>
        <w:rPr>
          <w:sz w:val="22"/>
        </w:rPr>
        <w:t>Durante mucho tiempo se pensó que los medios eran una forma de hacer avanzar </w:t>
      </w:r>
      <w:r>
        <w:rPr>
          <w:spacing w:val="-3"/>
          <w:sz w:val="22"/>
        </w:rPr>
        <w:t>la </w:t>
      </w:r>
      <w:r>
        <w:rPr>
          <w:sz w:val="22"/>
        </w:rPr>
        <w:t>democracia. Se pensó que los medios de comunicación </w:t>
      </w:r>
      <w:r>
        <w:rPr>
          <w:spacing w:val="-3"/>
          <w:sz w:val="22"/>
        </w:rPr>
        <w:t>(la </w:t>
      </w:r>
      <w:r>
        <w:rPr>
          <w:sz w:val="22"/>
        </w:rPr>
        <w:t>prensa escrita, </w:t>
      </w:r>
      <w:r>
        <w:rPr>
          <w:spacing w:val="-3"/>
          <w:sz w:val="22"/>
        </w:rPr>
        <w:t>la </w:t>
      </w:r>
      <w:r>
        <w:rPr>
          <w:sz w:val="22"/>
        </w:rPr>
        <w:t>radio, </w:t>
      </w:r>
      <w:r>
        <w:rPr>
          <w:spacing w:val="-3"/>
          <w:sz w:val="22"/>
        </w:rPr>
        <w:t>la </w:t>
      </w:r>
      <w:r>
        <w:rPr>
          <w:sz w:val="22"/>
        </w:rPr>
        <w:t>televisión) permitían precisamente una expresión de </w:t>
      </w:r>
      <w:r>
        <w:rPr>
          <w:spacing w:val="-3"/>
          <w:sz w:val="22"/>
        </w:rPr>
        <w:t>lo </w:t>
      </w:r>
      <w:r>
        <w:rPr>
          <w:sz w:val="22"/>
        </w:rPr>
        <w:t>que podríamos calificar de característica principal de </w:t>
      </w:r>
      <w:r>
        <w:rPr>
          <w:spacing w:val="-3"/>
          <w:sz w:val="22"/>
        </w:rPr>
        <w:t>la </w:t>
      </w:r>
      <w:r>
        <w:rPr>
          <w:sz w:val="22"/>
        </w:rPr>
        <w:t>democracia, que es </w:t>
      </w:r>
      <w:r>
        <w:rPr>
          <w:spacing w:val="-3"/>
          <w:sz w:val="22"/>
        </w:rPr>
        <w:t>la </w:t>
      </w:r>
      <w:r>
        <w:rPr>
          <w:sz w:val="22"/>
        </w:rPr>
        <w:t>libertad de  expresión (o </w:t>
      </w:r>
      <w:r>
        <w:rPr>
          <w:spacing w:val="-3"/>
          <w:sz w:val="22"/>
        </w:rPr>
        <w:t>la </w:t>
      </w:r>
      <w:r>
        <w:rPr>
          <w:sz w:val="22"/>
        </w:rPr>
        <w:t>libertad </w:t>
      </w:r>
      <w:r>
        <w:rPr>
          <w:spacing w:val="2"/>
          <w:sz w:val="22"/>
        </w:rPr>
        <w:t>de </w:t>
      </w:r>
      <w:r>
        <w:rPr>
          <w:sz w:val="22"/>
        </w:rPr>
        <w:t>opinión). Esta libertad, cuanto más se expresaba en los medios de comunicación, más significaba que estábamos en un sistema que admitía esa libertad sin trabas. Nos estamos dando cuenta ahora que el mal funcionamiento de los medios indica que algo no funciona en </w:t>
      </w:r>
      <w:r>
        <w:rPr>
          <w:spacing w:val="-3"/>
          <w:sz w:val="22"/>
        </w:rPr>
        <w:t>la </w:t>
      </w:r>
      <w:r>
        <w:rPr>
          <w:sz w:val="22"/>
        </w:rPr>
        <w:t>democracia. Es decir, primero porque se plantea una cuestión sencilla que es ¿a quien pertenecen los medios?. Después plantea otras: ¿tienen los dueños de los medios los mismos intereses que los ciudadanos de una sociedad democrática? ¿O tienen unos intereses particulares? Cuando los medios que pertenecen a tales dueños defienden tal o cual valor, tal o cual idea, ¿será </w:t>
      </w:r>
      <w:r>
        <w:rPr>
          <w:spacing w:val="-3"/>
          <w:sz w:val="22"/>
        </w:rPr>
        <w:t>ello </w:t>
      </w:r>
      <w:r>
        <w:rPr>
          <w:sz w:val="22"/>
        </w:rPr>
        <w:t>beneficioso para el conjunto de </w:t>
      </w:r>
      <w:r>
        <w:rPr>
          <w:spacing w:val="-3"/>
          <w:sz w:val="22"/>
        </w:rPr>
        <w:t>la </w:t>
      </w:r>
      <w:r>
        <w:rPr>
          <w:sz w:val="22"/>
        </w:rPr>
        <w:t>sociedad o para los dueños de los</w:t>
      </w:r>
      <w:r>
        <w:rPr>
          <w:spacing w:val="-15"/>
          <w:sz w:val="22"/>
        </w:rPr>
        <w:t> </w:t>
      </w:r>
      <w:r>
        <w:rPr>
          <w:sz w:val="22"/>
        </w:rPr>
        <w:t>medios?</w:t>
      </w:r>
      <w:r>
        <w:rPr>
          <w:position w:val="10"/>
          <w:sz w:val="14"/>
        </w:rPr>
        <w:t>289</w:t>
      </w:r>
    </w:p>
    <w:p>
      <w:pPr>
        <w:pStyle w:val="BodyText"/>
      </w:pPr>
    </w:p>
    <w:p>
      <w:pPr>
        <w:pStyle w:val="BodyText"/>
        <w:spacing w:line="360" w:lineRule="auto"/>
        <w:ind w:left="684" w:right="112" w:firstLine="336"/>
        <w:jc w:val="both"/>
      </w:pPr>
      <w:r>
        <w:rPr/>
        <w:t>Hablando de la influencia de estos medios en la época actual y desde la perspectiva de Eco, en su obra </w:t>
      </w:r>
      <w:r>
        <w:rPr>
          <w:i/>
        </w:rPr>
        <w:t>Apocalípticos e Integrados</w:t>
      </w:r>
      <w:r>
        <w:rPr/>
        <w:t>, los apocalípticos integran la aristocracia conservadora, la idea de compartir la cultura de tal manera que pueda llegar y ser apreciada por todos es un contrasentido, por lo tanto, no se trataría de una cultura sino de una "anticultura". Por el contrario, aquellos que aceptan el fenómeno a quienes se les denomina integrados, sostienen que gracias a éste es posible acercar al gran público manifestaciones artísticas de las que antes estaban marginados, cosa que la televisión ha logrado. Así, los aristócratas, conservadores son, los pesimistas apocalípticos, y los optimistas los que aceptan la liberación de los bienes culturales, son llamados integrados; al respecto Eco indica:</w:t>
      </w:r>
    </w:p>
    <w:p>
      <w:pPr>
        <w:pStyle w:val="BodyText"/>
        <w:spacing w:before="1"/>
        <w:rPr>
          <w:sz w:val="25"/>
        </w:rPr>
      </w:pPr>
    </w:p>
    <w:p>
      <w:pPr>
        <w:spacing w:line="235" w:lineRule="auto" w:before="0"/>
        <w:ind w:left="1393" w:right="122" w:firstLine="0"/>
        <w:jc w:val="both"/>
        <w:rPr>
          <w:sz w:val="14"/>
        </w:rPr>
      </w:pPr>
      <w:r>
        <w:rPr>
          <w:sz w:val="22"/>
        </w:rPr>
        <w:t>Los apocalípticos: Si </w:t>
      </w:r>
      <w:r>
        <w:rPr>
          <w:spacing w:val="-3"/>
          <w:sz w:val="22"/>
        </w:rPr>
        <w:t>la </w:t>
      </w:r>
      <w:r>
        <w:rPr>
          <w:sz w:val="22"/>
        </w:rPr>
        <w:t>cultura es un hecho aristocrático, cultivo celoso, asiduo y solitario de una interioridad refinada que se opone a </w:t>
      </w:r>
      <w:r>
        <w:rPr>
          <w:spacing w:val="-3"/>
          <w:sz w:val="22"/>
        </w:rPr>
        <w:t>la </w:t>
      </w:r>
      <w:r>
        <w:rPr>
          <w:sz w:val="22"/>
        </w:rPr>
        <w:t>vulgaridad de </w:t>
      </w:r>
      <w:r>
        <w:rPr>
          <w:spacing w:val="-3"/>
          <w:sz w:val="22"/>
        </w:rPr>
        <w:t>la</w:t>
      </w:r>
      <w:r>
        <w:rPr>
          <w:spacing w:val="55"/>
          <w:sz w:val="22"/>
        </w:rPr>
        <w:t> </w:t>
      </w:r>
      <w:r>
        <w:rPr>
          <w:sz w:val="22"/>
        </w:rPr>
        <w:t>muchedumbre (Heráclito: «¿Por qué queréis arrastrarme a todas partes oh ignorantes? </w:t>
      </w:r>
      <w:r>
        <w:rPr>
          <w:spacing w:val="-4"/>
          <w:sz w:val="22"/>
        </w:rPr>
        <w:t>Yo </w:t>
      </w:r>
      <w:r>
        <w:rPr>
          <w:sz w:val="22"/>
        </w:rPr>
        <w:t>no he escrito para vosotros, sino para quien pueda comprenderme. Para mí, uno vale por cien mil, y nada la multitud»), </w:t>
      </w:r>
      <w:r>
        <w:rPr>
          <w:spacing w:val="-3"/>
          <w:sz w:val="22"/>
        </w:rPr>
        <w:t>la </w:t>
      </w:r>
      <w:r>
        <w:rPr>
          <w:sz w:val="22"/>
        </w:rPr>
        <w:t>mera idea de una cultura compartida por todos, producida de modo que se adapte a todos, y elaborada a medida de todos, es un contrasentido monstruoso.</w:t>
      </w:r>
      <w:r>
        <w:rPr>
          <w:position w:val="10"/>
          <w:sz w:val="14"/>
        </w:rPr>
        <w:t>290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r>
        <w:rPr/>
        <w:pict>
          <v:line style="position:absolute;mso-position-horizontal-relative:page;mso-position-vertical-relative:paragraph;z-index:8080;mso-wrap-distance-left:0;mso-wrap-distance-right:0" from="99.224998pt,16.051399pt" to="243.274998pt,16.051399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289 </w:t>
      </w:r>
      <w:r>
        <w:rPr>
          <w:rFonts w:ascii="Calibri" w:hAnsi="Calibri"/>
          <w:sz w:val="18"/>
        </w:rPr>
        <w:t>RAMONET, Ignacio, “La tiranía de la televisión. Connivencia entre los medios de comunicación y el poder”</w:t>
      </w:r>
      <w:r>
        <w:rPr>
          <w:rFonts w:ascii="Calibri" w:hAnsi="Calibri"/>
          <w:i/>
          <w:sz w:val="18"/>
        </w:rPr>
        <w:t>, </w:t>
      </w:r>
      <w:r>
        <w:rPr>
          <w:rFonts w:ascii="Calibri" w:hAnsi="Calibri"/>
          <w:sz w:val="18"/>
        </w:rPr>
        <w:t>[en línea], consulta 17/08/2011, disponible en: </w:t>
      </w:r>
      <w:hyperlink r:id="rId116">
        <w:r>
          <w:rPr>
            <w:rFonts w:ascii="Calibri" w:hAnsi="Calibri"/>
            <w:color w:val="0000FF"/>
            <w:sz w:val="18"/>
            <w:u w:val="single" w:color="0000FF"/>
          </w:rPr>
          <w:t>http://www.nodo50.org/filosofem/IMG/pdf/tiraniaTV_Ramonet.pdf</w:t>
        </w:r>
        <w:r>
          <w:rPr>
            <w:rFonts w:ascii="Calibri" w:hAnsi="Calibri"/>
            <w:sz w:val="18"/>
          </w:rPr>
          <w:t>.</w:t>
        </w:r>
      </w:hyperlink>
    </w:p>
    <w:p>
      <w:pPr>
        <w:tabs>
          <w:tab w:pos="4937" w:val="left" w:leader="none"/>
          <w:tab w:pos="5376" w:val="left" w:leader="none"/>
          <w:tab w:pos="6183" w:val="left" w:leader="none"/>
          <w:tab w:pos="7218" w:val="left" w:leader="none"/>
        </w:tabs>
        <w:spacing w:line="220" w:lineRule="exact" w:before="0"/>
        <w:ind w:left="684" w:right="0" w:firstLine="0"/>
        <w:jc w:val="left"/>
        <w:rPr>
          <w:rFonts w:ascii="Calibri" w:hAnsi="Calibri"/>
          <w:sz w:val="18"/>
        </w:rPr>
      </w:pPr>
      <w:r>
        <w:rPr>
          <w:rFonts w:ascii="Calibri" w:hAnsi="Calibri"/>
          <w:position w:val="9"/>
          <w:sz w:val="12"/>
        </w:rPr>
        <w:t>290       </w:t>
      </w:r>
      <w:r>
        <w:rPr>
          <w:rFonts w:ascii="Calibri" w:hAnsi="Calibri"/>
          <w:sz w:val="18"/>
        </w:rPr>
        <w:t>COMUNICACIÓN,     </w:t>
      </w:r>
      <w:r>
        <w:rPr>
          <w:rFonts w:ascii="Calibri" w:hAnsi="Calibri"/>
          <w:i/>
          <w:sz w:val="18"/>
        </w:rPr>
        <w:t>Umberto   </w:t>
      </w:r>
      <w:r>
        <w:rPr>
          <w:rFonts w:ascii="Calibri" w:hAnsi="Calibri"/>
          <w:i/>
          <w:spacing w:val="24"/>
          <w:sz w:val="18"/>
        </w:rPr>
        <w:t> </w:t>
      </w:r>
      <w:r>
        <w:rPr>
          <w:rFonts w:ascii="Calibri" w:hAnsi="Calibri"/>
          <w:i/>
          <w:sz w:val="18"/>
        </w:rPr>
        <w:t>Eco,   </w:t>
      </w:r>
      <w:r>
        <w:rPr>
          <w:rFonts w:ascii="Calibri" w:hAnsi="Calibri"/>
          <w:i/>
          <w:spacing w:val="30"/>
          <w:sz w:val="18"/>
        </w:rPr>
        <w:t> </w:t>
      </w:r>
      <w:r>
        <w:rPr>
          <w:rFonts w:ascii="Calibri" w:hAnsi="Calibri"/>
          <w:i/>
          <w:sz w:val="18"/>
        </w:rPr>
        <w:t>comunidad</w:t>
      </w:r>
      <w:r>
        <w:rPr>
          <w:rFonts w:ascii="Calibri" w:hAnsi="Calibri"/>
          <w:sz w:val="18"/>
        </w:rPr>
        <w:t>,</w:t>
        <w:tab/>
        <w:t>[en</w:t>
        <w:tab/>
        <w:t>línea]</w:t>
        <w:tab/>
        <w:t>Consulta</w:t>
        <w:tab/>
        <w:t>23/04/2009,     disponible   </w:t>
      </w:r>
      <w:r>
        <w:rPr>
          <w:rFonts w:ascii="Calibri" w:hAnsi="Calibri"/>
          <w:spacing w:val="17"/>
          <w:sz w:val="18"/>
        </w:rPr>
        <w:t> </w:t>
      </w:r>
      <w:r>
        <w:rPr>
          <w:rFonts w:ascii="Calibri" w:hAnsi="Calibri"/>
          <w:sz w:val="18"/>
        </w:rPr>
        <w:t>en:</w:t>
      </w:r>
    </w:p>
    <w:p>
      <w:pPr>
        <w:spacing w:before="0"/>
        <w:ind w:left="684" w:right="114" w:firstLine="0"/>
        <w:jc w:val="left"/>
        <w:rPr>
          <w:rFonts w:ascii="Calibri"/>
          <w:sz w:val="18"/>
        </w:rPr>
      </w:pPr>
      <w:hyperlink r:id="rId117">
        <w:r>
          <w:rPr>
            <w:rFonts w:ascii="Calibri"/>
            <w:color w:val="0000FF"/>
            <w:sz w:val="18"/>
            <w:u w:val="single" w:color="0000FF"/>
          </w:rPr>
          <w:t>http://comunicacion.idoneos.com/index.php/336369</w:t>
        </w:r>
        <w:r>
          <w:rPr>
            <w:rFonts w:ascii="Calibri"/>
            <w:sz w:val="18"/>
          </w:rPr>
          <w:t>.</w:t>
        </w:r>
      </w:hyperlink>
    </w:p>
    <w:p>
      <w:pPr>
        <w:spacing w:after="0"/>
        <w:jc w:val="left"/>
        <w:rPr>
          <w:rFonts w:asci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815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21" w:firstLine="271"/>
        <w:jc w:val="both"/>
      </w:pPr>
      <w:r>
        <w:rPr/>
        <w:t>Para este sector de la sociedad hablar de bienes culturales, artísticos o  estéticos es referirse a obras dirigidas a una élite, quienes con la formación y educación adecuada tienen la habilidad y la capacidad de crear y disfrutar de estos bienes, que les proporcionan un status de superioridad sobre las clases que por diversas razones han permanecido excluidas de estos beneficios de la humanidad, por lo que consideran</w:t>
      </w:r>
      <w:r>
        <w:rPr>
          <w:spacing w:val="-14"/>
        </w:rPr>
        <w:t> </w:t>
      </w:r>
      <w:r>
        <w:rPr/>
        <w:t>que:</w:t>
      </w:r>
    </w:p>
    <w:p>
      <w:pPr>
        <w:pStyle w:val="BodyText"/>
        <w:spacing w:before="9"/>
        <w:rPr>
          <w:sz w:val="33"/>
        </w:rPr>
      </w:pPr>
    </w:p>
    <w:p>
      <w:pPr>
        <w:spacing w:line="235" w:lineRule="auto" w:before="0"/>
        <w:ind w:left="973" w:right="214" w:firstLine="0"/>
        <w:jc w:val="both"/>
        <w:rPr>
          <w:sz w:val="14"/>
        </w:rPr>
      </w:pPr>
      <w:r>
        <w:rPr>
          <w:sz w:val="22"/>
        </w:rPr>
        <w:t>La cultura de masas es la anticultura. Y puesto que ésta nace en el momento en que la presencia de las masas en la vida social se convierte en el fenómeno más evidente de un contexto histórico, la «cultura de masas» no es signo de una aberración transitoria y limitada, sino que llega a constituir el signo de una caída irrecuperable, ante la cual el hombre de cultura (último superviviente de la prehistoria, destinado a la extinción) no puede más que expresarse en términos de Apocalipsis.</w:t>
      </w:r>
      <w:r>
        <w:rPr>
          <w:position w:val="10"/>
          <w:sz w:val="14"/>
        </w:rPr>
        <w:t>291</w:t>
      </w:r>
    </w:p>
    <w:p>
      <w:pPr>
        <w:pStyle w:val="BodyText"/>
        <w:spacing w:before="3"/>
        <w:rPr>
          <w:sz w:val="36"/>
        </w:rPr>
      </w:pPr>
    </w:p>
    <w:p>
      <w:pPr>
        <w:pStyle w:val="BodyText"/>
        <w:spacing w:line="360" w:lineRule="auto"/>
        <w:ind w:left="264" w:right="219" w:firstLine="352"/>
        <w:jc w:val="both"/>
      </w:pPr>
      <w:r>
        <w:rPr/>
        <w:t>Además de que la propuesta de los apocalípticos parece promover un tipo de racismo y anti-humanismo porque la marginación de un sector social de los bienes que la humanidad ha atesorado en su proceso histórico significa ir contra los derechos más elementales del hombre, para Umberto Eco, el error de los integrados es defender al extremo la cultura de masas creyendo que la multiplicación de los productos culturales es buena en sí misma, esto es, carecen de una actitud crítica que considere la posibilidad de buscar nuevas orientaciones.</w:t>
      </w:r>
    </w:p>
    <w:p>
      <w:pPr>
        <w:pStyle w:val="BodyText"/>
        <w:spacing w:line="360" w:lineRule="auto" w:before="2"/>
        <w:ind w:left="264" w:right="218" w:firstLine="287"/>
        <w:jc w:val="both"/>
      </w:pPr>
      <w:r>
        <w:rPr/>
        <w:t>Por otra parte, aunque los apocalípticos confían en que es posible proporcionar una cultura que evite el condicionamiento industrial; esto sería un error, puesto  que no tiene sentido considerar que la cultura de masas es mala sólo por el hecho de que sea industrial. Si bien se constituye como </w:t>
      </w:r>
      <w:r>
        <w:rPr>
          <w:spacing w:val="2"/>
        </w:rPr>
        <w:t>una </w:t>
      </w:r>
      <w:r>
        <w:rPr/>
        <w:t>manifestación del arte urbano, y en algunos casos de la creatividad humana, sin contar con que en este tipo de arte se encuentra implícito el desarrollo espiritual de quien lo</w:t>
      </w:r>
      <w:r>
        <w:rPr>
          <w:spacing w:val="-42"/>
        </w:rPr>
        <w:t> </w:t>
      </w:r>
      <w:r>
        <w:rPr/>
        <w:t>crea.</w:t>
      </w:r>
    </w:p>
    <w:p>
      <w:pPr>
        <w:pStyle w:val="BodyText"/>
        <w:spacing w:line="360" w:lineRule="auto" w:before="2"/>
        <w:ind w:left="264" w:right="217" w:firstLine="267"/>
        <w:jc w:val="both"/>
      </w:pPr>
      <w:r>
        <w:rPr/>
        <w:t>Otra de las manifestaciones en contra de la masificación de la cultura la encontramos en aquellos que consideran que, por ejemplo, la televisión estandariza a la sociedad y limita el crecimiento y la creatividad de los individuos. Dejando  sólo  personas  robotizadas  incapaces  de  generar  nuevas  ideas,    sin</w:t>
      </w:r>
    </w:p>
    <w:p>
      <w:pPr>
        <w:pStyle w:val="BodyText"/>
        <w:spacing w:before="6"/>
        <w:rPr>
          <w:sz w:val="29"/>
        </w:rPr>
      </w:pPr>
      <w:r>
        <w:rPr/>
        <w:pict>
          <v:line style="position:absolute;mso-position-horizontal-relative:page;mso-position-vertical-relative:paragraph;z-index:8128;mso-wrap-distance-left:0;mso-wrap-distance-right:0" from="99.224998pt,19.258888pt" to="243.274998pt,19.258888pt" stroked="true" strokeweight=".60004pt" strokecolor="#000000">
            <w10:wrap type="topAndBottom"/>
          </v:line>
        </w:pict>
      </w:r>
    </w:p>
    <w:p>
      <w:pPr>
        <w:spacing w:before="46"/>
        <w:ind w:left="264" w:right="0" w:firstLine="0"/>
        <w:jc w:val="left"/>
        <w:rPr>
          <w:rFonts w:ascii="Calibri" w:hAnsi="Calibri"/>
          <w:i/>
          <w:sz w:val="18"/>
        </w:rPr>
      </w:pPr>
      <w:r>
        <w:rPr>
          <w:rFonts w:ascii="Calibri" w:hAnsi="Calibri"/>
          <w:position w:val="9"/>
          <w:sz w:val="12"/>
        </w:rPr>
        <w:t>291 </w:t>
      </w:r>
      <w:r>
        <w:rPr>
          <w:rFonts w:ascii="Calibri" w:hAnsi="Calibri"/>
          <w:i/>
          <w:sz w:val="18"/>
        </w:rPr>
        <w:t>Ídem.</w:t>
      </w:r>
    </w:p>
    <w:p>
      <w:pPr>
        <w:spacing w:after="0"/>
        <w:jc w:val="left"/>
        <w:rPr>
          <w:rFonts w:ascii="Calibri" w:hAnsi="Calibri"/>
          <w:sz w:val="18"/>
        </w:rPr>
        <w:sectPr>
          <w:footerReference w:type="default" r:id="rId118"/>
          <w:pgSz w:w="12240" w:h="15840"/>
          <w:pgMar w:footer="876" w:header="0" w:top="520" w:bottom="1060" w:left="1720" w:right="1200"/>
          <w:pgNumType w:start="156"/>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820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8"/>
        <w:jc w:val="both"/>
      </w:pPr>
      <w:r>
        <w:rPr/>
        <w:t>posibilidad de disfrutar del verdadero arte propiciando al mismo tiempo un abaratamiento del genio y la producción artística, de la que tan sólo en la programación televisiva tenemos por ejemplo: la baja calidad de la música, que presentan obras sin ninguna complejidad, a excepción de algunos canales culturales, cuya difusión no es tan amplia, y que no llega a la mayoría de la población.</w:t>
      </w:r>
    </w:p>
    <w:p>
      <w:pPr>
        <w:pStyle w:val="BodyText"/>
        <w:spacing w:line="360" w:lineRule="auto" w:before="6"/>
        <w:ind w:left="684" w:right="115" w:firstLine="336"/>
        <w:jc w:val="both"/>
      </w:pPr>
      <w:r>
        <w:rPr/>
        <w:t>Los medios de comunicación masiva: la imprenta rápida, el radio, el cine y la televisión que se han erigido como los difusores del arte y en la mayoría de los casos del pseudoarte han contribuido en forma determinante a difundir la cultura de masas, generando productos que bajo el auspicio de la industria cultural han traspasado fronteras y conciencias bajo los principios del mercado, comprando y vendiendo lo que se produce en el ámbito de lo que se considera producción artística.</w:t>
      </w:r>
    </w:p>
    <w:p>
      <w:pPr>
        <w:pStyle w:val="BodyText"/>
        <w:spacing w:line="360" w:lineRule="auto" w:before="2"/>
        <w:ind w:left="684" w:right="118" w:firstLine="336"/>
        <w:jc w:val="both"/>
      </w:pPr>
      <w:r>
        <w:rPr/>
        <w:t>Al respecto Horkheimer y Adorno comentan: “Toda cultura de masas bajo el monopolio es idéntica, y su esqueleto -el armazón conceptual fabricado por aquel- comienza  a  dibujarse.  Los  dirigentes  no  están  ya  en  absoluto  interesados en</w:t>
      </w:r>
    </w:p>
    <w:p>
      <w:pPr>
        <w:pStyle w:val="BodyText"/>
        <w:spacing w:line="350" w:lineRule="auto" w:before="6"/>
        <w:ind w:left="684" w:right="119"/>
        <w:jc w:val="both"/>
      </w:pPr>
      <w:r>
        <w:rPr/>
        <w:t>esconder dicho armazón; su poder se refuerza cuanto </w:t>
      </w:r>
      <w:r>
        <w:rPr>
          <w:spacing w:val="-2"/>
        </w:rPr>
        <w:t>más </w:t>
      </w:r>
      <w:r>
        <w:rPr/>
        <w:t>brutalmente se declara.” </w:t>
      </w:r>
      <w:r>
        <w:rPr>
          <w:position w:val="11"/>
          <w:sz w:val="16"/>
        </w:rPr>
        <w:t>292 </w:t>
      </w:r>
      <w:r>
        <w:rPr/>
        <w:t>Su preocupación es que el cine, la radio y en este caso la televisión  no requieren expresarse </w:t>
      </w:r>
      <w:r>
        <w:rPr>
          <w:spacing w:val="-3"/>
        </w:rPr>
        <w:t>ya </w:t>
      </w:r>
      <w:r>
        <w:rPr/>
        <w:t>como arte pues se definen a sí mismas como industrias, luego entonces, lo que presentan con tintes de arte sólo se reduce a</w:t>
      </w:r>
      <w:r>
        <w:rPr>
          <w:spacing w:val="15"/>
        </w:rPr>
        <w:t> </w:t>
      </w:r>
      <w:r>
        <w:rPr/>
        <w:t>un</w:t>
      </w:r>
    </w:p>
    <w:p>
      <w:pPr>
        <w:pStyle w:val="BodyText"/>
        <w:spacing w:before="16"/>
        <w:ind w:left="684"/>
        <w:jc w:val="both"/>
      </w:pPr>
      <w:r>
        <w:rPr/>
        <w:t>producto más en serie.</w:t>
      </w:r>
    </w:p>
    <w:p>
      <w:pPr>
        <w:pStyle w:val="BodyText"/>
        <w:spacing w:line="352" w:lineRule="auto" w:before="136"/>
        <w:ind w:left="684" w:right="114" w:firstLine="336"/>
        <w:jc w:val="both"/>
        <w:rPr>
          <w:sz w:val="16"/>
        </w:rPr>
      </w:pPr>
      <w:r>
        <w:rPr/>
        <w:t>La percepción que los individuos de la sociedad del siglo XX y XXI tienen del arte se reduce a productos en serie, mismos que son manifestaciones del mercado, que de acuerdo con Adorno y Horkheimer: “Este proceso de trabajo integra todos los elementos de producción [...] es el triunfo del capital invertido”.</w:t>
      </w:r>
      <w:r>
        <w:rPr>
          <w:position w:val="11"/>
          <w:sz w:val="16"/>
        </w:rPr>
        <w:t>293 </w:t>
      </w:r>
      <w:r>
        <w:rPr/>
        <w:t>Su objetivo es, imprimir en el público de los desposeídos el mensaje del capitalista productor de eventos recreativos ya sea en la radio, el cine o la televisión, promoviendo el ocio no creativo, </w:t>
      </w:r>
      <w:r>
        <w:rPr>
          <w:spacing w:val="-3"/>
        </w:rPr>
        <w:t>ya </w:t>
      </w:r>
      <w:r>
        <w:rPr/>
        <w:t>que como afirman los autores mencionados para este sector: “El espectador no debe necesitar ningún pensamiento</w:t>
      </w:r>
      <w:r>
        <w:rPr>
          <w:spacing w:val="51"/>
        </w:rPr>
        <w:t> </w:t>
      </w:r>
      <w:r>
        <w:rPr/>
        <w:t>propio.”</w:t>
      </w:r>
      <w:r>
        <w:rPr>
          <w:position w:val="11"/>
          <w:sz w:val="16"/>
        </w:rPr>
        <w:t>294</w:t>
      </w:r>
    </w:p>
    <w:p>
      <w:pPr>
        <w:pStyle w:val="BodyText"/>
        <w:spacing w:before="6"/>
      </w:pPr>
      <w:r>
        <w:rPr/>
        <w:pict>
          <v:line style="position:absolute;mso-position-horizontal-relative:page;mso-position-vertical-relative:paragraph;z-index:8176;mso-wrap-distance-left:0;mso-wrap-distance-right:0" from="99.224998pt,16.367987pt" to="243.274998pt,16.367987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292  </w:t>
      </w:r>
      <w:r>
        <w:rPr>
          <w:rFonts w:ascii="Calibri" w:hAnsi="Calibri"/>
          <w:sz w:val="18"/>
        </w:rPr>
        <w:t>HORKHEIMER, Max y ADORNO Theodor W. </w:t>
      </w:r>
      <w:r>
        <w:rPr>
          <w:rFonts w:ascii="Calibri" w:hAnsi="Calibri"/>
          <w:i/>
          <w:sz w:val="18"/>
        </w:rPr>
        <w:t>Dialéctica de la Ilustración</w:t>
      </w:r>
      <w:r>
        <w:rPr>
          <w:rFonts w:ascii="Calibri" w:hAnsi="Calibri"/>
          <w:sz w:val="18"/>
        </w:rPr>
        <w:t>,  Trotta, Barcelona,1994, P. 166</w:t>
      </w:r>
    </w:p>
    <w:p>
      <w:pPr>
        <w:spacing w:line="220" w:lineRule="exact" w:before="0"/>
        <w:ind w:left="684" w:right="114" w:firstLine="0"/>
        <w:jc w:val="left"/>
        <w:rPr>
          <w:rFonts w:ascii="Calibri" w:hAnsi="Calibri"/>
          <w:sz w:val="18"/>
        </w:rPr>
      </w:pPr>
      <w:r>
        <w:rPr>
          <w:rFonts w:ascii="Calibri" w:hAnsi="Calibri"/>
          <w:position w:val="9"/>
          <w:sz w:val="12"/>
        </w:rPr>
        <w:t>293 </w:t>
      </w:r>
      <w:r>
        <w:rPr>
          <w:rFonts w:ascii="Calibri" w:hAnsi="Calibri"/>
          <w:i/>
          <w:sz w:val="18"/>
        </w:rPr>
        <w:t>Ibíd. </w:t>
      </w:r>
      <w:r>
        <w:rPr>
          <w:rFonts w:ascii="Calibri" w:hAnsi="Calibri"/>
          <w:sz w:val="18"/>
        </w:rPr>
        <w:t>p. 169</w:t>
      </w:r>
    </w:p>
    <w:p>
      <w:pPr>
        <w:spacing w:line="236" w:lineRule="exact" w:before="0"/>
        <w:ind w:left="684" w:right="114" w:firstLine="0"/>
        <w:jc w:val="left"/>
        <w:rPr>
          <w:rFonts w:ascii="Calibri" w:hAnsi="Calibri"/>
          <w:sz w:val="18"/>
        </w:rPr>
      </w:pPr>
      <w:r>
        <w:rPr>
          <w:rFonts w:ascii="Calibri" w:hAnsi="Calibri"/>
          <w:position w:val="9"/>
          <w:sz w:val="12"/>
        </w:rPr>
        <w:t>294 </w:t>
      </w:r>
      <w:r>
        <w:rPr>
          <w:rFonts w:ascii="Calibri" w:hAnsi="Calibri"/>
          <w:i/>
          <w:sz w:val="18"/>
        </w:rPr>
        <w:t>Ibíd. </w:t>
      </w:r>
      <w:r>
        <w:rPr>
          <w:rFonts w:ascii="Calibri" w:hAnsi="Calibri"/>
          <w:sz w:val="18"/>
        </w:rPr>
        <w:t>p. 181.</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822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0" w:lineRule="auto" w:before="70"/>
        <w:ind w:left="264" w:right="210"/>
        <w:jc w:val="both"/>
      </w:pPr>
      <w:r>
        <w:rPr/>
        <w:t>Pues: “Toda conexión lógica que requiera esfuerzo intelectual es cuidadosamente evitada,”</w:t>
      </w:r>
      <w:r>
        <w:rPr>
          <w:position w:val="11"/>
          <w:sz w:val="16"/>
        </w:rPr>
        <w:t>295 </w:t>
      </w:r>
      <w:r>
        <w:rPr/>
        <w:t>en ese transcurso la imaginación es atrofiada, el genio limitado, el  goce del arte es sustituido por el placer del consumo. La producción televisiva y los  productos  culturales  para  las  masas  se  han  encargado  de  paralizar     </w:t>
      </w:r>
      <w:r>
        <w:rPr>
          <w:spacing w:val="24"/>
        </w:rPr>
        <w:t> </w:t>
      </w:r>
      <w:r>
        <w:rPr/>
        <w:t>al</w:t>
      </w:r>
    </w:p>
    <w:p>
      <w:pPr>
        <w:pStyle w:val="BodyText"/>
        <w:spacing w:before="16"/>
        <w:ind w:left="264"/>
        <w:jc w:val="both"/>
      </w:pPr>
      <w:r>
        <w:rPr/>
        <w:t>espectador.</w:t>
      </w:r>
    </w:p>
    <w:p>
      <w:pPr>
        <w:pStyle w:val="BodyText"/>
        <w:spacing w:before="10"/>
        <w:rPr>
          <w:sz w:val="35"/>
        </w:rPr>
      </w:pPr>
    </w:p>
    <w:p>
      <w:pPr>
        <w:spacing w:line="237" w:lineRule="auto" w:before="0"/>
        <w:ind w:left="973" w:right="214" w:firstLine="0"/>
        <w:jc w:val="both"/>
        <w:rPr>
          <w:sz w:val="14"/>
        </w:rPr>
      </w:pPr>
      <w:r>
        <w:rPr>
          <w:sz w:val="22"/>
        </w:rPr>
        <w:t>Ahora esta ruptura esencial entre las artes y el orden del día, que permanecía abierta en </w:t>
      </w:r>
      <w:r>
        <w:rPr>
          <w:spacing w:val="-3"/>
          <w:sz w:val="22"/>
        </w:rPr>
        <w:t>la </w:t>
      </w:r>
      <w:r>
        <w:rPr>
          <w:sz w:val="22"/>
        </w:rPr>
        <w:t>alienación artística, está siendo progresivamente cerrada por la sociedad tecnológica avanzada. Y </w:t>
      </w:r>
      <w:r>
        <w:rPr>
          <w:spacing w:val="2"/>
          <w:sz w:val="22"/>
        </w:rPr>
        <w:t>al </w:t>
      </w:r>
      <w:r>
        <w:rPr>
          <w:sz w:val="22"/>
        </w:rPr>
        <w:t>cerrarse, el Gran Rechazo es rechazado a su vez; </w:t>
      </w:r>
      <w:r>
        <w:rPr>
          <w:spacing w:val="-3"/>
          <w:sz w:val="22"/>
        </w:rPr>
        <w:t>la </w:t>
      </w:r>
      <w:r>
        <w:rPr>
          <w:sz w:val="22"/>
        </w:rPr>
        <w:t>«otra dimensión» es absorbida por el estado de cosas dominante. Las  obras de </w:t>
      </w:r>
      <w:r>
        <w:rPr>
          <w:spacing w:val="-3"/>
          <w:sz w:val="22"/>
        </w:rPr>
        <w:t>la </w:t>
      </w:r>
      <w:r>
        <w:rPr>
          <w:sz w:val="22"/>
        </w:rPr>
        <w:t>alienación son incorporadas dentro de esta sociedad y circulan como uña y carne del equipo que adorna y psicoanaliza el estado de cosas dominante. Así se hacen comerciales: venden, confortan o</w:t>
      </w:r>
      <w:r>
        <w:rPr>
          <w:spacing w:val="-31"/>
          <w:sz w:val="22"/>
        </w:rPr>
        <w:t> </w:t>
      </w:r>
      <w:r>
        <w:rPr>
          <w:sz w:val="22"/>
        </w:rPr>
        <w:t>excitan.</w:t>
      </w:r>
      <w:r>
        <w:rPr>
          <w:position w:val="10"/>
          <w:sz w:val="14"/>
        </w:rPr>
        <w:t>296</w:t>
      </w:r>
    </w:p>
    <w:p>
      <w:pPr>
        <w:pStyle w:val="BodyText"/>
        <w:spacing w:before="11"/>
        <w:rPr>
          <w:sz w:val="21"/>
        </w:rPr>
      </w:pPr>
    </w:p>
    <w:p>
      <w:pPr>
        <w:pStyle w:val="BodyText"/>
        <w:spacing w:line="360" w:lineRule="auto"/>
        <w:ind w:left="264" w:right="217" w:firstLine="336"/>
        <w:jc w:val="both"/>
      </w:pPr>
      <w:r>
        <w:rPr/>
        <w:t>Esa visión de Marcuse lo coloca de acuerdo con la idea de Eco, entre los apocalípticos al considerar que el uso de industria cultural contribuye más la enajenación y alienación de los seres humanos, en el sentido de que este capital cultural es utilizado con afán de convencer y manipular la conciencia de las sociedades.</w:t>
      </w:r>
    </w:p>
    <w:p>
      <w:pPr>
        <w:pStyle w:val="BodyText"/>
        <w:spacing w:before="4"/>
      </w:pPr>
    </w:p>
    <w:p>
      <w:pPr>
        <w:spacing w:line="240" w:lineRule="auto" w:before="0"/>
        <w:ind w:left="973" w:right="220" w:firstLine="0"/>
        <w:jc w:val="both"/>
        <w:rPr>
          <w:sz w:val="24"/>
        </w:rPr>
      </w:pPr>
      <w:r>
        <w:rPr>
          <w:sz w:val="22"/>
        </w:rPr>
        <w:t>Los críticos neoconservadores o los críticos de izquierda de </w:t>
      </w:r>
      <w:r>
        <w:rPr>
          <w:spacing w:val="-3"/>
          <w:sz w:val="22"/>
        </w:rPr>
        <w:t>la </w:t>
      </w:r>
      <w:r>
        <w:rPr>
          <w:sz w:val="22"/>
        </w:rPr>
        <w:t>cultura de masas ridiculizan </w:t>
      </w:r>
      <w:r>
        <w:rPr>
          <w:spacing w:val="-3"/>
          <w:sz w:val="22"/>
        </w:rPr>
        <w:t>la </w:t>
      </w:r>
      <w:r>
        <w:rPr>
          <w:sz w:val="22"/>
        </w:rPr>
        <w:t>protesta contra </w:t>
      </w:r>
      <w:r>
        <w:rPr>
          <w:spacing w:val="-3"/>
          <w:sz w:val="22"/>
        </w:rPr>
        <w:t>la </w:t>
      </w:r>
      <w:r>
        <w:rPr>
          <w:sz w:val="22"/>
        </w:rPr>
        <w:t>utilización de Bach como música de fondo en </w:t>
      </w:r>
      <w:r>
        <w:rPr>
          <w:spacing w:val="-3"/>
          <w:sz w:val="22"/>
        </w:rPr>
        <w:t>la </w:t>
      </w:r>
      <w:r>
        <w:rPr>
          <w:sz w:val="22"/>
        </w:rPr>
        <w:t>cocina, contra </w:t>
      </w:r>
      <w:r>
        <w:rPr>
          <w:spacing w:val="-3"/>
          <w:sz w:val="22"/>
        </w:rPr>
        <w:t>la </w:t>
      </w:r>
      <w:r>
        <w:rPr>
          <w:sz w:val="22"/>
        </w:rPr>
        <w:t>venta de Platón y Hegel, Shelley y Baudelaire, Marx y Freud en  los supermercados. Al contrario, insisten en que se reconozca el hecho de que los clásicos han dejado el mausoleo y han regresado a </w:t>
      </w:r>
      <w:r>
        <w:rPr>
          <w:spacing w:val="-3"/>
          <w:sz w:val="22"/>
        </w:rPr>
        <w:t>la </w:t>
      </w:r>
      <w:r>
        <w:rPr>
          <w:sz w:val="22"/>
        </w:rPr>
        <w:t>vida, de que </w:t>
      </w:r>
      <w:r>
        <w:rPr>
          <w:spacing w:val="-3"/>
          <w:sz w:val="22"/>
        </w:rPr>
        <w:t>la </w:t>
      </w:r>
      <w:r>
        <w:rPr>
          <w:sz w:val="22"/>
        </w:rPr>
        <w:t>gente es mucho más educada. Es verdad, pero volviendo a </w:t>
      </w:r>
      <w:r>
        <w:rPr>
          <w:spacing w:val="-3"/>
          <w:sz w:val="22"/>
        </w:rPr>
        <w:t>la </w:t>
      </w:r>
      <w:r>
        <w:rPr>
          <w:sz w:val="22"/>
        </w:rPr>
        <w:t>vida como clásicos, vuelven a </w:t>
      </w:r>
      <w:r>
        <w:rPr>
          <w:spacing w:val="-3"/>
          <w:sz w:val="22"/>
        </w:rPr>
        <w:t>la </w:t>
      </w:r>
      <w:r>
        <w:rPr>
          <w:sz w:val="22"/>
        </w:rPr>
        <w:t>vida distintos a sí mismos; han sido privados de su fuerza antagonista, de la separación que era </w:t>
      </w:r>
      <w:r>
        <w:rPr>
          <w:spacing w:val="-3"/>
          <w:sz w:val="22"/>
        </w:rPr>
        <w:t>la </w:t>
      </w:r>
      <w:r>
        <w:rPr>
          <w:sz w:val="22"/>
        </w:rPr>
        <w:t>dimensión misma de su verdad. Así, </w:t>
      </w:r>
      <w:r>
        <w:rPr>
          <w:spacing w:val="-3"/>
          <w:sz w:val="22"/>
        </w:rPr>
        <w:t>la </w:t>
      </w:r>
      <w:r>
        <w:rPr>
          <w:sz w:val="22"/>
        </w:rPr>
        <w:t>intención y </w:t>
      </w:r>
      <w:r>
        <w:rPr>
          <w:spacing w:val="-3"/>
          <w:sz w:val="22"/>
        </w:rPr>
        <w:t>la </w:t>
      </w:r>
      <w:r>
        <w:rPr>
          <w:sz w:val="22"/>
        </w:rPr>
        <w:t>función de esas obras ha sido fundamentalmente cambiada. Si una vez se levantaron en contradicción con el statu quo, esta contradicción es anulada ahora</w:t>
      </w:r>
      <w:r>
        <w:rPr>
          <w:position w:val="10"/>
          <w:sz w:val="14"/>
        </w:rPr>
        <w:t>297</w:t>
      </w:r>
      <w:r>
        <w:rPr>
          <w:sz w:val="22"/>
        </w:rPr>
        <w:t>. </w:t>
      </w:r>
      <w:r>
        <w:rPr>
          <w:sz w:val="24"/>
        </w:rPr>
        <w:t>P.</w:t>
      </w:r>
      <w:r>
        <w:rPr>
          <w:spacing w:val="-40"/>
          <w:sz w:val="24"/>
        </w:rPr>
        <w:t> </w:t>
      </w:r>
      <w:r>
        <w:rPr>
          <w:sz w:val="24"/>
        </w:rPr>
        <w:t>42-43</w:t>
      </w:r>
    </w:p>
    <w:p>
      <w:pPr>
        <w:pStyle w:val="BodyText"/>
        <w:spacing w:before="2"/>
        <w:rPr>
          <w:sz w:val="36"/>
        </w:rPr>
      </w:pPr>
    </w:p>
    <w:p>
      <w:pPr>
        <w:pStyle w:val="BodyText"/>
        <w:spacing w:line="360" w:lineRule="auto"/>
        <w:ind w:left="264" w:right="223" w:firstLine="336"/>
        <w:jc w:val="both"/>
      </w:pPr>
      <w:r>
        <w:rPr/>
        <w:t>La estructura de esta producción cultural está diseñada para aumentar la capacidad de intuición, para seguir la trama, requieren rapidez en la percepción o en la observación inmediata, sin embargo, al mismo tiempo no dan tiempo a la reflexión; el análisis o el pensamiento crítico, se percibe y se integra a la conciencia sin dar tiempo a que se genere la imaginación, la fantasía se reduce al mensaje recibido. “A  partir de todas  las demás películas*  y los otros   </w:t>
      </w:r>
      <w:r>
        <w:rPr>
          <w:spacing w:val="59"/>
        </w:rPr>
        <w:t> </w:t>
      </w:r>
      <w:r>
        <w:rPr/>
        <w:t>productos</w:t>
      </w:r>
    </w:p>
    <w:p>
      <w:pPr>
        <w:spacing w:line="237" w:lineRule="exact" w:before="167"/>
        <w:ind w:left="264" w:right="0" w:firstLine="0"/>
        <w:jc w:val="left"/>
        <w:rPr>
          <w:rFonts w:ascii="Calibri"/>
          <w:sz w:val="18"/>
        </w:rPr>
      </w:pPr>
      <w:r>
        <w:rPr>
          <w:rFonts w:ascii="Calibri"/>
          <w:position w:val="9"/>
          <w:sz w:val="12"/>
        </w:rPr>
        <w:t>295 </w:t>
      </w:r>
      <w:r>
        <w:rPr>
          <w:rFonts w:ascii="Calibri"/>
          <w:i/>
          <w:sz w:val="18"/>
        </w:rPr>
        <w:t>Ibid. </w:t>
      </w:r>
      <w:r>
        <w:rPr>
          <w:rFonts w:ascii="Calibri"/>
          <w:sz w:val="18"/>
        </w:rPr>
        <w:t>p. 182.</w:t>
      </w:r>
    </w:p>
    <w:p>
      <w:pPr>
        <w:spacing w:line="235" w:lineRule="exact" w:before="0"/>
        <w:ind w:left="264" w:right="0" w:firstLine="0"/>
        <w:jc w:val="left"/>
        <w:rPr>
          <w:rFonts w:ascii="Calibri" w:hAnsi="Calibri"/>
          <w:sz w:val="18"/>
        </w:rPr>
      </w:pPr>
      <w:r>
        <w:rPr>
          <w:position w:val="9"/>
          <w:sz w:val="12"/>
        </w:rPr>
        <w:t>296  </w:t>
      </w:r>
      <w:r>
        <w:rPr>
          <w:rFonts w:ascii="Calibri" w:hAnsi="Calibri"/>
          <w:sz w:val="18"/>
        </w:rPr>
        <w:t>MARCUSE, </w:t>
      </w:r>
      <w:r>
        <w:rPr>
          <w:rFonts w:ascii="Calibri" w:hAnsi="Calibri"/>
          <w:i/>
          <w:sz w:val="18"/>
        </w:rPr>
        <w:t>Óp. Cit., </w:t>
      </w:r>
      <w:r>
        <w:rPr>
          <w:rFonts w:ascii="Calibri" w:hAnsi="Calibri"/>
          <w:sz w:val="18"/>
        </w:rPr>
        <w:t>pp. 42-43</w:t>
      </w:r>
    </w:p>
    <w:p>
      <w:pPr>
        <w:spacing w:after="0" w:line="235" w:lineRule="exact"/>
        <w:jc w:val="left"/>
        <w:rPr>
          <w:rFonts w:ascii="Calibri" w:hAnsi="Calibri"/>
          <w:sz w:val="18"/>
        </w:rPr>
        <w:sectPr>
          <w:footerReference w:type="default" r:id="rId119"/>
          <w:pgSz w:w="12240" w:h="15840"/>
          <w:pgMar w:footer="1096" w:header="0" w:top="520" w:bottom="1280" w:left="1720" w:right="1200"/>
          <w:pgNumType w:start="158"/>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827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2" w:lineRule="auto" w:before="70"/>
        <w:ind w:left="684" w:right="118"/>
        <w:jc w:val="both"/>
      </w:pPr>
      <w:r>
        <w:rPr/>
        <w:t>culturales que necesariamente debe conocer, ** los esfuerzos de atención han llegado a ser tan familiares que se dan ya automáticamente. La violencia de la sociedad industrial actúa en los hombres de una vez por todas.”</w:t>
      </w:r>
      <w:r>
        <w:rPr>
          <w:position w:val="11"/>
          <w:sz w:val="16"/>
        </w:rPr>
        <w:t>298 </w:t>
      </w:r>
      <w:r>
        <w:rPr/>
        <w:t>Tienen tal impacto que se convierten en parte de la cotidianidad de las personas en forma inadvertida. Se integran en su vida diaria e influyen en todos los ámbitos de su vida, ya no sólo en el aspecto recreativo.</w:t>
      </w:r>
    </w:p>
    <w:p>
      <w:pPr>
        <w:pStyle w:val="BodyText"/>
        <w:spacing w:line="360" w:lineRule="auto" w:before="14"/>
        <w:ind w:left="684" w:right="117" w:firstLine="336"/>
        <w:jc w:val="both"/>
      </w:pPr>
      <w:r>
        <w:rPr/>
        <w:t>La cultura de masas es el reflejo de una sociedad altamente mercantilizada en la que todo puede ser comprado o vendido inclusive el genio, la imaginación, la fantasía, la alegría o la felicidad. La presencia del televisor y el pseudoarte que nos presenta ha dejado de lado los museos, el teatro, las salas de música que presentaban las grandes obras musicales a través de grandes artistas y orquestas musicales, los espacios donde la danza y la música se enlazaban para el goce estético y todos los lugares donde el verdadero arte pudiera ser creado, dando paso a la producción barata, comercial, popular o vendible. “La industria cultural puede vanagloriarse de haber llevado a cabo con energía y de haber erigido en principio la, a menudo, torpe transposición del arte en la esfera del consumo y  </w:t>
      </w:r>
      <w:r>
        <w:rPr>
          <w:spacing w:val="20"/>
        </w:rPr>
        <w:t> </w:t>
      </w:r>
      <w:r>
        <w:rPr/>
        <w:t>de</w:t>
      </w:r>
    </w:p>
    <w:p>
      <w:pPr>
        <w:pStyle w:val="BodyText"/>
        <w:spacing w:line="350" w:lineRule="auto" w:before="6"/>
        <w:ind w:left="684" w:right="121"/>
        <w:jc w:val="both"/>
      </w:pPr>
      <w:r>
        <w:rPr/>
        <w:t>haber liberado a la diversión de sus ingenuidades más molestas y de haber mejorado la confección de las mercancías.”</w:t>
      </w:r>
      <w:r>
        <w:rPr>
          <w:position w:val="11"/>
          <w:sz w:val="16"/>
        </w:rPr>
        <w:t>299 </w:t>
      </w:r>
      <w:r>
        <w:rPr/>
        <w:t>Todo esto con tal sutileza que las grandes masas lo han aceptado de una manera tácita, sin protestas; adaptándose a las nuevas corrientes con pasividad y sometimiento.</w:t>
      </w:r>
    </w:p>
    <w:p>
      <w:pPr>
        <w:pStyle w:val="BodyText"/>
        <w:spacing w:line="360" w:lineRule="auto" w:before="16"/>
        <w:ind w:left="684" w:right="117" w:firstLine="336"/>
        <w:jc w:val="both"/>
      </w:pPr>
      <w:r>
        <w:rPr/>
        <w:t>La cultura de masas, creada en sus inicios con ideas de democratización y de permitir el acercamiento del pueblo a la producción del arte y de los bienes que la sociedad ha alcanzado, se convirtió en un remedo o mala imitación, dando como resultado productos baratos, y no por ello funestos, sino en esencia, la pérdida de lo mejor del arte, para reducirlo a lo simple, lo repetitivo, lo monótono. Con el mensaje de que “El arte serio se ha negado a aquellos para quienes la miseria y la opresión de la existencia convierten la seriedad en burla y se sienten contentos</w:t>
      </w:r>
    </w:p>
    <w:p>
      <w:pPr>
        <w:pStyle w:val="BodyText"/>
        <w:spacing w:before="10"/>
        <w:rPr>
          <w:sz w:val="20"/>
        </w:rPr>
      </w:pPr>
      <w:r>
        <w:rPr/>
        <w:pict>
          <v:line style="position:absolute;mso-position-horizontal-relative:page;mso-position-vertical-relative:paragraph;z-index:8248;mso-wrap-distance-left:0;mso-wrap-distance-right:0" from="99.224998pt,14.283893pt" to="243.274998pt,14.283893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298   </w:t>
      </w:r>
      <w:r>
        <w:rPr>
          <w:rFonts w:ascii="Calibri" w:hAnsi="Calibri"/>
          <w:i/>
          <w:sz w:val="18"/>
        </w:rPr>
        <w:t>Ibíd</w:t>
      </w:r>
      <w:r>
        <w:rPr>
          <w:rFonts w:ascii="Calibri" w:hAnsi="Calibri"/>
          <w:sz w:val="18"/>
        </w:rPr>
        <w:t>. pp. 171-172.</w:t>
      </w:r>
    </w:p>
    <w:p>
      <w:pPr>
        <w:spacing w:before="0"/>
        <w:ind w:left="684" w:right="119" w:firstLine="159"/>
        <w:jc w:val="both"/>
        <w:rPr>
          <w:rFonts w:ascii="Calibri" w:hAnsi="Calibri"/>
          <w:sz w:val="18"/>
        </w:rPr>
      </w:pPr>
      <w:r>
        <w:rPr>
          <w:rFonts w:ascii="Calibri" w:hAnsi="Calibri"/>
          <w:sz w:val="18"/>
        </w:rPr>
        <w:t>* En la obra </w:t>
      </w:r>
      <w:r>
        <w:rPr>
          <w:rFonts w:ascii="Calibri" w:hAnsi="Calibri"/>
          <w:i/>
          <w:sz w:val="18"/>
        </w:rPr>
        <w:t>La Dialéctica de la Ilustración</w:t>
      </w:r>
      <w:r>
        <w:rPr>
          <w:rFonts w:ascii="Calibri" w:hAnsi="Calibri"/>
          <w:sz w:val="18"/>
        </w:rPr>
        <w:t>, para los autores todavía no se refleja el alcance que años más tarde tendría la televisión, sin embargo por el análisis que se ha hecho lo que aplica para el radio y el cine se multiplica en la programación televisiva.</w:t>
      </w:r>
    </w:p>
    <w:p>
      <w:pPr>
        <w:spacing w:before="0"/>
        <w:ind w:left="684" w:right="114" w:firstLine="0"/>
        <w:jc w:val="left"/>
        <w:rPr>
          <w:rFonts w:ascii="Calibri" w:hAnsi="Calibri"/>
          <w:sz w:val="18"/>
        </w:rPr>
      </w:pPr>
      <w:r>
        <w:rPr>
          <w:rFonts w:ascii="Calibri" w:hAnsi="Calibri"/>
          <w:sz w:val="18"/>
        </w:rPr>
        <w:t>** A mediados del siglo XX y XXI, el tener y conocer la programación del ente televisivo es considerado como necesidad, su presencia en los hogares es considerada indispensable.</w:t>
      </w:r>
    </w:p>
    <w:p>
      <w:pPr>
        <w:spacing w:after="0"/>
        <w:jc w:val="left"/>
        <w:rPr>
          <w:rFonts w:ascii="Calibri" w:hAnsi="Calibri"/>
          <w:sz w:val="18"/>
        </w:rPr>
        <w:sectPr>
          <w:footerReference w:type="default" r:id="rId120"/>
          <w:pgSz w:w="12240" w:h="15840"/>
          <w:pgMar w:footer="1096" w:header="0" w:top="520" w:bottom="1280" w:left="1300" w:right="1300"/>
          <w:pgNumType w:start="2"/>
        </w:sectPr>
      </w:pPr>
    </w:p>
    <w:p>
      <w:pPr>
        <w:pStyle w:val="Heading3"/>
      </w:pPr>
      <w:r>
        <w:rPr/>
        <w:pict>
          <v:line style="position:absolute;mso-position-horizontal-relative:page;mso-position-vertical-relative:paragraph;z-index:832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28" w:lineRule="auto" w:before="70"/>
        <w:ind w:left="264"/>
        <w:rPr>
          <w:sz w:val="16"/>
        </w:rPr>
      </w:pPr>
      <w:r>
        <w:rPr/>
        <w:t>cuando pueden emplear el tiempo durante el que no están atados a la cadena en dejarse llevar.”</w:t>
      </w:r>
      <w:r>
        <w:rPr>
          <w:position w:val="11"/>
          <w:sz w:val="16"/>
        </w:rPr>
        <w:t>300</w:t>
      </w:r>
    </w:p>
    <w:p>
      <w:pPr>
        <w:pStyle w:val="BodyText"/>
        <w:spacing w:line="360" w:lineRule="auto" w:before="27"/>
        <w:ind w:left="264" w:right="213" w:firstLine="336"/>
        <w:jc w:val="both"/>
      </w:pPr>
      <w:r>
        <w:rPr/>
        <w:t>El triunfo de la industrial cultural o cultura de masas, que actualmente ejerce su poder sobre la mayoría de la población del planeta, instalada en las estructuras de poder, diseminada a través del ente televisivo, divulga conocimientos y valores  que determinan el esquema cultural y, entre otras cosas el uso del tiempo libre de los individuos, lo que implica imponer, sutilmente, sus opciones de entretenimiento y su posibilidad de ejercer su libertad ante las posibilidades presentadas;  indicando como divertirse, de que reír, con que gozar, procurando la adaptación al ocio. De ahí que el aburrimiento y la falta de creación, recreación y crecimiento espiritual sean otras de las características de esta sociedad de masas, que ante el tedio responde con indolencia y apatía o en algunos casos con violencia o pasividad.</w:t>
      </w:r>
    </w:p>
    <w:p>
      <w:pPr>
        <w:pStyle w:val="BodyText"/>
        <w:spacing w:line="360" w:lineRule="auto" w:before="2"/>
        <w:ind w:left="264" w:right="214" w:firstLine="336"/>
        <w:jc w:val="both"/>
      </w:pPr>
      <w:r>
        <w:rPr/>
        <w:t>Asimismo, es necesario fomentar la educación para la apreciación de las bellas artes, para aprender a disfrutar de la expresión artística y desarrollar la capacidad creativa que surge del genio creativo o de la educación en las artes, que en nuestras sociedades no se ha impulsado; acción que en su riqueza coadyuvarían  a que las masas no sean consumidores de pseudoarte, y se convierta en elemento mediatizador y enajenante que da como resultado la estandarización del gusto a partir de lo que se denomina industria</w:t>
      </w:r>
      <w:r>
        <w:rPr>
          <w:spacing w:val="-26"/>
        </w:rPr>
        <w:t> </w:t>
      </w:r>
      <w:r>
        <w:rPr/>
        <w:t>cultural.</w:t>
      </w:r>
    </w:p>
    <w:p>
      <w:pPr>
        <w:pStyle w:val="BodyText"/>
        <w:spacing w:before="11"/>
        <w:rPr>
          <w:sz w:val="35"/>
        </w:rPr>
      </w:pPr>
    </w:p>
    <w:p>
      <w:pPr>
        <w:pStyle w:val="Heading3"/>
        <w:spacing w:before="0"/>
        <w:ind w:left="264"/>
        <w:rPr>
          <w:rFonts w:ascii="Arial" w:hAnsi="Arial"/>
        </w:rPr>
      </w:pPr>
      <w:r>
        <w:rPr>
          <w:rFonts w:ascii="Arial" w:hAnsi="Arial"/>
        </w:rPr>
        <w:t>Transculturación electrónica</w:t>
      </w:r>
    </w:p>
    <w:p>
      <w:pPr>
        <w:pStyle w:val="BodyText"/>
        <w:rPr>
          <w:b/>
        </w:rPr>
      </w:pPr>
    </w:p>
    <w:p>
      <w:pPr>
        <w:pStyle w:val="BodyText"/>
        <w:spacing w:before="3"/>
        <w:rPr>
          <w:b/>
          <w:sz w:val="30"/>
        </w:rPr>
      </w:pPr>
    </w:p>
    <w:p>
      <w:pPr>
        <w:pStyle w:val="BodyText"/>
        <w:spacing w:line="360" w:lineRule="auto"/>
        <w:ind w:left="264" w:right="218" w:firstLine="404"/>
        <w:jc w:val="both"/>
      </w:pPr>
      <w:r>
        <w:rPr/>
        <w:t>Desde la perspectiva de la función que los medios de comunicación masiva (mcm) han adoptado entre las sociedades de masas de esta era, llamada también de la “videosfera”, por la cualidad de estos medios de transmitir información a grandes distancias utilizando la imagen, es oportuno reflexionar sobre ¿ cómo ese mensaje emitido impacta en los diferentes auditorios ?. Y ¿cómo se da un proceso de transformación cultural, en los receptores, cuya actitud pasiva sólo se concreta a recibir el mensaje suprimiendo parte del proceso de la comunicación?</w:t>
      </w:r>
    </w:p>
    <w:p>
      <w:pPr>
        <w:pStyle w:val="BodyText"/>
        <w:spacing w:before="10"/>
        <w:rPr>
          <w:sz w:val="13"/>
        </w:rPr>
      </w:pPr>
      <w:r>
        <w:rPr/>
        <w:pict>
          <v:line style="position:absolute;mso-position-horizontal-relative:page;mso-position-vertical-relative:paragraph;z-index:8296;mso-wrap-distance-left:0;mso-wrap-distance-right:0" from="99.224998pt,10.253883pt" to="243.274998pt,10.253883pt" stroked="true" strokeweight=".60004pt" strokecolor="#000000">
            <w10:wrap type="topAndBottom"/>
          </v:line>
        </w:pict>
      </w:r>
    </w:p>
    <w:p>
      <w:pPr>
        <w:spacing w:after="0"/>
        <w:rPr>
          <w:sz w:val="13"/>
        </w:rPr>
        <w:sectPr>
          <w:footerReference w:type="default" r:id="rId121"/>
          <w:pgSz w:w="12240" w:h="15840"/>
          <w:pgMar w:footer="1163" w:header="0" w:top="520" w:bottom="1360" w:left="1720" w:right="1200"/>
          <w:pgNumType w:start="3"/>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834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4" w:firstLine="336"/>
        <w:jc w:val="both"/>
      </w:pPr>
      <w:r>
        <w:rPr/>
        <w:t>Ya que según la forma como se transmiten los mensajes, es el tipo de comunicación que se establece, por ejemplo: a). La transmisión de mensajes realizada en forma lineal, unidireccional, (de emisor a receptor), que actúa desde el que sabe al que ignora, es un proceso de sometimiento, de dominante a dominado. b). Sí el valor del mensaje transmitido es mayor para el emisor y menor para el receptor se desarrolla un proceso de manipulación. c). Sí el mensaje es de igual valor para el emisor y para el receptor se realiza un intercambio, que significa un proceso informativo; en este caso los mensajes son compartidos. d) Y si el valor del mensaje representa un mayor valor para el receptor, quien tiene la oportunidad de participar en la producción y reproducción de mensajes se completa el proceso comunicacional, en virtud de que los mensajes son elaborados y construidos, bajo un interés</w:t>
      </w:r>
      <w:r>
        <w:rPr>
          <w:spacing w:val="-26"/>
        </w:rPr>
        <w:t> </w:t>
      </w:r>
      <w:r>
        <w:rPr/>
        <w:t>mutuo.</w:t>
      </w:r>
    </w:p>
    <w:p>
      <w:pPr>
        <w:pStyle w:val="BodyText"/>
        <w:spacing w:line="360" w:lineRule="auto" w:before="5"/>
        <w:ind w:left="684" w:right="113" w:firstLine="336"/>
        <w:jc w:val="both"/>
      </w:pPr>
      <w:r>
        <w:rPr/>
        <w:t>Haciendo un análisis desde está perspectiva, el tipo de comunicación que se establece entre el ente televisivo y el televidente es de tipo lineal, situación que limita la acción del individuo y determina una gran influencia de tipo dominante. Si bien, es conocido que la transmisión de mensajes es el medio ideal para socializar el conocimiento, saber, aprender, compartir información y generar plena participación de los involucrados en la comunicación, es necesario que el código logre poner en relación los elementos del círculo de la comunicación, que construya lugares comunes de opinión, donde el receptor y el emisor logren coincidir en el uso del medio.</w:t>
      </w:r>
    </w:p>
    <w:p>
      <w:pPr>
        <w:pStyle w:val="BodyText"/>
        <w:spacing w:line="360" w:lineRule="auto" w:before="2"/>
        <w:ind w:left="684" w:right="120" w:firstLine="336"/>
        <w:jc w:val="both"/>
      </w:pPr>
      <w:r>
        <w:rPr/>
        <w:t>En ese sentido y bajo estás premisas, en consideración al tema del presente trabajo, se observa que el tipo de comunicación que se establece entre el mensaje emitido por la televisión y el receptor (televidente) es unidireccional, y por lo tanto se asemeja a la forma de comunicación de sometimiento, de dominante a dominado. Lo que favorece un proceso de transculturación, que en este caso llamaré transculturación electrónica, dado que el medio de transmisión es de tipo electrónico.</w:t>
      </w:r>
    </w:p>
    <w:p>
      <w:pPr>
        <w:pStyle w:val="BodyText"/>
        <w:spacing w:line="360" w:lineRule="auto" w:before="6"/>
        <w:ind w:left="684" w:right="117" w:firstLine="336"/>
        <w:jc w:val="both"/>
      </w:pPr>
      <w:r>
        <w:rPr/>
        <w:t>El mensaje televisivo suele ser un vehículo efectivo de transculturación. Se introduce en la sociedad como elemento singular, estimulante, diferente, codiciado y finalmente se convierte en una necesidad. Su administración es de tal  magnitud</w:t>
      </w:r>
    </w:p>
    <w:p>
      <w:pPr>
        <w:pStyle w:val="BodyText"/>
        <w:spacing w:before="2"/>
        <w:ind w:left="684" w:right="114"/>
      </w:pPr>
      <w:r>
        <w:rPr/>
        <w:t>que  este  elemento  de la industria cultural  opera con  una gran capacidad    para</w:t>
      </w:r>
    </w:p>
    <w:p>
      <w:pPr>
        <w:spacing w:after="0"/>
        <w:sectPr>
          <w:footerReference w:type="default" r:id="rId122"/>
          <w:pgSz w:w="12240" w:h="15840"/>
          <w:pgMar w:footer="876" w:header="0" w:top="520" w:bottom="1060" w:left="1300" w:right="1300"/>
          <w:pgNumType w:start="161"/>
        </w:sectPr>
      </w:pPr>
    </w:p>
    <w:p>
      <w:pPr>
        <w:pStyle w:val="Heading3"/>
      </w:pPr>
      <w:r>
        <w:rPr/>
        <w:pict>
          <v:line style="position:absolute;mso-position-horizontal-relative:page;mso-position-vertical-relative:paragraph;z-index:839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8"/>
        <w:jc w:val="both"/>
      </w:pPr>
      <w:r>
        <w:rPr/>
        <w:t>acuñar y difundir signos y símbolos estandarizados que fomentan el consumo pasivo de la sociedad de masas, promoviendo la transculturación, misma que se define como:</w:t>
      </w:r>
    </w:p>
    <w:p>
      <w:pPr>
        <w:pStyle w:val="BodyText"/>
      </w:pPr>
    </w:p>
    <w:p>
      <w:pPr>
        <w:spacing w:line="235" w:lineRule="auto" w:before="145"/>
        <w:ind w:left="973" w:right="212" w:firstLine="0"/>
        <w:jc w:val="both"/>
        <w:rPr>
          <w:sz w:val="14"/>
        </w:rPr>
      </w:pPr>
      <w:r>
        <w:rPr>
          <w:sz w:val="22"/>
        </w:rPr>
        <w:t>[…] fenómeno que engloba las diferentes etapas del proceso transitivo por el que un sujeto pasa de una cultura a otra, no implica sólo adquirir una cultura diferente, que es el significado de aculturación</w:t>
      </w:r>
      <w:r>
        <w:rPr>
          <w:i/>
          <w:sz w:val="22"/>
        </w:rPr>
        <w:t>, </w:t>
      </w:r>
      <w:r>
        <w:rPr>
          <w:sz w:val="22"/>
        </w:rPr>
        <w:t>sino que el proceso deviene en la pérdida o desarraigo de una cultura precedente, provocando una parcial desculturación, y, además, significa la creación de nuevos fenómenos culturales que desde la perspectiva antropológica se denominan de </w:t>
      </w:r>
      <w:r>
        <w:rPr>
          <w:i/>
          <w:sz w:val="22"/>
        </w:rPr>
        <w:t>neoculturación.</w:t>
      </w:r>
      <w:r>
        <w:rPr>
          <w:position w:val="10"/>
          <w:sz w:val="14"/>
        </w:rPr>
        <w:t>301</w:t>
      </w:r>
    </w:p>
    <w:p>
      <w:pPr>
        <w:pStyle w:val="BodyText"/>
        <w:spacing w:before="3"/>
        <w:rPr>
          <w:sz w:val="36"/>
        </w:rPr>
      </w:pPr>
    </w:p>
    <w:p>
      <w:pPr>
        <w:pStyle w:val="BodyText"/>
        <w:spacing w:line="352" w:lineRule="auto"/>
        <w:ind w:left="264" w:right="216" w:firstLine="336"/>
        <w:jc w:val="both"/>
      </w:pPr>
      <w:r>
        <w:rPr/>
        <w:t>Es así que el proceso de </w:t>
      </w:r>
      <w:r>
        <w:rPr>
          <w:i/>
        </w:rPr>
        <w:t>transculturación, </w:t>
      </w:r>
      <w:r>
        <w:rPr/>
        <w:t>comprende todas las fases de ese proceso. Pues como sostiene la escuela antropológica de Malinowski</w:t>
      </w:r>
      <w:r>
        <w:rPr>
          <w:position w:val="11"/>
          <w:sz w:val="16"/>
        </w:rPr>
        <w:t>302 </w:t>
      </w:r>
      <w:r>
        <w:rPr/>
        <w:t>en todo intercambio de culturas sucede lo que en la unión de dos individuos: el producto presenta rasgos de ambos progenitores, pero, a la vez siempre será distinto de cada uno de ellos.</w:t>
      </w:r>
    </w:p>
    <w:p>
      <w:pPr>
        <w:pStyle w:val="BodyText"/>
        <w:spacing w:line="360" w:lineRule="auto" w:before="10"/>
        <w:ind w:left="264" w:right="218" w:firstLine="336"/>
        <w:jc w:val="both"/>
      </w:pPr>
      <w:r>
        <w:rPr/>
        <w:t>El proceso de transculturación, se define como el fenómeno que surge cuando un grupo social recibe y adopta las formas culturales que provienen de otro grupo. De acuerdo a este concepto, un grupo social,  paulatinamente va reemplazando  en mayor o menor medida sus propias prácticas culturales. Este proceso no es un fenómeno nuevo, esto ha acontecido a lo largo de la historia del hombre a partir del contacto de un grupo con otro de diferente cultura. Por ejemplo: La absorción de los inmigrantes por la cultura de la comunidad a la que se integran, donde gradualmente adoptan su lengua, su religión y sus costumbres etc., el medio de sometimiento y de imposición de la nueva cultura puede ser la fuerza excesiva o a través de la conquista espiritual que desquebraja el ánimo de los grupos dominados, o por medio de instrumentos cada vez más sutiles, con capacidad  para insertarse en su objetivo a nivel</w:t>
      </w:r>
      <w:r>
        <w:rPr>
          <w:spacing w:val="-31"/>
        </w:rPr>
        <w:t> </w:t>
      </w:r>
      <w:r>
        <w:rPr/>
        <w:t>inconsciente.</w:t>
      </w:r>
    </w:p>
    <w:p>
      <w:pPr>
        <w:pStyle w:val="BodyText"/>
        <w:spacing w:line="362" w:lineRule="auto" w:before="2"/>
        <w:ind w:left="264" w:right="220" w:firstLine="271"/>
        <w:jc w:val="both"/>
      </w:pPr>
      <w:r>
        <w:rPr/>
        <w:t>De 1980 a la fecha, la televisión demuestra cómo se puede lograr este tipo de transculturación que ha invadido una buena parte del planeta de manera eficiente.</w:t>
      </w:r>
    </w:p>
    <w:p>
      <w:pPr>
        <w:pStyle w:val="BodyText"/>
        <w:spacing w:before="11"/>
        <w:rPr>
          <w:sz w:val="26"/>
        </w:rPr>
      </w:pPr>
      <w:r>
        <w:rPr/>
        <w:pict>
          <v:line style="position:absolute;mso-position-horizontal-relative:page;mso-position-vertical-relative:paragraph;z-index:8368;mso-wrap-distance-left:0;mso-wrap-distance-right:0" from="99.224998pt,17.749821pt" to="243.274998pt,17.749821pt" stroked="true" strokeweight=".60004pt" strokecolor="#000000">
            <w10:wrap type="topAndBottom"/>
          </v:line>
        </w:pict>
      </w:r>
    </w:p>
    <w:p>
      <w:pPr>
        <w:spacing w:before="46"/>
        <w:ind w:left="264" w:right="210" w:firstLine="0"/>
        <w:jc w:val="left"/>
        <w:rPr>
          <w:rFonts w:ascii="Calibri" w:hAnsi="Calibri"/>
          <w:sz w:val="18"/>
        </w:rPr>
      </w:pPr>
      <w:r>
        <w:rPr>
          <w:rFonts w:ascii="Calibri" w:hAnsi="Calibri"/>
          <w:position w:val="9"/>
          <w:sz w:val="12"/>
        </w:rPr>
        <w:t>301 </w:t>
      </w:r>
      <w:r>
        <w:rPr>
          <w:rFonts w:ascii="Calibri" w:hAnsi="Calibri"/>
          <w:sz w:val="18"/>
        </w:rPr>
        <w:t>Universidad de Huelva, (UHU), Sitio WEB, “De la transculturación a la interculturalidad”</w:t>
      </w:r>
      <w:r>
        <w:rPr>
          <w:rFonts w:ascii="Calibri" w:hAnsi="Calibri"/>
          <w:i/>
          <w:sz w:val="18"/>
        </w:rPr>
        <w:t>, </w:t>
      </w:r>
      <w:r>
        <w:rPr>
          <w:rFonts w:ascii="Calibri" w:hAnsi="Calibri"/>
          <w:sz w:val="18"/>
        </w:rPr>
        <w:t>[en línea] consulta 16/06/2012</w:t>
      </w:r>
      <w:r>
        <w:rPr>
          <w:rFonts w:ascii="Calibri" w:hAnsi="Calibri"/>
          <w:i/>
          <w:sz w:val="18"/>
        </w:rPr>
        <w:t>, </w:t>
      </w:r>
      <w:r>
        <w:rPr>
          <w:rFonts w:ascii="Calibri" w:hAnsi="Calibri"/>
          <w:sz w:val="18"/>
        </w:rPr>
        <w:t>disponible en</w:t>
      </w:r>
      <w:r>
        <w:rPr>
          <w:rFonts w:ascii="Calibri" w:hAnsi="Calibri"/>
          <w:i/>
          <w:sz w:val="18"/>
        </w:rPr>
        <w:t>: </w:t>
      </w:r>
      <w:hyperlink r:id="rId123">
        <w:r>
          <w:rPr>
            <w:rFonts w:ascii="Calibri" w:hAnsi="Calibri"/>
            <w:color w:val="0000FF"/>
            <w:sz w:val="18"/>
            <w:u w:val="single" w:color="0000FF"/>
          </w:rPr>
          <w:t>http://www.uhu.es/cine.educacion/articulos/transculturacion.htm</w:t>
        </w:r>
        <w:r>
          <w:rPr>
            <w:rFonts w:ascii="Calibri" w:hAnsi="Calibri"/>
            <w:sz w:val="18"/>
          </w:rPr>
          <w:t>.</w:t>
        </w:r>
      </w:hyperlink>
    </w:p>
    <w:p>
      <w:pPr>
        <w:spacing w:line="220" w:lineRule="exact" w:before="0"/>
        <w:ind w:left="264" w:right="0" w:firstLine="0"/>
        <w:jc w:val="left"/>
        <w:rPr>
          <w:rFonts w:ascii="Calibri" w:hAnsi="Calibri"/>
          <w:sz w:val="18"/>
        </w:rPr>
      </w:pPr>
      <w:r>
        <w:rPr>
          <w:rFonts w:ascii="Calibri" w:hAnsi="Calibri"/>
          <w:position w:val="9"/>
          <w:sz w:val="12"/>
        </w:rPr>
        <w:t>302  </w:t>
      </w:r>
      <w:r>
        <w:rPr>
          <w:rFonts w:ascii="Calibri" w:hAnsi="Calibri"/>
          <w:sz w:val="18"/>
        </w:rPr>
        <w:t>MALINOVSKY, B (1958), </w:t>
      </w:r>
      <w:r>
        <w:rPr>
          <w:rFonts w:ascii="Calibri" w:hAnsi="Calibri"/>
          <w:i/>
          <w:sz w:val="18"/>
        </w:rPr>
        <w:t>Una teoría de la cultura</w:t>
      </w:r>
      <w:r>
        <w:rPr>
          <w:rFonts w:ascii="Calibri" w:hAnsi="Calibri"/>
          <w:sz w:val="18"/>
        </w:rPr>
        <w:t>, Ed. Sudamericana, Buenos Aires, citado por Universidad de  Huelva,</w:t>
      </w:r>
    </w:p>
    <w:p>
      <w:pPr>
        <w:spacing w:before="0"/>
        <w:ind w:left="264" w:right="0" w:firstLine="0"/>
        <w:jc w:val="left"/>
        <w:rPr>
          <w:rFonts w:ascii="Calibri" w:hAnsi="Calibri"/>
          <w:sz w:val="18"/>
        </w:rPr>
      </w:pPr>
      <w:r>
        <w:rPr>
          <w:rFonts w:ascii="Calibri" w:hAnsi="Calibri"/>
          <w:sz w:val="18"/>
        </w:rPr>
        <w:t>(UHU), Sitio WEB, “De la transculturación a la interculturalidad”</w:t>
      </w:r>
      <w:r>
        <w:rPr>
          <w:rFonts w:ascii="Calibri" w:hAnsi="Calibri"/>
          <w:i/>
          <w:sz w:val="18"/>
        </w:rPr>
        <w:t>, </w:t>
      </w:r>
      <w:r>
        <w:rPr>
          <w:rFonts w:ascii="Calibri" w:hAnsi="Calibri"/>
          <w:sz w:val="18"/>
        </w:rPr>
        <w:t>[en línea] consulta 16/06/2012</w:t>
      </w:r>
      <w:r>
        <w:rPr>
          <w:rFonts w:ascii="Calibri" w:hAnsi="Calibri"/>
          <w:i/>
          <w:sz w:val="18"/>
        </w:rPr>
        <w:t>, </w:t>
      </w:r>
      <w:hyperlink r:id="rId123">
        <w:r>
          <w:rPr>
            <w:rFonts w:ascii="Calibri" w:hAnsi="Calibri"/>
            <w:color w:val="0000FF"/>
            <w:sz w:val="18"/>
            <w:u w:val="single" w:color="0000FF"/>
          </w:rPr>
          <w:t>http://www.uhu.es/cine.educacion/articulos/transculturacion.htm</w:t>
        </w:r>
        <w:r>
          <w:rPr>
            <w:rFonts w:ascii="Calibri" w:hAnsi="Calibri"/>
            <w:sz w:val="18"/>
          </w:rPr>
          <w:t>.</w:t>
        </w:r>
      </w:hyperlink>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844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5" w:firstLine="271"/>
        <w:jc w:val="both"/>
      </w:pPr>
      <w:r>
        <w:rPr/>
        <w:t>Siguiendo bajo este enfoque es preciso reconocer que es imposible concebir a la humanidad de fines del siglo XX sin el uso de la tecnología, que se manifiesta desde los artefactos </w:t>
      </w:r>
      <w:r>
        <w:rPr>
          <w:spacing w:val="-2"/>
        </w:rPr>
        <w:t>más </w:t>
      </w:r>
      <w:r>
        <w:rPr/>
        <w:t>sencillos como un bolígrafo, hasta elementos de uso básico cómo un interruptor de luz, una sumadora o una calculadora; o </w:t>
      </w:r>
      <w:r>
        <w:rPr>
          <w:spacing w:val="-2"/>
        </w:rPr>
        <w:t>más </w:t>
      </w:r>
      <w:r>
        <w:rPr/>
        <w:t>complejos cómo un robot u otros productos de la cibernética y la mecatrónica. Sin dejar de lado el avance contundente de los medios de comunicación individual como el teléfono, o los que impactan en la sociedad de masas como es la televisión y actualmente la red de navegación cibernética. De tal manera que la electrónica ha creado nuevos paradigmas, nuevos campos semánticos, con el apoyo de la tecnología y la  ciencia, promoviendo estilos de vida que han  </w:t>
      </w:r>
      <w:r>
        <w:rPr>
          <w:spacing w:val="49"/>
        </w:rPr>
        <w:t> </w:t>
      </w:r>
      <w:r>
        <w:rPr/>
        <w:t>influido</w:t>
      </w:r>
    </w:p>
    <w:p>
      <w:pPr>
        <w:pStyle w:val="BodyText"/>
        <w:spacing w:line="282" w:lineRule="exact"/>
        <w:ind w:left="684" w:right="114"/>
        <w:rPr>
          <w:sz w:val="16"/>
        </w:rPr>
      </w:pPr>
      <w:r>
        <w:rPr/>
        <w:t>en la sociedad de masas y en los individuos que reciben esta información. </w:t>
      </w:r>
      <w:r>
        <w:rPr>
          <w:position w:val="11"/>
          <w:sz w:val="16"/>
        </w:rPr>
        <w:t>303</w:t>
      </w:r>
    </w:p>
    <w:p>
      <w:pPr>
        <w:pStyle w:val="BodyText"/>
        <w:spacing w:line="360" w:lineRule="auto" w:before="136"/>
        <w:ind w:left="684" w:right="116" w:firstLine="336"/>
        <w:jc w:val="both"/>
      </w:pPr>
      <w:r>
        <w:rPr/>
        <w:t>De esta manera el icono televisivo se ha adueñado de hombres y mujeres, generando un mayor impacto en la niñez, desde la edad más temprana se incorporan nuevas costumbres, moda, formas de hablar, aspiraciones personales, etc., que rompen inclusive con los estilos del grupo; signo específico de un tipo de transculturalidad, que mezcla diferentes elementos que dan como resultado un híbrido, desarraigado.</w:t>
      </w:r>
    </w:p>
    <w:p>
      <w:pPr>
        <w:pStyle w:val="BodyText"/>
        <w:spacing w:line="362" w:lineRule="auto" w:before="2"/>
        <w:ind w:left="684" w:right="118" w:firstLine="336"/>
        <w:jc w:val="both"/>
      </w:pPr>
      <w:r>
        <w:rPr/>
        <w:t>En esta nueva cultura del uso indiscriminado de la tecnología y la comunicación, sólo un pequeño sector de la sociedad comprende y entiende</w:t>
      </w:r>
      <w:r>
        <w:rPr>
          <w:spacing w:val="7"/>
        </w:rPr>
        <w:t> </w:t>
      </w:r>
      <w:r>
        <w:rPr/>
        <w:t>estos</w:t>
      </w:r>
    </w:p>
    <w:p>
      <w:pPr>
        <w:pStyle w:val="BodyText"/>
        <w:spacing w:before="8"/>
        <w:rPr>
          <w:sz w:val="15"/>
        </w:rPr>
      </w:pPr>
      <w:r>
        <w:rPr/>
        <w:pict>
          <v:line style="position:absolute;mso-position-horizontal-relative:page;mso-position-vertical-relative:paragraph;z-index:8416;mso-wrap-distance-left:0;mso-wrap-distance-right:0" from="99.224998pt,11.319864pt" to="243.274998pt,11.319864pt" stroked="true" strokeweight=".599980pt" strokecolor="#000000">
            <w10:wrap type="topAndBottom"/>
          </v:line>
        </w:pict>
      </w:r>
    </w:p>
    <w:p>
      <w:pPr>
        <w:spacing w:line="242" w:lineRule="auto" w:before="48"/>
        <w:ind w:left="684" w:right="113" w:firstLine="0"/>
        <w:jc w:val="both"/>
        <w:rPr>
          <w:rFonts w:ascii="Calibri" w:hAnsi="Calibri"/>
          <w:sz w:val="18"/>
        </w:rPr>
      </w:pPr>
      <w:r>
        <w:rPr>
          <w:rFonts w:ascii="Calibri" w:hAnsi="Calibri"/>
          <w:position w:val="11"/>
          <w:sz w:val="16"/>
        </w:rPr>
        <w:t>303 </w:t>
      </w:r>
      <w:r>
        <w:rPr>
          <w:rFonts w:ascii="Calibri" w:hAnsi="Calibri"/>
          <w:sz w:val="18"/>
        </w:rPr>
        <w:t>MARTÍNEZ-SALANOVA, Sánchez, Enrique, “De la transculturación a la interculturalidad: cómo presentan los medios  la emigración, el mestizaje y las relaciones interétnicas”, Universidad de Huelva. [en línea] consulta 12/09/2012, disponible en: </w:t>
      </w:r>
      <w:hyperlink r:id="rId123">
        <w:r>
          <w:rPr>
            <w:rFonts w:ascii="Calibri" w:hAnsi="Calibri"/>
            <w:color w:val="0000FF"/>
            <w:sz w:val="18"/>
            <w:u w:val="single" w:color="0000FF"/>
          </w:rPr>
          <w:t>http://www.uhu.es/cine.educacion/articulos/transculturacion.htm</w:t>
        </w:r>
        <w:r>
          <w:rPr>
            <w:rFonts w:ascii="Calibri" w:hAnsi="Calibri"/>
            <w:sz w:val="18"/>
          </w:rPr>
          <w:t>.</w:t>
        </w:r>
      </w:hyperlink>
      <w:r>
        <w:rPr>
          <w:rFonts w:ascii="Calibri" w:hAnsi="Calibri"/>
          <w:sz w:val="18"/>
        </w:rPr>
        <w:t>  “Las  Representaciones Interculturales. La imagen y el sonido son productos culturales, que abarcan tanto la fotografía como el cine, el vídeo, la televisión y todos los productos multimedia, Internet, la radio, los sistemas reproductores de música […] y que recomunican a la vertiginosidad de la era de la información por las redes, sirviendo de instrumento de comunicación intercultural</w:t>
      </w:r>
      <w:r>
        <w:rPr>
          <w:rFonts w:ascii="Calibri" w:hAnsi="Calibri"/>
          <w:spacing w:val="-6"/>
          <w:sz w:val="18"/>
        </w:rPr>
        <w:t> </w:t>
      </w:r>
      <w:r>
        <w:rPr>
          <w:rFonts w:ascii="Calibri" w:hAnsi="Calibri"/>
          <w:sz w:val="18"/>
        </w:rPr>
        <w:t>y</w:t>
      </w:r>
      <w:r>
        <w:rPr>
          <w:rFonts w:ascii="Calibri" w:hAnsi="Calibri"/>
          <w:spacing w:val="-6"/>
          <w:sz w:val="18"/>
        </w:rPr>
        <w:t> </w:t>
      </w:r>
      <w:r>
        <w:rPr>
          <w:rFonts w:ascii="Calibri" w:hAnsi="Calibri"/>
          <w:sz w:val="18"/>
        </w:rPr>
        <w:t>provocando</w:t>
      </w:r>
      <w:r>
        <w:rPr>
          <w:rFonts w:ascii="Calibri" w:hAnsi="Calibri"/>
          <w:spacing w:val="-3"/>
          <w:sz w:val="18"/>
        </w:rPr>
        <w:t> </w:t>
      </w:r>
      <w:r>
        <w:rPr>
          <w:rFonts w:ascii="Calibri" w:hAnsi="Calibri"/>
          <w:sz w:val="18"/>
        </w:rPr>
        <w:t>la</w:t>
      </w:r>
      <w:r>
        <w:rPr>
          <w:rFonts w:ascii="Calibri" w:hAnsi="Calibri"/>
          <w:spacing w:val="-3"/>
          <w:sz w:val="18"/>
        </w:rPr>
        <w:t> </w:t>
      </w:r>
      <w:r>
        <w:rPr>
          <w:rFonts w:ascii="Calibri" w:hAnsi="Calibri"/>
          <w:sz w:val="18"/>
        </w:rPr>
        <w:t>formación</w:t>
      </w:r>
      <w:r>
        <w:rPr>
          <w:rFonts w:ascii="Calibri" w:hAnsi="Calibri"/>
          <w:spacing w:val="-3"/>
          <w:sz w:val="18"/>
        </w:rPr>
        <w:t> </w:t>
      </w:r>
      <w:r>
        <w:rPr>
          <w:rFonts w:ascii="Calibri" w:hAnsi="Calibri"/>
          <w:sz w:val="18"/>
        </w:rPr>
        <w:t>y</w:t>
      </w:r>
      <w:r>
        <w:rPr>
          <w:rFonts w:ascii="Calibri" w:hAnsi="Calibri"/>
          <w:spacing w:val="-6"/>
          <w:sz w:val="18"/>
        </w:rPr>
        <w:t> </w:t>
      </w:r>
      <w:r>
        <w:rPr>
          <w:rFonts w:ascii="Calibri" w:hAnsi="Calibri"/>
          <w:sz w:val="18"/>
        </w:rPr>
        <w:t>transformación</w:t>
      </w:r>
      <w:r>
        <w:rPr>
          <w:rFonts w:ascii="Calibri" w:hAnsi="Calibri"/>
          <w:spacing w:val="-3"/>
          <w:sz w:val="18"/>
        </w:rPr>
        <w:t> </w:t>
      </w:r>
      <w:r>
        <w:rPr>
          <w:rFonts w:ascii="Calibri" w:hAnsi="Calibri"/>
          <w:sz w:val="18"/>
        </w:rPr>
        <w:t>de</w:t>
      </w:r>
      <w:r>
        <w:rPr>
          <w:rFonts w:ascii="Calibri" w:hAnsi="Calibri"/>
          <w:spacing w:val="-6"/>
          <w:sz w:val="18"/>
        </w:rPr>
        <w:t> </w:t>
      </w:r>
      <w:r>
        <w:rPr>
          <w:rFonts w:ascii="Calibri" w:hAnsi="Calibri"/>
          <w:sz w:val="18"/>
        </w:rPr>
        <w:t>identidades</w:t>
      </w:r>
      <w:r>
        <w:rPr>
          <w:rFonts w:ascii="Calibri" w:hAnsi="Calibri"/>
          <w:spacing w:val="-3"/>
          <w:sz w:val="18"/>
        </w:rPr>
        <w:t> </w:t>
      </w:r>
      <w:r>
        <w:rPr>
          <w:rFonts w:ascii="Calibri" w:hAnsi="Calibri"/>
          <w:sz w:val="18"/>
        </w:rPr>
        <w:t>colectivas.</w:t>
      </w:r>
    </w:p>
    <w:p>
      <w:pPr>
        <w:spacing w:line="240" w:lineRule="auto" w:before="0"/>
        <w:ind w:left="684" w:right="116" w:firstLine="159"/>
        <w:jc w:val="both"/>
        <w:rPr>
          <w:rFonts w:ascii="Calibri" w:hAnsi="Calibri"/>
          <w:sz w:val="18"/>
        </w:rPr>
      </w:pPr>
      <w:r>
        <w:rPr>
          <w:rFonts w:ascii="Calibri" w:hAnsi="Calibri"/>
          <w:sz w:val="18"/>
        </w:rPr>
        <w:t>La nueva revolución tecnológica, facilita que el mundo esté cada vez más intercomunicado, y como situación de facto, que se convierta en un mundo cada vez más intercultural. Sin embargo, esta facilidad se ha convertido en monopolio de los señores de la comunicación, predominando muy pocas culturas, por no decir una sola. La cultura dominante posee todos los medios para difundirse e imponer su voz.</w:t>
      </w:r>
    </w:p>
    <w:p>
      <w:pPr>
        <w:spacing w:before="0"/>
        <w:ind w:left="684" w:right="112" w:firstLine="79"/>
        <w:jc w:val="both"/>
        <w:rPr>
          <w:rFonts w:ascii="Calibri" w:hAnsi="Calibri"/>
          <w:sz w:val="18"/>
        </w:rPr>
      </w:pPr>
      <w:r>
        <w:rPr>
          <w:rFonts w:ascii="Calibri" w:hAnsi="Calibri"/>
          <w:sz w:val="18"/>
        </w:rPr>
        <w:t>Hoy se dan productos culturales que nacen desde los países más pobres, las culturas no conocidas en occidente se hacen más visibles en el panorama icónico internacional, con cinematografías como la hindú, la iraní, la china, o las de algunos países latinoamericanos, abriendo al mundo las ventanas problemáticas de nuevas –más bien desconocidas– culturas y las maneras de hacer cine independientes de los negocios cinematográficos. Estos films exponen visiones diferentes y presentan a occidente una gran diversidad de culturas, etnias, ideas, filosofías, comportamientos y religiones.</w:t>
      </w:r>
    </w:p>
    <w:p>
      <w:pPr>
        <w:spacing w:before="0"/>
        <w:ind w:left="684" w:right="116" w:firstLine="159"/>
        <w:jc w:val="both"/>
        <w:rPr>
          <w:rFonts w:ascii="Calibri" w:hAnsi="Calibri"/>
          <w:sz w:val="18"/>
        </w:rPr>
      </w:pPr>
      <w:r>
        <w:rPr>
          <w:rFonts w:ascii="Calibri" w:hAnsi="Calibri"/>
          <w:sz w:val="18"/>
        </w:rPr>
        <w:t>Según Malinowski, el concepto de transculturación –cuando dos o más culturas comparten y mezclan elementos de sus culturas– es fluido, pues expresa las diferentes fases del proceso transitivo de una cultura a otra. Este proceso no consiste solamente en adquirir una distinta cultura (aculturación), sino que implica necesariamente la pérdida o el desarraigo de cierto sector de la cultura precedente, lo que pudiera decirse de una parcial pérdida de la propia cultura y, además, significa la consiguiente creación de nuevos fenómenos culturales.”</w:t>
      </w:r>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848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23"/>
        <w:jc w:val="both"/>
      </w:pPr>
      <w:r>
        <w:rPr/>
        <w:t>procesos científicos (mismos que son puestos en marcha en los artículos que la industria pone a disposición del público) mientras la mayoría de la población los integra a su vida diaria en forma automática e inconsciente. Pues sin tener la menor idea de los procesos de funcionamiento, los adoptan y utilizan, sumándolos a su cultura bajo un principio que aliena su conciencia y deteriora su posibilidad de crecimiento, convirtiéndolos en consumidores pasivos, enajenados, que puestos en entredicho por un proceso incomprendido, resultan afectados en su ubicación y sentido de</w:t>
      </w:r>
      <w:r>
        <w:rPr>
          <w:spacing w:val="-12"/>
        </w:rPr>
        <w:t> </w:t>
      </w:r>
      <w:r>
        <w:rPr/>
        <w:t>vida.</w:t>
      </w:r>
    </w:p>
    <w:p>
      <w:pPr>
        <w:pStyle w:val="BodyText"/>
      </w:pPr>
    </w:p>
    <w:p>
      <w:pPr>
        <w:spacing w:line="235" w:lineRule="auto" w:before="145"/>
        <w:ind w:left="973" w:right="222" w:firstLine="0"/>
        <w:jc w:val="both"/>
        <w:rPr>
          <w:sz w:val="14"/>
        </w:rPr>
      </w:pPr>
      <w:r>
        <w:rPr>
          <w:sz w:val="22"/>
        </w:rPr>
        <w:t>La actitud pasiva del hombre es solamente un síntoma de un síndrome total que podemos llamar el “síndrome de la enajenación”. Siendo pasivo no se relaciona activamente con el mundo y se ve obligado a someterse a sus ídolos y a las exigencias de estos. Se siente, por tanto, impotente, solo y angustiado. Posee escaso sentido de su integridad y de su identidad.</w:t>
      </w:r>
      <w:r>
        <w:rPr>
          <w:position w:val="10"/>
          <w:sz w:val="14"/>
        </w:rPr>
        <w:t>304</w:t>
      </w:r>
    </w:p>
    <w:p>
      <w:pPr>
        <w:pStyle w:val="BodyText"/>
        <w:spacing w:before="11"/>
        <w:rPr>
          <w:sz w:val="35"/>
        </w:rPr>
      </w:pPr>
    </w:p>
    <w:p>
      <w:pPr>
        <w:pStyle w:val="BodyText"/>
        <w:spacing w:line="360" w:lineRule="auto"/>
        <w:ind w:left="264" w:right="214" w:firstLine="336"/>
        <w:jc w:val="both"/>
      </w:pPr>
      <w:r>
        <w:rPr/>
        <w:t>La cercanía intercultural provocada por la tecnología ha transformado la forma como el hombre se ve a sí mismo, la forma como interactúa con el mundo y la manera como aprehende su realidad, el mayor logro de la revolución tecnológica, que también pudiera ser ontológica, por el alto impacto que ha tenido en la percepción del ser del hombre, es haber saturado el mundo de idealidad, de imágenes, de visiones. Por lo que no hay necesidad de desplazarnos a diferentes lugares para conocerlos, al final es la televisión y otros medios como: “El cine y la fotografía nos traen los mundos a nuestra cercanía, el CD-ROM o Internet nos permiten acceder a documentos originales de bibliotecas, entrar en museos, analizar  obras   de  arte.  Sin  embargo,  la  realidad  no  es  la  virtual,   ni        las</w:t>
      </w:r>
    </w:p>
    <w:p>
      <w:pPr>
        <w:pStyle w:val="BodyText"/>
        <w:spacing w:line="278" w:lineRule="exact"/>
        <w:ind w:left="264"/>
        <w:jc w:val="both"/>
      </w:pPr>
      <w:r>
        <w:rPr/>
        <w:t>imágenes”.</w:t>
      </w:r>
      <w:r>
        <w:rPr>
          <w:position w:val="11"/>
          <w:sz w:val="16"/>
        </w:rPr>
        <w:t>305  </w:t>
      </w:r>
      <w:r>
        <w:rPr/>
        <w:t>De este modo la realidad es cooptada a partir de los datos que  </w:t>
      </w:r>
      <w:r>
        <w:rPr>
          <w:spacing w:val="62"/>
        </w:rPr>
        <w:t> </w:t>
      </w:r>
      <w:r>
        <w:rPr/>
        <w:t>los</w:t>
      </w:r>
    </w:p>
    <w:p>
      <w:pPr>
        <w:pStyle w:val="BodyText"/>
        <w:spacing w:line="360" w:lineRule="auto" w:before="140"/>
        <w:ind w:left="264" w:right="210"/>
        <w:jc w:val="both"/>
      </w:pPr>
      <w:r>
        <w:rPr/>
        <w:t>mcm nos proporcionan, sean imágenes reales o virtuales, documentos escritos o comentarios orales, la cultura se distribuye en forma eficaz a través del televisor, y la  incorporamos  a  nuestro  saber  incondicionalmente.  La  transculturación     se</w:t>
      </w:r>
    </w:p>
    <w:p>
      <w:pPr>
        <w:pStyle w:val="BodyText"/>
        <w:rPr>
          <w:sz w:val="20"/>
        </w:rPr>
      </w:pPr>
    </w:p>
    <w:p>
      <w:pPr>
        <w:pStyle w:val="BodyText"/>
        <w:rPr>
          <w:sz w:val="20"/>
        </w:rPr>
      </w:pPr>
    </w:p>
    <w:p>
      <w:pPr>
        <w:pStyle w:val="BodyText"/>
        <w:spacing w:before="3"/>
        <w:rPr>
          <w:sz w:val="22"/>
        </w:rPr>
      </w:pPr>
      <w:r>
        <w:rPr/>
        <w:pict>
          <v:line style="position:absolute;mso-position-horizontal-relative:page;mso-position-vertical-relative:paragraph;z-index:8464;mso-wrap-distance-left:0;mso-wrap-distance-right:0" from="99.224998pt,15.075867pt" to="243.274998pt,15.075867pt" stroked="true" strokeweight=".599980pt" strokecolor="#000000">
            <w10:wrap type="topAndBottom"/>
          </v:line>
        </w:pict>
      </w:r>
    </w:p>
    <w:p>
      <w:pPr>
        <w:spacing w:line="237" w:lineRule="exact" w:before="47"/>
        <w:ind w:left="264" w:right="0" w:firstLine="0"/>
        <w:jc w:val="left"/>
        <w:rPr>
          <w:rFonts w:ascii="Calibri" w:hAnsi="Calibri"/>
          <w:sz w:val="18"/>
        </w:rPr>
      </w:pPr>
      <w:r>
        <w:rPr>
          <w:rFonts w:ascii="Calibri" w:hAnsi="Calibri"/>
          <w:position w:val="9"/>
          <w:sz w:val="12"/>
        </w:rPr>
        <w:t>304 </w:t>
      </w:r>
      <w:r>
        <w:rPr>
          <w:rFonts w:ascii="Calibri" w:hAnsi="Calibri"/>
          <w:sz w:val="18"/>
        </w:rPr>
        <w:t>FROMM, Erich, </w:t>
      </w:r>
      <w:r>
        <w:rPr>
          <w:rFonts w:ascii="Calibri" w:hAnsi="Calibri"/>
          <w:i/>
          <w:sz w:val="18"/>
        </w:rPr>
        <w:t>La revolución de la esperanza</w:t>
      </w:r>
      <w:r>
        <w:rPr>
          <w:rFonts w:ascii="Calibri" w:hAnsi="Calibri"/>
          <w:sz w:val="18"/>
        </w:rPr>
        <w:t>, p. 49.</w:t>
      </w:r>
    </w:p>
    <w:p>
      <w:pPr>
        <w:spacing w:line="295" w:lineRule="exact" w:before="0"/>
        <w:ind w:left="264" w:right="0" w:firstLine="0"/>
        <w:jc w:val="left"/>
        <w:rPr>
          <w:rFonts w:ascii="Calibri" w:hAnsi="Calibri"/>
          <w:i/>
          <w:sz w:val="18"/>
        </w:rPr>
      </w:pPr>
      <w:r>
        <w:rPr>
          <w:rFonts w:ascii="Calibri" w:hAnsi="Calibri"/>
          <w:position w:val="11"/>
          <w:sz w:val="16"/>
        </w:rPr>
        <w:t>305   </w:t>
      </w:r>
      <w:r>
        <w:rPr>
          <w:rFonts w:ascii="Calibri" w:hAnsi="Calibri"/>
          <w:sz w:val="18"/>
        </w:rPr>
        <w:t>LLEDÓ,  J,  A,  (ed.)  (1997)  “El  Arte  de  las  Redes”,  Madrid,  Universidad  de  Huelva,  (UHU),  Sitio  WEB:  </w:t>
      </w:r>
      <w:r>
        <w:rPr>
          <w:rFonts w:ascii="Calibri" w:hAnsi="Calibri"/>
          <w:i/>
          <w:sz w:val="18"/>
        </w:rPr>
        <w:t>De       la</w:t>
      </w:r>
    </w:p>
    <w:p>
      <w:pPr>
        <w:tabs>
          <w:tab w:pos="1755" w:val="left" w:leader="none"/>
          <w:tab w:pos="2147" w:val="left" w:leader="none"/>
          <w:tab w:pos="2578" w:val="left" w:leader="none"/>
          <w:tab w:pos="4141" w:val="left" w:leader="none"/>
          <w:tab w:pos="4681" w:val="left" w:leader="none"/>
          <w:tab w:pos="5688" w:val="left" w:leader="none"/>
          <w:tab w:pos="6603" w:val="left" w:leader="none"/>
          <w:tab w:pos="7814" w:val="left" w:leader="none"/>
          <w:tab w:pos="8869" w:val="left" w:leader="none"/>
        </w:tabs>
        <w:spacing w:before="16"/>
        <w:ind w:left="264" w:right="216" w:firstLine="0"/>
        <w:jc w:val="left"/>
        <w:rPr>
          <w:rFonts w:ascii="Calibri" w:hAnsi="Calibri"/>
          <w:sz w:val="18"/>
        </w:rPr>
      </w:pPr>
      <w:r>
        <w:rPr>
          <w:rFonts w:ascii="Calibri" w:hAnsi="Calibri"/>
          <w:i/>
          <w:sz w:val="18"/>
        </w:rPr>
        <w:t>transculturación</w:t>
        <w:tab/>
        <w:t>a</w:t>
        <w:tab/>
        <w:t>la</w:t>
        <w:tab/>
        <w:t>interculturalidad,</w:t>
        <w:tab/>
      </w:r>
      <w:r>
        <w:rPr>
          <w:rFonts w:ascii="Calibri" w:hAnsi="Calibri"/>
          <w:sz w:val="18"/>
        </w:rPr>
        <w:t>[en</w:t>
        <w:tab/>
        <w:t>línea]</w:t>
        <w:tab/>
        <w:t>consulta</w:t>
        <w:tab/>
        <w:t>16/06/2012</w:t>
      </w:r>
      <w:r>
        <w:rPr>
          <w:rFonts w:ascii="Calibri" w:hAnsi="Calibri"/>
          <w:i/>
          <w:sz w:val="18"/>
        </w:rPr>
        <w:t>,</w:t>
        <w:tab/>
      </w:r>
      <w:r>
        <w:rPr>
          <w:rFonts w:ascii="Calibri" w:hAnsi="Calibri"/>
          <w:sz w:val="18"/>
        </w:rPr>
        <w:t>disponible</w:t>
        <w:tab/>
        <w:t>en: </w:t>
      </w:r>
      <w:hyperlink r:id="rId123">
        <w:r>
          <w:rPr>
            <w:rFonts w:ascii="Calibri" w:hAnsi="Calibri"/>
            <w:color w:val="0000FF"/>
            <w:sz w:val="18"/>
            <w:u w:val="single" w:color="0000FF"/>
          </w:rPr>
          <w:t>http://www.uhu.es/cine.educacion/articulos/transculturacion.htm</w:t>
        </w:r>
        <w:r>
          <w:rPr>
            <w:rFonts w:ascii="Calibri" w:hAnsi="Calibri"/>
            <w:sz w:val="18"/>
          </w:rPr>
          <w:t>.</w:t>
        </w:r>
      </w:hyperlink>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853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684" w:right="114"/>
      </w:pPr>
      <w:r>
        <w:rPr/>
        <w:t>presenta en automático y es la televisión, la herramienta más útil, para este proceso. Empero en este proceso de asimilación de una nueva cultura:</w:t>
      </w:r>
    </w:p>
    <w:p>
      <w:pPr>
        <w:pStyle w:val="BodyText"/>
      </w:pPr>
    </w:p>
    <w:p>
      <w:pPr>
        <w:spacing w:line="240" w:lineRule="auto" w:before="144"/>
        <w:ind w:left="1393" w:right="123" w:firstLine="0"/>
        <w:jc w:val="both"/>
        <w:rPr>
          <w:sz w:val="22"/>
        </w:rPr>
      </w:pPr>
      <w:r>
        <w:rPr>
          <w:sz w:val="22"/>
        </w:rPr>
        <w:t>El intercambio cultural genera conflictos porque es una interacción  constante, fluida y viva, que circula desde los albores de la humanidad y que ha dado lugar a la gran riqueza de las civilizaciones.</w:t>
      </w:r>
    </w:p>
    <w:p>
      <w:pPr>
        <w:spacing w:line="199" w:lineRule="auto" w:before="34"/>
        <w:ind w:left="1393" w:right="113" w:firstLine="0"/>
        <w:jc w:val="both"/>
        <w:rPr>
          <w:b/>
          <w:sz w:val="16"/>
        </w:rPr>
      </w:pPr>
      <w:r>
        <w:rPr>
          <w:sz w:val="22"/>
        </w:rPr>
        <w:t>El diálogo, la creatividad en las relaciones entre las culturas, es lo que va a lograr que el planeta sea en el futuro vivo, dinámico y solidario […]</w:t>
      </w:r>
      <w:r>
        <w:rPr>
          <w:b/>
          <w:position w:val="11"/>
          <w:sz w:val="16"/>
        </w:rPr>
        <w:t>306</w:t>
      </w:r>
    </w:p>
    <w:p>
      <w:pPr>
        <w:pStyle w:val="BodyText"/>
        <w:spacing w:before="10"/>
        <w:rPr>
          <w:b/>
          <w:sz w:val="37"/>
        </w:rPr>
      </w:pPr>
    </w:p>
    <w:p>
      <w:pPr>
        <w:pStyle w:val="BodyText"/>
        <w:spacing w:line="360" w:lineRule="auto"/>
        <w:ind w:left="684" w:right="114" w:firstLine="336"/>
        <w:jc w:val="both"/>
      </w:pPr>
      <w:r>
        <w:rPr/>
        <w:t>Esta transculturación electrónica es el estilo del nuevo siglo; en ella el contacto humano es prescindible en el proceso de mezclar diferentes elementos de una cultura a otra. Para ello está el mensaje y la imagen esparcida por el televisor que logra cambios radicales en la cultura de los distintos grupos sociales a los que tiene acceso.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8512;mso-wrap-distance-left:0;mso-wrap-distance-right:0" from="99.224998pt,9.091118pt" to="243.274998pt,9.091118pt" stroked="true" strokeweight=".60004pt" strokecolor="#000000">
            <w10:wrap type="topAndBottom"/>
          </v:line>
        </w:pict>
      </w:r>
    </w:p>
    <w:p>
      <w:pPr>
        <w:spacing w:before="48"/>
        <w:ind w:left="684" w:right="114" w:firstLine="0"/>
        <w:jc w:val="left"/>
        <w:rPr>
          <w:rFonts w:ascii="Calibri" w:hAnsi="Calibri"/>
          <w:i/>
          <w:sz w:val="18"/>
        </w:rPr>
      </w:pPr>
      <w:r>
        <w:rPr>
          <w:position w:val="9"/>
          <w:sz w:val="12"/>
        </w:rPr>
        <w:t>306   </w:t>
      </w:r>
      <w:r>
        <w:rPr>
          <w:rFonts w:ascii="Calibri" w:hAnsi="Calibri"/>
          <w:sz w:val="18"/>
        </w:rPr>
        <w:t>MARTÍNEZ-SALANOVA Sánchez, Enrique, </w:t>
      </w:r>
      <w:r>
        <w:rPr>
          <w:rFonts w:ascii="Calibri" w:hAnsi="Calibri"/>
          <w:i/>
          <w:sz w:val="18"/>
        </w:rPr>
        <w:t>Óp. Cit.</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8560" from="546.470032pt,2.397331pt" to="546.470032pt,30.622331pt" stroked="true" strokeweight=".60004pt" strokecolor="#000000">
            <w10:wrap type="none"/>
          </v:line>
        </w:pict>
      </w:r>
      <w:r>
        <w:rPr>
          <w:w w:val="75"/>
        </w:rPr>
        <w:t>El condicionamiento de la libertad ante la influencia de la televisión</w:t>
      </w:r>
    </w:p>
    <w:p>
      <w:pPr>
        <w:spacing w:after="0"/>
        <w:sectPr>
          <w:pgSz w:w="12240" w:h="15840"/>
          <w:pgMar w:header="0" w:footer="876" w:top="520" w:bottom="1060" w:left="1720" w:right="1200"/>
        </w:sectPr>
      </w:pPr>
    </w:p>
    <w:p>
      <w:pPr>
        <w:pStyle w:val="BodyText"/>
        <w:tabs>
          <w:tab w:pos="7214" w:val="left" w:leader="none"/>
        </w:tabs>
        <w:spacing w:before="36"/>
        <w:ind w:left="224"/>
        <w:rPr>
          <w:rFonts w:ascii="Cambria" w:hAnsi="Cambria"/>
        </w:rPr>
      </w:pPr>
      <w:r>
        <w:rPr/>
        <w:pict>
          <v:line style="position:absolute;mso-position-horizontal-relative:page;mso-position-vertical-relative:paragraph;z-index:858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Heading1"/>
        <w:spacing w:before="215"/>
        <w:ind w:left="1563"/>
      </w:pPr>
      <w:r>
        <w:rPr/>
        <w:t>CAPÍTULO TERCERO</w:t>
      </w:r>
    </w:p>
    <w:p>
      <w:pPr>
        <w:spacing w:before="162"/>
        <w:ind w:left="1199" w:right="208" w:firstLine="0"/>
        <w:jc w:val="center"/>
        <w:rPr>
          <w:b/>
          <w:sz w:val="28"/>
        </w:rPr>
      </w:pPr>
      <w:r>
        <w:rPr>
          <w:b/>
          <w:sz w:val="28"/>
        </w:rPr>
        <w:t>LIBERTAD Y PODER DESDE EL MENSAJE TELEVISIVO</w:t>
      </w:r>
    </w:p>
    <w:p>
      <w:pPr>
        <w:spacing w:after="0"/>
        <w:jc w:val="center"/>
        <w:rPr>
          <w:sz w:val="28"/>
        </w:rPr>
        <w:sectPr>
          <w:pgSz w:w="12240" w:h="15840"/>
          <w:pgMar w:header="0" w:footer="876" w:top="520" w:bottom="1060" w:left="1300" w:right="1720"/>
        </w:sectPr>
      </w:pPr>
    </w:p>
    <w:p>
      <w:pPr>
        <w:pStyle w:val="Heading3"/>
      </w:pPr>
      <w:r>
        <w:rPr/>
        <w:pict>
          <v:line style="position:absolute;mso-position-horizontal-relative:page;mso-position-vertical-relative:paragraph;z-index:863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spacing w:before="4"/>
        <w:rPr>
          <w:rFonts w:ascii="Cambria"/>
          <w:b/>
          <w:sz w:val="21"/>
        </w:rPr>
      </w:pPr>
    </w:p>
    <w:p>
      <w:pPr>
        <w:pStyle w:val="BodyText"/>
        <w:spacing w:line="360" w:lineRule="auto" w:before="70"/>
        <w:ind w:left="264" w:right="215" w:firstLine="336"/>
        <w:jc w:val="both"/>
      </w:pPr>
      <w:r>
        <w:rPr/>
        <w:t>Este capítulo demuestra los alcances de la televisión y su capacidad intrusiva que invade aspectos de la conciencia, engendrando un tipo de hombre moldeado  a través de la mediatización. Desde este enfoque, la libertad atributo del ser humano y la conciencia que integra la racionalidad y la calidad moral de los individuos es afectada por los mensajes transmitidos a través de este aparato que se convierte en promotor de estilo de vida, guía moral, difusor de costumbres, reproductor de eventos recreativos que llenan los espacios éticos y estéticos de la vida humana. Ahora bien, saber hasta donde puede llegar su influencia, su capacidad de regulación, su manejo del poder y la libertad, es el propósito de este apartado.</w:t>
      </w:r>
    </w:p>
    <w:p>
      <w:pPr>
        <w:pStyle w:val="BodyText"/>
        <w:spacing w:line="345" w:lineRule="auto" w:before="2"/>
        <w:ind w:left="264" w:right="212" w:firstLine="271"/>
        <w:jc w:val="both"/>
      </w:pPr>
      <w:r>
        <w:rPr/>
        <w:t>La televisión establece con el televidente una relación que afecta el contexto cultural en el que éste se desenvuelve, le presenta una gran diversidad socio- cultural que a la vez es limitada a través del pensamiento abismal </w:t>
      </w:r>
      <w:r>
        <w:rPr>
          <w:position w:val="11"/>
          <w:sz w:val="16"/>
        </w:rPr>
        <w:t>307</w:t>
      </w:r>
      <w:r>
        <w:rPr/>
        <w:t>que da por</w:t>
      </w:r>
    </w:p>
    <w:p>
      <w:pPr>
        <w:pStyle w:val="BodyText"/>
        <w:spacing w:line="355" w:lineRule="auto" w:before="5"/>
        <w:ind w:left="264" w:right="212"/>
        <w:jc w:val="both"/>
      </w:pPr>
      <w:r>
        <w:rPr/>
        <w:t>fehaciente lo que la programación televisiva le presenta; que comparte, de  acuerdo con De Sousa Santos, saberes e ignorancias, creencias y ciencia: “El pensamiento occidental moderno es un pensamiento abismal. Este consiste en un sistema de distinciones visibles e invisibles, las invisibles constituyen el fundamento de las visibles”.</w:t>
      </w:r>
      <w:r>
        <w:rPr>
          <w:position w:val="11"/>
          <w:sz w:val="16"/>
        </w:rPr>
        <w:t>308 </w:t>
      </w:r>
      <w:r>
        <w:rPr/>
        <w:t>Esta forma de pensar basada en la regulación y el orden desde una perspectiva de pensamiento colonizador, mitifica y oculta ideas como algo externo al individuo, y proporciona a la vez seguridad de sus creencias, que</w:t>
      </w:r>
      <w:r>
        <w:rPr>
          <w:spacing w:val="28"/>
        </w:rPr>
        <w:t> </w:t>
      </w:r>
      <w:r>
        <w:rPr/>
        <w:t>se</w:t>
      </w:r>
      <w:r>
        <w:rPr>
          <w:spacing w:val="28"/>
        </w:rPr>
        <w:t> </w:t>
      </w:r>
      <w:r>
        <w:rPr/>
        <w:t>transforman</w:t>
      </w:r>
      <w:r>
        <w:rPr>
          <w:spacing w:val="28"/>
        </w:rPr>
        <w:t> </w:t>
      </w:r>
      <w:r>
        <w:rPr/>
        <w:t>en</w:t>
      </w:r>
      <w:r>
        <w:rPr>
          <w:spacing w:val="28"/>
        </w:rPr>
        <w:t> </w:t>
      </w:r>
      <w:r>
        <w:rPr/>
        <w:t>únicas</w:t>
      </w:r>
      <w:r>
        <w:rPr>
          <w:spacing w:val="30"/>
        </w:rPr>
        <w:t> </w:t>
      </w:r>
      <w:r>
        <w:rPr/>
        <w:t>e</w:t>
      </w:r>
      <w:r>
        <w:rPr>
          <w:spacing w:val="28"/>
        </w:rPr>
        <w:t> </w:t>
      </w:r>
      <w:r>
        <w:rPr/>
        <w:t>inamovibles</w:t>
      </w:r>
      <w:r>
        <w:rPr>
          <w:spacing w:val="30"/>
        </w:rPr>
        <w:t> </w:t>
      </w:r>
      <w:r>
        <w:rPr/>
        <w:t>que</w:t>
      </w:r>
      <w:r>
        <w:rPr>
          <w:spacing w:val="28"/>
        </w:rPr>
        <w:t> </w:t>
      </w:r>
      <w:r>
        <w:rPr/>
        <w:t>le</w:t>
      </w:r>
      <w:r>
        <w:rPr>
          <w:spacing w:val="28"/>
        </w:rPr>
        <w:t> </w:t>
      </w:r>
      <w:r>
        <w:rPr/>
        <w:t>dan</w:t>
      </w:r>
      <w:r>
        <w:rPr>
          <w:spacing w:val="28"/>
        </w:rPr>
        <w:t> </w:t>
      </w:r>
      <w:r>
        <w:rPr/>
        <w:t>identidad</w:t>
      </w:r>
      <w:r>
        <w:rPr>
          <w:spacing w:val="28"/>
        </w:rPr>
        <w:t> </w:t>
      </w:r>
      <w:r>
        <w:rPr/>
        <w:t>y</w:t>
      </w:r>
      <w:r>
        <w:rPr>
          <w:spacing w:val="26"/>
        </w:rPr>
        <w:t> </w:t>
      </w:r>
      <w:r>
        <w:rPr/>
        <w:t>fundamento</w:t>
      </w:r>
    </w:p>
    <w:p>
      <w:pPr>
        <w:pStyle w:val="BodyText"/>
        <w:spacing w:line="360" w:lineRule="auto" w:before="12"/>
        <w:ind w:left="264" w:right="217"/>
        <w:jc w:val="both"/>
      </w:pPr>
      <w:r>
        <w:rPr/>
        <w:t>social. Sin embargo, el poder de colonización y normatividad de la vida cotidiana de las sociedades actuales se transforma en eje rector, que limita las acciones humanas y las determina en un proceso de acotamiento de su creatividad. Dando como resultado cadenas de mando en las que se definen estructuras y sistemas, de las que se desprende la forma como los individuos toman decisiones, y eligen las acciones, que tras un proceso de selectividad normativa, incorporan a su cotidianeidad.</w:t>
      </w:r>
    </w:p>
    <w:p>
      <w:pPr>
        <w:pStyle w:val="BodyText"/>
        <w:rPr>
          <w:sz w:val="20"/>
        </w:rPr>
      </w:pPr>
    </w:p>
    <w:p>
      <w:pPr>
        <w:pStyle w:val="BodyText"/>
        <w:spacing w:before="6"/>
        <w:rPr>
          <w:sz w:val="16"/>
        </w:rPr>
      </w:pPr>
      <w:r>
        <w:rPr/>
        <w:pict>
          <v:line style="position:absolute;mso-position-horizontal-relative:page;mso-position-vertical-relative:paragraph;z-index:8608;mso-wrap-distance-left:0;mso-wrap-distance-right:0" from="99.224998pt,11.759865pt" to="243.274998pt,11.759865pt" stroked="true" strokeweight=".60004pt" strokecolor="#000000">
            <w10:wrap type="topAndBottom"/>
          </v:line>
        </w:pict>
      </w:r>
    </w:p>
    <w:p>
      <w:pPr>
        <w:spacing w:line="236" w:lineRule="exact" w:before="46"/>
        <w:ind w:left="264" w:right="0" w:firstLine="0"/>
        <w:jc w:val="left"/>
        <w:rPr>
          <w:rFonts w:ascii="Calibri" w:hAnsi="Calibri"/>
          <w:sz w:val="18"/>
        </w:rPr>
      </w:pPr>
      <w:r>
        <w:rPr>
          <w:rFonts w:ascii="Calibri" w:hAnsi="Calibri"/>
          <w:position w:val="9"/>
          <w:sz w:val="12"/>
        </w:rPr>
        <w:t>307 </w:t>
      </w:r>
      <w:r>
        <w:rPr>
          <w:rFonts w:ascii="Calibri" w:hAnsi="Calibri"/>
          <w:sz w:val="18"/>
        </w:rPr>
        <w:t>Véase De Sousa Santos, </w:t>
      </w:r>
      <w:r>
        <w:rPr>
          <w:rFonts w:ascii="Calibri" w:hAnsi="Calibri"/>
          <w:i/>
          <w:sz w:val="18"/>
        </w:rPr>
        <w:t>Óp. cit</w:t>
      </w:r>
      <w:r>
        <w:rPr>
          <w:rFonts w:ascii="Calibri" w:hAnsi="Calibri"/>
          <w:sz w:val="18"/>
        </w:rPr>
        <w:t>., p. 166</w:t>
      </w:r>
    </w:p>
    <w:p>
      <w:pPr>
        <w:spacing w:line="236" w:lineRule="exact" w:before="0"/>
        <w:ind w:left="264" w:right="0" w:firstLine="0"/>
        <w:jc w:val="left"/>
        <w:rPr>
          <w:rFonts w:ascii="Calibri" w:hAnsi="Calibri"/>
          <w:sz w:val="18"/>
        </w:rPr>
      </w:pPr>
      <w:r>
        <w:rPr>
          <w:rFonts w:ascii="Calibri" w:hAnsi="Calibri"/>
          <w:position w:val="9"/>
          <w:sz w:val="12"/>
        </w:rPr>
        <w:t>308 </w:t>
      </w:r>
      <w:r>
        <w:rPr>
          <w:rFonts w:ascii="Calibri" w:hAnsi="Calibri"/>
          <w:i/>
          <w:sz w:val="18"/>
        </w:rPr>
        <w:t>Ídem</w:t>
      </w:r>
      <w:r>
        <w:rPr>
          <w:rFonts w:ascii="Calibri" w:hAnsi="Calibri"/>
          <w:sz w:val="18"/>
        </w:rPr>
        <w:t>.</w:t>
      </w:r>
    </w:p>
    <w:p>
      <w:pPr>
        <w:spacing w:after="0" w:line="236"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868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6" w:firstLine="336"/>
        <w:jc w:val="both"/>
      </w:pPr>
      <w:r>
        <w:rPr/>
        <w:t>En este sentido y tras este enfoque existe el supuesto de que cada individuo inmerso en un grupo social se encuentra en la posibilidad de ejercer un código de poder, ahora bien el problema radica en la forma como hará uso de ese poder y sobre todo cuál será el modelo simbólico que utilizará para ejecutar las acciones de selectividad; en la sociedad del siglo XXI, estos códigos son difundidos a través de los mcm que para ello cuentan con elementos que tienen la facultad de ser facilitadores de expansión de los modelos</w:t>
      </w:r>
      <w:r>
        <w:rPr>
          <w:spacing w:val="-27"/>
        </w:rPr>
        <w:t> </w:t>
      </w:r>
      <w:r>
        <w:rPr/>
        <w:t>societales.</w:t>
      </w:r>
    </w:p>
    <w:p>
      <w:pPr>
        <w:pStyle w:val="BodyText"/>
        <w:spacing w:line="360" w:lineRule="auto" w:before="2"/>
        <w:ind w:left="684" w:right="115" w:firstLine="404"/>
        <w:jc w:val="both"/>
      </w:pPr>
      <w:r>
        <w:rPr/>
        <w:t>La posibilidad de seleccionar dentro de una gama de estructuras simbólicas está determinada por las alternativas que se ofrecen al usuario y la capacidad que ha desarrollado para determinar si se incorpora o abandona el sistema. Este hecho, planteado de esta manera, dependerá en absoluto de los elementos formativos a los que ha tenido acceso el individuo, proporcionados por las diversas instituciones en que se diversifica el sistema: estado, familia, escuela, medios de comunicación masiva (Televisión, radio, medios impresos), religión, instituciones laborales, etc.</w:t>
      </w:r>
    </w:p>
    <w:p>
      <w:pPr>
        <w:pStyle w:val="BodyText"/>
        <w:spacing w:line="360" w:lineRule="auto" w:before="2"/>
        <w:ind w:left="684" w:right="119" w:firstLine="271"/>
        <w:jc w:val="both"/>
      </w:pPr>
      <w:r>
        <w:rPr/>
        <w:t>Estas instituciones y los medios de comunicación se encargan de ubicar a cada miembro en el espacio que le corresponde dentro del sistema, así como la relevancia que tiene para el mismo, misma que depende del nivel de aceptación y obediencia (de aceptación del sistema-estado y de obediencia del individuo).</w:t>
      </w:r>
    </w:p>
    <w:p>
      <w:pPr>
        <w:pStyle w:val="BodyText"/>
        <w:spacing w:before="5"/>
        <w:rPr>
          <w:sz w:val="33"/>
        </w:rPr>
      </w:pPr>
    </w:p>
    <w:p>
      <w:pPr>
        <w:spacing w:line="235" w:lineRule="auto" w:before="0"/>
        <w:ind w:left="1537" w:right="113" w:firstLine="0"/>
        <w:jc w:val="both"/>
        <w:rPr>
          <w:sz w:val="14"/>
        </w:rPr>
      </w:pPr>
      <w:r>
        <w:rPr>
          <w:sz w:val="22"/>
        </w:rPr>
        <w:t>La organización presume que el rol de los miembros en el  sistema  es contingente, es decir, que un no miembro podría llegar a ser miembro, pero que también los miembros podrían llegar a ser no miembros, en otras palabras, que existe un fondo de reclutamiento de posibles miembros y que es posible que los miembros se vayan o que se les eche. Esta es un área de contingencia. </w:t>
      </w:r>
      <w:r>
        <w:rPr>
          <w:position w:val="10"/>
          <w:sz w:val="14"/>
        </w:rPr>
        <w:t>309</w:t>
      </w:r>
    </w:p>
    <w:p>
      <w:pPr>
        <w:pStyle w:val="BodyText"/>
        <w:spacing w:before="1"/>
        <w:rPr>
          <w:sz w:val="33"/>
        </w:rPr>
      </w:pPr>
    </w:p>
    <w:p>
      <w:pPr>
        <w:pStyle w:val="BodyText"/>
        <w:spacing w:line="360" w:lineRule="auto"/>
        <w:ind w:left="684" w:right="121" w:firstLine="336"/>
        <w:jc w:val="both"/>
      </w:pPr>
      <w:r>
        <w:rPr/>
        <w:t>Las reglas y los códigos establecidos, difundidas por los medios funcionan como catalizadores para formalizar el proceso de elecciones asumido por cada miembro, quien será aceptado dentro del sistema, de acuerdo a su capacidad para ofrecerse como un elemento necesario en la imbricación de relaciones de autoridad, dominio y sometimiento.</w:t>
      </w:r>
    </w:p>
    <w:p>
      <w:pPr>
        <w:pStyle w:val="BodyText"/>
        <w:rPr>
          <w:sz w:val="20"/>
        </w:rPr>
      </w:pPr>
    </w:p>
    <w:p>
      <w:pPr>
        <w:pStyle w:val="BodyText"/>
        <w:rPr>
          <w:sz w:val="20"/>
        </w:rPr>
      </w:pPr>
    </w:p>
    <w:p>
      <w:pPr>
        <w:pStyle w:val="BodyText"/>
        <w:spacing w:before="9"/>
        <w:rPr>
          <w:sz w:val="27"/>
        </w:rPr>
      </w:pPr>
      <w:r>
        <w:rPr/>
        <w:pict>
          <v:line style="position:absolute;mso-position-horizontal-relative:page;mso-position-vertical-relative:paragraph;z-index:8656;mso-wrap-distance-left:0;mso-wrap-distance-right:0" from="99.224998pt,18.260841pt" to="243.274998pt,18.260841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309   </w:t>
      </w:r>
      <w:r>
        <w:rPr>
          <w:rFonts w:ascii="Calibri" w:hAnsi="Calibri"/>
          <w:sz w:val="18"/>
        </w:rPr>
        <w:t>LUHMAN, Niklas, Ó</w:t>
      </w:r>
      <w:r>
        <w:rPr>
          <w:rFonts w:ascii="Calibri" w:hAnsi="Calibri"/>
          <w:i/>
          <w:sz w:val="18"/>
        </w:rPr>
        <w:t>p. Cit.</w:t>
      </w:r>
      <w:r>
        <w:rPr>
          <w:rFonts w:ascii="Calibri" w:hAnsi="Calibri"/>
          <w:sz w:val="18"/>
        </w:rPr>
        <w:t>, p. 7.</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872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0" w:lineRule="auto" w:before="70"/>
        <w:ind w:left="264" w:right="214" w:firstLine="336"/>
        <w:jc w:val="both"/>
      </w:pPr>
      <w:r>
        <w:rPr/>
        <w:t>Aún cuando muchas veces el ser humano se pierde en esa posibilidad de su potencialidad, en esa posibilidad de ser poder. Por ejemplo para Trías Eugenio: “Nada sabemos acerca de nuestro poder. Cada cual tiene un poder que es su poder.”</w:t>
      </w:r>
      <w:r>
        <w:rPr>
          <w:position w:val="11"/>
          <w:sz w:val="16"/>
        </w:rPr>
        <w:t>310     </w:t>
      </w:r>
      <w:r>
        <w:rPr/>
        <w:t>De   está   manera   poder   y   decisión,   elección   y   </w:t>
      </w:r>
      <w:r>
        <w:rPr>
          <w:spacing w:val="55"/>
        </w:rPr>
        <w:t> </w:t>
      </w:r>
      <w:r>
        <w:rPr/>
        <w:t>determinación,</w:t>
      </w:r>
    </w:p>
    <w:p>
      <w:pPr>
        <w:pStyle w:val="BodyText"/>
        <w:spacing w:line="360" w:lineRule="auto"/>
        <w:ind w:left="264" w:right="214"/>
        <w:jc w:val="both"/>
      </w:pPr>
      <w:r>
        <w:rPr/>
        <w:t>sometimiento y disciplina serán las acciones que estructuren el sistema. Así, el  uso de la libertad individual se relaciona con el poder que restringe la posibilidad de tomar decisiones sobre que orden obedecer, bajo el supuesto de que al ceder la libertad se garantiza el bienestar y la seguridad. Esta voluntad transformada por la irrupción de lo que viene de fuera se transforma en lo extraño que se asimila en la posibilidad de</w:t>
      </w:r>
      <w:r>
        <w:rPr>
          <w:spacing w:val="-16"/>
        </w:rPr>
        <w:t> </w:t>
      </w:r>
      <w:r>
        <w:rPr/>
        <w:t>ser.</w:t>
      </w:r>
    </w:p>
    <w:p>
      <w:pPr>
        <w:pStyle w:val="BodyText"/>
        <w:spacing w:before="11"/>
        <w:rPr>
          <w:sz w:val="35"/>
        </w:rPr>
      </w:pPr>
    </w:p>
    <w:p>
      <w:pPr>
        <w:pStyle w:val="Heading3"/>
        <w:numPr>
          <w:ilvl w:val="0"/>
          <w:numId w:val="8"/>
        </w:numPr>
        <w:tabs>
          <w:tab w:pos="869" w:val="left" w:leader="none"/>
        </w:tabs>
        <w:spacing w:line="240" w:lineRule="auto" w:before="0" w:after="0"/>
        <w:ind w:left="869" w:right="0" w:hanging="268"/>
        <w:jc w:val="left"/>
        <w:rPr>
          <w:rFonts w:ascii="Arial"/>
        </w:rPr>
      </w:pPr>
      <w:bookmarkStart w:name="_TOC_250014" w:id="10"/>
      <w:r>
        <w:rPr>
          <w:rFonts w:ascii="Arial"/>
        </w:rPr>
        <w:t>EL ser humano desde el poder de la influencia</w:t>
      </w:r>
      <w:r>
        <w:rPr>
          <w:rFonts w:ascii="Arial"/>
          <w:spacing w:val="-24"/>
        </w:rPr>
        <w:t> </w:t>
      </w:r>
      <w:bookmarkEnd w:id="10"/>
      <w:r>
        <w:rPr>
          <w:rFonts w:ascii="Arial"/>
        </w:rPr>
        <w:t>televisiva</w:t>
      </w:r>
    </w:p>
    <w:p>
      <w:pPr>
        <w:pStyle w:val="BodyText"/>
        <w:rPr>
          <w:b/>
        </w:rPr>
      </w:pPr>
    </w:p>
    <w:p>
      <w:pPr>
        <w:pStyle w:val="BodyText"/>
        <w:spacing w:before="4"/>
        <w:rPr>
          <w:b/>
        </w:rPr>
      </w:pPr>
    </w:p>
    <w:p>
      <w:pPr>
        <w:pStyle w:val="BodyText"/>
        <w:spacing w:line="355" w:lineRule="auto"/>
        <w:ind w:left="264" w:right="214" w:firstLine="271"/>
        <w:jc w:val="both"/>
      </w:pPr>
      <w:r>
        <w:rPr/>
        <w:t>Como se ha mencionado, el poder es un medio de comunicación social y el Estado el portador del mismo; Luhman afirma,</w:t>
      </w:r>
      <w:r>
        <w:rPr>
          <w:position w:val="11"/>
          <w:sz w:val="16"/>
        </w:rPr>
        <w:t>311 </w:t>
      </w:r>
      <w:r>
        <w:rPr/>
        <w:t>que el poder es un código de símbolos que una vez generalizado organiza y disciplina a los integrantes de un grupo. Este poder en las sociedades complejas no significa coerción o violencia sino que consiste en la posibilidad de que dispone un sujeto o una pluralidad de sujetos de elegir una alternativa para otros sujetos. De hecho se convierte en la</w:t>
      </w:r>
    </w:p>
    <w:p>
      <w:pPr>
        <w:pStyle w:val="BodyText"/>
        <w:spacing w:line="360" w:lineRule="auto" w:before="7"/>
        <w:ind w:left="264" w:right="214"/>
        <w:jc w:val="both"/>
      </w:pPr>
      <w:r>
        <w:rPr/>
        <w:t>facultad de reducir la complejidad para otros, haciéndose un medio indispensable para la sobrevivencia del grupo social. No obstante, la relevancia está en comprender de qué manera el poder, después de ser un elemento necesario para esta organización social y la integración de la individualidad, se transforma en un elemento negativo y destructor de la creatividad y la libertad.</w:t>
      </w:r>
    </w:p>
    <w:p>
      <w:pPr>
        <w:pStyle w:val="BodyText"/>
        <w:spacing w:line="360" w:lineRule="auto" w:before="6"/>
        <w:ind w:left="264" w:right="213" w:firstLine="404"/>
        <w:jc w:val="both"/>
      </w:pPr>
      <w:r>
        <w:rPr/>
        <w:pict>
          <v:line style="position:absolute;mso-position-horizontal-relative:page;mso-position-vertical-relative:paragraph;z-index:8704;mso-wrap-distance-left:0;mso-wrap-distance-right:0" from="99.224998pt,126.880836pt" to="243.274998pt,126.880836pt" stroked="true" strokeweight=".60004pt" strokecolor="#000000">
            <w10:wrap type="topAndBottom"/>
          </v:line>
        </w:pict>
      </w:r>
      <w:r>
        <w:rPr/>
        <w:t>El origen del poder como elemento de cohesión, se encuentra en la sociedad contractual, y se fundamenta en el poder del ciudadano, en la convención de acuerdos, en el ejercicio de la soberanía; aún así, estos principios básicos del poder político, son esquivados por quienes lo detentan para preservar el estado de cosas vigente. Bajo una pseudo-democracia se mantiene utilizando todos los medios a su alcance para lograr sus objetivos de control y dominación. Y para esto</w:t>
      </w:r>
    </w:p>
    <w:p>
      <w:pPr>
        <w:spacing w:line="236" w:lineRule="exact" w:before="46"/>
        <w:ind w:left="264" w:right="0" w:firstLine="0"/>
        <w:jc w:val="left"/>
        <w:rPr>
          <w:rFonts w:ascii="Calibri" w:hAnsi="Calibri"/>
          <w:sz w:val="18"/>
        </w:rPr>
      </w:pPr>
      <w:r>
        <w:rPr>
          <w:rFonts w:ascii="Calibri" w:hAnsi="Calibri"/>
          <w:position w:val="9"/>
          <w:sz w:val="12"/>
        </w:rPr>
        <w:t>310 </w:t>
      </w:r>
      <w:r>
        <w:rPr>
          <w:rFonts w:ascii="Calibri" w:hAnsi="Calibri"/>
          <w:sz w:val="18"/>
        </w:rPr>
        <w:t>TRÍAS, Eugenio, </w:t>
      </w:r>
      <w:r>
        <w:rPr>
          <w:rFonts w:ascii="Calibri" w:hAnsi="Calibri"/>
          <w:i/>
          <w:sz w:val="18"/>
        </w:rPr>
        <w:t>Meditación sobre el poder</w:t>
      </w:r>
      <w:r>
        <w:rPr>
          <w:rFonts w:ascii="Calibri" w:hAnsi="Calibri"/>
          <w:sz w:val="18"/>
        </w:rPr>
        <w:t>, Anagrama, Barcelona, 1993, p. 35.</w:t>
      </w:r>
    </w:p>
    <w:p>
      <w:pPr>
        <w:spacing w:line="236" w:lineRule="exact" w:before="0"/>
        <w:ind w:left="264" w:right="0" w:firstLine="0"/>
        <w:jc w:val="left"/>
        <w:rPr>
          <w:rFonts w:ascii="Calibri" w:hAnsi="Calibri"/>
          <w:sz w:val="18"/>
        </w:rPr>
      </w:pPr>
      <w:r>
        <w:rPr>
          <w:rFonts w:ascii="Calibri" w:hAnsi="Calibri"/>
          <w:position w:val="9"/>
          <w:sz w:val="12"/>
        </w:rPr>
        <w:t>311    </w:t>
      </w:r>
      <w:r>
        <w:rPr>
          <w:rFonts w:ascii="Calibri" w:hAnsi="Calibri"/>
          <w:i/>
          <w:sz w:val="18"/>
        </w:rPr>
        <w:t>Ibíd</w:t>
      </w:r>
      <w:r>
        <w:rPr>
          <w:rFonts w:ascii="Calibri" w:hAnsi="Calibri"/>
          <w:sz w:val="18"/>
        </w:rPr>
        <w:t>. p. 139</w:t>
      </w:r>
    </w:p>
    <w:p>
      <w:pPr>
        <w:spacing w:after="0" w:line="236"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877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9"/>
        <w:jc w:val="both"/>
      </w:pPr>
      <w:r>
        <w:rPr/>
        <w:t>el televisor como medio de comunicación de masas ha cumplido su papel como mensajero del sistema y reproductor del mismo: “Esta tendencia se ha tornado extrema en las condiciones del neoliberalismo, que es, básicamente, una doctrina cuyo objetivo es la destrucción de la democracia mediante la eliminación del espacio público, al poner las decisiones gubernamentales, en lo fundamental, en manos de los mercados financieros, […].</w:t>
      </w:r>
      <w:r>
        <w:rPr>
          <w:position w:val="10"/>
          <w:sz w:val="14"/>
        </w:rPr>
        <w:t>312 </w:t>
      </w:r>
      <w:r>
        <w:rPr/>
        <w:t>Y de los medios de comunicación masiva.</w:t>
      </w:r>
    </w:p>
    <w:p>
      <w:pPr>
        <w:pStyle w:val="BodyText"/>
        <w:spacing w:line="360" w:lineRule="auto" w:before="2"/>
        <w:ind w:left="684" w:right="117" w:firstLine="271"/>
        <w:jc w:val="both"/>
      </w:pPr>
      <w:r>
        <w:rPr/>
        <w:t>La sociedad de masas se ha rendido en torno a las decisiones del Estado, quien utiliza a la televisión para obtener el sometimiento del individuo. Ante un panorama que obliga a plantear la realidad de las naciones así como el alcance de su </w:t>
      </w:r>
      <w:r>
        <w:rPr>
          <w:spacing w:val="53"/>
        </w:rPr>
        <w:t> </w:t>
      </w:r>
      <w:r>
        <w:rPr/>
        <w:t>poder</w:t>
      </w:r>
    </w:p>
    <w:p>
      <w:pPr>
        <w:pStyle w:val="BodyText"/>
        <w:spacing w:line="345" w:lineRule="auto" w:before="5"/>
        <w:ind w:left="684" w:right="117"/>
        <w:jc w:val="both"/>
      </w:pPr>
      <w:r>
        <w:rPr/>
        <w:t>sobre la soberanía de los ciudadanos, que condicionados por el pensamiento colonizador/regulador </w:t>
      </w:r>
      <w:r>
        <w:rPr>
          <w:position w:val="11"/>
          <w:sz w:val="16"/>
        </w:rPr>
        <w:t>313 </w:t>
      </w:r>
      <w:r>
        <w:rPr/>
        <w:t>aceptan el estado de cosas que el sistema les sugiere (impone) a partir de los instrumentos comunicativos con los que cuenta.</w:t>
      </w:r>
    </w:p>
    <w:p>
      <w:pPr>
        <w:pStyle w:val="BodyText"/>
        <w:spacing w:line="350" w:lineRule="auto" w:before="18"/>
        <w:ind w:left="684" w:right="121" w:firstLine="271"/>
        <w:jc w:val="both"/>
      </w:pPr>
      <w:r>
        <w:rPr/>
        <w:t>De acuerdo con Luhmann el sistema de comunicación, en sí, ejerce un papel determinante en el desarrollo de las estructuras de poder. Este sistema hace posible que una serie de símbolos hagan comunes los intereses de los involucrados en un sistema o grupo</w:t>
      </w:r>
      <w:r>
        <w:rPr>
          <w:position w:val="11"/>
          <w:sz w:val="16"/>
        </w:rPr>
        <w:t>314</w:t>
      </w:r>
      <w:r>
        <w:rPr/>
        <w:t>. Este simbolismo que se reconoce en los códigos simbólicos</w:t>
      </w:r>
      <w:r>
        <w:rPr>
          <w:position w:val="11"/>
          <w:sz w:val="16"/>
        </w:rPr>
        <w:t>315 </w:t>
      </w:r>
      <w:r>
        <w:rPr/>
        <w:t>se representa principalmente en el lenguaje, escrito, oral o mímico o en los diferentes elementos que establecen la identidad de la población. Sin embargo, se  debe  hacer notar como ese lenguaje  y el  uso  del  mismo tiene</w:t>
      </w:r>
    </w:p>
    <w:p>
      <w:pPr>
        <w:pStyle w:val="BodyText"/>
        <w:spacing w:line="357" w:lineRule="auto" w:before="16"/>
        <w:ind w:left="684" w:right="121"/>
        <w:jc w:val="both"/>
      </w:pPr>
      <w:r>
        <w:rPr/>
        <w:t>diferentes expresiones en cuanto si se es portador del poder, o para quien es subordinado.</w:t>
      </w:r>
    </w:p>
    <w:p>
      <w:pPr>
        <w:pStyle w:val="BodyText"/>
        <w:spacing w:line="350" w:lineRule="auto" w:before="8"/>
        <w:ind w:left="684" w:right="118" w:firstLine="336"/>
        <w:jc w:val="both"/>
      </w:pPr>
      <w:r>
        <w:rPr/>
        <w:t>Desde este punto de vista el poder constituido a partir del código define la posición de cada individuo en un espacio social. Luhman considera que: “Las estructuras con características de código parecen extremadamente significativas, tal vez incluso indispensables, para la construcción de sistemas complejos.”</w:t>
      </w:r>
      <w:r>
        <w:rPr>
          <w:position w:val="11"/>
          <w:sz w:val="16"/>
        </w:rPr>
        <w:t>316  </w:t>
      </w:r>
      <w:r>
        <w:rPr/>
        <w:t>Así</w:t>
      </w:r>
    </w:p>
    <w:p>
      <w:pPr>
        <w:pStyle w:val="BodyText"/>
        <w:spacing w:line="275" w:lineRule="exact"/>
        <w:ind w:left="684"/>
        <w:jc w:val="both"/>
      </w:pPr>
      <w:r>
        <w:rPr/>
        <w:t>para cada tipo de sociedad</w:t>
      </w:r>
      <w:r>
        <w:rPr>
          <w:spacing w:val="53"/>
        </w:rPr>
        <w:t> </w:t>
      </w:r>
      <w:r>
        <w:rPr/>
        <w:t>se</w:t>
      </w:r>
      <w:r>
        <w:rPr>
          <w:spacing w:val="54"/>
        </w:rPr>
        <w:t> </w:t>
      </w:r>
      <w:r>
        <w:rPr/>
        <w:t>puede generar</w:t>
      </w:r>
      <w:r>
        <w:rPr>
          <w:spacing w:val="54"/>
        </w:rPr>
        <w:t> </w:t>
      </w:r>
      <w:r>
        <w:rPr/>
        <w:t>un tipo</w:t>
      </w:r>
      <w:r>
        <w:rPr>
          <w:spacing w:val="54"/>
        </w:rPr>
        <w:t> </w:t>
      </w:r>
      <w:r>
        <w:rPr/>
        <w:t>de código</w:t>
      </w:r>
      <w:r>
        <w:rPr>
          <w:spacing w:val="53"/>
        </w:rPr>
        <w:t> </w:t>
      </w:r>
      <w:r>
        <w:rPr/>
        <w:t>diferente.</w:t>
      </w:r>
      <w:r>
        <w:rPr>
          <w:spacing w:val="52"/>
        </w:rPr>
        <w:t> </w:t>
      </w:r>
      <w:r>
        <w:rPr/>
        <w:t>La</w:t>
      </w:r>
    </w:p>
    <w:p>
      <w:pPr>
        <w:pStyle w:val="BodyText"/>
        <w:rPr>
          <w:sz w:val="20"/>
        </w:rPr>
      </w:pPr>
    </w:p>
    <w:p>
      <w:pPr>
        <w:pStyle w:val="BodyText"/>
        <w:spacing w:before="6"/>
        <w:rPr>
          <w:sz w:val="12"/>
        </w:rPr>
      </w:pPr>
      <w:r>
        <w:rPr/>
        <w:pict>
          <v:line style="position:absolute;mso-position-horizontal-relative:page;mso-position-vertical-relative:paragraph;z-index:8752;mso-wrap-distance-left:0;mso-wrap-distance-right:0" from="99.224998pt,9.487994pt" to="243.274998pt,9.487994pt" stroked="true" strokeweight=".60004pt" strokecolor="#000000">
            <w10:wrap type="topAndBottom"/>
          </v:line>
        </w:pict>
      </w:r>
    </w:p>
    <w:p>
      <w:pPr>
        <w:spacing w:before="46"/>
        <w:ind w:left="684" w:right="118" w:firstLine="0"/>
        <w:jc w:val="left"/>
        <w:rPr>
          <w:rFonts w:ascii="Calibri" w:hAnsi="Calibri"/>
          <w:sz w:val="18"/>
        </w:rPr>
      </w:pPr>
      <w:r>
        <w:rPr>
          <w:rFonts w:ascii="Calibri" w:hAnsi="Calibri"/>
          <w:position w:val="9"/>
          <w:sz w:val="12"/>
        </w:rPr>
        <w:t>312 </w:t>
      </w:r>
      <w:r>
        <w:rPr>
          <w:rFonts w:ascii="Calibri" w:hAnsi="Calibri"/>
          <w:sz w:val="18"/>
        </w:rPr>
        <w:t>PRIETO González, Alfredo, “Encuentro con Noam Chomsky”, Revista </w:t>
      </w:r>
      <w:r>
        <w:rPr>
          <w:rFonts w:ascii="Calibri" w:hAnsi="Calibri"/>
          <w:i/>
          <w:sz w:val="18"/>
        </w:rPr>
        <w:t>TEMAS, Cultura, Ideología y Sociedad</w:t>
      </w:r>
      <w:r>
        <w:rPr>
          <w:rFonts w:ascii="Calibri" w:hAnsi="Calibri"/>
          <w:sz w:val="18"/>
        </w:rPr>
        <w:t>, No. 35, Octubre-diciembre, 2003, La Habana Cuba, p. 87.</w:t>
      </w:r>
    </w:p>
    <w:p>
      <w:pPr>
        <w:spacing w:line="205" w:lineRule="exact" w:before="0"/>
        <w:ind w:left="684" w:right="114" w:firstLine="0"/>
        <w:jc w:val="left"/>
        <w:rPr>
          <w:rFonts w:ascii="Calibri" w:hAnsi="Calibri"/>
          <w:sz w:val="18"/>
        </w:rPr>
      </w:pPr>
      <w:r>
        <w:rPr>
          <w:rFonts w:ascii="Calibri" w:hAnsi="Calibri"/>
          <w:position w:val="9"/>
          <w:sz w:val="12"/>
        </w:rPr>
        <w:t>313    </w:t>
      </w:r>
      <w:r>
        <w:rPr>
          <w:rFonts w:ascii="Calibri" w:hAnsi="Calibri"/>
          <w:sz w:val="18"/>
        </w:rPr>
        <w:t>Véase Boaventura de Sousa Santos, “Una epistemología del sur”.</w:t>
      </w:r>
    </w:p>
    <w:p>
      <w:pPr>
        <w:spacing w:line="219" w:lineRule="exact" w:before="0"/>
        <w:ind w:left="684" w:right="114" w:firstLine="0"/>
        <w:jc w:val="left"/>
        <w:rPr>
          <w:rFonts w:ascii="Calibri" w:hAnsi="Calibri"/>
          <w:sz w:val="18"/>
        </w:rPr>
      </w:pPr>
      <w:r>
        <w:rPr>
          <w:position w:val="9"/>
          <w:sz w:val="12"/>
        </w:rPr>
        <w:t>314  </w:t>
      </w:r>
      <w:r>
        <w:rPr>
          <w:rFonts w:ascii="Calibri" w:hAnsi="Calibri"/>
          <w:sz w:val="18"/>
        </w:rPr>
        <w:t>Símbolos cuya reproducción concreta y abstracta es facilitada a través del medio televisivo.</w:t>
      </w:r>
    </w:p>
    <w:p>
      <w:pPr>
        <w:spacing w:line="220" w:lineRule="exact" w:before="0"/>
        <w:ind w:left="684" w:right="114" w:firstLine="0"/>
        <w:jc w:val="left"/>
        <w:rPr>
          <w:rFonts w:ascii="Calibri" w:hAnsi="Calibri"/>
          <w:sz w:val="18"/>
        </w:rPr>
      </w:pPr>
      <w:r>
        <w:rPr>
          <w:rFonts w:ascii="Calibri" w:hAnsi="Calibri"/>
          <w:position w:val="9"/>
          <w:sz w:val="12"/>
        </w:rPr>
        <w:t>315   </w:t>
      </w:r>
      <w:r>
        <w:rPr>
          <w:rFonts w:ascii="Calibri" w:hAnsi="Calibri"/>
          <w:sz w:val="18"/>
        </w:rPr>
        <w:t>LUHMAN, Niklas,  </w:t>
      </w:r>
      <w:r>
        <w:rPr>
          <w:rFonts w:ascii="Calibri" w:hAnsi="Calibri"/>
          <w:i/>
          <w:sz w:val="18"/>
        </w:rPr>
        <w:t>Óp. Cit. </w:t>
      </w:r>
      <w:r>
        <w:rPr>
          <w:rFonts w:ascii="Calibri" w:hAnsi="Calibri"/>
          <w:sz w:val="18"/>
        </w:rPr>
        <w:t>p. 47.</w:t>
      </w:r>
    </w:p>
    <w:p>
      <w:pPr>
        <w:spacing w:line="236" w:lineRule="exact" w:before="0"/>
        <w:ind w:left="684" w:right="114" w:firstLine="0"/>
        <w:jc w:val="left"/>
        <w:rPr>
          <w:rFonts w:ascii="Calibri" w:hAnsi="Calibri"/>
          <w:sz w:val="18"/>
        </w:rPr>
      </w:pPr>
      <w:r>
        <w:rPr>
          <w:rFonts w:ascii="Calibri" w:hAnsi="Calibri"/>
          <w:position w:val="9"/>
          <w:sz w:val="12"/>
        </w:rPr>
        <w:t>316   </w:t>
      </w:r>
      <w:r>
        <w:rPr>
          <w:rFonts w:ascii="Calibri" w:hAnsi="Calibri"/>
          <w:i/>
          <w:sz w:val="18"/>
        </w:rPr>
        <w:t>Ibíd. </w:t>
      </w:r>
      <w:r>
        <w:rPr>
          <w:rFonts w:ascii="Calibri" w:hAnsi="Calibri"/>
          <w:sz w:val="18"/>
        </w:rPr>
        <w:t>p. 48.</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882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7"/>
        <w:jc w:val="both"/>
      </w:pPr>
      <w:r>
        <w:rPr/>
        <w:t>estructura económica por ejemplo tiene como base el código del valor monetario, la estructura legislativa el código jurídico y en el rubro social la palabra como transmisora de los códigos de poder, haciendo hincapié que precisamente el código que impera en esta era es la</w:t>
      </w:r>
      <w:r>
        <w:rPr>
          <w:spacing w:val="-22"/>
        </w:rPr>
        <w:t> </w:t>
      </w:r>
      <w:r>
        <w:rPr/>
        <w:t>imagen.</w:t>
      </w:r>
    </w:p>
    <w:p>
      <w:pPr>
        <w:pStyle w:val="BodyText"/>
        <w:spacing w:line="360" w:lineRule="auto" w:before="6"/>
        <w:ind w:left="264" w:right="217" w:firstLine="336"/>
        <w:jc w:val="both"/>
      </w:pPr>
      <w:r>
        <w:rPr/>
        <w:t>Esta imagen promueve las interdependencias que se generan a nivel societal que se convierten en una muestra de las expectativas que cada integrante del grupo le asigna a la codificación de lo correcto o incorrecto, de lo que se puede evitar y de lo que se puede afirmar o negar. Todo esto es una evidencia de cómo los portadores del poder, a través de los medios de comunicación logran insertar en la sociedad este tipo de códigos.</w:t>
      </w:r>
    </w:p>
    <w:p>
      <w:pPr>
        <w:pStyle w:val="BodyText"/>
        <w:spacing w:line="360" w:lineRule="auto" w:before="6"/>
        <w:ind w:left="264" w:right="219" w:firstLine="271"/>
        <w:jc w:val="both"/>
      </w:pPr>
      <w:r>
        <w:rPr/>
        <w:t>Si bien, históricamente el medio de comunicación para difundir el código, más apropiado fue la voz directa, o la palabra escrita, el siglo pasado se caracterizó por el uso de los medios de comunicación masiva para hacer extensivo este código y, en el caso que nos ocupa, es el ente televisivo el instrumento más adecuado para la transmisión de ese código que afirma un estilo de organización social, de vida individual, una forma de dependencia y una forma del uso de la libertad.</w:t>
      </w:r>
    </w:p>
    <w:p>
      <w:pPr>
        <w:pStyle w:val="BodyText"/>
        <w:spacing w:line="360" w:lineRule="auto" w:before="6"/>
        <w:ind w:left="264" w:right="220" w:firstLine="336"/>
        <w:jc w:val="both"/>
      </w:pPr>
      <w:r>
        <w:rPr/>
        <w:t>El hombre moderno responde a una serie de condicionantes que lo ubican como poseedor de su libertad, con la conciencia de ser el único destinado a resolver su propia situación; así libertad y autonomía se supone son su característica. Sin embargo su propia naturaleza lo lleva a ser más dependiente que libre, a actuar más en forma inconsciente que consciente.</w:t>
      </w:r>
    </w:p>
    <w:p>
      <w:pPr>
        <w:pStyle w:val="BodyText"/>
        <w:spacing w:line="355" w:lineRule="auto" w:before="2"/>
        <w:ind w:left="264" w:right="218" w:firstLine="336"/>
        <w:jc w:val="both"/>
        <w:rPr>
          <w:sz w:val="16"/>
        </w:rPr>
      </w:pPr>
      <w:r>
        <w:rPr/>
        <w:t>El paradigma de la modernidad, bajo el sistema capitalista, promovió la libertad como el valor que fundamenta la productividad, el esfuerzo personal, el derecho a la protección de la propiedad y la independencia individual promoviendo espíritus aventureros, competitivos, exigentes e insatisfechos. Al respecto Fromm  dice: “Este sistema [...] desarrolló al individuo -y lo hizo más desamparado- aumentó la libertad- y creó nuevas especies de dependencia”.</w:t>
      </w:r>
      <w:r>
        <w:rPr>
          <w:position w:val="11"/>
          <w:sz w:val="16"/>
        </w:rPr>
        <w:t>317</w:t>
      </w:r>
    </w:p>
    <w:p>
      <w:pPr>
        <w:pStyle w:val="BodyText"/>
        <w:spacing w:line="360" w:lineRule="auto"/>
        <w:ind w:left="264" w:right="218" w:firstLine="336"/>
        <w:jc w:val="both"/>
      </w:pPr>
      <w:r>
        <w:rPr/>
        <w:t>La preparación psicológica de que ha sido objeto el individuo, a través de las instituciones políticas, la escuela, la iglesia y los medios de comunicación ha dado como resultado una sociedad en la que el individuo: “[...] se sintiera solo y aislado,</w:t>
      </w:r>
    </w:p>
    <w:p>
      <w:pPr>
        <w:pStyle w:val="BodyText"/>
        <w:spacing w:before="9"/>
        <w:rPr>
          <w:sz w:val="19"/>
        </w:rPr>
      </w:pPr>
      <w:r>
        <w:rPr/>
        <w:pict>
          <v:line style="position:absolute;mso-position-horizontal-relative:page;mso-position-vertical-relative:paragraph;z-index:8800;mso-wrap-distance-left:0;mso-wrap-distance-right:0" from="99.224998pt,13.653885pt" to="243.274998pt,13.653885pt" stroked="true" strokeweight=".60004pt" strokecolor="#000000">
            <w10:wrap type="topAndBottom"/>
          </v:line>
        </w:pict>
      </w:r>
    </w:p>
    <w:p>
      <w:pPr>
        <w:spacing w:before="46"/>
        <w:ind w:left="264" w:right="0" w:firstLine="0"/>
        <w:jc w:val="left"/>
        <w:rPr>
          <w:rFonts w:ascii="Calibri" w:hAnsi="Calibri"/>
          <w:sz w:val="18"/>
        </w:rPr>
      </w:pPr>
      <w:r>
        <w:rPr>
          <w:rFonts w:ascii="Calibri" w:hAnsi="Calibri"/>
          <w:position w:val="9"/>
          <w:sz w:val="12"/>
        </w:rPr>
        <w:t>317   </w:t>
      </w:r>
      <w:r>
        <w:rPr>
          <w:rFonts w:ascii="Calibri" w:hAnsi="Calibri"/>
          <w:sz w:val="18"/>
        </w:rPr>
        <w:t>FROMM, Erich, </w:t>
      </w:r>
      <w:r>
        <w:rPr>
          <w:rFonts w:ascii="Calibri" w:hAnsi="Calibri"/>
          <w:i/>
          <w:sz w:val="18"/>
        </w:rPr>
        <w:t>El miedo a la libertad</w:t>
      </w:r>
      <w:r>
        <w:rPr>
          <w:rFonts w:ascii="Calibri" w:hAnsi="Calibri"/>
          <w:sz w:val="18"/>
        </w:rPr>
        <w:t>, Paidós, México, 2000, p. 113</w:t>
      </w:r>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887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0" w:lineRule="auto" w:before="70"/>
        <w:ind w:left="684" w:right="112"/>
        <w:jc w:val="both"/>
      </w:pPr>
      <w:r>
        <w:rPr/>
        <w:t>llenándolo de angustia y de duda y empujándolo hacia nuevos tipos de sumisión y hacia actividades irracionales y de carácter compulsivo.”</w:t>
      </w:r>
      <w:r>
        <w:rPr>
          <w:position w:val="11"/>
          <w:sz w:val="16"/>
        </w:rPr>
        <w:t>318 </w:t>
      </w:r>
      <w:r>
        <w:rPr/>
        <w:t>Esto remite al hombre moderno ha enfrentar la soledad; la finalidad de sus acciones se centran en sí mismo, su objetivo principal es satisfacer su egoísmo y el autointerés; la  sociedad</w:t>
      </w:r>
    </w:p>
    <w:p>
      <w:pPr>
        <w:pStyle w:val="BodyText"/>
        <w:spacing w:line="357" w:lineRule="auto" w:before="16"/>
        <w:ind w:left="684" w:right="123"/>
        <w:jc w:val="both"/>
      </w:pPr>
      <w:r>
        <w:rPr/>
        <w:t>lo ha formado para responder libremente en función de sus necesidades personales.</w:t>
      </w:r>
    </w:p>
    <w:p>
      <w:pPr>
        <w:pStyle w:val="BodyText"/>
        <w:spacing w:line="360" w:lineRule="auto" w:before="8"/>
        <w:ind w:left="684" w:right="117" w:firstLine="336"/>
        <w:jc w:val="both"/>
      </w:pPr>
      <w:r>
        <w:rPr/>
        <w:t>No obstante toda esta carga formativa, los seres humanos se ven acosados por la idea de sobresalir, de obtener más, de lograr el éxito anunciado para el esfuerzo. La libertad positiva lo abruma y deja indefenso para asumir su responsabilidad y conseguir sus propias metas, está solo ante la vida. Ese es su temor. La libertad y las promesas de autorrealización prometidas por los medios lo apremian a hacer uso de su libertad para obtener cada día</w:t>
      </w:r>
      <w:r>
        <w:rPr>
          <w:spacing w:val="-29"/>
        </w:rPr>
        <w:t> </w:t>
      </w:r>
      <w:r>
        <w:rPr/>
        <w:t>más.</w:t>
      </w:r>
    </w:p>
    <w:p>
      <w:pPr>
        <w:pStyle w:val="BodyText"/>
      </w:pPr>
    </w:p>
    <w:p>
      <w:pPr>
        <w:pStyle w:val="Heading3"/>
        <w:numPr>
          <w:ilvl w:val="1"/>
          <w:numId w:val="8"/>
        </w:numPr>
        <w:tabs>
          <w:tab w:pos="952" w:val="left" w:leader="none"/>
        </w:tabs>
        <w:spacing w:line="240" w:lineRule="auto" w:before="138" w:after="0"/>
        <w:ind w:left="951" w:right="0" w:hanging="267"/>
        <w:jc w:val="both"/>
        <w:rPr>
          <w:rFonts w:ascii="Arial"/>
        </w:rPr>
      </w:pPr>
      <w:bookmarkStart w:name="_TOC_250013" w:id="11"/>
      <w:r>
        <w:rPr>
          <w:rFonts w:ascii="Arial"/>
        </w:rPr>
        <w:t>Libertad versus</w:t>
      </w:r>
      <w:r>
        <w:rPr>
          <w:rFonts w:ascii="Arial"/>
          <w:spacing w:val="-17"/>
        </w:rPr>
        <w:t> </w:t>
      </w:r>
      <w:bookmarkEnd w:id="11"/>
      <w:r>
        <w:rPr>
          <w:rFonts w:ascii="Arial"/>
        </w:rPr>
        <w:t>necesidad</w:t>
      </w:r>
    </w:p>
    <w:p>
      <w:pPr>
        <w:pStyle w:val="BodyText"/>
        <w:rPr>
          <w:b/>
        </w:rPr>
      </w:pPr>
    </w:p>
    <w:p>
      <w:pPr>
        <w:pStyle w:val="BodyText"/>
        <w:spacing w:before="4"/>
        <w:rPr>
          <w:b/>
        </w:rPr>
      </w:pPr>
    </w:p>
    <w:p>
      <w:pPr>
        <w:pStyle w:val="BodyText"/>
        <w:spacing w:line="360" w:lineRule="auto"/>
        <w:ind w:left="684" w:right="122" w:firstLine="336"/>
        <w:jc w:val="both"/>
      </w:pPr>
      <w:r>
        <w:rPr/>
        <w:t>Dada su naturaleza, el ser humano constituido en su base material o física se ve impelido a buscar las satisfactores que lo provean de los elementos que le brinden confort y satisfacción.</w:t>
      </w:r>
    </w:p>
    <w:p>
      <w:pPr>
        <w:pStyle w:val="BodyText"/>
        <w:spacing w:line="360" w:lineRule="auto" w:before="6"/>
        <w:ind w:left="684" w:right="117" w:firstLine="271"/>
        <w:jc w:val="both"/>
      </w:pPr>
      <w:r>
        <w:rPr/>
        <w:t>Desde este contexto la necesidad se convierte en la base objetiva que orienta las formas de distribución en una sociedad, y es a partir de ella que se crea la cultura en su base material y espiritual, buscando los satisfactores suficientes para el individuo, en sus diferentes niveles como son aspiraciones, preferencias o valores, y aquellos que resuelven su supervivencia en un medio social y natural determinado.</w:t>
      </w:r>
    </w:p>
    <w:p>
      <w:pPr>
        <w:pStyle w:val="BodyText"/>
        <w:spacing w:line="360" w:lineRule="auto" w:before="6"/>
        <w:ind w:left="684" w:right="116" w:firstLine="271"/>
        <w:jc w:val="both"/>
      </w:pPr>
      <w:r>
        <w:rPr/>
        <w:t>No obstante, dado que el hombre tiene que satisfacer sus necesidades básicas y éstas le llevan a actuar en forma determinada con la finalidad de obtener los satisfactores suficientes para su sobrevivencia, aquí cabe preguntarse ¿en qué momento inicia su libertad, su posibilidad de elección o sea el libre</w:t>
      </w:r>
      <w:r>
        <w:rPr>
          <w:spacing w:val="-27"/>
        </w:rPr>
        <w:t> </w:t>
      </w:r>
      <w:r>
        <w:rPr/>
        <w:t>albedrío?</w:t>
      </w:r>
    </w:p>
    <w:p>
      <w:pPr>
        <w:pStyle w:val="BodyText"/>
        <w:spacing w:line="357" w:lineRule="auto" w:before="6"/>
        <w:ind w:left="684" w:right="124"/>
        <w:jc w:val="both"/>
      </w:pPr>
      <w:r>
        <w:rPr/>
        <w:t>Porque tal pareciera que el hombre se afirma en la libertad de ser a partir de la necesidad. Afirma Arthur Schopenhauer:</w:t>
      </w:r>
    </w:p>
    <w:p>
      <w:pPr>
        <w:pStyle w:val="BodyText"/>
        <w:rPr>
          <w:sz w:val="28"/>
        </w:rPr>
      </w:pPr>
      <w:r>
        <w:rPr/>
        <w:pict>
          <v:line style="position:absolute;mso-position-horizontal-relative:page;mso-position-vertical-relative:paragraph;z-index:8848;mso-wrap-distance-left:0;mso-wrap-distance-right:0" from="99.224998pt,18.39295pt" to="243.274998pt,18.39295pt" stroked="true" strokeweight=".60004pt" strokecolor="#000000">
            <w10:wrap type="topAndBottom"/>
          </v:line>
        </w:pict>
      </w:r>
    </w:p>
    <w:p>
      <w:pPr>
        <w:spacing w:before="46"/>
        <w:ind w:left="684" w:right="114" w:firstLine="0"/>
        <w:jc w:val="left"/>
        <w:rPr>
          <w:rFonts w:ascii="Calibri"/>
          <w:sz w:val="18"/>
        </w:rPr>
      </w:pPr>
      <w:r>
        <w:rPr>
          <w:rFonts w:ascii="Calibri"/>
          <w:position w:val="9"/>
          <w:sz w:val="12"/>
        </w:rPr>
        <w:t>318   </w:t>
      </w:r>
      <w:r>
        <w:rPr>
          <w:rFonts w:ascii="Calibri"/>
          <w:i/>
          <w:sz w:val="18"/>
        </w:rPr>
        <w:t>Ibid. </w:t>
      </w:r>
      <w:r>
        <w:rPr>
          <w:rFonts w:ascii="Calibri"/>
          <w:sz w:val="18"/>
        </w:rPr>
        <w:t>p. 114</w:t>
      </w:r>
    </w:p>
    <w:p>
      <w:pPr>
        <w:spacing w:after="0"/>
        <w:jc w:val="left"/>
        <w:rPr>
          <w:rFonts w:ascii="Calibri"/>
          <w:sz w:val="18"/>
        </w:rPr>
        <w:sectPr>
          <w:footerReference w:type="default" r:id="rId124"/>
          <w:pgSz w:w="12240" w:h="15840"/>
          <w:pgMar w:footer="876" w:header="0" w:top="520" w:bottom="1060" w:left="1300" w:right="1300"/>
          <w:pgNumType w:start="173"/>
        </w:sectPr>
      </w:pPr>
    </w:p>
    <w:p>
      <w:pPr>
        <w:pStyle w:val="Heading3"/>
      </w:pPr>
      <w:r>
        <w:rPr/>
        <w:pict>
          <v:line style="position:absolute;mso-position-horizontal-relative:page;mso-position-vertical-relative:paragraph;z-index:892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1"/>
        </w:rPr>
      </w:pPr>
    </w:p>
    <w:p>
      <w:pPr>
        <w:spacing w:line="240" w:lineRule="auto" w:before="73"/>
        <w:ind w:left="973" w:right="219" w:firstLine="0"/>
        <w:jc w:val="both"/>
        <w:rPr>
          <w:sz w:val="22"/>
        </w:rPr>
      </w:pPr>
      <w:r>
        <w:rPr>
          <w:sz w:val="22"/>
        </w:rPr>
        <w:t>En una palabra: el hombre hace siempre </w:t>
      </w:r>
      <w:r>
        <w:rPr>
          <w:spacing w:val="-3"/>
          <w:sz w:val="22"/>
        </w:rPr>
        <w:t>lo </w:t>
      </w:r>
      <w:r>
        <w:rPr>
          <w:sz w:val="22"/>
        </w:rPr>
        <w:t>que quiere y sin embargo </w:t>
      </w:r>
      <w:r>
        <w:rPr>
          <w:spacing w:val="-3"/>
          <w:sz w:val="22"/>
        </w:rPr>
        <w:t>lo </w:t>
      </w:r>
      <w:r>
        <w:rPr>
          <w:sz w:val="22"/>
        </w:rPr>
        <w:t>hace necesariamente. Lo que se explica porque él es ya </w:t>
      </w:r>
      <w:r>
        <w:rPr>
          <w:spacing w:val="-3"/>
          <w:sz w:val="22"/>
        </w:rPr>
        <w:t>lo </w:t>
      </w:r>
      <w:r>
        <w:rPr>
          <w:sz w:val="22"/>
        </w:rPr>
        <w:t>que quiere, pues de </w:t>
      </w:r>
      <w:r>
        <w:rPr>
          <w:spacing w:val="-3"/>
          <w:sz w:val="22"/>
        </w:rPr>
        <w:t>lo </w:t>
      </w:r>
      <w:r>
        <w:rPr>
          <w:sz w:val="22"/>
        </w:rPr>
        <w:t>que él es se sigue, necesariamente, todo </w:t>
      </w:r>
      <w:r>
        <w:rPr>
          <w:spacing w:val="-3"/>
          <w:sz w:val="22"/>
        </w:rPr>
        <w:t>lo </w:t>
      </w:r>
      <w:r>
        <w:rPr>
          <w:sz w:val="22"/>
        </w:rPr>
        <w:t>que pueda hacer. Si consideramos su acción objetivamente, esto es, desde afuera, cobraremos el conocimiento apodíctico de que se halla sometido, al igual que </w:t>
      </w:r>
      <w:r>
        <w:rPr>
          <w:spacing w:val="-3"/>
          <w:sz w:val="22"/>
        </w:rPr>
        <w:t>la </w:t>
      </w:r>
      <w:r>
        <w:rPr>
          <w:sz w:val="22"/>
        </w:rPr>
        <w:t>acción de todo ser natural, a </w:t>
      </w:r>
      <w:r>
        <w:rPr>
          <w:spacing w:val="-3"/>
          <w:sz w:val="22"/>
        </w:rPr>
        <w:t>la </w:t>
      </w:r>
      <w:r>
        <w:rPr>
          <w:sz w:val="22"/>
        </w:rPr>
        <w:t>ley de causalidad en todo su rigor; subjetivamente, por el contrario, cada cual siente que hace siempre </w:t>
      </w:r>
      <w:r>
        <w:rPr>
          <w:spacing w:val="-3"/>
          <w:sz w:val="22"/>
        </w:rPr>
        <w:t>lo </w:t>
      </w:r>
      <w:r>
        <w:rPr>
          <w:sz w:val="22"/>
        </w:rPr>
        <w:t>que quiere. Lo cual no quiere decir otra cosa sino que su acción  es  </w:t>
      </w:r>
      <w:r>
        <w:rPr>
          <w:spacing w:val="-3"/>
          <w:sz w:val="22"/>
        </w:rPr>
        <w:t>la  </w:t>
      </w:r>
      <w:r>
        <w:rPr>
          <w:sz w:val="22"/>
        </w:rPr>
        <w:t>manifestación  pura  de  su  ser peculiar.  Del mismo modo  habría  de</w:t>
      </w:r>
      <w:r>
        <w:rPr>
          <w:spacing w:val="4"/>
          <w:sz w:val="22"/>
        </w:rPr>
        <w:t> </w:t>
      </w:r>
      <w:r>
        <w:rPr>
          <w:sz w:val="22"/>
        </w:rPr>
        <w:t>sentir</w:t>
      </w:r>
    </w:p>
    <w:p>
      <w:pPr>
        <w:spacing w:line="268" w:lineRule="exact" w:before="0"/>
        <w:ind w:left="973" w:right="0" w:firstLine="0"/>
        <w:jc w:val="both"/>
        <w:rPr>
          <w:sz w:val="16"/>
        </w:rPr>
      </w:pPr>
      <w:r>
        <w:rPr>
          <w:sz w:val="22"/>
        </w:rPr>
        <w:t>cualquier ser natural, aún el más ínfimo, si es que pudiera sentir</w:t>
      </w:r>
      <w:r>
        <w:rPr>
          <w:position w:val="11"/>
          <w:sz w:val="16"/>
        </w:rPr>
        <w:t>319</w:t>
      </w:r>
    </w:p>
    <w:p>
      <w:pPr>
        <w:pStyle w:val="BodyText"/>
        <w:spacing w:before="10"/>
        <w:rPr>
          <w:sz w:val="36"/>
        </w:rPr>
      </w:pPr>
    </w:p>
    <w:p>
      <w:pPr>
        <w:pStyle w:val="BodyText"/>
        <w:spacing w:line="360" w:lineRule="auto"/>
        <w:ind w:left="264" w:right="221" w:firstLine="271"/>
        <w:jc w:val="both"/>
      </w:pPr>
      <w:r>
        <w:rPr/>
        <w:t>De ahí que la pregunta es ¿hasta donde el individuo es realmente libre o está sujeto por sus necesidades, ya sea las naturales o las creadas por el entorno cultural? ¿Es posible que estas necesidades que limitan su desarrollo y le marcan pautas  interfieran en la posibilidad de ser libre?</w:t>
      </w:r>
    </w:p>
    <w:p>
      <w:pPr>
        <w:pStyle w:val="BodyText"/>
        <w:spacing w:line="360" w:lineRule="auto" w:before="6"/>
        <w:ind w:left="264" w:right="216" w:firstLine="336"/>
        <w:jc w:val="both"/>
      </w:pPr>
      <w:r>
        <w:rPr/>
        <w:t>Es así que la emancipación humanista se presenta en dos sentidos, para los ilustrados en la lucha contra las restricciones de cualquier control o norma y en la liberación de las pasiones esclavizantes que someten al individuo a su instinto y naturaleza animal. Esta tendencia convocó a las élites de la ilustración a autoproclamarse protectores de las masas para liberarlos de su ignorancia y de sus bajas pasiones que los someten estrictamente a acciones de subsistencia. Su premisa era instruir a las naciones en los principios de la conducta moral.</w:t>
      </w:r>
    </w:p>
    <w:p>
      <w:pPr>
        <w:pStyle w:val="BodyText"/>
        <w:spacing w:line="360" w:lineRule="auto" w:before="2"/>
        <w:ind w:left="264" w:right="213" w:firstLine="271"/>
        <w:jc w:val="both"/>
      </w:pPr>
      <w:r>
        <w:rPr/>
        <w:t>Además para esta propuesta el objetivo era prevenir, lo que los enciclopédicos llegaron a calificar como la corrupción moral y ética de los individuos que sumidos en la ignorancia desconocían la posibilidad de liberarse de su naturaleza animal. Así para D'Alembert: la vida sería “desagradable, bestial y breve”, si los hombres no superan su propia animalidad. Ya que como comenta Bauman, para ellos era imposible calcular las consecuencias destructivas que tendría la conducta burda y cruel, y las pasiones salvajes de las masas.</w:t>
      </w:r>
    </w:p>
    <w:p>
      <w:pPr>
        <w:pStyle w:val="BodyText"/>
        <w:spacing w:line="360" w:lineRule="auto" w:before="6"/>
        <w:ind w:left="264" w:right="220" w:firstLine="472"/>
        <w:jc w:val="both"/>
      </w:pPr>
      <w:r>
        <w:rPr/>
        <w:t>En este marco, la libertad como condición del hombre se ha presentado como un factor esencial para su desarrollo sin embargo: “El hombre moderno quiere ser libre,</w:t>
      </w:r>
      <w:r>
        <w:rPr>
          <w:spacing w:val="54"/>
        </w:rPr>
        <w:t> </w:t>
      </w:r>
      <w:r>
        <w:rPr/>
        <w:t>pero tiene</w:t>
      </w:r>
      <w:r>
        <w:rPr>
          <w:spacing w:val="51"/>
        </w:rPr>
        <w:t> </w:t>
      </w:r>
      <w:r>
        <w:rPr/>
        <w:t>la</w:t>
      </w:r>
      <w:r>
        <w:rPr>
          <w:spacing w:val="51"/>
        </w:rPr>
        <w:t> </w:t>
      </w:r>
      <w:r>
        <w:rPr/>
        <w:t>creciente</w:t>
      </w:r>
      <w:r>
        <w:rPr>
          <w:spacing w:val="51"/>
        </w:rPr>
        <w:t> </w:t>
      </w:r>
      <w:r>
        <w:rPr/>
        <w:t>convicción</w:t>
      </w:r>
      <w:r>
        <w:rPr>
          <w:spacing w:val="51"/>
        </w:rPr>
        <w:t> </w:t>
      </w:r>
      <w:r>
        <w:rPr/>
        <w:t>de</w:t>
      </w:r>
      <w:r>
        <w:rPr>
          <w:spacing w:val="51"/>
        </w:rPr>
        <w:t> </w:t>
      </w:r>
      <w:r>
        <w:rPr/>
        <w:t>que</w:t>
      </w:r>
      <w:r>
        <w:rPr>
          <w:spacing w:val="52"/>
        </w:rPr>
        <w:t> </w:t>
      </w:r>
      <w:r>
        <w:rPr/>
        <w:t>las cosas</w:t>
      </w:r>
      <w:r>
        <w:rPr>
          <w:spacing w:val="53"/>
        </w:rPr>
        <w:t> </w:t>
      </w:r>
      <w:r>
        <w:rPr/>
        <w:t>son</w:t>
      </w:r>
      <w:r>
        <w:rPr>
          <w:spacing w:val="51"/>
        </w:rPr>
        <w:t> </w:t>
      </w:r>
      <w:r>
        <w:rPr/>
        <w:t>necesariamente</w:t>
      </w:r>
    </w:p>
    <w:p>
      <w:pPr>
        <w:pStyle w:val="BodyText"/>
        <w:rPr>
          <w:sz w:val="20"/>
        </w:rPr>
      </w:pPr>
    </w:p>
    <w:p>
      <w:pPr>
        <w:pStyle w:val="BodyText"/>
        <w:spacing w:before="4"/>
        <w:rPr>
          <w:sz w:val="13"/>
        </w:rPr>
      </w:pPr>
      <w:r>
        <w:rPr/>
        <w:pict>
          <v:line style="position:absolute;mso-position-horizontal-relative:page;mso-position-vertical-relative:paragraph;z-index:8896;mso-wrap-distance-left:0;mso-wrap-distance-right:0" from="99.224998pt,9.959862pt" to="243.274998pt,9.959862pt" stroked="true" strokeweight=".60004pt" strokecolor="#000000">
            <w10:wrap type="topAndBottom"/>
          </v:line>
        </w:pict>
      </w:r>
    </w:p>
    <w:p>
      <w:pPr>
        <w:tabs>
          <w:tab w:pos="1375" w:val="left" w:leader="none"/>
          <w:tab w:pos="2668" w:val="left" w:leader="none"/>
          <w:tab w:pos="3551" w:val="left" w:leader="none"/>
          <w:tab w:pos="4642" w:val="left" w:leader="none"/>
          <w:tab w:pos="5909" w:val="left" w:leader="none"/>
          <w:tab w:pos="7464" w:val="left" w:leader="none"/>
          <w:tab w:pos="8858" w:val="left" w:leader="none"/>
        </w:tabs>
        <w:spacing w:before="48"/>
        <w:ind w:left="264" w:right="215" w:firstLine="0"/>
        <w:jc w:val="both"/>
        <w:rPr>
          <w:rFonts w:ascii="Calibri" w:hAnsi="Calibri"/>
          <w:sz w:val="18"/>
        </w:rPr>
      </w:pPr>
      <w:r>
        <w:rPr>
          <w:position w:val="9"/>
          <w:sz w:val="12"/>
        </w:rPr>
        <w:t>319 </w:t>
      </w:r>
      <w:r>
        <w:rPr>
          <w:rFonts w:ascii="Calibri" w:hAnsi="Calibri"/>
          <w:sz w:val="18"/>
        </w:rPr>
        <w:t>Citada en: ESPINOZA, Miguel, “La libertad, una necesidad interiorizada”, </w:t>
      </w:r>
      <w:r>
        <w:rPr>
          <w:rFonts w:ascii="Calibri" w:hAnsi="Calibri"/>
          <w:i/>
          <w:sz w:val="18"/>
        </w:rPr>
        <w:t>Eikasia. Revista de Filosofía</w:t>
      </w:r>
      <w:r>
        <w:rPr>
          <w:rFonts w:ascii="Calibri" w:hAnsi="Calibri"/>
          <w:sz w:val="18"/>
        </w:rPr>
        <w:t>, año IV, 26 (julio 2009),</w:t>
        <w:tab/>
        <w:t>187-213,</w:t>
        <w:tab/>
        <w:t>[en</w:t>
        <w:tab/>
        <w:t>línea],</w:t>
        <w:tab/>
        <w:t>consulta</w:t>
        <w:tab/>
        <w:t>14/08/2011,</w:t>
        <w:tab/>
        <w:t>disponible</w:t>
        <w:tab/>
        <w:t>en: </w:t>
      </w:r>
      <w:hyperlink r:id="rId125">
        <w:r>
          <w:rPr>
            <w:rFonts w:ascii="Calibri" w:hAnsi="Calibri"/>
            <w:color w:val="0000FF"/>
            <w:sz w:val="18"/>
            <w:u w:val="single" w:color="0000FF"/>
          </w:rPr>
          <w:t>http://www.revistadefilosofia.orghttp://www.revistadefilosofia.com/27-11.pdf</w:t>
        </w:r>
        <w:r>
          <w:rPr>
            <w:rFonts w:ascii="Calibri" w:hAnsi="Calibri"/>
            <w:sz w:val="18"/>
          </w:rPr>
          <w:t>.</w:t>
        </w:r>
      </w:hyperlink>
    </w:p>
    <w:p>
      <w:pPr>
        <w:spacing w:after="0"/>
        <w:jc w:val="both"/>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896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21"/>
        </w:rPr>
      </w:pPr>
    </w:p>
    <w:p>
      <w:pPr>
        <w:pStyle w:val="BodyText"/>
        <w:spacing w:line="360" w:lineRule="auto"/>
        <w:ind w:left="684" w:right="123"/>
        <w:jc w:val="both"/>
      </w:pPr>
      <w:r>
        <w:rPr/>
        <w:t>como son [...]”</w:t>
      </w:r>
      <w:r>
        <w:rPr>
          <w:position w:val="11"/>
          <w:sz w:val="16"/>
        </w:rPr>
        <w:t>320  </w:t>
      </w:r>
      <w:r>
        <w:rPr/>
        <w:t>y que sus limitaciones están marcadas por su constitución física y mental. Así, sus límites se racionalizan de acuerdo al contexto social, que le determina qué acciones son propias para enfrentar las necesidades generadas en el mismo para su beneficio, cuáles son relevantes y cuáles pueden ser</w:t>
      </w:r>
      <w:r>
        <w:rPr>
          <w:spacing w:val="-43"/>
        </w:rPr>
        <w:t> </w:t>
      </w:r>
      <w:r>
        <w:rPr/>
        <w:t>omitidas.</w:t>
      </w:r>
    </w:p>
    <w:p>
      <w:pPr>
        <w:pStyle w:val="BodyText"/>
        <w:spacing w:line="360" w:lineRule="auto" w:before="6"/>
        <w:ind w:left="684" w:right="114" w:firstLine="804"/>
        <w:jc w:val="both"/>
      </w:pPr>
      <w:r>
        <w:rPr/>
        <w:t>Erich Fromm plantea una teoría que afirma que el individuo siendo un ser eminentemente social, en una sociedad moderna que rompe tradiciones, que le exige ser un individuo libre de ataduras, pierde su seguridad y la capacidad de ser, cuando le son arrancados aquellos principios que </w:t>
      </w:r>
      <w:r>
        <w:rPr>
          <w:spacing w:val="4"/>
        </w:rPr>
        <w:t>le </w:t>
      </w:r>
      <w:r>
        <w:rPr/>
        <w:t>dan certidumbre, sentido y significado a su vida; una situación que lo aísla y produce miedo, inseguridad y una sensación de</w:t>
      </w:r>
      <w:r>
        <w:rPr>
          <w:spacing w:val="-16"/>
        </w:rPr>
        <w:t> </w:t>
      </w:r>
      <w:r>
        <w:rPr/>
        <w:t>desamparo.</w:t>
      </w:r>
    </w:p>
    <w:p>
      <w:pPr>
        <w:pStyle w:val="BodyText"/>
        <w:spacing w:line="360" w:lineRule="auto" w:before="5"/>
        <w:ind w:left="684" w:right="114" w:firstLine="336"/>
        <w:jc w:val="both"/>
      </w:pPr>
      <w:r>
        <w:rPr/>
        <w:t>Por lo que aún con el riesgo de comprometer su libertad el hombre busca nuevas cadenas que le den seguridad, aún cuando tenga que exponer su propio “yo”, mismo que se verá sometido ante el ámbito social. Y Fromm se pregunta si el ser del hombre es el sometimiento   “¿O si existe,   por el contrario, un estado  </w:t>
      </w:r>
      <w:r>
        <w:rPr>
          <w:spacing w:val="59"/>
        </w:rPr>
        <w:t> </w:t>
      </w:r>
      <w:r>
        <w:rPr/>
        <w:t>de</w:t>
      </w:r>
    </w:p>
    <w:p>
      <w:pPr>
        <w:pStyle w:val="BodyText"/>
        <w:spacing w:line="350" w:lineRule="auto" w:before="6"/>
        <w:ind w:left="684" w:right="114"/>
        <w:jc w:val="both"/>
      </w:pPr>
      <w:r>
        <w:rPr/>
        <w:t>libertad positiva en el que el individuo vive como yo independiente sin hallarse aislado, sino unido al mundo, a los demás hombres, a la naturaleza?,”</w:t>
      </w:r>
      <w:r>
        <w:rPr>
          <w:position w:val="11"/>
          <w:sz w:val="16"/>
        </w:rPr>
        <w:t>321 </w:t>
      </w:r>
      <w:r>
        <w:rPr/>
        <w:t>considerando a la libertad como una para todos, una sola sin privilegios, una libertad básica que cubra a todos los seres humanos sin distinción.</w:t>
      </w:r>
    </w:p>
    <w:p>
      <w:pPr>
        <w:pStyle w:val="BodyText"/>
        <w:spacing w:line="360" w:lineRule="auto" w:before="17"/>
        <w:ind w:left="684" w:right="113" w:firstLine="336"/>
        <w:jc w:val="both"/>
      </w:pPr>
      <w:r>
        <w:rPr/>
        <w:t>El análisis de Fromm hace especial hincapié en la idea de que sociedad e individuo no son fuerzas opuestas, sino complementarias, asegura que la naturaleza de la sociedad viene determinada por su pasado histórico y por lo tanto las necesidades y deseos de las personas están en gran medida determinados por su contexto social. Como resultado de este punto de vista, Fromm considera que el problema fundamental de la psicología y del psicoanálisis no es resolver los conflictos entre los impulsos instintivos del individuo y las exigentes leyes y  normas sociales, sino armonizar y comprender las relaciones entre</w:t>
      </w:r>
      <w:r>
        <w:rPr>
          <w:spacing w:val="-40"/>
        </w:rPr>
        <w:t> </w:t>
      </w:r>
      <w:r>
        <w:rPr/>
        <w:t>ambos.</w:t>
      </w:r>
    </w:p>
    <w:p>
      <w:pPr>
        <w:pStyle w:val="BodyText"/>
        <w:spacing w:line="360" w:lineRule="auto" w:before="6"/>
        <w:ind w:left="684" w:right="113" w:firstLine="336"/>
        <w:jc w:val="both"/>
      </w:pPr>
      <w:r>
        <w:rPr/>
        <w:t>Así, Bauman comenta: “Al instruir a los más notables de su tiempo en el arte de educar a sus hijos, Erasmo les aseguraba que los seres humanos “no nacen sino se hacen”. La libertad significaba el derecho y -la capacidad- de hacerse a sí mismo.” La  capacidad  de  practicar  este hacerse  a sí  mismo implica cultivar   la</w:t>
      </w:r>
    </w:p>
    <w:p>
      <w:pPr>
        <w:pStyle w:val="BodyText"/>
        <w:spacing w:before="8"/>
        <w:rPr>
          <w:sz w:val="8"/>
        </w:rPr>
      </w:pPr>
      <w:r>
        <w:rPr/>
        <w:pict>
          <v:line style="position:absolute;mso-position-horizontal-relative:page;mso-position-vertical-relative:paragraph;z-index:8944;mso-wrap-distance-left:0;mso-wrap-distance-right:0" from="99.224998pt,7.258888pt" to="243.274998pt,7.258888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320   </w:t>
      </w:r>
      <w:r>
        <w:rPr>
          <w:rFonts w:ascii="Calibri" w:hAnsi="Calibri"/>
          <w:sz w:val="18"/>
        </w:rPr>
        <w:t>ARANA</w:t>
      </w:r>
      <w:r>
        <w:rPr>
          <w:rFonts w:ascii="Calibri" w:hAnsi="Calibri"/>
          <w:i/>
          <w:sz w:val="18"/>
        </w:rPr>
        <w:t>, </w:t>
      </w:r>
      <w:r>
        <w:rPr>
          <w:rFonts w:ascii="Calibri" w:hAnsi="Calibri"/>
          <w:sz w:val="18"/>
        </w:rPr>
        <w:t>Juan</w:t>
      </w:r>
      <w:r>
        <w:rPr>
          <w:rFonts w:ascii="Calibri" w:hAnsi="Calibri"/>
          <w:i/>
          <w:sz w:val="18"/>
        </w:rPr>
        <w:t>, Óp. Cit. </w:t>
      </w:r>
      <w:r>
        <w:rPr>
          <w:rFonts w:ascii="Calibri" w:hAnsi="Calibri"/>
          <w:sz w:val="18"/>
        </w:rPr>
        <w:t>p. 18.</w:t>
      </w:r>
    </w:p>
    <w:p>
      <w:pPr>
        <w:spacing w:line="236" w:lineRule="exact" w:before="0"/>
        <w:ind w:left="684" w:right="114" w:firstLine="0"/>
        <w:jc w:val="left"/>
        <w:rPr>
          <w:rFonts w:ascii="Calibri"/>
          <w:sz w:val="18"/>
        </w:rPr>
      </w:pPr>
      <w:r>
        <w:rPr>
          <w:rFonts w:ascii="Calibri"/>
          <w:position w:val="9"/>
          <w:sz w:val="12"/>
        </w:rPr>
        <w:t>321   </w:t>
      </w:r>
      <w:r>
        <w:rPr>
          <w:rFonts w:ascii="Calibri"/>
          <w:sz w:val="18"/>
        </w:rPr>
        <w:t>FROMM,  Erich, </w:t>
      </w:r>
      <w:r>
        <w:rPr>
          <w:rFonts w:ascii="Calibri"/>
          <w:i/>
          <w:sz w:val="18"/>
        </w:rPr>
        <w:t>El Miedo a la Libertad</w:t>
      </w:r>
      <w:r>
        <w:rPr>
          <w:rFonts w:ascii="Calibri"/>
          <w:sz w:val="18"/>
        </w:rPr>
        <w:t>, p. 246.</w:t>
      </w:r>
    </w:p>
    <w:p>
      <w:pPr>
        <w:spacing w:after="0" w:line="236" w:lineRule="exact"/>
        <w:jc w:val="left"/>
        <w:rPr>
          <w:rFonts w:asci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901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9"/>
        <w:jc w:val="both"/>
      </w:pPr>
      <w:r>
        <w:rPr/>
        <w:t>libertad, significa un proceso de construcción del individuo. Esta premisa durante muchos siglos no se alentó ya que para los humanistas del Renacimiento la libertad sólo era de unos pocos elegidos, y para las clases dominantes de la época esclavista sólo era privilegio de algunos cuantos.</w:t>
      </w:r>
    </w:p>
    <w:p>
      <w:pPr>
        <w:pStyle w:val="BodyText"/>
        <w:spacing w:line="360" w:lineRule="auto" w:before="6"/>
        <w:ind w:left="264" w:right="213" w:firstLine="336"/>
        <w:jc w:val="both"/>
      </w:pPr>
      <w:r>
        <w:rPr/>
        <w:t>Por otra parte y en relación a las expectativas y necesidades generadas desde la mercadotecnia del sistema industrial capitalista, proyectadas a través de la televisión, éstas se han incorporado en la vida y la cotidianeidad de los televidentes de una manera incisiva, promoviendo ambiciones que no enriquecen la vida de las personas; asimismo el sistema de entretenimiento que adquiere una dimensión de diversión, es decir, distracción, pero en este caso, entendida como fuga de la realidad, como huida del compromiso de entender la realidad para transformarla, se instala en la sociedad del siglo XX como una necesidad  generada a partir de factores</w:t>
      </w:r>
      <w:r>
        <w:rPr>
          <w:spacing w:val="-16"/>
        </w:rPr>
        <w:t> </w:t>
      </w:r>
      <w:r>
        <w:rPr/>
        <w:t>externos.</w:t>
      </w:r>
    </w:p>
    <w:p>
      <w:pPr>
        <w:pStyle w:val="BodyText"/>
      </w:pPr>
    </w:p>
    <w:p>
      <w:pPr>
        <w:pStyle w:val="Heading3"/>
        <w:numPr>
          <w:ilvl w:val="1"/>
          <w:numId w:val="8"/>
        </w:numPr>
        <w:tabs>
          <w:tab w:pos="881" w:val="left" w:leader="none"/>
        </w:tabs>
        <w:spacing w:line="240" w:lineRule="auto" w:before="138" w:after="0"/>
        <w:ind w:left="880" w:right="0" w:hanging="279"/>
        <w:jc w:val="left"/>
        <w:rPr>
          <w:rFonts w:ascii="Arial"/>
        </w:rPr>
      </w:pPr>
      <w:bookmarkStart w:name="_TOC_250012" w:id="12"/>
      <w:r>
        <w:rPr>
          <w:rFonts w:ascii="Arial"/>
        </w:rPr>
        <w:t>La necesidad de ser y la idea de</w:t>
      </w:r>
      <w:r>
        <w:rPr>
          <w:rFonts w:ascii="Arial"/>
          <w:spacing w:val="-16"/>
        </w:rPr>
        <w:t> </w:t>
      </w:r>
      <w:bookmarkEnd w:id="12"/>
      <w:r>
        <w:rPr>
          <w:rFonts w:ascii="Arial"/>
        </w:rPr>
        <w:t>tener</w:t>
      </w:r>
    </w:p>
    <w:p>
      <w:pPr>
        <w:pStyle w:val="BodyText"/>
        <w:rPr>
          <w:b/>
        </w:rPr>
      </w:pPr>
    </w:p>
    <w:p>
      <w:pPr>
        <w:pStyle w:val="BodyText"/>
        <w:spacing w:before="4"/>
        <w:rPr>
          <w:b/>
        </w:rPr>
      </w:pPr>
    </w:p>
    <w:p>
      <w:pPr>
        <w:pStyle w:val="BodyText"/>
        <w:spacing w:line="360" w:lineRule="auto"/>
        <w:ind w:left="264" w:right="217" w:firstLine="336"/>
        <w:jc w:val="both"/>
      </w:pPr>
      <w:r>
        <w:rPr/>
        <w:t>Parafraseando a Fromm</w:t>
      </w:r>
      <w:r>
        <w:rPr>
          <w:position w:val="10"/>
          <w:sz w:val="13"/>
        </w:rPr>
        <w:t>322</w:t>
      </w:r>
      <w:r>
        <w:rPr>
          <w:sz w:val="20"/>
        </w:rPr>
        <w:t>, </w:t>
      </w:r>
      <w:r>
        <w:rPr/>
        <w:t>analizaré este apartado para determinar cómo el  ser del hombre del siglo XX se ha constituido a partir de las ideas promovidas por el sistema capitalista a través de los medios, y cómo el ser ha derivado hacia el </w:t>
      </w:r>
      <w:r>
        <w:rPr>
          <w:i/>
        </w:rPr>
        <w:t>tener</w:t>
      </w:r>
      <w:r>
        <w:rPr/>
        <w:t>. Si bien en la idea del </w:t>
      </w:r>
      <w:r>
        <w:rPr>
          <w:i/>
        </w:rPr>
        <w:t>ser </w:t>
      </w:r>
      <w:r>
        <w:rPr/>
        <w:t>el hombre ha buscado una justificación a su vida, a su destino, a su desarrollo cultural y social, los esfuerzos de diferentes corrientes filosóficas por dar respuesta a lo que es el ser, ha generado grandes  controversias. Desde Heráclito a Parménides o Platón en la época griega hasta los filósofos modernos como Kant o Hegel, Marx o Freud se preguntaron cuál era la premisa del hombre que le daba esa connotación de</w:t>
      </w:r>
      <w:r>
        <w:rPr>
          <w:spacing w:val="-27"/>
        </w:rPr>
        <w:t> </w:t>
      </w:r>
      <w:r>
        <w:rPr/>
        <w:t>ser.</w:t>
      </w:r>
    </w:p>
    <w:p>
      <w:pPr>
        <w:pStyle w:val="BodyText"/>
        <w:spacing w:before="10"/>
        <w:rPr>
          <w:sz w:val="18"/>
        </w:rPr>
      </w:pPr>
    </w:p>
    <w:p>
      <w:pPr>
        <w:pStyle w:val="BodyText"/>
        <w:spacing w:line="360" w:lineRule="auto" w:before="1"/>
        <w:ind w:left="264" w:right="218" w:firstLine="336"/>
        <w:jc w:val="both"/>
      </w:pPr>
      <w:r>
        <w:rPr/>
        <w:pict>
          <v:line style="position:absolute;mso-position-horizontal-relative:page;mso-position-vertical-relative:paragraph;z-index:8992;mso-wrap-distance-left:0;mso-wrap-distance-right:0" from="99.224998pt,106.230843pt" to="243.274998pt,106.230843pt" stroked="true" strokeweight=".60004pt" strokecolor="#000000">
            <w10:wrap type="topAndBottom"/>
          </v:line>
        </w:pict>
      </w:r>
      <w:r>
        <w:rPr/>
        <w:t>El concepto de </w:t>
      </w:r>
      <w:r>
        <w:rPr>
          <w:i/>
        </w:rPr>
        <w:t>ser </w:t>
      </w:r>
      <w:r>
        <w:rPr/>
        <w:t>se acerca a acciones vitales que implican vivir, permanecer activo, nacer y renovarse, moverse, producir, estar, verbos que literalmente se alejan del </w:t>
      </w:r>
      <w:r>
        <w:rPr>
          <w:i/>
        </w:rPr>
        <w:t>tener o </w:t>
      </w:r>
      <w:r>
        <w:rPr/>
        <w:t>ambicionar, apropiarse, consumir, deber, poseer o codiciar, acciones todas, que en la actualidad desvían a los humanos de la posibilidad de ser, produciendo una sociedad desencantada, atada, robotizada, de ahí que es</w:t>
      </w:r>
    </w:p>
    <w:p>
      <w:pPr>
        <w:spacing w:before="48"/>
        <w:ind w:left="264" w:right="0" w:firstLine="0"/>
        <w:jc w:val="left"/>
        <w:rPr>
          <w:rFonts w:ascii="Calibri" w:hAnsi="Calibri"/>
          <w:sz w:val="18"/>
        </w:rPr>
      </w:pPr>
      <w:r>
        <w:rPr>
          <w:position w:val="9"/>
          <w:sz w:val="12"/>
        </w:rPr>
        <w:t>322 </w:t>
      </w:r>
      <w:r>
        <w:rPr>
          <w:rFonts w:ascii="Calibri" w:hAnsi="Calibri"/>
          <w:sz w:val="18"/>
        </w:rPr>
        <w:t>Véase a Erich Fromm en </w:t>
      </w:r>
      <w:r>
        <w:rPr>
          <w:rFonts w:ascii="Calibri" w:hAnsi="Calibri"/>
          <w:i/>
          <w:sz w:val="18"/>
        </w:rPr>
        <w:t>Tener o Ser</w:t>
      </w:r>
      <w:r>
        <w:rPr>
          <w:rFonts w:ascii="Calibri" w:hAnsi="Calibri"/>
          <w:sz w:val="18"/>
        </w:rPr>
        <w:t>, Fondo de Cultura Económica, 18a. Reimpresión, México, 2004.</w:t>
      </w:r>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906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684" w:right="123"/>
        <w:jc w:val="both"/>
        <w:rPr>
          <w:sz w:val="13"/>
        </w:rPr>
      </w:pPr>
      <w:r>
        <w:rPr/>
        <w:t>propio recordar las palabras de Eckhart “La gente no debe considerar tanto lo que debe hacer sino lo que es [...]”</w:t>
      </w:r>
      <w:r>
        <w:rPr>
          <w:position w:val="10"/>
          <w:sz w:val="13"/>
        </w:rPr>
        <w:t>323</w:t>
      </w:r>
    </w:p>
    <w:p>
      <w:pPr>
        <w:pStyle w:val="BodyText"/>
        <w:spacing w:before="9"/>
        <w:rPr>
          <w:sz w:val="19"/>
        </w:rPr>
      </w:pPr>
    </w:p>
    <w:p>
      <w:pPr>
        <w:pStyle w:val="BodyText"/>
        <w:spacing w:line="360" w:lineRule="auto" w:before="1"/>
        <w:ind w:left="684" w:right="120" w:firstLine="336"/>
        <w:jc w:val="both"/>
      </w:pPr>
      <w:r>
        <w:rPr/>
        <w:t>Quizá porque en el siglo XX se constituye una humanidad más interesada en </w:t>
      </w:r>
      <w:r>
        <w:rPr>
          <w:i/>
        </w:rPr>
        <w:t>tener </w:t>
      </w:r>
      <w:r>
        <w:rPr/>
        <w:t>que en </w:t>
      </w:r>
      <w:r>
        <w:rPr>
          <w:i/>
        </w:rPr>
        <w:t>ser </w:t>
      </w:r>
      <w:r>
        <w:rPr/>
        <w:t>en estos momentos es relevante definir esa propiedad del ser humano que desde una cultura consumista se esfuerza más en obtener y almacenar cosas materiales para sentirse seguros, que en ser sólo a partir de lo que vale como persona. Ser, deber ser y tener son los verbos que fundamentan la actividad humana a través de la historia y de ello depende la posibilidad de la libertad, y es por eso que el ente se manifiesta como la expresión de la actividad básica de ser. Si consideramos que:</w:t>
      </w:r>
    </w:p>
    <w:p>
      <w:pPr>
        <w:pStyle w:val="BodyText"/>
      </w:pPr>
    </w:p>
    <w:p>
      <w:pPr>
        <w:spacing w:line="237" w:lineRule="auto" w:before="138"/>
        <w:ind w:left="1393" w:right="118" w:firstLine="0"/>
        <w:jc w:val="both"/>
        <w:rPr>
          <w:sz w:val="13"/>
        </w:rPr>
      </w:pPr>
      <w:r>
        <w:rPr>
          <w:i/>
          <w:sz w:val="22"/>
        </w:rPr>
        <w:t>"el ser” es la presentidad situacional, respectiva del “hay", </w:t>
      </w:r>
      <w:r>
        <w:rPr>
          <w:spacing w:val="-3"/>
          <w:sz w:val="22"/>
        </w:rPr>
        <w:t>lo </w:t>
      </w:r>
      <w:r>
        <w:rPr>
          <w:sz w:val="22"/>
        </w:rPr>
        <w:t>que significa,  a nuestro juicio, que </w:t>
      </w:r>
      <w:r>
        <w:rPr>
          <w:spacing w:val="-3"/>
          <w:sz w:val="22"/>
        </w:rPr>
        <w:t>la </w:t>
      </w:r>
      <w:r>
        <w:rPr>
          <w:sz w:val="22"/>
        </w:rPr>
        <w:t>categoría del ser expresa solamente </w:t>
      </w:r>
      <w:r>
        <w:rPr>
          <w:spacing w:val="-3"/>
          <w:sz w:val="22"/>
        </w:rPr>
        <w:t>lo </w:t>
      </w:r>
      <w:r>
        <w:rPr>
          <w:sz w:val="22"/>
        </w:rPr>
        <w:t>que un ser es en un momento determinado (el presente), cuando, valga </w:t>
      </w:r>
      <w:r>
        <w:rPr>
          <w:spacing w:val="-3"/>
          <w:sz w:val="22"/>
        </w:rPr>
        <w:t>la </w:t>
      </w:r>
      <w:r>
        <w:rPr>
          <w:sz w:val="22"/>
        </w:rPr>
        <w:t>expresión, se diferencia de  </w:t>
      </w:r>
      <w:r>
        <w:rPr>
          <w:spacing w:val="-3"/>
          <w:sz w:val="22"/>
        </w:rPr>
        <w:t>la </w:t>
      </w:r>
      <w:r>
        <w:rPr>
          <w:sz w:val="22"/>
        </w:rPr>
        <w:t>nada, porque, afirma nuestro filósofo, "el sentido primordial del 'ser' es</w:t>
      </w:r>
      <w:r>
        <w:rPr>
          <w:spacing w:val="-33"/>
          <w:sz w:val="22"/>
        </w:rPr>
        <w:t> </w:t>
      </w:r>
      <w:r>
        <w:rPr>
          <w:sz w:val="22"/>
        </w:rPr>
        <w:t>'existir".</w:t>
      </w:r>
      <w:r>
        <w:rPr>
          <w:position w:val="10"/>
          <w:sz w:val="13"/>
        </w:rPr>
        <w:t>324</w:t>
      </w:r>
    </w:p>
    <w:p>
      <w:pPr>
        <w:pStyle w:val="BodyText"/>
      </w:pPr>
    </w:p>
    <w:p>
      <w:pPr>
        <w:pStyle w:val="BodyText"/>
        <w:spacing w:line="360" w:lineRule="auto" w:before="140"/>
        <w:ind w:left="684" w:right="120" w:firstLine="336"/>
        <w:jc w:val="both"/>
      </w:pPr>
      <w:r>
        <w:rPr/>
        <w:t>En la actualidad la forma que ha tomado el ser humano ha ido de la mano de lo práctico, de lo productivo, así, eres en tanto produces, en tanto tienes; el existir como tal se ha centrado en proyectos que desgastan al individuo en su meta por tener. La conciencia está puesta en el futuro, y no se vive el presente; el existir se tradujo en ser del mañana, seré cuando obtenga o cuando logre algo; de esa manera dejo de ser en el presente, el ente paso a seré, siempre y cuando tenga.</w:t>
      </w:r>
    </w:p>
    <w:p>
      <w:pPr>
        <w:pStyle w:val="BodyText"/>
        <w:spacing w:line="350" w:lineRule="auto" w:before="1"/>
        <w:ind w:left="684" w:right="113" w:firstLine="336"/>
        <w:jc w:val="both"/>
      </w:pPr>
      <w:r>
        <w:rPr/>
        <w:t>Entonces ya no es necesario ser sino tener. En esta perspectiva de </w:t>
      </w:r>
      <w:r>
        <w:rPr>
          <w:i/>
        </w:rPr>
        <w:t>ser  </w:t>
      </w:r>
      <w:r>
        <w:rPr>
          <w:i/>
        </w:rPr>
        <w:t>humano </w:t>
      </w:r>
      <w:r>
        <w:rPr/>
        <w:t>la libertad se limita ante las ataduras de las cosas materiales. Fromm comenta: “La libertad humana se ve restringida en el grado en que estamos  atados a las posesiones, a nuestras obras y finalmente a nuestros  </w:t>
      </w:r>
      <w:r>
        <w:rPr>
          <w:spacing w:val="62"/>
        </w:rPr>
        <w:t> </w:t>
      </w:r>
      <w:r>
        <w:rPr/>
        <w:t>egos.”</w:t>
      </w:r>
      <w:r>
        <w:rPr>
          <w:position w:val="11"/>
          <w:sz w:val="16"/>
        </w:rPr>
        <w:t>325  </w:t>
      </w:r>
      <w:r>
        <w:rPr/>
        <w:t>Esta</w:t>
      </w:r>
    </w:p>
    <w:p>
      <w:pPr>
        <w:pStyle w:val="BodyText"/>
        <w:spacing w:line="360" w:lineRule="auto"/>
        <w:ind w:left="684" w:right="119"/>
        <w:jc w:val="both"/>
      </w:pPr>
      <w:r>
        <w:rPr/>
        <w:t>actitud de egotismo evita la realización plena del individuo, su sometimiento a los intereses del capital, lo han despersonalizado, originando una sociedad desequilibrada, injusta alejada de la meta humana que es lograr un ser humano</w:t>
      </w:r>
    </w:p>
    <w:p>
      <w:pPr>
        <w:pStyle w:val="BodyText"/>
        <w:rPr>
          <w:sz w:val="20"/>
        </w:rPr>
      </w:pPr>
    </w:p>
    <w:p>
      <w:pPr>
        <w:pStyle w:val="BodyText"/>
        <w:spacing w:before="1"/>
        <w:rPr>
          <w:sz w:val="23"/>
        </w:rPr>
      </w:pPr>
      <w:r>
        <w:rPr/>
        <w:pict>
          <v:line style="position:absolute;mso-position-horizontal-relative:page;mso-position-vertical-relative:paragraph;z-index:9040;mso-wrap-distance-left:0;mso-wrap-distance-right:0" from="99.224998pt,15.564868pt" to="243.274998pt,15.564868pt" stroked="true" strokeweight=".60004pt" strokecolor="#000000">
            <w10:wrap type="topAndBottom"/>
          </v:line>
        </w:pict>
      </w:r>
    </w:p>
    <w:p>
      <w:pPr>
        <w:spacing w:line="236" w:lineRule="exact" w:before="46"/>
        <w:ind w:left="684" w:right="114" w:firstLine="0"/>
        <w:jc w:val="left"/>
        <w:rPr>
          <w:rFonts w:ascii="Calibri"/>
          <w:sz w:val="18"/>
        </w:rPr>
      </w:pPr>
      <w:r>
        <w:rPr>
          <w:rFonts w:ascii="Calibri"/>
          <w:position w:val="9"/>
          <w:sz w:val="12"/>
        </w:rPr>
        <w:t>323   </w:t>
      </w:r>
      <w:r>
        <w:rPr>
          <w:rFonts w:ascii="Calibri"/>
          <w:sz w:val="18"/>
        </w:rPr>
        <w:t>Citado por Erich Fromm  en </w:t>
      </w:r>
      <w:r>
        <w:rPr>
          <w:rFonts w:ascii="Calibri"/>
          <w:i/>
          <w:sz w:val="18"/>
        </w:rPr>
        <w:t>Tener o Ser, </w:t>
      </w:r>
      <w:r>
        <w:rPr>
          <w:rFonts w:ascii="Calibri"/>
          <w:sz w:val="18"/>
        </w:rPr>
        <w:t>p. 73.</w:t>
      </w:r>
    </w:p>
    <w:p>
      <w:pPr>
        <w:spacing w:line="220" w:lineRule="exact" w:before="12"/>
        <w:ind w:left="684" w:right="114" w:firstLine="0"/>
        <w:jc w:val="left"/>
        <w:rPr>
          <w:rFonts w:ascii="Calibri" w:hAnsi="Calibri"/>
          <w:sz w:val="18"/>
        </w:rPr>
      </w:pPr>
      <w:r>
        <w:rPr>
          <w:rFonts w:ascii="Calibri" w:hAnsi="Calibri"/>
          <w:position w:val="9"/>
          <w:sz w:val="12"/>
        </w:rPr>
        <w:t>324 </w:t>
      </w:r>
      <w:r>
        <w:rPr>
          <w:rFonts w:ascii="Calibri" w:hAnsi="Calibri"/>
          <w:sz w:val="18"/>
        </w:rPr>
        <w:t>ITAM, ESTUDIOS, “Concepto de ser y ente”, </w:t>
      </w:r>
      <w:r>
        <w:rPr>
          <w:rFonts w:ascii="Calibri" w:hAnsi="Calibri"/>
          <w:i/>
          <w:sz w:val="18"/>
        </w:rPr>
        <w:t>Filosofía-historia-letras</w:t>
      </w:r>
      <w:r>
        <w:rPr>
          <w:rFonts w:ascii="Calibri" w:hAnsi="Calibri"/>
          <w:sz w:val="18"/>
        </w:rPr>
        <w:t>, Primavera 1996, [en línea] Consulta 02/06/2012, disponible en: </w:t>
      </w:r>
      <w:hyperlink r:id="rId126">
        <w:r>
          <w:rPr>
            <w:rFonts w:ascii="Calibri" w:hAnsi="Calibri"/>
            <w:color w:val="0000FF"/>
            <w:sz w:val="18"/>
            <w:u w:val="single" w:color="0000FF"/>
          </w:rPr>
          <w:t>http://biblioteca.itam.mx/estudios/estudio/letras44/notas3/sec_9.html.</w:t>
        </w:r>
      </w:hyperlink>
    </w:p>
    <w:p>
      <w:pPr>
        <w:spacing w:line="224" w:lineRule="exact" w:before="0"/>
        <w:ind w:left="684" w:right="114" w:firstLine="0"/>
        <w:jc w:val="left"/>
        <w:rPr>
          <w:rFonts w:ascii="Calibri"/>
          <w:sz w:val="18"/>
        </w:rPr>
      </w:pPr>
      <w:r>
        <w:rPr>
          <w:rFonts w:ascii="Calibri"/>
          <w:position w:val="9"/>
          <w:sz w:val="12"/>
        </w:rPr>
        <w:t>325   </w:t>
      </w:r>
      <w:r>
        <w:rPr>
          <w:rFonts w:ascii="Calibri"/>
          <w:sz w:val="18"/>
        </w:rPr>
        <w:t>FROMM, Erich,  </w:t>
      </w:r>
      <w:r>
        <w:rPr>
          <w:rFonts w:ascii="Calibri"/>
          <w:i/>
          <w:sz w:val="18"/>
        </w:rPr>
        <w:t>Tener o Ser, </w:t>
      </w:r>
      <w:r>
        <w:rPr>
          <w:rFonts w:ascii="Calibri"/>
          <w:sz w:val="18"/>
        </w:rPr>
        <w:t>p. 70.</w:t>
      </w:r>
    </w:p>
    <w:p>
      <w:pPr>
        <w:spacing w:after="0" w:line="224" w:lineRule="exact"/>
        <w:jc w:val="left"/>
        <w:rPr>
          <w:rFonts w:asci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911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right="210"/>
      </w:pPr>
      <w:r>
        <w:rPr/>
        <w:t>libre, sin cadenas, ni egotismos apegado al modo de tener. Tendencia que convierte todo en un objeto por comprar, consumir o simplemente conservar.</w:t>
      </w:r>
    </w:p>
    <w:p>
      <w:pPr>
        <w:pStyle w:val="BodyText"/>
        <w:spacing w:line="360" w:lineRule="auto" w:before="8"/>
        <w:ind w:left="264" w:right="215" w:firstLine="336"/>
        <w:jc w:val="both"/>
        <w:rPr>
          <w:sz w:val="13"/>
        </w:rPr>
      </w:pPr>
      <w:r>
        <w:rPr/>
        <w:t>Así, en este modo de tener (Fromm) las cosas materiales dan sentido a la existencia en tanto se puedan consumir o sirvan para algo productivo; inclusive a las cosas no materiales se les asigna un valor monetario, los sentimientos se desarrollan como algo que se debe conservar y guardar. El talento y la inspiración se ponen a la venta del mejor postor; la recreación y la diversión sólo se logran en tanto se gasta </w:t>
      </w:r>
      <w:r>
        <w:rPr>
          <w:spacing w:val="-2"/>
        </w:rPr>
        <w:t>más </w:t>
      </w:r>
      <w:r>
        <w:rPr/>
        <w:t>para obtenerla. Es posible, en este modo de existencia  obtener, vender o comprar cualquier cosa, aún la vida misma se compromete en el ánimo de tener más: “las cosas que usamos en la vida diaria, las propiedades, los ritos, las buenas acciones, el conocimiento y los pensamientos. No son en sí “malos”, pero se vuelven malos cuando nos aferramos a éstos</w:t>
      </w:r>
      <w:r>
        <w:rPr>
          <w:spacing w:val="-21"/>
        </w:rPr>
        <w:t> </w:t>
      </w:r>
      <w:r>
        <w:rPr/>
        <w:t>[...]”</w:t>
      </w:r>
      <w:r>
        <w:rPr>
          <w:position w:val="10"/>
          <w:sz w:val="13"/>
        </w:rPr>
        <w:t>326</w:t>
      </w:r>
    </w:p>
    <w:p>
      <w:pPr>
        <w:pStyle w:val="BodyText"/>
        <w:spacing w:line="360" w:lineRule="auto" w:before="5"/>
        <w:ind w:left="264" w:right="221" w:firstLine="336"/>
        <w:jc w:val="both"/>
      </w:pPr>
      <w:r>
        <w:rPr/>
        <w:t>Las necesidades básicas como fuente de la acción del individuo se transforman en necesidades creadas por el sistema. Los medios, la mercadotecnia, la moda, los objetos y la productividad como idea de ser en esta época transforman completamente las relaciones de las personas, los alejan de valores, de costumbres, de sentimientos; o compra o vende; produce o no existe.</w:t>
      </w:r>
    </w:p>
    <w:p>
      <w:pPr>
        <w:pStyle w:val="BodyText"/>
        <w:spacing w:line="360" w:lineRule="auto" w:before="2"/>
        <w:ind w:left="264" w:right="214" w:firstLine="336"/>
        <w:jc w:val="both"/>
      </w:pPr>
      <w:r>
        <w:rPr/>
        <w:t>El modo de ser humano se desvirtúa y se pierde en un mundo de objetos promovidos por la televisión que limitan la libertad al inducir la conducta hacia intereses que atentan contra la integridad de la persona, que someten al individuo ante el poder de las cosas. En este sentido, es necesario resaltar que sólo en el modo de ser la humanidad puede logra la libertad, la experiencia de vivir, en una palabra de ser. Recuperar el espíritu que impulsa la conducta humana, que lo mueve hacia sus congéneres en los que se refleja y de los que no se separa.</w:t>
      </w:r>
    </w:p>
    <w:p>
      <w:pPr>
        <w:pStyle w:val="BodyText"/>
        <w:spacing w:line="360" w:lineRule="auto" w:before="6"/>
        <w:ind w:left="264" w:right="218" w:firstLine="336"/>
        <w:jc w:val="both"/>
      </w:pPr>
      <w:r>
        <w:rPr/>
        <w:pict>
          <v:line style="position:absolute;mso-position-horizontal-relative:page;mso-position-vertical-relative:paragraph;z-index:9088;mso-wrap-distance-left:0;mso-wrap-distance-right:0" from="99.224998pt,126.880836pt" to="243.274998pt,126.880836pt" stroked="true" strokeweight=".60004pt" strokecolor="#000000">
            <w10:wrap type="topAndBottom"/>
          </v:line>
        </w:pict>
      </w:r>
      <w:r>
        <w:rPr/>
        <w:t>Esta forma de ser asume nuevos verbos, nuevas acciones, y </w:t>
      </w:r>
      <w:r>
        <w:rPr>
          <w:spacing w:val="-3"/>
        </w:rPr>
        <w:t>ya </w:t>
      </w:r>
      <w:r>
        <w:rPr/>
        <w:t>que no se puede ser sin ser libre, implica independencia y un pensamiento creativo; asumir  la aceptación de sí mismo por su valor intrínseco y no por lo que se tiene. Renunciar a apoyarse en lo que se tiene y desarrollar la capacidad de actuar para ser en consonancia con la naturaleza y con el otro, esto conlleva renunciar al egocentrismo, aprender a caminar por si</w:t>
      </w:r>
      <w:r>
        <w:rPr>
          <w:spacing w:val="-27"/>
        </w:rPr>
        <w:t> </w:t>
      </w:r>
      <w:r>
        <w:rPr/>
        <w:t>mismo</w:t>
      </w:r>
    </w:p>
    <w:p>
      <w:pPr>
        <w:spacing w:before="46"/>
        <w:ind w:left="264" w:right="0" w:firstLine="0"/>
        <w:jc w:val="left"/>
        <w:rPr>
          <w:rFonts w:ascii="Calibri" w:hAnsi="Calibri"/>
          <w:sz w:val="18"/>
        </w:rPr>
      </w:pPr>
      <w:r>
        <w:rPr>
          <w:rFonts w:ascii="Calibri" w:hAnsi="Calibri"/>
          <w:position w:val="9"/>
          <w:sz w:val="12"/>
        </w:rPr>
        <w:t>326   </w:t>
      </w:r>
      <w:r>
        <w:rPr>
          <w:rFonts w:ascii="Calibri" w:hAnsi="Calibri"/>
          <w:i/>
          <w:sz w:val="18"/>
        </w:rPr>
        <w:t>Ibíd.</w:t>
      </w:r>
      <w:r>
        <w:rPr>
          <w:rFonts w:ascii="Calibri" w:hAnsi="Calibri"/>
          <w:sz w:val="18"/>
        </w:rPr>
        <w:t>, p. 72.</w:t>
      </w:r>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916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21" w:firstLine="336"/>
        <w:jc w:val="both"/>
      </w:pPr>
      <w:r>
        <w:rPr/>
        <w:t>Lograr la satisfacción de ser uno mismo, ser una persona que se reconoce entre los demás, que acepta su ser y desde éste permanece activo para vivir interesado, impulsado desde su interior, activo </w:t>
      </w:r>
      <w:r>
        <w:rPr>
          <w:spacing w:val="-2"/>
        </w:rPr>
        <w:t>más </w:t>
      </w:r>
      <w:r>
        <w:rPr/>
        <w:t>no</w:t>
      </w:r>
      <w:r>
        <w:rPr>
          <w:spacing w:val="-26"/>
        </w:rPr>
        <w:t> </w:t>
      </w:r>
      <w:r>
        <w:rPr/>
        <w:t>ocupado.</w:t>
      </w:r>
    </w:p>
    <w:p>
      <w:pPr>
        <w:pStyle w:val="BodyText"/>
      </w:pPr>
    </w:p>
    <w:p>
      <w:pPr>
        <w:spacing w:line="235" w:lineRule="auto" w:before="145"/>
        <w:ind w:left="1393" w:right="114" w:firstLine="0"/>
        <w:jc w:val="both"/>
        <w:rPr>
          <w:sz w:val="13"/>
        </w:rPr>
      </w:pPr>
      <w:r>
        <w:rPr>
          <w:sz w:val="22"/>
        </w:rPr>
        <w:t>El moderno sentido de actividad no distingue entre estar activo y estar ocupado; pero hay una diferencia fundamental, que corresponde a los términos “alienado” y “no alienado” en las actividades. En la actividad alienada no siente ser el sujeto activo de mi actividad; en cambio noto el producto de mi actividad, algo que está “allí” algo distinto de mí, qué está encima de mí y que se opone a mí.</w:t>
      </w:r>
      <w:r>
        <w:rPr>
          <w:position w:val="10"/>
          <w:sz w:val="13"/>
        </w:rPr>
        <w:t>327</w:t>
      </w:r>
    </w:p>
    <w:p>
      <w:pPr>
        <w:pStyle w:val="BodyText"/>
      </w:pPr>
    </w:p>
    <w:p>
      <w:pPr>
        <w:pStyle w:val="BodyText"/>
        <w:spacing w:line="360" w:lineRule="auto" w:before="141"/>
        <w:ind w:left="684" w:right="114" w:firstLine="336"/>
        <w:jc w:val="both"/>
      </w:pPr>
      <w:r>
        <w:rPr/>
        <w:t>Desde esta perspectiva la actividad se transforma en algo obligado y ajeno,  que impide la realización y la satisfacción de los individuos. Lo que origina malestar, descontento y violencia, confusión y resentimiento. No obstante existe otra forma de realizar la actividad a la que Fromm denomina “actividad productiva”, misma que no está alienada, en la que producir es una manifestación del ser, por lo que en ella los seres humanos reflejan su capacidad creativa y ejercen su libertad.</w:t>
      </w:r>
    </w:p>
    <w:p>
      <w:pPr>
        <w:pStyle w:val="BodyText"/>
        <w:spacing w:line="360" w:lineRule="auto" w:before="2"/>
        <w:ind w:left="684" w:right="114" w:firstLine="336"/>
        <w:jc w:val="both"/>
      </w:pPr>
      <w:r>
        <w:rPr/>
        <w:t>Ahora bien, el sentido del hombre del siglo XX está dirigido a tener, donde de alguna manera ha perdido parte de su libertad, al someterse a jornadas excesivas, a costumbres alienantes que lo llevan a solucionar sus carencias materiales, dejando de lado las que tienen que ver con el espíritu; su vida se resuelve en objetos y cosas que le dan satisfacción, como vimos anteriormente. Sus acciones son racionalizadas desde la posibilidad de obtener algo ya sea para su uso o para su acumulación y desde éstas determinar su ser.</w:t>
      </w:r>
    </w:p>
    <w:p>
      <w:pPr>
        <w:pStyle w:val="BodyText"/>
      </w:pPr>
    </w:p>
    <w:p>
      <w:pPr>
        <w:pStyle w:val="Heading3"/>
        <w:numPr>
          <w:ilvl w:val="0"/>
          <w:numId w:val="8"/>
        </w:numPr>
        <w:tabs>
          <w:tab w:pos="952" w:val="left" w:leader="none"/>
        </w:tabs>
        <w:spacing w:line="240" w:lineRule="auto" w:before="138" w:after="0"/>
        <w:ind w:left="951" w:right="0" w:hanging="267"/>
        <w:jc w:val="left"/>
        <w:rPr>
          <w:rFonts w:ascii="Arial"/>
        </w:rPr>
      </w:pPr>
      <w:bookmarkStart w:name="_TOC_250011" w:id="13"/>
      <w:r>
        <w:rPr>
          <w:rFonts w:ascii="Arial"/>
        </w:rPr>
        <w:t>El valor de ser humano ante las necesidades creadas por la</w:t>
      </w:r>
      <w:r>
        <w:rPr>
          <w:rFonts w:ascii="Arial"/>
          <w:spacing w:val="-23"/>
        </w:rPr>
        <w:t> </w:t>
      </w:r>
      <w:bookmarkEnd w:id="13"/>
      <w:r>
        <w:rPr>
          <w:rFonts w:ascii="Arial"/>
        </w:rPr>
        <w:t>cultura</w:t>
      </w:r>
    </w:p>
    <w:p>
      <w:pPr>
        <w:pStyle w:val="BodyText"/>
        <w:rPr>
          <w:b/>
        </w:rPr>
      </w:pPr>
    </w:p>
    <w:p>
      <w:pPr>
        <w:pStyle w:val="BodyText"/>
        <w:spacing w:before="4"/>
        <w:rPr>
          <w:b/>
        </w:rPr>
      </w:pPr>
    </w:p>
    <w:p>
      <w:pPr>
        <w:pStyle w:val="BodyText"/>
        <w:spacing w:line="360" w:lineRule="auto"/>
        <w:ind w:left="684" w:right="114" w:firstLine="404"/>
        <w:jc w:val="both"/>
      </w:pPr>
      <w:r>
        <w:rPr/>
        <w:t>Los seres humanos del siglo XX y XXI enfrentan estilos de vida novedosos que cada día se deslizan disimuladamente para dar paso a nuevas formas de vivir, de divertirse, de alimentarse, de pensar, de conocer, de aprender y de relacionarse, estilos que responden a la globalización de ideas y costumbres, que se expanden por todas las naciones a través de los medios y en especial del ente televisivo que</w:t>
      </w:r>
    </w:p>
    <w:p>
      <w:pPr>
        <w:pStyle w:val="BodyText"/>
        <w:spacing w:before="8"/>
        <w:rPr>
          <w:sz w:val="25"/>
        </w:rPr>
      </w:pPr>
      <w:r>
        <w:rPr/>
        <w:pict>
          <v:line style="position:absolute;mso-position-horizontal-relative:page;mso-position-vertical-relative:paragraph;z-index:9136;mso-wrap-distance-left:0;mso-wrap-distance-right:0" from="99.224998pt,17.053886pt" to="243.274998pt,17.053886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327   </w:t>
      </w:r>
      <w:r>
        <w:rPr>
          <w:rFonts w:ascii="Calibri" w:hAnsi="Calibri"/>
          <w:i/>
          <w:sz w:val="18"/>
        </w:rPr>
        <w:t>Ibíd</w:t>
      </w:r>
      <w:r>
        <w:rPr>
          <w:rFonts w:ascii="Calibri" w:hAnsi="Calibri"/>
          <w:sz w:val="18"/>
        </w:rPr>
        <w:t>. p. 94.</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920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27"/>
        <w:jc w:val="both"/>
      </w:pPr>
      <w:r>
        <w:rPr/>
        <w:t>tiene el poder de influir en la imagen del mundo, donde los seres humanos dejan de ser prioritarios para convertirse en anexos de un sistema que tiene como objetivo la producción y el consumo.</w:t>
      </w:r>
    </w:p>
    <w:p>
      <w:pPr>
        <w:pStyle w:val="BodyText"/>
        <w:spacing w:line="360" w:lineRule="auto" w:before="2"/>
        <w:ind w:left="264" w:right="214" w:firstLine="271"/>
        <w:jc w:val="both"/>
      </w:pPr>
      <w:r>
        <w:rPr/>
        <w:t>Desde este punto de vista la pregunta es: ¿Es más importante el hombre cómo individuo, cómo ser social o el sistema? ¿Es el hombre o la maquinaria quien mantiene a ese sistema? De acuerdo con Bauman, “La masa de seres humanos</w:t>
      </w:r>
    </w:p>
    <w:p>
      <w:pPr>
        <w:pStyle w:val="BodyText"/>
        <w:spacing w:line="350" w:lineRule="auto" w:before="6"/>
        <w:ind w:left="264" w:right="214"/>
        <w:jc w:val="both"/>
      </w:pPr>
      <w:r>
        <w:rPr/>
        <w:t>convertidos en superfluos por el triunfo del capitalismo global crece sin parar y, ahora, está a punto de superar la capacidad del planeta para gestionarlos.”</w:t>
      </w:r>
      <w:r>
        <w:rPr>
          <w:position w:val="11"/>
          <w:sz w:val="16"/>
        </w:rPr>
        <w:t>328 </w:t>
      </w:r>
      <w:r>
        <w:rPr/>
        <w:t>Demostrando su insuficiencia ante el desinterés que ha otorgado a la presencia de las mismas.</w:t>
      </w:r>
    </w:p>
    <w:p>
      <w:pPr>
        <w:pStyle w:val="BodyText"/>
        <w:spacing w:line="360" w:lineRule="auto" w:before="17"/>
        <w:ind w:left="264" w:right="216" w:firstLine="336"/>
        <w:jc w:val="both"/>
      </w:pPr>
      <w:r>
        <w:rPr/>
        <w:t>La facultad del Estado para administrar y organizar a los hombres se ha sustituido por la acción del sistema global-capitalista y cada día miles de seres humanos quedan fuera de los beneficios alcanzados por la humanidad: desempleados, obreros, campesinos, jornaleros, pequeños empresarios, grupos étnicos etc. quienes son excluidos de los adelantos tecnológicos y de los bienes que históricamente ha acumulado la humanidad; además de considerar el  deterioro del planeta, a lo que Bauman llama, “[...] la aguda crisis de la industria</w:t>
      </w:r>
      <w:r>
        <w:rPr>
          <w:spacing w:val="-19"/>
        </w:rPr>
        <w:t> </w:t>
      </w:r>
      <w:r>
        <w:rPr/>
        <w:t>de</w:t>
      </w:r>
    </w:p>
    <w:p>
      <w:pPr>
        <w:pStyle w:val="BodyText"/>
        <w:spacing w:line="278" w:lineRule="exact"/>
        <w:ind w:left="264"/>
        <w:jc w:val="both"/>
      </w:pPr>
      <w:r>
        <w:rPr/>
        <w:t>la destrucción de &lt;&lt;desperdicios humanos&gt;&gt;”</w:t>
      </w:r>
      <w:r>
        <w:rPr>
          <w:position w:val="11"/>
          <w:sz w:val="16"/>
        </w:rPr>
        <w:t>329    </w:t>
      </w:r>
      <w:r>
        <w:rPr/>
        <w:t>Es tan expansiva esta   realidad</w:t>
      </w:r>
    </w:p>
    <w:p>
      <w:pPr>
        <w:pStyle w:val="BodyText"/>
        <w:spacing w:line="360" w:lineRule="auto" w:before="140"/>
        <w:ind w:left="264" w:right="220"/>
        <w:jc w:val="both"/>
      </w:pPr>
      <w:r>
        <w:rPr/>
        <w:t>que el ser humano en su conjunto deja de ser el eje de la actividad social, ante la prioridad del capital que margina a grandes sectores de la sociedad hundiéndoles en una pobreza extrema.</w:t>
      </w:r>
    </w:p>
    <w:p>
      <w:pPr>
        <w:pStyle w:val="BodyText"/>
        <w:spacing w:line="360" w:lineRule="auto" w:before="2"/>
        <w:ind w:left="264" w:right="218" w:firstLine="336"/>
        <w:jc w:val="both"/>
      </w:pPr>
      <w:r>
        <w:rPr/>
        <w:t>Confort y lujo son las premisas de la sociedad actual, la ciencia y la tecnología se utilizan no para solucionar problemas básicos de hombres y mujeres, sino para generar una serie de objetos inusuales y algunas veces inútiles, cuyo objetivo es llenar el vacío que la falta de una vida plena ha dejado en la humanidad; objetos que con el tiempo tienen el poder de convertirse en necesidades.</w:t>
      </w:r>
    </w:p>
    <w:p>
      <w:pPr>
        <w:pStyle w:val="BodyText"/>
        <w:spacing w:line="360" w:lineRule="auto" w:before="6"/>
        <w:ind w:left="264" w:right="215" w:firstLine="336"/>
        <w:jc w:val="both"/>
      </w:pPr>
      <w:r>
        <w:rPr/>
        <w:t>La internalización de esta forma de vida se realiza a través de las instituciones y de los medios de comunicación, que bajo el propósito de lograr la permanencia del  sistema  se  erigen  en  portadores  del  mensaje  que  se  difunde  para</w:t>
      </w:r>
      <w:r>
        <w:rPr>
          <w:spacing w:val="18"/>
        </w:rPr>
        <w:t> </w:t>
      </w:r>
      <w:r>
        <w:rPr/>
        <w:t>lograr</w:t>
      </w:r>
    </w:p>
    <w:p>
      <w:pPr>
        <w:pStyle w:val="BodyText"/>
        <w:spacing w:before="4"/>
        <w:rPr>
          <w:sz w:val="17"/>
        </w:rPr>
      </w:pPr>
      <w:r>
        <w:rPr/>
        <w:pict>
          <v:line style="position:absolute;mso-position-horizontal-relative:page;mso-position-vertical-relative:paragraph;z-index:9184;mso-wrap-distance-left:0;mso-wrap-distance-right:0" from="99.224998pt,12.258888pt" to="243.274998pt,12.258888pt" stroked="true" strokeweight=".60004pt" strokecolor="#000000">
            <w10:wrap type="topAndBottom"/>
          </v:line>
        </w:pict>
      </w:r>
    </w:p>
    <w:p>
      <w:pPr>
        <w:spacing w:line="236" w:lineRule="exact" w:before="46"/>
        <w:ind w:left="264" w:right="0" w:firstLine="0"/>
        <w:jc w:val="left"/>
        <w:rPr>
          <w:rFonts w:ascii="Calibri" w:hAnsi="Calibri"/>
          <w:sz w:val="18"/>
        </w:rPr>
      </w:pPr>
      <w:r>
        <w:rPr>
          <w:rFonts w:ascii="Calibri" w:hAnsi="Calibri"/>
          <w:position w:val="9"/>
          <w:sz w:val="12"/>
        </w:rPr>
        <w:t>328  </w:t>
      </w:r>
      <w:r>
        <w:rPr>
          <w:rFonts w:ascii="Calibri" w:hAnsi="Calibri"/>
          <w:sz w:val="18"/>
        </w:rPr>
        <w:t>BAUMAN, Zygmunt, </w:t>
      </w:r>
      <w:r>
        <w:rPr>
          <w:rFonts w:ascii="Calibri" w:hAnsi="Calibri"/>
          <w:i/>
          <w:sz w:val="18"/>
        </w:rPr>
        <w:t>Tiempos líquidos, vivir en una época de incertidumbre</w:t>
      </w:r>
      <w:r>
        <w:rPr>
          <w:rFonts w:ascii="Calibri" w:hAnsi="Calibri"/>
          <w:sz w:val="18"/>
        </w:rPr>
        <w:t>, Ensayo Tusquets, México, 2009, p. 45.</w:t>
      </w:r>
    </w:p>
    <w:p>
      <w:pPr>
        <w:spacing w:line="236" w:lineRule="exact" w:before="0"/>
        <w:ind w:left="264" w:right="0" w:firstLine="0"/>
        <w:jc w:val="left"/>
        <w:rPr>
          <w:rFonts w:ascii="Calibri" w:hAnsi="Calibri"/>
          <w:sz w:val="18"/>
        </w:rPr>
      </w:pPr>
      <w:r>
        <w:rPr>
          <w:rFonts w:ascii="Calibri" w:hAnsi="Calibri"/>
          <w:position w:val="9"/>
          <w:sz w:val="12"/>
        </w:rPr>
        <w:t>329   </w:t>
      </w:r>
      <w:r>
        <w:rPr>
          <w:rFonts w:ascii="Calibri" w:hAnsi="Calibri"/>
          <w:i/>
          <w:sz w:val="18"/>
        </w:rPr>
        <w:t>Ibíd.</w:t>
      </w:r>
      <w:r>
        <w:rPr>
          <w:rFonts w:ascii="Calibri" w:hAnsi="Calibri"/>
          <w:sz w:val="18"/>
        </w:rPr>
        <w:t>, p. 44.</w:t>
      </w:r>
    </w:p>
    <w:p>
      <w:pPr>
        <w:spacing w:after="0" w:line="236"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925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23"/>
        <w:jc w:val="both"/>
      </w:pPr>
      <w:r>
        <w:rPr/>
        <w:t>respuestas positivas de aceptación de esta forma de vida, así, los hombres y las mujeres persiguen con avidez los satisfactores ofrecidos. El lujo se hace necesario y es imposible vivir sin todos los elementos que se ofrecen para el confort y el menor esfuerzo.</w:t>
      </w:r>
    </w:p>
    <w:p>
      <w:pPr>
        <w:pStyle w:val="BodyText"/>
        <w:spacing w:line="360" w:lineRule="auto" w:before="6"/>
        <w:ind w:left="684" w:right="112" w:firstLine="271"/>
        <w:jc w:val="both"/>
        <w:rPr>
          <w:sz w:val="13"/>
        </w:rPr>
      </w:pPr>
      <w:r>
        <w:rPr/>
        <w:t>En este proceso de construcción de la conciencia de los hombres contemporáneos, la televisión se convierte en un elemento indispensable para cubrir diferentes necesidades de las personas, se le adjudica un valor irreemplazable en el menaje del hogar, se le asignan funciones educativas, informativas, de entretenimiento y como dijera Karol Wojtyla, hasta de niñera, ya que, muchas veces por mandato de los adultos, los niños pasan muchas horas viendo la programación televisiva, absorbiendo lo que en ésta se ofrece y "vende". Y ante este ejercicio de pasividad, porque sólo es receptor, el niño aprende a vivir cómo lo sugiere la historia presentada en la televisión. A través de ella descubre diferentes formas de vida, aprende a hablar, se le sugiere que comer, como jugar, como interrelacionarse. Decide olvidar sus necesidades básicas y construye nuevas expectativas de lo que es importante para vivir. Olvida su espíritu solidario, se sitúa en un mundo competitivo donde el que tiene más es más.</w:t>
      </w:r>
      <w:r>
        <w:rPr>
          <w:position w:val="10"/>
          <w:sz w:val="13"/>
        </w:rPr>
        <w:t>330</w:t>
      </w:r>
    </w:p>
    <w:p>
      <w:pPr>
        <w:pStyle w:val="BodyText"/>
        <w:spacing w:line="360" w:lineRule="auto" w:before="1"/>
        <w:ind w:left="684" w:right="116" w:firstLine="336"/>
        <w:jc w:val="both"/>
      </w:pPr>
      <w:r>
        <w:rPr/>
        <w:pict>
          <v:line style="position:absolute;mso-position-horizontal-relative:page;mso-position-vertical-relative:paragraph;z-index:9232;mso-wrap-distance-left:0;mso-wrap-distance-right:0" from="99.224998pt,254.285828pt" to="243.274998pt,254.285828pt" stroked="true" strokeweight=".60004pt" strokecolor="#000000">
            <w10:wrap type="topAndBottom"/>
          </v:line>
        </w:pict>
      </w:r>
      <w:r>
        <w:rPr/>
        <w:t>La cuestión es ¿cómo se logra invadir de esa manera la conciencia y cómo se logra la aceptación tácita de costumbres que van inclusive contra la integridad del individuo? Si la sociedad en su conjunto ha asumido estas novedosas formas de vida, persiguiendo los patrones de vida que le ofrece el televisor. Si construye su ser y su realidad a través de modelos ilusorios, racionalizando los mensajes en torno a su diario acontecer, desde dos enfoques, primero: elaborando su proyecto de vida desde las propuestas del capital que se presentan a manera de mensajes eficientemente elaborados para despertar la motivación y la acción para obtener los satisfactores que de manera llamativa ofrece la felicidad y el confort; segundo: a partir de una actitud pasiva, que se mediatiza ante la necesidad de satisfactores recreativos que sólo encuentra en la programación emitida por la televisión, tal es el  caso  del  drama  que  se  proyecta  en  las  telenovelas,  de  las    necesidades</w:t>
      </w:r>
    </w:p>
    <w:p>
      <w:pPr>
        <w:spacing w:before="46"/>
        <w:ind w:left="684" w:right="128" w:firstLine="0"/>
        <w:jc w:val="both"/>
        <w:rPr>
          <w:sz w:val="18"/>
        </w:rPr>
      </w:pPr>
      <w:r>
        <w:rPr>
          <w:rFonts w:ascii="Calibri" w:hAnsi="Calibri"/>
          <w:position w:val="9"/>
          <w:sz w:val="12"/>
        </w:rPr>
        <w:t>330 </w:t>
      </w:r>
      <w:r>
        <w:rPr>
          <w:rFonts w:ascii="Calibri" w:hAnsi="Calibri"/>
          <w:sz w:val="18"/>
        </w:rPr>
        <w:t>Al respecto el hombre siguiendo este modelo de vida trabaja para obtener cosas superfluas e innecesarias y se olvida de la solidaridad y la caridad y apoyo para con los otros. Es conocido que entre las clases más vulnerables y pobres es común la adquisición de un televisor antes que una cama por ejemplo, o la compra de una cerveza o una bebida con gas antes que alimentos para los niños o para los ancianos</w:t>
      </w:r>
      <w:r>
        <w:rPr>
          <w:sz w:val="18"/>
        </w:rPr>
        <w:t>.</w:t>
      </w:r>
    </w:p>
    <w:p>
      <w:pPr>
        <w:spacing w:after="0"/>
        <w:jc w:val="both"/>
        <w:rPr>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930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8"/>
        <w:jc w:val="both"/>
      </w:pPr>
      <w:r>
        <w:rPr/>
        <w:t>deportivas que se cristalizan a través de la visualización de un partido de fútbol, de la realidad no vivida que se muestra en películas y series melodramáticas, o de las aspiraciones de desarrollar el espíritu a través del arte que hacen catarsis ante la presencia de programas musicales, danza o teatro. De esta manera el mensaje televisivo llena todos los campos de la vida de los televidentes, sólo que en lugar de motivarlos a la acción autónoma, los mueve alrededor de los intereses del mercado, del sistema o del programador.</w:t>
      </w:r>
    </w:p>
    <w:p>
      <w:pPr>
        <w:pStyle w:val="BodyText"/>
        <w:spacing w:line="360" w:lineRule="auto" w:before="2"/>
        <w:ind w:left="264" w:right="221" w:firstLine="336"/>
        <w:jc w:val="both"/>
      </w:pPr>
      <w:r>
        <w:rPr/>
        <w:t>Por lo tanto, la autenticidad o la autonomía se obstaculizan por una propuesta de acción heterónoma que regula y predice el futuro, de la que es difícil emerger para crear metas que promuevan el crecimiento personal. Así,</w:t>
      </w:r>
    </w:p>
    <w:p>
      <w:pPr>
        <w:pStyle w:val="BodyText"/>
      </w:pPr>
    </w:p>
    <w:p>
      <w:pPr>
        <w:spacing w:line="235" w:lineRule="auto" w:before="145"/>
        <w:ind w:left="973" w:right="216" w:firstLine="0"/>
        <w:jc w:val="both"/>
        <w:rPr>
          <w:sz w:val="14"/>
        </w:rPr>
      </w:pPr>
      <w:r>
        <w:rPr>
          <w:sz w:val="22"/>
        </w:rPr>
        <w:t>Ser uno mismo ha quedado reducido a unas meras formalidades que afectan a la buena vida y conservación del cuerpo, y naturalmente, a la satisfacción de una psiquis desordenada en conjugación con unas ideas no menos confusas. Ser uno mismo es apenas dejarse llevar, dejarse empujar por la existencia, no obedecer a nada ni a nadie, ni siquiera a uno mismo, porque ese “uno mismo” todavía no ha hecho verdadero acto de presencia en la conciencia.</w:t>
      </w:r>
      <w:r>
        <w:rPr>
          <w:position w:val="10"/>
          <w:sz w:val="14"/>
        </w:rPr>
        <w:t>331</w:t>
      </w:r>
    </w:p>
    <w:p>
      <w:pPr>
        <w:pStyle w:val="BodyText"/>
        <w:spacing w:before="1"/>
        <w:rPr>
          <w:sz w:val="33"/>
        </w:rPr>
      </w:pPr>
    </w:p>
    <w:p>
      <w:pPr>
        <w:pStyle w:val="BodyText"/>
        <w:spacing w:line="360" w:lineRule="auto"/>
        <w:ind w:left="264" w:right="218" w:firstLine="308"/>
        <w:jc w:val="both"/>
      </w:pPr>
      <w:r>
        <w:rPr/>
        <w:t>De ahí que la forma que toma la conciencia se determina, históricamente, desde la posición social-espacial que cada sujeto tiene, de los estímulos  cognitivos con que se construye desde la infancia, de los elementos con los que cuenta para interactuar con los otros, con la naturaleza y el</w:t>
      </w:r>
      <w:r>
        <w:rPr>
          <w:spacing w:val="-32"/>
        </w:rPr>
        <w:t> </w:t>
      </w:r>
      <w:r>
        <w:rPr/>
        <w:t>mundo.</w:t>
      </w:r>
    </w:p>
    <w:p>
      <w:pPr>
        <w:pStyle w:val="BodyText"/>
        <w:spacing w:line="360" w:lineRule="auto" w:before="6"/>
        <w:ind w:left="264" w:right="214" w:firstLine="336"/>
        <w:jc w:val="both"/>
      </w:pPr>
      <w:r>
        <w:rPr/>
        <w:t>Para Boaventura de Sousa Santos, es un factor importante en la conformación del ser de las personas la ubicación social, por lo que el afirma que </w:t>
      </w:r>
      <w:r>
        <w:rPr>
          <w:i/>
        </w:rPr>
        <w:t>ser y no ser </w:t>
      </w:r>
      <w:r>
        <w:rPr/>
        <w:t>depende de la zona en la que se vive, pues existe una zona del </w:t>
      </w:r>
      <w:r>
        <w:rPr>
          <w:i/>
        </w:rPr>
        <w:t>ser </w:t>
      </w:r>
      <w:r>
        <w:rPr/>
        <w:t>que se ubica en los lugares donde los hombres nacen con privilegios y existe una zona de </w:t>
      </w:r>
      <w:r>
        <w:rPr>
          <w:i/>
        </w:rPr>
        <w:t>no </w:t>
      </w:r>
      <w:r>
        <w:rPr>
          <w:i/>
        </w:rPr>
        <w:t>ser </w:t>
      </w:r>
      <w:r>
        <w:rPr/>
        <w:t>que está condicionado por las carencias materiales en las que transcurre la vida de millones de seres humanos.</w:t>
      </w:r>
    </w:p>
    <w:p>
      <w:pPr>
        <w:pStyle w:val="BodyText"/>
      </w:pPr>
    </w:p>
    <w:p>
      <w:pPr>
        <w:pStyle w:val="BodyText"/>
        <w:spacing w:before="3"/>
        <w:rPr>
          <w:sz w:val="28"/>
        </w:rPr>
      </w:pPr>
    </w:p>
    <w:p>
      <w:pPr>
        <w:spacing w:line="240" w:lineRule="auto" w:before="0"/>
        <w:ind w:left="973" w:right="213" w:firstLine="0"/>
        <w:jc w:val="both"/>
        <w:rPr>
          <w:sz w:val="22"/>
        </w:rPr>
      </w:pPr>
      <w:r>
        <w:rPr>
          <w:sz w:val="22"/>
        </w:rPr>
        <w:t>En la zona del no-ser (zonas colonizadas), debido a que los sujetos son calificados como inferiores, ellos viven un estado de opresión en lugar de privilegio racial. Por lo tanto, la opresión de clase, sexualidad y género que se vive en la zona del no- ser es cualitativamente distinta a cómo estas opresiones se viven en la zona del</w:t>
      </w:r>
    </w:p>
    <w:p>
      <w:pPr>
        <w:pStyle w:val="BodyText"/>
        <w:spacing w:before="4"/>
        <w:rPr>
          <w:sz w:val="19"/>
        </w:rPr>
      </w:pPr>
      <w:r>
        <w:rPr/>
        <w:pict>
          <v:line style="position:absolute;mso-position-horizontal-relative:page;mso-position-vertical-relative:paragraph;z-index:9280;mso-wrap-distance-left:0;mso-wrap-distance-right:0" from="99.224998pt,13.373924pt" to="243.274998pt,13.373924pt" stroked="true" strokeweight=".60004pt" strokecolor="#000000">
            <w10:wrap type="topAndBottom"/>
          </v:line>
        </w:pict>
      </w:r>
    </w:p>
    <w:p>
      <w:pPr>
        <w:spacing w:before="46"/>
        <w:ind w:left="264" w:right="220" w:firstLine="0"/>
        <w:jc w:val="left"/>
        <w:rPr>
          <w:rFonts w:ascii="Calibri" w:hAnsi="Calibri"/>
          <w:sz w:val="18"/>
        </w:rPr>
      </w:pPr>
      <w:r>
        <w:rPr>
          <w:rFonts w:ascii="Calibri" w:hAnsi="Calibri"/>
          <w:position w:val="9"/>
          <w:sz w:val="12"/>
        </w:rPr>
        <w:t>331 </w:t>
      </w:r>
      <w:r>
        <w:rPr>
          <w:rFonts w:ascii="Calibri" w:hAnsi="Calibri"/>
          <w:sz w:val="18"/>
        </w:rPr>
        <w:t>STEINBERG Guzmán, Delia, El maravilloso arte de ser uno mismo”, [en línea] consulta 25/o6/2012, disponible en: </w:t>
      </w:r>
      <w:hyperlink r:id="rId127">
        <w:r>
          <w:rPr>
            <w:rFonts w:ascii="Calibri" w:hAnsi="Calibri"/>
            <w:sz w:val="18"/>
          </w:rPr>
          <w:t>http://www.acropolis.org.mx/lang/es/el-maravilloso-arte-de-ser-uno-mismo/</w:t>
        </w:r>
      </w:hyperlink>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935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40" w:lineRule="auto" w:before="72"/>
        <w:ind w:left="1393" w:right="112" w:firstLine="0"/>
        <w:jc w:val="both"/>
        <w:rPr>
          <w:sz w:val="16"/>
        </w:rPr>
      </w:pPr>
      <w:r>
        <w:rPr>
          <w:sz w:val="22"/>
        </w:rPr>
        <w:t>ser. Ambas zonas se constituyen como espacios heterogéneos. Dentro de la zona del ser existen conflictos continuos entre lo que la dialéctica hegeliana caracteriza como el “Yo” y el “Otro”. En la dialéctica del “Yo” y el “Otro” dentro de la zona del ser hay conflictos pero no son conflictos raciales porque la humanidad del otro oprimido es reconocida por el “Yo” opresor. </w:t>
      </w:r>
      <w:r>
        <w:rPr>
          <w:sz w:val="16"/>
        </w:rPr>
        <w:t>332</w:t>
      </w:r>
    </w:p>
    <w:p>
      <w:pPr>
        <w:pStyle w:val="BodyText"/>
        <w:rPr>
          <w:sz w:val="22"/>
        </w:rPr>
      </w:pPr>
    </w:p>
    <w:p>
      <w:pPr>
        <w:pStyle w:val="BodyText"/>
        <w:rPr>
          <w:sz w:val="22"/>
        </w:rPr>
      </w:pPr>
    </w:p>
    <w:p>
      <w:pPr>
        <w:pStyle w:val="BodyText"/>
        <w:spacing w:before="1"/>
        <w:rPr>
          <w:sz w:val="30"/>
        </w:rPr>
      </w:pPr>
    </w:p>
    <w:p>
      <w:pPr>
        <w:pStyle w:val="BodyText"/>
        <w:spacing w:line="360" w:lineRule="auto" w:before="1"/>
        <w:ind w:left="684" w:right="116" w:firstLine="336"/>
        <w:jc w:val="both"/>
      </w:pPr>
      <w:r>
        <w:rPr/>
        <w:t>Desde esta hipótesis en la periferia se oculta el </w:t>
      </w:r>
      <w:r>
        <w:rPr>
          <w:i/>
        </w:rPr>
        <w:t>ser, </w:t>
      </w:r>
      <w:r>
        <w:rPr/>
        <w:t>predomina el </w:t>
      </w:r>
      <w:r>
        <w:rPr>
          <w:i/>
        </w:rPr>
        <w:t>no ser </w:t>
      </w:r>
      <w:r>
        <w:rPr/>
        <w:t>de quienes viven sometidos por el sistema imperialista /capitalista/patriarcal, donde lo masculino, heterosexual, occidental tiene el poder e impone sus patrones de orden y regulación, bajo un sistema-estado colonial demostrado en los estilos de propaganda del ente televisivo, de los mensajes regulatorios de las instituciones y fortalecido por el uso intenso de la mercadotecnia.</w:t>
      </w:r>
    </w:p>
    <w:p>
      <w:pPr>
        <w:pStyle w:val="BodyText"/>
        <w:spacing w:line="360" w:lineRule="auto" w:before="6"/>
        <w:ind w:left="684" w:right="117" w:firstLine="336"/>
        <w:jc w:val="both"/>
      </w:pPr>
      <w:r>
        <w:rPr/>
        <w:t>En Latinoamérica considerando en este caso a México y a Honduras se vive un estado colonial, sometido por lazos históricos que se desprenden de la Conquista que destruyó una forma de cultura e impuso un paradigma occidental bajo la implantación de un sistema de dominación, esclavitud y explotación factores que aún influyen en la estructura social de nuestros pueblos. De acuerdo con De  Sousa Santos sobrevive un colonialismo interno en el que el ser o no ser de los individuos se ve influida por la ubicación social que cada quien ocupa en la estructura grupal.  Por lo que es necesario promover otra forma de</w:t>
      </w:r>
      <w:r>
        <w:rPr>
          <w:spacing w:val="-26"/>
        </w:rPr>
        <w:t> </w:t>
      </w:r>
      <w:r>
        <w:rPr/>
        <w:t>ser:</w:t>
      </w:r>
    </w:p>
    <w:p>
      <w:pPr>
        <w:pStyle w:val="BodyText"/>
      </w:pPr>
    </w:p>
    <w:p>
      <w:pPr>
        <w:spacing w:line="237" w:lineRule="auto" w:before="143"/>
        <w:ind w:left="1393" w:right="110" w:firstLine="0"/>
        <w:jc w:val="both"/>
        <w:rPr>
          <w:sz w:val="22"/>
        </w:rPr>
      </w:pPr>
      <w:r>
        <w:rPr>
          <w:sz w:val="22"/>
        </w:rPr>
        <w:t>En segundo lugar, el cambio gradual de una civilización antropocéntrica a una biocéntrica, lo que implica reconocer los derechos de la naturaleza; redefinir el significado de la calidad de vida y la prosperidad de manera que no dependan del crecimiento infinito; promover energías verdaderamente renovables (sin incluir los agro-combustibles) que no impliquen la expulsión de campesinos e indígenas de sus territorios; diseñar políticas de transición para los países cuyos presupuestos dependen excesivamente de la extracción de materias primas, ya sean minerales, petróleo o productos agrícolas en régimen de monocultivo con precios controlados por las grandes empresas monopolistas del Norte</w:t>
      </w:r>
      <w:r>
        <w:rPr>
          <w:position w:val="10"/>
          <w:sz w:val="14"/>
        </w:rPr>
        <w:t>333</w:t>
      </w:r>
      <w:r>
        <w:rPr>
          <w:sz w:val="22"/>
        </w:rPr>
        <w:t>.</w:t>
      </w:r>
    </w:p>
    <w:p>
      <w:pPr>
        <w:pStyle w:val="BodyText"/>
        <w:rPr>
          <w:sz w:val="20"/>
        </w:rPr>
      </w:pPr>
    </w:p>
    <w:p>
      <w:pPr>
        <w:pStyle w:val="BodyText"/>
        <w:spacing w:before="5"/>
        <w:rPr>
          <w:sz w:val="26"/>
        </w:rPr>
      </w:pPr>
      <w:r>
        <w:rPr/>
        <w:pict>
          <v:line style="position:absolute;mso-position-horizontal-relative:page;mso-position-vertical-relative:paragraph;z-index:9328;mso-wrap-distance-left:0;mso-wrap-distance-right:0" from="99.224998pt,17.493210pt" to="243.274998pt,17.493210pt" stroked="true" strokeweight=".60004pt" strokecolor="#000000">
            <w10:wrap type="topAndBottom"/>
          </v:line>
        </w:pict>
      </w:r>
    </w:p>
    <w:p>
      <w:pPr>
        <w:tabs>
          <w:tab w:pos="3425" w:val="left" w:leader="none"/>
          <w:tab w:pos="6438" w:val="left" w:leader="none"/>
          <w:tab w:pos="9293" w:val="left" w:leader="none"/>
        </w:tabs>
        <w:spacing w:line="240" w:lineRule="auto" w:before="43"/>
        <w:ind w:left="684" w:right="112" w:firstLine="0"/>
        <w:jc w:val="both"/>
        <w:rPr>
          <w:rFonts w:ascii="Calibri" w:hAnsi="Calibri"/>
          <w:i/>
          <w:sz w:val="18"/>
        </w:rPr>
      </w:pPr>
      <w:r>
        <w:rPr>
          <w:position w:val="11"/>
          <w:sz w:val="16"/>
        </w:rPr>
        <w:t>332 </w:t>
      </w:r>
      <w:r>
        <w:rPr>
          <w:rFonts w:ascii="Calibri" w:hAnsi="Calibri"/>
          <w:sz w:val="18"/>
        </w:rPr>
        <w:t>GROSFOGUEL, Ramón, “La descolonización del conocimiento: diálogo crítico entre la visión descolonial de Frantz Fanon y la sociología descolonial de Boaventura de Sousa Santos” Departamento de Estudios Étnicos, Berkeley University, Estados Unidos .Integrante del Grupo Modernidad / Colonialidad, </w:t>
      </w:r>
      <w:hyperlink r:id="rId128">
        <w:r>
          <w:rPr>
            <w:rFonts w:ascii="Calibri" w:hAnsi="Calibri"/>
            <w:color w:val="0000FF"/>
            <w:sz w:val="18"/>
            <w:u w:val="single" w:color="0000FF"/>
          </w:rPr>
          <w:t>grosfogu@berkeley.edu</w:t>
        </w:r>
        <w:r>
          <w:rPr>
            <w:rFonts w:ascii="Calibri" w:hAnsi="Calibri"/>
            <w:sz w:val="18"/>
          </w:rPr>
          <w:t>,</w:t>
        </w:r>
      </w:hyperlink>
      <w:r>
        <w:rPr>
          <w:rFonts w:ascii="Calibri" w:hAnsi="Calibri"/>
          <w:sz w:val="18"/>
        </w:rPr>
        <w:t> [en línea]  Consulta</w:t>
        <w:tab/>
        <w:t>12/06/2012,</w:t>
        <w:tab/>
        <w:t>disponible</w:t>
        <w:tab/>
        <w:t>en: </w:t>
      </w:r>
      <w:hyperlink r:id="rId129">
        <w:r>
          <w:rPr>
            <w:rFonts w:ascii="Calibri" w:hAnsi="Calibri"/>
            <w:i/>
            <w:color w:val="0000FF"/>
            <w:sz w:val="18"/>
            <w:u w:val="single" w:color="0000FF"/>
          </w:rPr>
          <w:t>http://www.boaventuradesousasantos.pt/media/RAMON%20GROSFOGUEL%20SOBRE%20BOAVENTURA%20Y%20FANO </w:t>
        </w:r>
      </w:hyperlink>
      <w:hyperlink r:id="rId129">
        <w:r>
          <w:rPr>
            <w:rFonts w:ascii="Calibri" w:hAnsi="Calibri"/>
            <w:i/>
            <w:color w:val="0000FF"/>
            <w:sz w:val="18"/>
            <w:u w:val="single" w:color="0000FF"/>
          </w:rPr>
          <w:t>N.pdf</w:t>
        </w:r>
        <w:r>
          <w:rPr>
            <w:rFonts w:ascii="Calibri" w:hAnsi="Calibri"/>
            <w:i/>
            <w:sz w:val="18"/>
          </w:rPr>
          <w:t>.</w:t>
        </w:r>
      </w:hyperlink>
    </w:p>
    <w:p>
      <w:pPr>
        <w:spacing w:line="220" w:lineRule="exact" w:before="0"/>
        <w:ind w:left="684" w:right="0" w:firstLine="0"/>
        <w:jc w:val="both"/>
        <w:rPr>
          <w:rFonts w:ascii="Calibri" w:hAnsi="Calibri"/>
          <w:sz w:val="18"/>
        </w:rPr>
      </w:pPr>
      <w:r>
        <w:rPr>
          <w:position w:val="9"/>
          <w:sz w:val="12"/>
        </w:rPr>
        <w:t>333 </w:t>
      </w:r>
      <w:r>
        <w:rPr>
          <w:rFonts w:ascii="Calibri" w:hAnsi="Calibri"/>
          <w:sz w:val="18"/>
        </w:rPr>
        <w:t>Boaventura de Sousa Santos, “Río+20 y la Cumbre de los Pueblos”, </w:t>
      </w:r>
      <w:r>
        <w:rPr>
          <w:rFonts w:ascii="Calibri" w:hAnsi="Calibri"/>
          <w:i/>
          <w:sz w:val="18"/>
        </w:rPr>
        <w:t>Carta Maior y Rebelión</w:t>
      </w:r>
      <w:r>
        <w:rPr>
          <w:rFonts w:ascii="Calibri" w:hAnsi="Calibri"/>
          <w:sz w:val="18"/>
        </w:rPr>
        <w:t>, 14-02-2012, Traducido</w:t>
      </w:r>
    </w:p>
    <w:p>
      <w:pPr>
        <w:spacing w:before="0"/>
        <w:ind w:left="684" w:right="0" w:firstLine="0"/>
        <w:jc w:val="both"/>
        <w:rPr>
          <w:rFonts w:ascii="Calibri" w:hAnsi="Calibri"/>
          <w:sz w:val="18"/>
        </w:rPr>
      </w:pPr>
      <w:r>
        <w:rPr>
          <w:rFonts w:ascii="Calibri" w:hAnsi="Calibri"/>
          <w:sz w:val="18"/>
        </w:rPr>
        <w:t>por Antoni Jesús Aguiló, [en línea] consulta 19/09/2012, disponible en: </w:t>
      </w:r>
      <w:hyperlink r:id="rId130">
        <w:r>
          <w:rPr>
            <w:rFonts w:ascii="Calibri" w:hAnsi="Calibri"/>
            <w:color w:val="0000FF"/>
            <w:sz w:val="18"/>
            <w:u w:val="single" w:color="0000FF"/>
          </w:rPr>
          <w:t>http://www.rebelion.org/noticia.php?id=144642</w:t>
        </w:r>
        <w:r>
          <w:rPr>
            <w:rFonts w:ascii="Calibri" w:hAnsi="Calibri"/>
            <w:sz w:val="18"/>
          </w:rPr>
          <w:t>.</w:t>
        </w:r>
      </w:hyperlink>
    </w:p>
    <w:p>
      <w:pPr>
        <w:spacing w:after="0"/>
        <w:jc w:val="both"/>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940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2" w:lineRule="auto" w:before="70"/>
        <w:ind w:left="264" w:right="220"/>
        <w:jc w:val="both"/>
      </w:pPr>
      <w:r>
        <w:rPr/>
        <w:t>Sin embargo su propuesta sugiere que la zona del ser y no-ser no es un lugar determinado en el espacio, “[...] sino una posicionalidad en relaciones raciales de poder que ocurre a escala global entre centros y periferias, pero que también ocurre a escala nacional y local contra diversos grupos racialmente inferiorizados.” </w:t>
      </w:r>
      <w:r>
        <w:rPr>
          <w:position w:val="11"/>
          <w:sz w:val="16"/>
        </w:rPr>
        <w:t>334 </w:t>
      </w:r>
      <w:r>
        <w:rPr/>
        <w:t>Reiterando que para ese proceso de asumir el ser que promueve la realización plena de cada individuo, adjudicándole el valor que como ser humano contiene</w:t>
      </w:r>
      <w:r>
        <w:rPr>
          <w:spacing w:val="59"/>
        </w:rPr>
        <w:t> </w:t>
      </w:r>
      <w:r>
        <w:rPr/>
        <w:t>en</w:t>
      </w:r>
    </w:p>
    <w:p>
      <w:pPr>
        <w:pStyle w:val="BodyText"/>
        <w:spacing w:line="357" w:lineRule="auto" w:before="14"/>
        <w:ind w:left="264" w:right="221"/>
        <w:jc w:val="both"/>
      </w:pPr>
      <w:r>
        <w:rPr/>
        <w:t>sí mismo, es necesario el esfuerzo de una nueva formación, de una nueva episteme que aborde la realidad desde la creatividad, la búsqueda y el descubrimiento del </w:t>
      </w:r>
      <w:r>
        <w:rPr>
          <w:i/>
        </w:rPr>
        <w:t>yo </w:t>
      </w:r>
      <w:r>
        <w:rPr/>
        <w:t>en relación con los otros.</w:t>
      </w:r>
    </w:p>
    <w:p>
      <w:pPr>
        <w:pStyle w:val="BodyText"/>
      </w:pPr>
    </w:p>
    <w:p>
      <w:pPr>
        <w:pStyle w:val="Heading3"/>
        <w:spacing w:before="144"/>
        <w:ind w:left="332"/>
        <w:jc w:val="both"/>
        <w:rPr>
          <w:rFonts w:ascii="Arial" w:hAnsi="Arial"/>
        </w:rPr>
      </w:pPr>
      <w:bookmarkStart w:name="_TOC_250010" w:id="14"/>
      <w:bookmarkEnd w:id="14"/>
      <w:r>
        <w:rPr>
          <w:rFonts w:ascii="Arial" w:hAnsi="Arial"/>
        </w:rPr>
        <w:t>a. Reconocimiento del malestar que somete el carácter social</w:t>
      </w:r>
    </w:p>
    <w:p>
      <w:pPr>
        <w:pStyle w:val="BodyText"/>
        <w:rPr>
          <w:b/>
        </w:rPr>
      </w:pPr>
    </w:p>
    <w:p>
      <w:pPr>
        <w:pStyle w:val="BodyText"/>
        <w:spacing w:before="4"/>
        <w:rPr>
          <w:b/>
        </w:rPr>
      </w:pPr>
    </w:p>
    <w:p>
      <w:pPr>
        <w:pStyle w:val="BodyText"/>
        <w:spacing w:line="360" w:lineRule="auto"/>
        <w:ind w:left="264" w:right="220" w:firstLine="336"/>
        <w:jc w:val="both"/>
      </w:pPr>
      <w:r>
        <w:rPr/>
        <w:t>El carácter social, de acuerdo con Erich Fromm, es la suma del carácter individual con las condiciones socio-económicas en que se forma cada individuo. Así, afirma que las condiciones innatas del carácter del hombre normal y la organización socioeconómica son interdependientes en la conformación del carácter del individuo en su proceso de inserción social. Al respecto asegura que:</w:t>
      </w:r>
    </w:p>
    <w:p>
      <w:pPr>
        <w:pStyle w:val="BodyText"/>
        <w:spacing w:before="6"/>
        <w:rPr>
          <w:sz w:val="35"/>
        </w:rPr>
      </w:pPr>
    </w:p>
    <w:p>
      <w:pPr>
        <w:spacing w:line="240" w:lineRule="auto" w:before="1"/>
        <w:ind w:left="973" w:right="212" w:firstLine="0"/>
        <w:jc w:val="both"/>
        <w:rPr>
          <w:sz w:val="22"/>
        </w:rPr>
      </w:pPr>
      <w:r>
        <w:rPr>
          <w:sz w:val="22"/>
        </w:rPr>
        <w:t>La estructura socioeconómica de </w:t>
      </w:r>
      <w:r>
        <w:rPr>
          <w:spacing w:val="-3"/>
          <w:sz w:val="22"/>
        </w:rPr>
        <w:t>la </w:t>
      </w:r>
      <w:r>
        <w:rPr>
          <w:sz w:val="22"/>
        </w:rPr>
        <w:t>sociedad modela el carácter social de sus miembros, para que </w:t>
      </w:r>
      <w:r>
        <w:rPr>
          <w:i/>
          <w:sz w:val="22"/>
        </w:rPr>
        <w:t>deseen </w:t>
      </w:r>
      <w:r>
        <w:rPr>
          <w:sz w:val="22"/>
        </w:rPr>
        <w:t>hacer </w:t>
      </w:r>
      <w:r>
        <w:rPr>
          <w:spacing w:val="-3"/>
          <w:sz w:val="22"/>
        </w:rPr>
        <w:t>lo </w:t>
      </w:r>
      <w:r>
        <w:rPr>
          <w:sz w:val="22"/>
        </w:rPr>
        <w:t>que </w:t>
      </w:r>
      <w:r>
        <w:rPr>
          <w:i/>
          <w:sz w:val="22"/>
        </w:rPr>
        <w:t>deben </w:t>
      </w:r>
      <w:r>
        <w:rPr>
          <w:sz w:val="22"/>
        </w:rPr>
        <w:t>hacer. Simultáneamente, el carácter social influye en </w:t>
      </w:r>
      <w:r>
        <w:rPr>
          <w:spacing w:val="-3"/>
          <w:sz w:val="22"/>
        </w:rPr>
        <w:t>la </w:t>
      </w:r>
      <w:r>
        <w:rPr>
          <w:sz w:val="22"/>
        </w:rPr>
        <w:t>estructura socioeconómica de </w:t>
      </w:r>
      <w:r>
        <w:rPr>
          <w:spacing w:val="-3"/>
          <w:sz w:val="22"/>
        </w:rPr>
        <w:t>la </w:t>
      </w:r>
      <w:r>
        <w:rPr>
          <w:sz w:val="22"/>
        </w:rPr>
        <w:t>sociedad, actuando como pegamento para dar más estabilidad a </w:t>
      </w:r>
      <w:r>
        <w:rPr>
          <w:spacing w:val="-3"/>
          <w:sz w:val="22"/>
        </w:rPr>
        <w:t>la </w:t>
      </w:r>
      <w:r>
        <w:rPr>
          <w:sz w:val="22"/>
        </w:rPr>
        <w:t>estructura social o, </w:t>
      </w:r>
      <w:r>
        <w:rPr>
          <w:spacing w:val="2"/>
          <w:sz w:val="22"/>
        </w:rPr>
        <w:t>en </w:t>
      </w:r>
      <w:r>
        <w:rPr>
          <w:sz w:val="22"/>
        </w:rPr>
        <w:t>circunstancias especiales, como dinamita que tiende a romper </w:t>
      </w:r>
      <w:r>
        <w:rPr>
          <w:spacing w:val="-3"/>
          <w:sz w:val="22"/>
        </w:rPr>
        <w:t>la </w:t>
      </w:r>
      <w:r>
        <w:rPr>
          <w:sz w:val="22"/>
        </w:rPr>
        <w:t>estructura</w:t>
      </w:r>
      <w:r>
        <w:rPr>
          <w:spacing w:val="53"/>
          <w:sz w:val="22"/>
        </w:rPr>
        <w:t> </w:t>
      </w:r>
      <w:r>
        <w:rPr>
          <w:sz w:val="22"/>
        </w:rPr>
        <w:t>social.</w:t>
      </w:r>
    </w:p>
    <w:p>
      <w:pPr>
        <w:spacing w:line="135" w:lineRule="exact" w:before="0"/>
        <w:ind w:left="973" w:right="0" w:firstLine="0"/>
        <w:jc w:val="both"/>
        <w:rPr>
          <w:sz w:val="14"/>
        </w:rPr>
      </w:pPr>
      <w:r>
        <w:rPr>
          <w:sz w:val="14"/>
        </w:rPr>
        <w:t>335</w:t>
      </w:r>
    </w:p>
    <w:p>
      <w:pPr>
        <w:pStyle w:val="BodyText"/>
        <w:rPr>
          <w:sz w:val="14"/>
        </w:rPr>
      </w:pPr>
    </w:p>
    <w:p>
      <w:pPr>
        <w:pStyle w:val="BodyText"/>
        <w:spacing w:before="2"/>
        <w:rPr>
          <w:sz w:val="20"/>
        </w:rPr>
      </w:pPr>
    </w:p>
    <w:p>
      <w:pPr>
        <w:pStyle w:val="BodyText"/>
        <w:spacing w:line="357" w:lineRule="auto" w:before="1"/>
        <w:ind w:left="264" w:right="216" w:firstLine="336"/>
        <w:jc w:val="both"/>
      </w:pPr>
      <w:r>
        <w:rPr/>
        <w:t>De esta manera el individuo se adapta a la sociedad de manera implícita  acorde con los requisitos que se le exigen para ser partícipe de la</w:t>
      </w:r>
      <w:r>
        <w:rPr>
          <w:spacing w:val="-39"/>
        </w:rPr>
        <w:t> </w:t>
      </w:r>
      <w:r>
        <w:rPr/>
        <w:t>misma.</w:t>
      </w:r>
    </w:p>
    <w:p>
      <w:pPr>
        <w:pStyle w:val="BodyText"/>
        <w:spacing w:line="360" w:lineRule="auto" w:before="8"/>
        <w:ind w:left="264" w:right="217" w:firstLine="271"/>
        <w:jc w:val="both"/>
      </w:pPr>
      <w:r>
        <w:rPr/>
        <w:t>A partir de esta combinación: individuo-sociedad, carácter individual-estructura social surgen elementos que retroalimentan a las dos partes, dando como resultado un tipo de ciudadano específico acorde con un prototipo de sistema histórico–social. Así el hombre del siglo XX se ha consolidado bajo “una combinación  de  una  determinación  instintiva  mínima  y  un  desarrollo  cerebral</w:t>
      </w:r>
    </w:p>
    <w:p>
      <w:pPr>
        <w:pStyle w:val="BodyText"/>
        <w:spacing w:before="4"/>
        <w:rPr>
          <w:sz w:val="25"/>
        </w:rPr>
      </w:pPr>
      <w:r>
        <w:rPr/>
        <w:pict>
          <v:line style="position:absolute;mso-position-horizontal-relative:page;mso-position-vertical-relative:paragraph;z-index:9376;mso-wrap-distance-left:0;mso-wrap-distance-right:0" from="99.224998pt,16.848885pt" to="243.274998pt,16.848885pt" stroked="true" strokeweight=".60004pt" strokecolor="#000000">
            <w10:wrap type="topAndBottom"/>
          </v:line>
        </w:pict>
      </w:r>
    </w:p>
    <w:p>
      <w:pPr>
        <w:spacing w:line="235" w:lineRule="exact" w:before="48"/>
        <w:ind w:left="264" w:right="0" w:firstLine="0"/>
        <w:jc w:val="left"/>
        <w:rPr>
          <w:rFonts w:ascii="Calibri" w:hAnsi="Calibri"/>
          <w:i/>
          <w:sz w:val="18"/>
        </w:rPr>
      </w:pPr>
      <w:r>
        <w:rPr>
          <w:position w:val="9"/>
          <w:sz w:val="12"/>
        </w:rPr>
        <w:t>334  </w:t>
      </w:r>
      <w:r>
        <w:rPr>
          <w:rFonts w:ascii="Calibri" w:hAnsi="Calibri"/>
          <w:sz w:val="18"/>
        </w:rPr>
        <w:t>GROSFOGUEL, Ramón</w:t>
      </w:r>
      <w:r>
        <w:rPr>
          <w:rFonts w:ascii="Calibri" w:hAnsi="Calibri"/>
          <w:i/>
          <w:sz w:val="18"/>
        </w:rPr>
        <w:t>, Op. Cit.</w:t>
      </w:r>
    </w:p>
    <w:p>
      <w:pPr>
        <w:spacing w:line="236" w:lineRule="exact" w:before="0"/>
        <w:ind w:left="264" w:right="0" w:firstLine="0"/>
        <w:jc w:val="left"/>
        <w:rPr>
          <w:rFonts w:ascii="Calibri" w:hAnsi="Calibri"/>
          <w:sz w:val="18"/>
        </w:rPr>
      </w:pPr>
      <w:r>
        <w:rPr>
          <w:rFonts w:ascii="Calibri" w:hAnsi="Calibri"/>
          <w:position w:val="9"/>
          <w:sz w:val="12"/>
        </w:rPr>
        <w:t>335 </w:t>
      </w:r>
      <w:r>
        <w:rPr>
          <w:rFonts w:ascii="Calibri" w:hAnsi="Calibri"/>
          <w:sz w:val="18"/>
        </w:rPr>
        <w:t>FROMM, Erich, </w:t>
      </w:r>
      <w:r>
        <w:rPr>
          <w:rFonts w:ascii="Calibri" w:hAnsi="Calibri"/>
          <w:i/>
          <w:sz w:val="18"/>
        </w:rPr>
        <w:t>¿Tener o ser?</w:t>
      </w:r>
      <w:r>
        <w:rPr>
          <w:rFonts w:ascii="Calibri" w:hAnsi="Calibri"/>
          <w:sz w:val="18"/>
        </w:rPr>
        <w:t>,  p. 131.</w:t>
      </w:r>
    </w:p>
    <w:p>
      <w:pPr>
        <w:spacing w:after="0" w:line="236"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944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8"/>
        <w:jc w:val="both"/>
      </w:pPr>
      <w:r>
        <w:rPr/>
        <w:t>máximo” que como afirma Fromm, lo convierte en un fenómeno de la evolución animal, que sobrevive en condiciones más racionales que del instinto. En esta situación, la carencia del instinto lo impulsa a actuar bajo las premisas de la razón y de la conciencia. Sin embargo, para mantener el equilibrio ante la falta de algo que es inherente a su naturaleza animal requiere un refugio que le proporcione un marco de orientación y un objeto de devoción para subsistir, que según Fromm es posible rescatar a través del valor religioso, entendido esto como el elemento que le da coherencia y dirección a su vida ya que:</w:t>
      </w:r>
    </w:p>
    <w:p>
      <w:pPr>
        <w:pStyle w:val="BodyText"/>
        <w:spacing w:before="9"/>
        <w:rPr>
          <w:sz w:val="33"/>
        </w:rPr>
      </w:pPr>
    </w:p>
    <w:p>
      <w:pPr>
        <w:spacing w:line="235" w:lineRule="auto" w:before="0"/>
        <w:ind w:left="1393" w:right="121" w:firstLine="0"/>
        <w:jc w:val="both"/>
        <w:rPr>
          <w:sz w:val="14"/>
        </w:rPr>
      </w:pPr>
      <w:r>
        <w:rPr>
          <w:sz w:val="22"/>
        </w:rPr>
        <w:t>Sin un mapa del mundo natural y social (una descripción del mundo y del lugar que el individuo ocupa en éste, que esté estructurado y tenga cohesión interna), los seres humanos se sentirían confusos, y no podrían actuar con finalidad y con coherencia, porque no podrían orientarse, ni encontrar un punto fijo que les permitiera organizar las impresiones que experimenta todo individuo.</w:t>
      </w:r>
      <w:r>
        <w:rPr>
          <w:position w:val="10"/>
          <w:sz w:val="14"/>
        </w:rPr>
        <w:t>336</w:t>
      </w:r>
    </w:p>
    <w:p>
      <w:pPr>
        <w:pStyle w:val="BodyText"/>
        <w:spacing w:before="2"/>
        <w:rPr>
          <w:sz w:val="33"/>
        </w:rPr>
      </w:pPr>
    </w:p>
    <w:p>
      <w:pPr>
        <w:pStyle w:val="BodyText"/>
        <w:spacing w:line="360" w:lineRule="auto"/>
        <w:ind w:left="684" w:right="117" w:firstLine="271"/>
        <w:jc w:val="both"/>
      </w:pPr>
      <w:r>
        <w:rPr/>
        <w:t>Luego entonces, una vez que el hombre cuenta con este punto de arraigo, el mundo tiene sentido, le provee seguridad en sus ideas, y genera el consenso necesario para ubicarse. Por lo tanto, es indispensable para el ser humano contar con un marco de referencia que conlleva una función psicológica, que según Erich Fromm nunca ha sido totalmente correcto ni completamente mal hecho, es más bien lo más cercano a su idea de realidad.</w:t>
      </w:r>
    </w:p>
    <w:p>
      <w:pPr>
        <w:pStyle w:val="BodyText"/>
        <w:spacing w:line="360" w:lineRule="auto" w:before="6"/>
        <w:ind w:left="684" w:right="118" w:firstLine="336"/>
        <w:jc w:val="both"/>
      </w:pPr>
      <w:r>
        <w:rPr/>
        <w:t>Asimismo considera que además del mapa que nos brinde orientación es importante contar con metas que animen e impulsen al individuo en sus acciones. La posibilidad de contar con un cerebro, abre el pensamiento hacia diferentes direcciones, pero para dar seguridad y enfocar los esfuerzos de cada quien es importante contar con un objeto de devoción para dirigir nuestro empeño en esa dirección, y no sentir que se trabajó inútilmente.</w:t>
      </w:r>
    </w:p>
    <w:p>
      <w:pPr>
        <w:pStyle w:val="BodyText"/>
        <w:spacing w:line="350" w:lineRule="auto" w:before="6"/>
        <w:ind w:left="684" w:right="117" w:firstLine="271"/>
        <w:jc w:val="both"/>
        <w:rPr>
          <w:sz w:val="16"/>
        </w:rPr>
      </w:pPr>
      <w:r>
        <w:rPr/>
        <w:t>Sí bajo este supuesto, el carácter social depende de la estructura socio-cultural es posible afirmar que para ser ciudadano se debe aceptar los parámetros impuestos por una sociedad que se ha olvidado de la esencia de ser humano, anteponiéndola a la de tener, comprar y consumir. </w:t>
      </w:r>
      <w:r>
        <w:rPr>
          <w:position w:val="11"/>
          <w:sz w:val="16"/>
        </w:rPr>
        <w:t>337</w:t>
      </w:r>
    </w:p>
    <w:p>
      <w:pPr>
        <w:pStyle w:val="BodyText"/>
        <w:rPr>
          <w:sz w:val="20"/>
        </w:rPr>
      </w:pPr>
    </w:p>
    <w:p>
      <w:pPr>
        <w:pStyle w:val="BodyText"/>
        <w:spacing w:before="1"/>
        <w:rPr>
          <w:sz w:val="11"/>
        </w:rPr>
      </w:pPr>
      <w:r>
        <w:rPr/>
        <w:pict>
          <v:line style="position:absolute;mso-position-horizontal-relative:page;mso-position-vertical-relative:paragraph;z-index:9424;mso-wrap-distance-left:0;mso-wrap-distance-right:0" from="99.224998pt,8.631847pt" to="243.274998pt,8.631847pt" stroked="true" strokeweight=".599980pt" strokecolor="#000000">
            <w10:wrap type="topAndBottom"/>
          </v:line>
        </w:pict>
      </w:r>
    </w:p>
    <w:p>
      <w:pPr>
        <w:spacing w:line="233" w:lineRule="exact" w:before="46"/>
        <w:ind w:left="684" w:right="114" w:firstLine="0"/>
        <w:jc w:val="left"/>
        <w:rPr>
          <w:rFonts w:ascii="Calibri" w:hAnsi="Calibri"/>
          <w:sz w:val="18"/>
        </w:rPr>
      </w:pPr>
      <w:r>
        <w:rPr>
          <w:rFonts w:ascii="Calibri" w:hAnsi="Calibri"/>
          <w:position w:val="9"/>
          <w:sz w:val="12"/>
        </w:rPr>
        <w:t>336   </w:t>
      </w:r>
      <w:r>
        <w:rPr>
          <w:rFonts w:ascii="Calibri" w:hAnsi="Calibri"/>
          <w:i/>
          <w:sz w:val="18"/>
        </w:rPr>
        <w:t>Ibíd</w:t>
      </w:r>
      <w:r>
        <w:rPr>
          <w:rFonts w:ascii="Calibri" w:hAnsi="Calibri"/>
          <w:sz w:val="18"/>
        </w:rPr>
        <w:t>. p. 134.</w:t>
      </w:r>
    </w:p>
    <w:p>
      <w:pPr>
        <w:spacing w:line="221" w:lineRule="exact" w:before="0"/>
        <w:ind w:left="684" w:right="114" w:firstLine="0"/>
        <w:jc w:val="left"/>
        <w:rPr>
          <w:sz w:val="18"/>
        </w:rPr>
      </w:pPr>
      <w:r>
        <w:rPr>
          <w:position w:val="9"/>
          <w:sz w:val="12"/>
        </w:rPr>
        <w:t>337  </w:t>
      </w:r>
      <w:r>
        <w:rPr>
          <w:sz w:val="18"/>
        </w:rPr>
        <w:t>Véase </w:t>
      </w:r>
      <w:r>
        <w:rPr>
          <w:i/>
          <w:sz w:val="18"/>
        </w:rPr>
        <w:t>MARCUSE, Herbert, Óp. Cit.</w:t>
      </w:r>
      <w:r>
        <w:rPr>
          <w:sz w:val="18"/>
        </w:rPr>
        <w:t>, Cap. VI, p. 79</w:t>
      </w:r>
    </w:p>
    <w:p>
      <w:pPr>
        <w:spacing w:after="0" w:line="221" w:lineRule="exact"/>
        <w:jc w:val="left"/>
        <w:rPr>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949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0" w:lineRule="auto" w:before="70"/>
        <w:ind w:left="264" w:right="214" w:firstLine="271"/>
        <w:jc w:val="both"/>
      </w:pPr>
      <w:r>
        <w:rPr/>
        <w:t>En ese sentido Bauman considera que “una de las formas de sufrimiento secundario del hecho de vivir en una sociedad de consumo”</w:t>
      </w:r>
      <w:r>
        <w:rPr>
          <w:position w:val="11"/>
          <w:sz w:val="16"/>
        </w:rPr>
        <w:t>338 </w:t>
      </w:r>
      <w:r>
        <w:rPr/>
        <w:t>es que todos los caminos pasan por una tienda o centro comercial, en el que se puede obtener (comprar) todo lo que se necesita inclusive lo que tiene que ver con valores, con</w:t>
      </w:r>
    </w:p>
    <w:p>
      <w:pPr>
        <w:pStyle w:val="BodyText"/>
        <w:spacing w:before="16"/>
        <w:ind w:left="264"/>
        <w:jc w:val="both"/>
      </w:pPr>
      <w:r>
        <w:rPr/>
        <w:t>toma de sentido, etc., dado que en la actualidad:</w:t>
      </w:r>
    </w:p>
    <w:p>
      <w:pPr>
        <w:pStyle w:val="BodyText"/>
      </w:pPr>
    </w:p>
    <w:p>
      <w:pPr>
        <w:pStyle w:val="BodyText"/>
        <w:spacing w:before="1"/>
        <w:rPr>
          <w:sz w:val="21"/>
        </w:rPr>
      </w:pPr>
    </w:p>
    <w:p>
      <w:pPr>
        <w:spacing w:line="235" w:lineRule="auto" w:before="0"/>
        <w:ind w:left="973" w:right="214" w:firstLine="0"/>
        <w:jc w:val="both"/>
        <w:rPr>
          <w:sz w:val="14"/>
        </w:rPr>
      </w:pPr>
      <w:r>
        <w:rPr>
          <w:sz w:val="22"/>
        </w:rPr>
        <w:t>Toda búsqueda vital (y, de manera especialmente significativa, </w:t>
      </w:r>
      <w:r>
        <w:rPr>
          <w:spacing w:val="-3"/>
          <w:sz w:val="22"/>
        </w:rPr>
        <w:t>la </w:t>
      </w:r>
      <w:r>
        <w:rPr>
          <w:sz w:val="22"/>
        </w:rPr>
        <w:t>búsqueda de dignidad, </w:t>
      </w:r>
      <w:r>
        <w:rPr>
          <w:spacing w:val="-3"/>
          <w:sz w:val="22"/>
        </w:rPr>
        <w:t>la </w:t>
      </w:r>
      <w:r>
        <w:rPr>
          <w:sz w:val="22"/>
        </w:rPr>
        <w:t>autoestima y </w:t>
      </w:r>
      <w:r>
        <w:rPr>
          <w:spacing w:val="-3"/>
          <w:sz w:val="22"/>
        </w:rPr>
        <w:t>la </w:t>
      </w:r>
      <w:r>
        <w:rPr>
          <w:sz w:val="22"/>
        </w:rPr>
        <w:t>felicidad) precisa de </w:t>
      </w:r>
      <w:r>
        <w:rPr>
          <w:spacing w:val="-3"/>
          <w:sz w:val="22"/>
        </w:rPr>
        <w:t>la </w:t>
      </w:r>
      <w:r>
        <w:rPr>
          <w:sz w:val="22"/>
        </w:rPr>
        <w:t>mediación del mercado, y el mundo en el que se inscriben tales búsquedas está hecho de mercancías; objetos juzgados, apreciados, o rechazados según </w:t>
      </w:r>
      <w:r>
        <w:rPr>
          <w:spacing w:val="-3"/>
          <w:sz w:val="22"/>
        </w:rPr>
        <w:t>la </w:t>
      </w:r>
      <w:r>
        <w:rPr>
          <w:sz w:val="22"/>
        </w:rPr>
        <w:t>satisfacción que aportan a los clientes del mundo.</w:t>
      </w:r>
      <w:r>
        <w:rPr>
          <w:spacing w:val="-9"/>
          <w:sz w:val="22"/>
        </w:rPr>
        <w:t> </w:t>
      </w:r>
      <w:r>
        <w:rPr>
          <w:spacing w:val="-2"/>
          <w:position w:val="10"/>
          <w:sz w:val="14"/>
        </w:rPr>
        <w:t>339</w:t>
      </w:r>
    </w:p>
    <w:p>
      <w:pPr>
        <w:pStyle w:val="BodyText"/>
        <w:spacing w:before="1"/>
        <w:rPr>
          <w:sz w:val="33"/>
        </w:rPr>
      </w:pPr>
    </w:p>
    <w:p>
      <w:pPr>
        <w:pStyle w:val="BodyText"/>
        <w:spacing w:line="360" w:lineRule="auto" w:before="1"/>
        <w:ind w:left="264" w:right="216" w:firstLine="271"/>
        <w:jc w:val="both"/>
      </w:pPr>
      <w:r>
        <w:rPr/>
        <w:t>De modo que estos objetos sean fáciles de usar a la vez que producen satisfacción pronta y directa, lo que hace que la supremacía del objeto que se compra deje seres satisfechos, pero también un gran malestar cuando el objeto no cumple las expectativas o cuando es inalcanzable su adquisición.</w:t>
      </w:r>
    </w:p>
    <w:p>
      <w:pPr>
        <w:pStyle w:val="BodyText"/>
        <w:spacing w:line="360" w:lineRule="auto" w:before="2"/>
        <w:ind w:left="264" w:right="216" w:firstLine="336"/>
        <w:jc w:val="both"/>
      </w:pPr>
      <w:r>
        <w:rPr/>
        <w:t>Situación que se agrava ante la descomposición social y los peligros a los que se enfrenta ante el desgaste del planeta. Bauman habla en primer lugar  del cambio drástico de una vida sólida, confiable por una vida líquida que se pierde en el tiempo sin dar tiempo a la consolidación del ser del hombre. Para este autor, en segundo lugar, como marco de esa descomposición social está la separación de poder y política, que disminuye el poder de los Estado nacionales ante el poder del capital. “Gran parte del poder requerido para actuar con eficacia, del que  disponía</w:t>
      </w:r>
    </w:p>
    <w:p>
      <w:pPr>
        <w:pStyle w:val="BodyText"/>
        <w:spacing w:line="350" w:lineRule="auto" w:before="6"/>
        <w:ind w:left="264" w:right="217"/>
        <w:jc w:val="both"/>
      </w:pPr>
      <w:r>
        <w:rPr/>
        <w:t>el Estado moderno, ahora se está desplazando al políticamente incontrolable espacio global,”</w:t>
      </w:r>
      <w:r>
        <w:rPr>
          <w:position w:val="11"/>
          <w:sz w:val="16"/>
        </w:rPr>
        <w:t>340 </w:t>
      </w:r>
      <w:r>
        <w:rPr/>
        <w:t>provocando la incertidumbre individual ante la ausencia de control político que deriva en la falta de eficacia y eficiencia para solucionar los problemas  internos  de  las  naciones.  Situación  que  de  acuerdo  con  Bauman,</w:t>
      </w:r>
    </w:p>
    <w:p>
      <w:pPr>
        <w:pStyle w:val="BodyText"/>
        <w:spacing w:line="357" w:lineRule="auto" w:before="16"/>
        <w:ind w:left="264" w:right="217"/>
        <w:jc w:val="both"/>
      </w:pPr>
      <w:r>
        <w:rPr/>
        <w:t>provoca que las funciones del Estado sean asumidas por el mercado, que está sujeto a fuerzas impredecibles y caprichosas.</w:t>
      </w:r>
    </w:p>
    <w:p>
      <w:pPr>
        <w:pStyle w:val="BodyText"/>
        <w:spacing w:line="357" w:lineRule="auto" w:before="9"/>
        <w:ind w:left="264" w:right="222" w:firstLine="336"/>
        <w:jc w:val="both"/>
      </w:pPr>
      <w:r>
        <w:rPr/>
        <w:t>Otro de los aspectos que aumentan el malestar social es la reducción de la seguridad social, que caso concreto en México se observa en la modificación a </w:t>
      </w:r>
      <w:r>
        <w:rPr>
          <w:spacing w:val="61"/>
        </w:rPr>
        <w:t> </w:t>
      </w:r>
      <w:r>
        <w:rPr/>
        <w:t>la</w:t>
      </w:r>
    </w:p>
    <w:p>
      <w:pPr>
        <w:pStyle w:val="BodyText"/>
        <w:spacing w:before="9"/>
        <w:rPr>
          <w:sz w:val="21"/>
        </w:rPr>
      </w:pPr>
      <w:r>
        <w:rPr/>
        <w:pict>
          <v:line style="position:absolute;mso-position-horizontal-relative:page;mso-position-vertical-relative:paragraph;z-index:9472;mso-wrap-distance-left:0;mso-wrap-distance-right:0" from="99.224998pt,14.78295pt" to="243.274998pt,14.78295pt" stroked="true" strokeweight=".60004pt" strokecolor="#000000">
            <w10:wrap type="topAndBottom"/>
          </v:line>
        </w:pict>
      </w:r>
    </w:p>
    <w:p>
      <w:pPr>
        <w:spacing w:line="236" w:lineRule="exact" w:before="46"/>
        <w:ind w:left="264" w:right="0" w:firstLine="0"/>
        <w:jc w:val="left"/>
        <w:rPr>
          <w:rFonts w:ascii="Calibri" w:hAnsi="Calibri"/>
          <w:sz w:val="18"/>
        </w:rPr>
      </w:pPr>
      <w:r>
        <w:rPr>
          <w:rFonts w:ascii="Calibri" w:hAnsi="Calibri"/>
          <w:position w:val="9"/>
          <w:sz w:val="12"/>
        </w:rPr>
        <w:t>338   </w:t>
      </w:r>
      <w:r>
        <w:rPr>
          <w:rFonts w:ascii="Calibri" w:hAnsi="Calibri"/>
          <w:sz w:val="18"/>
        </w:rPr>
        <w:t>BAUMAN, Zygmunt, </w:t>
      </w:r>
      <w:r>
        <w:rPr>
          <w:rFonts w:ascii="Calibri" w:hAnsi="Calibri"/>
          <w:i/>
          <w:sz w:val="18"/>
        </w:rPr>
        <w:t>Vida Líquida</w:t>
      </w:r>
      <w:r>
        <w:rPr>
          <w:rFonts w:ascii="Calibri" w:hAnsi="Calibri"/>
          <w:sz w:val="18"/>
        </w:rPr>
        <w:t>, Paidós, Barcelona, 2006, p. 142.</w:t>
      </w:r>
    </w:p>
    <w:p>
      <w:pPr>
        <w:spacing w:line="220" w:lineRule="exact" w:before="0"/>
        <w:ind w:left="264" w:right="0" w:firstLine="0"/>
        <w:jc w:val="left"/>
        <w:rPr>
          <w:rFonts w:ascii="Calibri" w:hAnsi="Calibri"/>
          <w:sz w:val="18"/>
        </w:rPr>
      </w:pPr>
      <w:r>
        <w:rPr>
          <w:rFonts w:ascii="Calibri" w:hAnsi="Calibri"/>
          <w:position w:val="9"/>
          <w:sz w:val="12"/>
        </w:rPr>
        <w:t>339  </w:t>
      </w:r>
      <w:r>
        <w:rPr>
          <w:rFonts w:ascii="Calibri" w:hAnsi="Calibri"/>
          <w:i/>
          <w:sz w:val="18"/>
        </w:rPr>
        <w:t>Ídem</w:t>
      </w:r>
      <w:r>
        <w:rPr>
          <w:rFonts w:ascii="Calibri" w:hAnsi="Calibri"/>
          <w:sz w:val="18"/>
        </w:rPr>
        <w:t>.</w:t>
      </w:r>
    </w:p>
    <w:p>
      <w:pPr>
        <w:spacing w:line="236" w:lineRule="exact" w:before="0"/>
        <w:ind w:left="264" w:right="0" w:firstLine="0"/>
        <w:jc w:val="left"/>
        <w:rPr>
          <w:rFonts w:ascii="Calibri" w:hAnsi="Calibri"/>
          <w:sz w:val="18"/>
        </w:rPr>
      </w:pPr>
      <w:r>
        <w:rPr>
          <w:rFonts w:ascii="Calibri" w:hAnsi="Calibri"/>
          <w:position w:val="9"/>
          <w:sz w:val="12"/>
        </w:rPr>
        <w:t>340  </w:t>
      </w:r>
      <w:r>
        <w:rPr>
          <w:rFonts w:ascii="Calibri" w:hAnsi="Calibri"/>
          <w:sz w:val="18"/>
        </w:rPr>
        <w:t>BAUMAN, Zygmunt, </w:t>
      </w:r>
      <w:r>
        <w:rPr>
          <w:rFonts w:ascii="Calibri" w:hAnsi="Calibri"/>
          <w:i/>
          <w:sz w:val="18"/>
        </w:rPr>
        <w:t>Tiempos líquidos</w:t>
      </w:r>
      <w:r>
        <w:rPr>
          <w:rFonts w:ascii="Calibri" w:hAnsi="Calibri"/>
          <w:sz w:val="18"/>
        </w:rPr>
        <w:t>, Tusquets Editores, México, 2009, p. 8.</w:t>
      </w:r>
    </w:p>
    <w:p>
      <w:pPr>
        <w:spacing w:after="0" w:line="236" w:lineRule="exact"/>
        <w:jc w:val="left"/>
        <w:rPr>
          <w:rFonts w:ascii="Calibri" w:hAnsi="Calibri"/>
          <w:sz w:val="18"/>
        </w:rPr>
        <w:sectPr>
          <w:footerReference w:type="default" r:id="rId131"/>
          <w:pgSz w:w="12240" w:h="15840"/>
          <w:pgMar w:footer="876" w:header="0" w:top="520" w:bottom="1060" w:left="1720" w:right="1200"/>
          <w:pgNumType w:start="186"/>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954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5" w:lineRule="auto" w:before="70"/>
        <w:ind w:left="684" w:right="114"/>
        <w:jc w:val="both"/>
      </w:pPr>
      <w:r>
        <w:rPr/>
        <w:t>Ley del ISSSTE (2007) (Instituto de Seguridad Social al Servicio de los Trabajadores del Estado) y del IMSS (2004) (Instituto Mexicano del  Seguro Social), hechos que descubren la mala calidad del Estado para negociar frente al capital, y como menciona Bauman “priva a la acción colectiva de gran parte de su antiguo atractivo y socava los fundamentos de la solidaridad social,”</w:t>
      </w:r>
      <w:r>
        <w:rPr>
          <w:position w:val="11"/>
          <w:sz w:val="16"/>
        </w:rPr>
        <w:t>341 </w:t>
      </w:r>
      <w:r>
        <w:rPr/>
        <w:t>sucumbiendo ante un individualismo que separa y enfrenta a los seres humanos y los somete  al  esfuerzo  que  en  muchos de los casos demuestra  el fracaso y   la</w:t>
      </w:r>
    </w:p>
    <w:p>
      <w:pPr>
        <w:pStyle w:val="BodyText"/>
        <w:spacing w:before="7"/>
        <w:ind w:left="684"/>
        <w:jc w:val="both"/>
      </w:pPr>
      <w:r>
        <w:rPr/>
        <w:t>mala fortuna individual.</w:t>
      </w:r>
    </w:p>
    <w:p>
      <w:pPr>
        <w:pStyle w:val="BodyText"/>
        <w:spacing w:line="360" w:lineRule="auto" w:before="140"/>
        <w:ind w:left="684" w:right="113" w:firstLine="336"/>
        <w:jc w:val="both"/>
      </w:pPr>
      <w:r>
        <w:rPr/>
        <w:t>Una </w:t>
      </w:r>
      <w:r>
        <w:rPr>
          <w:spacing w:val="-2"/>
        </w:rPr>
        <w:t>más </w:t>
      </w:r>
      <w:r>
        <w:rPr/>
        <w:t>de las características de esta nueva sociedad es la pérdida de intereses comunes, la solidaridad se esfuma al prevalecer los intereses personales de cada quien. El solipsismo se refugia en los insumos electrónicos, (inclusive  ante el televisor que aún cuando el círculo familiar se reúne en torno a él en un mismo espacio físico), sus mentes se encuentran separadas, en un mundo virtual cibernético que evita el contacto personal, que promueven la división, recompensa las actitudes competitivas, y al mismo tiempo disminuye la capacidad de colaboración y el trabajo en equipo reduciendo esta estrategia de trabajo social a una simple estrategia de eficiencia temporal que desaparece cuando </w:t>
      </w:r>
      <w:r>
        <w:rPr>
          <w:spacing w:val="-3"/>
        </w:rPr>
        <w:t>ya </w:t>
      </w:r>
      <w:r>
        <w:rPr/>
        <w:t>no es útil. La falta de confianza se sustituye por las relaciones sociales que se establecen a través de redes y no de</w:t>
      </w:r>
      <w:r>
        <w:rPr>
          <w:spacing w:val="-23"/>
        </w:rPr>
        <w:t> </w:t>
      </w:r>
      <w:r>
        <w:rPr/>
        <w:t>estructuras.</w:t>
      </w:r>
    </w:p>
    <w:p>
      <w:pPr>
        <w:pStyle w:val="BodyText"/>
        <w:spacing w:line="360" w:lineRule="auto" w:before="2"/>
        <w:ind w:left="684" w:right="119" w:firstLine="271"/>
        <w:jc w:val="both"/>
      </w:pPr>
      <w:r>
        <w:rPr/>
        <w:t>Asimismo, los planes son a corto o mediano plazo, porque las cosas están cambiando constantemente, lo que antes era útil en cualquier momento deja de servir, así nos dice Bauman ante el desarrollo de esta sociedad que se diluye: “</w:t>
      </w:r>
      <w:r>
        <w:rPr>
          <w:i/>
        </w:rPr>
        <w:t>Olvidar  </w:t>
      </w:r>
      <w:r>
        <w:rPr/>
        <w:t>por  completo  y  con  rapidez  la  información obsoleta  y  las costumbres</w:t>
      </w:r>
    </w:p>
    <w:p>
      <w:pPr>
        <w:pStyle w:val="BodyText"/>
        <w:spacing w:line="350" w:lineRule="auto" w:before="6"/>
        <w:ind w:left="684" w:right="116"/>
        <w:jc w:val="both"/>
      </w:pPr>
      <w:r>
        <w:rPr/>
        <w:t>añejas puede ser </w:t>
      </w:r>
      <w:r>
        <w:rPr>
          <w:spacing w:val="-2"/>
        </w:rPr>
        <w:t>más </w:t>
      </w:r>
      <w:r>
        <w:rPr/>
        <w:t>importante para el éxito futuro que memorizar jugadas pasadas y construir estrategias basadas en un </w:t>
      </w:r>
      <w:r>
        <w:rPr>
          <w:i/>
        </w:rPr>
        <w:t>aprendizaje </w:t>
      </w:r>
      <w:r>
        <w:rPr/>
        <w:t>previo”.</w:t>
      </w:r>
      <w:r>
        <w:rPr>
          <w:position w:val="11"/>
          <w:sz w:val="16"/>
        </w:rPr>
        <w:t>342  </w:t>
      </w:r>
      <w:r>
        <w:rPr/>
        <w:t>Ante esto,   el individuo en el contexto social se ha convertido en un anexo superfluo para el capitalismo global que avanza sin</w:t>
      </w:r>
      <w:r>
        <w:rPr>
          <w:spacing w:val="-17"/>
        </w:rPr>
        <w:t> </w:t>
      </w:r>
      <w:r>
        <w:rPr/>
        <w:t>parar.</w:t>
      </w:r>
    </w:p>
    <w:p>
      <w:pPr>
        <w:pStyle w:val="BodyText"/>
        <w:spacing w:line="357" w:lineRule="auto" w:before="13"/>
        <w:ind w:left="684" w:right="122" w:firstLine="336"/>
        <w:jc w:val="both"/>
      </w:pPr>
      <w:r>
        <w:rPr/>
        <w:t>El carácter social se ha conformado en una sociedad que parece superar la capacidad de bienestar del Estado. Así, el último siglo se caracteriza por una cultura denominada </w:t>
      </w:r>
      <w:r>
        <w:rPr>
          <w:i/>
        </w:rPr>
        <w:t>del esfuerzo</w:t>
      </w:r>
      <w:r>
        <w:rPr/>
        <w:t>, pero ese esfuerzo que se demuestra en una</w:t>
      </w:r>
    </w:p>
    <w:p>
      <w:pPr>
        <w:pStyle w:val="BodyText"/>
        <w:spacing w:before="3"/>
        <w:rPr>
          <w:sz w:val="9"/>
        </w:rPr>
      </w:pPr>
      <w:r>
        <w:rPr/>
        <w:pict>
          <v:line style="position:absolute;mso-position-horizontal-relative:page;mso-position-vertical-relative:paragraph;z-index:9520;mso-wrap-distance-left:0;mso-wrap-distance-right:0" from="99.224998pt,7.592947pt" to="243.274998pt,7.592947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341   </w:t>
      </w:r>
      <w:r>
        <w:rPr>
          <w:rFonts w:ascii="Calibri" w:hAnsi="Calibri"/>
          <w:i/>
          <w:sz w:val="18"/>
        </w:rPr>
        <w:t>Ibíd. </w:t>
      </w:r>
      <w:r>
        <w:rPr>
          <w:rFonts w:ascii="Calibri" w:hAnsi="Calibri"/>
          <w:sz w:val="18"/>
        </w:rPr>
        <w:t>p. 9.</w:t>
      </w:r>
    </w:p>
    <w:p>
      <w:pPr>
        <w:spacing w:line="236" w:lineRule="exact" w:before="0"/>
        <w:ind w:left="684" w:right="114" w:firstLine="0"/>
        <w:jc w:val="left"/>
        <w:rPr>
          <w:rFonts w:ascii="Calibri" w:hAnsi="Calibri"/>
          <w:sz w:val="18"/>
        </w:rPr>
      </w:pPr>
      <w:r>
        <w:rPr>
          <w:rFonts w:ascii="Calibri" w:hAnsi="Calibri"/>
          <w:position w:val="9"/>
          <w:sz w:val="12"/>
        </w:rPr>
        <w:t>342   </w:t>
      </w:r>
      <w:r>
        <w:rPr>
          <w:rFonts w:ascii="Calibri" w:hAnsi="Calibri"/>
          <w:i/>
          <w:sz w:val="18"/>
        </w:rPr>
        <w:t>Ibíd</w:t>
      </w:r>
      <w:r>
        <w:rPr>
          <w:rFonts w:ascii="Calibri" w:hAnsi="Calibri"/>
          <w:sz w:val="18"/>
        </w:rPr>
        <w:t>. p. 10.</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959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2" w:lineRule="auto" w:before="70"/>
        <w:ind w:left="264" w:right="216"/>
        <w:jc w:val="both"/>
        <w:rPr>
          <w:sz w:val="16"/>
        </w:rPr>
      </w:pPr>
      <w:r>
        <w:rPr/>
        <w:t>riqueza material ha disminuido la capacidad creativa y espiritual del hombre, así como el cambio constante de la taxonomía axiológica que confunde y dispersa a los individuos. Asegura Fromm que “La capacidad cultural del hombre moderno ha disminuido porque las circunstancias que lo rodean lo han mermado y lo han dañado psíquicamente.”</w:t>
      </w:r>
      <w:r>
        <w:rPr>
          <w:position w:val="11"/>
          <w:sz w:val="16"/>
        </w:rPr>
        <w:t>343</w:t>
      </w:r>
    </w:p>
    <w:p>
      <w:pPr>
        <w:pStyle w:val="BodyText"/>
        <w:spacing w:line="360" w:lineRule="auto"/>
        <w:ind w:left="264" w:right="214" w:firstLine="404"/>
        <w:jc w:val="both"/>
      </w:pPr>
      <w:r>
        <w:rPr/>
        <w:t>El ser humano se confunde entre las masas, y para ello el ente televisivo ha tenido un papel significativo. Se pierde en la banalidad de una sociedad que lo despersonaliza, que desvanece los vínculos humanos, que hace ligera la vida, pero en esa ligereza se pierde la identidad, su nueva forma de ser individual debilita los vínculos humanos y extermina los sentimientos de solidaridad, estos fenómenos sociales están influidos plenamente por la globalización que se inmiscuye en la vida de los seres humanos en forma incisiva y pone en peligro cualquier costumbre o fundamento</w:t>
      </w:r>
      <w:r>
        <w:rPr>
          <w:spacing w:val="-22"/>
        </w:rPr>
        <w:t> </w:t>
      </w:r>
      <w:r>
        <w:rPr/>
        <w:t>social.</w:t>
      </w:r>
    </w:p>
    <w:p>
      <w:pPr>
        <w:pStyle w:val="BodyText"/>
        <w:spacing w:line="360" w:lineRule="auto" w:before="2"/>
        <w:ind w:left="264" w:right="216" w:firstLine="336"/>
        <w:jc w:val="both"/>
      </w:pPr>
      <w:r>
        <w:rPr/>
        <w:t>Esta relación que se establece entre hombre-sociedad-cultura es constante y se transforma continuamente, la reciprocidad es su característica principal. Sin embargo, la gran capacidad que tiene el sistema actual para modificar el carácter social es efectiva y demuestra la habilidad que tienen los individuos para compartir intereses y coincidir en la forma como se satisfacen las necesidades</w:t>
      </w:r>
      <w:r>
        <w:rPr>
          <w:spacing w:val="-35"/>
        </w:rPr>
        <w:t> </w:t>
      </w:r>
      <w:r>
        <w:rPr/>
        <w:t>básicas.</w:t>
      </w:r>
    </w:p>
    <w:p>
      <w:pPr>
        <w:pStyle w:val="BodyText"/>
        <w:spacing w:line="360" w:lineRule="auto" w:before="6"/>
        <w:ind w:left="264" w:right="214" w:firstLine="336"/>
        <w:jc w:val="both"/>
      </w:pPr>
      <w:r>
        <w:rPr/>
        <w:t>Desde México hasta Honduras la unificación de estilos de vida es importante señalarlo, se ha dado a partir del mensaje emitido por el televisor, que sintetiza los aspectos generales de las necesidades e intereses humanos y brindan posibles soluciones que se imponen agudamente, sin importar credos ni identidades ni imposición de estilos de vida que rompen con costumbres y tradiciones que pretenden dar seguridad emocional y psicológica al individuo a través de un sistema de compra-vende.</w:t>
      </w:r>
    </w:p>
    <w:p>
      <w:pPr>
        <w:pStyle w:val="BodyText"/>
        <w:spacing w:line="360" w:lineRule="auto" w:before="2"/>
        <w:ind w:left="264" w:right="223" w:firstLine="271"/>
        <w:jc w:val="both"/>
      </w:pPr>
      <w:r>
        <w:rPr/>
        <w:t>Estilos que le obligan a imponer su personalidad, en competencia con otros individuos, no a partir de lo que es sino, siguiendo el patrón del sistema, de como vende esa personalidad</w:t>
      </w:r>
    </w:p>
    <w:p>
      <w:pPr>
        <w:pStyle w:val="BodyText"/>
      </w:pPr>
    </w:p>
    <w:p>
      <w:pPr>
        <w:spacing w:before="141"/>
        <w:ind w:left="973" w:right="218" w:firstLine="0"/>
        <w:jc w:val="left"/>
        <w:rPr>
          <w:sz w:val="22"/>
        </w:rPr>
      </w:pPr>
      <w:r>
        <w:rPr>
          <w:sz w:val="22"/>
        </w:rPr>
        <w:t>La meta del carácter mercantil es la adaptación completa, ser deseable en todas las  condiciones  del  mercado  de  personalidades.  Las  personas  con     carácter</w:t>
      </w:r>
    </w:p>
    <w:p>
      <w:pPr>
        <w:pStyle w:val="BodyText"/>
        <w:spacing w:before="7"/>
        <w:rPr>
          <w:sz w:val="11"/>
        </w:rPr>
      </w:pPr>
      <w:r>
        <w:rPr/>
        <w:pict>
          <v:line style="position:absolute;mso-position-horizontal-relative:page;mso-position-vertical-relative:paragraph;z-index:9568;mso-wrap-distance-left:0;mso-wrap-distance-right:0" from="99.224998pt,8.968925pt" to="243.274998pt,8.968925pt" stroked="true" strokeweight=".60004pt" strokecolor="#000000">
            <w10:wrap type="topAndBottom"/>
          </v:line>
        </w:pict>
      </w:r>
    </w:p>
    <w:p>
      <w:pPr>
        <w:spacing w:before="46"/>
        <w:ind w:left="264" w:right="0" w:firstLine="0"/>
        <w:jc w:val="left"/>
        <w:rPr>
          <w:rFonts w:ascii="Calibri" w:hAnsi="Calibri"/>
          <w:sz w:val="18"/>
        </w:rPr>
      </w:pPr>
      <w:r>
        <w:rPr>
          <w:rFonts w:ascii="Calibri" w:hAnsi="Calibri"/>
          <w:position w:val="9"/>
          <w:sz w:val="12"/>
        </w:rPr>
        <w:t>343   </w:t>
      </w:r>
      <w:r>
        <w:rPr>
          <w:rFonts w:ascii="Calibri" w:hAnsi="Calibri"/>
          <w:sz w:val="18"/>
        </w:rPr>
        <w:t>FROMM, Erich, </w:t>
      </w:r>
      <w:r>
        <w:rPr>
          <w:rFonts w:ascii="Calibri" w:hAnsi="Calibri"/>
          <w:i/>
          <w:sz w:val="18"/>
        </w:rPr>
        <w:t>¿Tener o ser?, </w:t>
      </w:r>
      <w:r>
        <w:rPr>
          <w:rFonts w:ascii="Calibri" w:hAnsi="Calibri"/>
          <w:sz w:val="18"/>
        </w:rPr>
        <w:t>p. 134.</w:t>
      </w:r>
    </w:p>
    <w:p>
      <w:pPr>
        <w:spacing w:after="0"/>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964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28" w:lineRule="auto" w:before="82"/>
        <w:ind w:left="1393" w:right="124" w:firstLine="0"/>
        <w:jc w:val="both"/>
        <w:rPr>
          <w:sz w:val="14"/>
        </w:rPr>
      </w:pPr>
      <w:r>
        <w:rPr>
          <w:sz w:val="22"/>
        </w:rPr>
        <w:t>mercantil no tienen ego (como </w:t>
      </w:r>
      <w:r>
        <w:rPr>
          <w:spacing w:val="-3"/>
          <w:sz w:val="22"/>
        </w:rPr>
        <w:t>lo </w:t>
      </w:r>
      <w:r>
        <w:rPr>
          <w:sz w:val="22"/>
        </w:rPr>
        <w:t>tenía </w:t>
      </w:r>
      <w:r>
        <w:rPr>
          <w:spacing w:val="-3"/>
          <w:sz w:val="22"/>
        </w:rPr>
        <w:t>la </w:t>
      </w:r>
      <w:r>
        <w:rPr>
          <w:sz w:val="22"/>
        </w:rPr>
        <w:t>gente del siglo XIX) para aferrarse a él, que </w:t>
      </w:r>
      <w:r>
        <w:rPr>
          <w:spacing w:val="-3"/>
          <w:sz w:val="22"/>
        </w:rPr>
        <w:t>le </w:t>
      </w:r>
      <w:r>
        <w:rPr>
          <w:sz w:val="22"/>
        </w:rPr>
        <w:t>pertenezca y no cambie. Constantemente cambian su ego según el  principio: “Yo soy como tú me deseas”.</w:t>
      </w:r>
      <w:r>
        <w:rPr>
          <w:spacing w:val="-17"/>
          <w:sz w:val="22"/>
        </w:rPr>
        <w:t> </w:t>
      </w:r>
      <w:r>
        <w:rPr>
          <w:spacing w:val="-2"/>
          <w:position w:val="10"/>
          <w:sz w:val="14"/>
        </w:rPr>
        <w:t>344</w:t>
      </w:r>
    </w:p>
    <w:p>
      <w:pPr>
        <w:pStyle w:val="BodyText"/>
        <w:spacing w:before="6"/>
        <w:ind w:left="684"/>
      </w:pPr>
      <w:r>
        <w:rPr>
          <w:w w:val="100"/>
        </w:rPr>
        <w:t>.</w:t>
      </w:r>
    </w:p>
    <w:p>
      <w:pPr>
        <w:pStyle w:val="Heading3"/>
        <w:numPr>
          <w:ilvl w:val="0"/>
          <w:numId w:val="8"/>
        </w:numPr>
        <w:tabs>
          <w:tab w:pos="952" w:val="left" w:leader="none"/>
        </w:tabs>
        <w:spacing w:line="240" w:lineRule="auto" w:before="132" w:after="0"/>
        <w:ind w:left="951" w:right="0" w:hanging="267"/>
        <w:jc w:val="left"/>
        <w:rPr>
          <w:rFonts w:ascii="Arial" w:hAnsi="Arial"/>
        </w:rPr>
      </w:pPr>
      <w:bookmarkStart w:name="_TOC_250009" w:id="15"/>
      <w:r>
        <w:rPr>
          <w:rFonts w:ascii="Arial" w:hAnsi="Arial"/>
        </w:rPr>
        <w:t>Modificación de conductas a partir de la programación</w:t>
      </w:r>
      <w:r>
        <w:rPr>
          <w:rFonts w:ascii="Arial" w:hAnsi="Arial"/>
          <w:spacing w:val="-20"/>
        </w:rPr>
        <w:t> </w:t>
      </w:r>
      <w:bookmarkEnd w:id="15"/>
      <w:r>
        <w:rPr>
          <w:rFonts w:ascii="Arial" w:hAnsi="Arial"/>
        </w:rPr>
        <w:t>televisiva</w:t>
      </w:r>
    </w:p>
    <w:p>
      <w:pPr>
        <w:pStyle w:val="BodyText"/>
        <w:rPr>
          <w:b/>
        </w:rPr>
      </w:pPr>
    </w:p>
    <w:p>
      <w:pPr>
        <w:pStyle w:val="BodyText"/>
        <w:spacing w:before="4"/>
        <w:rPr>
          <w:b/>
        </w:rPr>
      </w:pPr>
    </w:p>
    <w:p>
      <w:pPr>
        <w:pStyle w:val="BodyText"/>
        <w:spacing w:line="360" w:lineRule="auto"/>
        <w:ind w:left="684" w:right="122" w:firstLine="336"/>
        <w:jc w:val="both"/>
      </w:pPr>
      <w:r>
        <w:rPr/>
        <w:t>El siglo pasado se reinventó al descubrirse la televisión, su calidad educativa y formativa ha devenido en un proceso de estandarización de modelos culturales que orientan los proyectos de vida de las personas; su capacidad comunicativa organiza la vida de los usuarios en torno a los modelos estereotipados que difunde el mensaje televisivo; los iconos representativos de la época los encontramos en  la propaganda de la mercadotecnia y la programación</w:t>
      </w:r>
      <w:r>
        <w:rPr>
          <w:spacing w:val="-28"/>
        </w:rPr>
        <w:t> </w:t>
      </w:r>
      <w:r>
        <w:rPr/>
        <w:t>televisiva.</w:t>
      </w:r>
    </w:p>
    <w:p>
      <w:pPr>
        <w:pStyle w:val="BodyText"/>
        <w:spacing w:line="360" w:lineRule="auto" w:before="2"/>
        <w:ind w:left="684" w:right="116" w:firstLine="336"/>
        <w:jc w:val="both"/>
      </w:pPr>
      <w:r>
        <w:rPr/>
        <w:t>Los modelos exhibidos en la televisión son parte de la ideología que los dueños de los medios consideran pertinente resaltar y destacar, su objetivo es contradictorio porque mientras emiten un mensaje que pretende rescatar valores sociales, existen muchos más que representan antivalores. El discurso se vuelve complejo y confuso, para las mentes infantiles es difícil discernir entre lo valioso y lo pernicioso, su acercamiento a la televisión les provoca ideas, les transmite pensamientos que pareciera son dichos por una autoridad indiscutible, y por lo tanto son dignos de ser imitados.</w:t>
      </w:r>
    </w:p>
    <w:p>
      <w:pPr>
        <w:pStyle w:val="BodyText"/>
      </w:pPr>
    </w:p>
    <w:p>
      <w:pPr>
        <w:spacing w:line="235" w:lineRule="auto" w:before="145"/>
        <w:ind w:left="1393" w:right="113" w:firstLine="0"/>
        <w:jc w:val="both"/>
        <w:rPr>
          <w:sz w:val="14"/>
        </w:rPr>
      </w:pPr>
      <w:r>
        <w:rPr>
          <w:sz w:val="22"/>
        </w:rPr>
        <w:t>La televisión cambia radicalmente el ambiente, y de ese ambiente tan brutalmente modificado extraen los niños los modelos que van a imitar. Resultado. Estamos haciendo crecer un sinnúmero de pequeños criminales. Debemos contener este mecanismo antes de que sea demasiado tarde, incluso porque desde cuando ustedes -adultos, periodistas y profesores, objetores de 40 y 50 años de edad-  eran niños hasta hoy, </w:t>
      </w:r>
      <w:r>
        <w:rPr>
          <w:spacing w:val="-3"/>
          <w:sz w:val="22"/>
        </w:rPr>
        <w:t>la </w:t>
      </w:r>
      <w:r>
        <w:rPr>
          <w:sz w:val="22"/>
        </w:rPr>
        <w:t>televisión ha</w:t>
      </w:r>
      <w:r>
        <w:rPr>
          <w:spacing w:val="-17"/>
          <w:sz w:val="22"/>
        </w:rPr>
        <w:t> </w:t>
      </w:r>
      <w:r>
        <w:rPr>
          <w:sz w:val="22"/>
        </w:rPr>
        <w:t>empeorado.</w:t>
      </w:r>
      <w:r>
        <w:rPr>
          <w:position w:val="10"/>
          <w:sz w:val="14"/>
        </w:rPr>
        <w:t>345</w:t>
      </w:r>
    </w:p>
    <w:p>
      <w:pPr>
        <w:pStyle w:val="BodyText"/>
        <w:spacing w:before="10"/>
        <w:rPr>
          <w:sz w:val="35"/>
        </w:rPr>
      </w:pPr>
    </w:p>
    <w:p>
      <w:pPr>
        <w:pStyle w:val="BodyText"/>
        <w:spacing w:line="360" w:lineRule="auto"/>
        <w:ind w:left="684" w:right="119" w:firstLine="271"/>
        <w:jc w:val="both"/>
      </w:pPr>
      <w:r>
        <w:rPr/>
        <w:t>Esta es la opinión que expresaba Karl R. Popper, en 1994, sobre la televisión y su influencia en la sociedad. Su preocupación por el impacto educativo que tiene la programación televisiva le llevó a afirmar que ésta no se podía dejar en manos no versadas en los procesos educativos. Si observamos el acontecer de nuestra era, las palabras de Popper fueron proféticas. Se estima que aproximadamente</w:t>
      </w:r>
      <w:r>
        <w:rPr>
          <w:spacing w:val="1"/>
        </w:rPr>
        <w:t> </w:t>
      </w:r>
      <w:r>
        <w:rPr/>
        <w:t>de</w:t>
      </w:r>
    </w:p>
    <w:p>
      <w:pPr>
        <w:pStyle w:val="BodyText"/>
        <w:spacing w:before="9"/>
        <w:rPr>
          <w:sz w:val="26"/>
        </w:rPr>
      </w:pPr>
      <w:r>
        <w:rPr/>
        <w:pict>
          <v:line style="position:absolute;mso-position-horizontal-relative:page;mso-position-vertical-relative:paragraph;z-index:9616;mso-wrap-distance-left:0;mso-wrap-distance-right:0" from="99.224998pt,17.648888pt" to="243.274998pt,17.648888pt" stroked="true" strokeweight=".60004pt" strokecolor="#000000">
            <w10:wrap type="topAndBottom"/>
          </v:line>
        </w:pict>
      </w:r>
    </w:p>
    <w:p>
      <w:pPr>
        <w:spacing w:line="235" w:lineRule="exact" w:before="48"/>
        <w:ind w:left="684" w:right="114" w:firstLine="0"/>
        <w:jc w:val="left"/>
        <w:rPr>
          <w:rFonts w:ascii="Calibri" w:hAnsi="Calibri"/>
          <w:sz w:val="18"/>
        </w:rPr>
      </w:pPr>
      <w:r>
        <w:rPr>
          <w:position w:val="9"/>
          <w:sz w:val="12"/>
        </w:rPr>
        <w:t>344   </w:t>
      </w:r>
      <w:r>
        <w:rPr>
          <w:i/>
          <w:sz w:val="18"/>
        </w:rPr>
        <w:t>I</w:t>
      </w:r>
      <w:r>
        <w:rPr>
          <w:rFonts w:ascii="Calibri" w:hAnsi="Calibri"/>
          <w:i/>
          <w:sz w:val="18"/>
        </w:rPr>
        <w:t>bíd</w:t>
      </w:r>
      <w:r>
        <w:rPr>
          <w:rFonts w:ascii="Calibri" w:hAnsi="Calibri"/>
          <w:sz w:val="18"/>
        </w:rPr>
        <w:t>.  p. 143</w:t>
      </w:r>
    </w:p>
    <w:p>
      <w:pPr>
        <w:spacing w:line="235" w:lineRule="exact" w:before="0"/>
        <w:ind w:left="684" w:right="114" w:firstLine="0"/>
        <w:jc w:val="left"/>
        <w:rPr>
          <w:rFonts w:ascii="Calibri"/>
          <w:sz w:val="18"/>
        </w:rPr>
      </w:pPr>
      <w:r>
        <w:rPr>
          <w:position w:val="9"/>
          <w:sz w:val="12"/>
        </w:rPr>
        <w:t>345  </w:t>
      </w:r>
      <w:r>
        <w:rPr>
          <w:rFonts w:ascii="Calibri"/>
          <w:sz w:val="18"/>
        </w:rPr>
        <w:t>POPPER, Karl R., Condry, John, </w:t>
      </w:r>
      <w:r>
        <w:rPr>
          <w:rFonts w:ascii="Calibri"/>
          <w:i/>
          <w:sz w:val="18"/>
        </w:rPr>
        <w:t>et. al. Op. Cit</w:t>
      </w:r>
      <w:r>
        <w:rPr>
          <w:rFonts w:ascii="Calibri"/>
          <w:sz w:val="18"/>
        </w:rPr>
        <w:t>. p. 11.</w:t>
      </w:r>
    </w:p>
    <w:p>
      <w:pPr>
        <w:spacing w:after="0" w:line="235" w:lineRule="exact"/>
        <w:jc w:val="left"/>
        <w:rPr>
          <w:rFonts w:asci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966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8"/>
        <w:jc w:val="both"/>
      </w:pPr>
      <w:r>
        <w:rPr/>
        <w:t>treinta mil a cincuenta mil niños son atrapados por la delincuencia organizada e incorporados a diferentes actividades delincuenciales, que son tipificadas en más de 20 delitos. Lo más lamentable es que en algunos casos el nivel de conciencia, de remordimiento de los niños por participar en este tipo de actividades se ve disminuido por la racionalidad internalizada a partir de los mensajes de violencia recibidos por el medio televisivo. El periódico </w:t>
      </w:r>
      <w:r>
        <w:rPr>
          <w:i/>
        </w:rPr>
        <w:t>El Universal </w:t>
      </w:r>
      <w:r>
        <w:rPr/>
        <w:t>de fecha treinta de abril de 2012, publicó:</w:t>
      </w:r>
    </w:p>
    <w:p>
      <w:pPr>
        <w:pStyle w:val="BodyText"/>
        <w:spacing w:before="3"/>
      </w:pPr>
    </w:p>
    <w:p>
      <w:pPr>
        <w:spacing w:line="237" w:lineRule="auto" w:before="0"/>
        <w:ind w:left="973" w:right="216" w:firstLine="0"/>
        <w:jc w:val="both"/>
        <w:rPr>
          <w:sz w:val="14"/>
        </w:rPr>
      </w:pPr>
      <w:r>
        <w:rPr>
          <w:sz w:val="22"/>
        </w:rPr>
        <w:t>[...] unos 30 mil niños de ambos sexos, de entre 9 y 17 años, son explotados por los grupos criminales de diversas formas, y están involucrados en unos 22 tipos de delitos, que van desde el tráfico de droga, hasta secuestro y trata de personas, extorsiones, contrabando y piratería. “A partir de los 9-10 años, los niños y las niñas se involucran en delitos, sobre todo en la trata de personas. Los niños más pequeños son utilizados como vigías o informadores, o se les utiliza para abordar los trenes, monitoreando la cantidad de migrantes que llegan cada día”, detalla el reporte </w:t>
      </w:r>
      <w:r>
        <w:rPr>
          <w:i/>
          <w:sz w:val="22"/>
        </w:rPr>
        <w:t>Infancia y conflicto armado en México</w:t>
      </w:r>
      <w:r>
        <w:rPr>
          <w:sz w:val="22"/>
        </w:rPr>
        <w:t>. Informe alternativo sobre el Protocolo Facultativo de la Convención sobre los Derechos del Niño relativo a la participación de Niños en Conflictos armados.</w:t>
      </w:r>
      <w:r>
        <w:rPr>
          <w:position w:val="10"/>
          <w:sz w:val="14"/>
        </w:rPr>
        <w:t>346</w:t>
      </w:r>
    </w:p>
    <w:p>
      <w:pPr>
        <w:pStyle w:val="BodyText"/>
        <w:spacing w:before="1"/>
        <w:rPr>
          <w:sz w:val="33"/>
        </w:rPr>
      </w:pPr>
    </w:p>
    <w:p>
      <w:pPr>
        <w:pStyle w:val="BodyText"/>
        <w:spacing w:line="360" w:lineRule="auto"/>
        <w:ind w:left="264" w:right="215" w:firstLine="424"/>
        <w:jc w:val="both"/>
      </w:pPr>
      <w:r>
        <w:rPr/>
        <w:t>Si bien son las condiciones socio económicas las que influyen en este proceso de deterioro social, es cierto que las instituciones culturales con un gran impacto educativo son determinantes. En el caso de estudio son los modelos presentados en las series televisivas americanas, en algunas telenovelas, en los noticieros  cuyo argumento significa acciones violentas, llamativas, donde esa acción implica violencia, drama, muerte y muchos efectos especiales, de gran preferencia para  los niños y adolescentes, que en ellos encuentran patrones a seguir. Es así que la niñez de fines de siglo pasado y del presente, </w:t>
      </w:r>
      <w:r>
        <w:rPr>
          <w:spacing w:val="3"/>
        </w:rPr>
        <w:t>se </w:t>
      </w:r>
      <w:r>
        <w:rPr/>
        <w:t>ha formado bajo la influencia de la pantalla chica de la que recibe diariamente por medio de los cuentos infantiles, de películas y series policiacas, etc., una gran cantidad de asesinatos, balaceras, crímenes espantosos, y perversiones que de no ser por este medio para ellos  sería</w:t>
      </w:r>
      <w:r>
        <w:rPr>
          <w:spacing w:val="-13"/>
        </w:rPr>
        <w:t> </w:t>
      </w:r>
      <w:r>
        <w:rPr/>
        <w:t>inimaginable.</w:t>
      </w:r>
    </w:p>
    <w:p>
      <w:pPr>
        <w:pStyle w:val="BodyText"/>
        <w:spacing w:line="360" w:lineRule="auto" w:before="6"/>
        <w:ind w:left="264" w:right="215" w:firstLine="336"/>
        <w:jc w:val="both"/>
      </w:pPr>
      <w:r>
        <w:rPr/>
        <w:t>En las encuestas realizadas entre jóvenes adolescentes de secundaria y estudiantes de bachillerato es común aceptar que ellos tratan de imitar la manera de vestir y hasta el discurso de personajes populares, de programas de moda    en</w:t>
      </w:r>
    </w:p>
    <w:p>
      <w:pPr>
        <w:pStyle w:val="BodyText"/>
        <w:spacing w:before="8"/>
        <w:rPr>
          <w:sz w:val="15"/>
        </w:rPr>
      </w:pPr>
    </w:p>
    <w:p>
      <w:pPr>
        <w:tabs>
          <w:tab w:pos="740" w:val="left" w:leader="none"/>
          <w:tab w:pos="1548" w:val="left" w:leader="none"/>
          <w:tab w:pos="2427" w:val="left" w:leader="none"/>
          <w:tab w:pos="3030" w:val="left" w:leader="none"/>
          <w:tab w:pos="3510" w:val="left" w:leader="none"/>
          <w:tab w:pos="4449" w:val="left" w:leader="none"/>
          <w:tab w:pos="4989" w:val="left" w:leader="none"/>
          <w:tab w:pos="5692" w:val="left" w:leader="none"/>
          <w:tab w:pos="6607" w:val="left" w:leader="none"/>
          <w:tab w:pos="7813" w:val="left" w:leader="none"/>
          <w:tab w:pos="8863" w:val="left" w:leader="none"/>
        </w:tabs>
        <w:spacing w:before="78"/>
        <w:ind w:left="264" w:right="222" w:firstLine="0"/>
        <w:jc w:val="left"/>
        <w:rPr>
          <w:rFonts w:ascii="Calibri" w:hAnsi="Calibri"/>
          <w:sz w:val="18"/>
        </w:rPr>
      </w:pPr>
      <w:r>
        <w:rPr>
          <w:rFonts w:ascii="Calibri" w:hAnsi="Calibri"/>
          <w:position w:val="9"/>
          <w:sz w:val="12"/>
        </w:rPr>
        <w:t>346</w:t>
        <w:tab/>
      </w:r>
      <w:r>
        <w:rPr>
          <w:rFonts w:ascii="Calibri" w:hAnsi="Calibri"/>
          <w:sz w:val="18"/>
        </w:rPr>
        <w:t>Animal</w:t>
        <w:tab/>
        <w:t>Político,</w:t>
        <w:tab/>
        <w:t>sitio</w:t>
        <w:tab/>
        <w:t>de</w:t>
        <w:tab/>
        <w:t>Internet,</w:t>
        <w:tab/>
        <w:t>[en</w:t>
        <w:tab/>
        <w:t>línea]</w:t>
        <w:tab/>
        <w:t>consulta</w:t>
        <w:tab/>
        <w:t>10/05/2012,</w:t>
        <w:tab/>
        <w:t>disponible</w:t>
        <w:tab/>
        <w:t>en: </w:t>
      </w:r>
      <w:hyperlink r:id="rId133">
        <w:r>
          <w:rPr>
            <w:rFonts w:ascii="Calibri" w:hAnsi="Calibri"/>
            <w:color w:val="0000FF"/>
            <w:sz w:val="18"/>
            <w:u w:val="single" w:color="0000FF"/>
          </w:rPr>
          <w:t>http://www.animalpolitico.com/2012/04/entre-30-y-50-mil-ninos-atrapados-por-la-delincuencia-organizada/.</w:t>
        </w:r>
      </w:hyperlink>
    </w:p>
    <w:p>
      <w:pPr>
        <w:spacing w:after="0"/>
        <w:jc w:val="left"/>
        <w:rPr>
          <w:rFonts w:ascii="Calibri" w:hAnsi="Calibri"/>
          <w:sz w:val="18"/>
        </w:rPr>
        <w:sectPr>
          <w:footerReference w:type="default" r:id="rId132"/>
          <w:pgSz w:w="12240" w:h="15840"/>
          <w:pgMar w:footer="876" w:header="0"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971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21"/>
        </w:rPr>
      </w:pPr>
    </w:p>
    <w:p>
      <w:pPr>
        <w:pStyle w:val="BodyText"/>
        <w:spacing w:line="360" w:lineRule="auto"/>
        <w:ind w:left="684" w:right="116"/>
        <w:jc w:val="both"/>
      </w:pPr>
      <w:r>
        <w:rPr/>
        <w:t>la televisión.</w:t>
      </w:r>
      <w:r>
        <w:rPr>
          <w:position w:val="11"/>
          <w:sz w:val="16"/>
        </w:rPr>
        <w:t>347 </w:t>
      </w:r>
      <w:r>
        <w:rPr/>
        <w:t>Asimismo se preocupan en mantener una apariencia estética parecida a la que es presentada por los modelos televisivos. Por ejemplo: el lenguaje que da presencia e inclusión a los jóvenes, la constitución física del personaje de moda, que conduce a la alteración de sus hábitos alimenticios; o la adopción de la moda que identifica a grupos sociales; modifica también las costumbres practicadas en las relaciones familiares o entre grupos escolares, que difieren en mucho de las costumbres inculcadas por los padres. Es interesante observar entre los encuestados que descalifican el nivel y la baja calidad televisiva</w:t>
      </w:r>
    </w:p>
    <w:p>
      <w:pPr>
        <w:pStyle w:val="BodyText"/>
        <w:spacing w:line="282" w:lineRule="exact"/>
        <w:ind w:left="684"/>
        <w:jc w:val="both"/>
      </w:pPr>
      <w:r>
        <w:rPr/>
        <w:t>pero no le dan mayor importancia, así la consideren mala</w:t>
      </w:r>
      <w:r>
        <w:rPr>
          <w:position w:val="11"/>
          <w:sz w:val="16"/>
        </w:rPr>
        <w:t>348</w:t>
      </w:r>
      <w:r>
        <w:rPr/>
        <w:t>.</w:t>
      </w:r>
    </w:p>
    <w:p>
      <w:pPr>
        <w:pStyle w:val="BodyText"/>
        <w:spacing w:line="360" w:lineRule="auto" w:before="136"/>
        <w:ind w:left="684" w:right="113" w:firstLine="336"/>
        <w:jc w:val="both"/>
      </w:pPr>
      <w:r>
        <w:rPr/>
        <w:t>Si bien en la segunda mitad del siglo XX, y principios del siglo XXI en México y Honduras enfrentamos una sociedad altamente influenciada a través de los canales de televisión, en la mayoría de los hogares y centros de trabajo se ha abierto la ventana al mundo, que ha entrado con tanta fuerza en la vida diaria de los seres humanos que ha sustituido y desplazado a otra formas de compartir con la familia, los vecinos y los amigos. Otras formas de conocer, investigar y  aprender.</w:t>
      </w:r>
    </w:p>
    <w:p>
      <w:pPr>
        <w:pStyle w:val="BodyText"/>
        <w:spacing w:line="355" w:lineRule="auto" w:before="6"/>
        <w:ind w:left="684" w:right="119" w:firstLine="336"/>
        <w:jc w:val="both"/>
      </w:pPr>
      <w:r>
        <w:rPr/>
        <w:t>Los tiempos lejanos de conversar y escuchar las historias contadas por padres, abuelos o vecinos ha quedado atrás. Ahora la verdad, la diversión, el entretenimiento, la información la tiene el televisor. “La televisión así, se constituye en poseedora de estrategias de sociabilidad por lo cual es un contexto importante que influye en las conductas lingüísticas de los televidentes”.</w:t>
      </w:r>
      <w:r>
        <w:rPr>
          <w:position w:val="11"/>
          <w:sz w:val="16"/>
        </w:rPr>
        <w:t>349 </w:t>
      </w:r>
      <w:r>
        <w:rPr/>
        <w:t>Y también en otros ámbitos de su vida cotidiana, por ejemplo, en formas de alimentación (promovidas por los patrocinadores de los programas), en el cuidado del cuerpo, en la   imagen</w:t>
      </w:r>
    </w:p>
    <w:p>
      <w:pPr>
        <w:pStyle w:val="BodyText"/>
        <w:spacing w:before="7"/>
        <w:ind w:left="684"/>
        <w:jc w:val="both"/>
      </w:pPr>
      <w:r>
        <w:rPr/>
        <w:t>de lo que es saludable y lo que no lo es, etc.</w:t>
      </w:r>
    </w:p>
    <w:p>
      <w:pPr>
        <w:pStyle w:val="BodyText"/>
        <w:spacing w:line="360" w:lineRule="auto" w:before="140"/>
        <w:ind w:left="684" w:right="119" w:firstLine="404"/>
        <w:jc w:val="both"/>
      </w:pPr>
      <w:r>
        <w:rPr/>
        <w:t>Los grupos sociales imitan estilos de lenguaje, moda, valores, etc., así, a fines de los ochenta era muy común la frase “te traigo finto”, que agregando un silbido agudo, identificaba a los jóvenes con un personaje extraño y cómico, o en los noventa</w:t>
      </w:r>
      <w:r>
        <w:rPr>
          <w:spacing w:val="51"/>
        </w:rPr>
        <w:t> </w:t>
      </w:r>
      <w:r>
        <w:rPr/>
        <w:t>el</w:t>
      </w:r>
      <w:r>
        <w:rPr>
          <w:spacing w:val="51"/>
        </w:rPr>
        <w:t> </w:t>
      </w:r>
      <w:r>
        <w:rPr/>
        <w:t>“pregúntame”</w:t>
      </w:r>
      <w:r>
        <w:rPr>
          <w:spacing w:val="52"/>
        </w:rPr>
        <w:t> </w:t>
      </w:r>
      <w:r>
        <w:rPr/>
        <w:t>que</w:t>
      </w:r>
      <w:r>
        <w:rPr>
          <w:spacing w:val="51"/>
        </w:rPr>
        <w:t> </w:t>
      </w:r>
      <w:r>
        <w:rPr/>
        <w:t>era</w:t>
      </w:r>
      <w:r>
        <w:rPr>
          <w:spacing w:val="51"/>
        </w:rPr>
        <w:t> </w:t>
      </w:r>
      <w:r>
        <w:rPr/>
        <w:t>repetido</w:t>
      </w:r>
      <w:r>
        <w:rPr>
          <w:spacing w:val="54"/>
        </w:rPr>
        <w:t> </w:t>
      </w:r>
      <w:r>
        <w:rPr/>
        <w:t>por</w:t>
      </w:r>
      <w:r>
        <w:rPr>
          <w:spacing w:val="52"/>
        </w:rPr>
        <w:t> </w:t>
      </w:r>
      <w:r>
        <w:rPr/>
        <w:t>personas</w:t>
      </w:r>
      <w:r>
        <w:rPr>
          <w:spacing w:val="52"/>
        </w:rPr>
        <w:t> </w:t>
      </w:r>
      <w:r>
        <w:rPr/>
        <w:t>de</w:t>
      </w:r>
      <w:r>
        <w:rPr>
          <w:spacing w:val="51"/>
        </w:rPr>
        <w:t> </w:t>
      </w:r>
      <w:r>
        <w:rPr/>
        <w:t>diferentes</w:t>
      </w:r>
      <w:r>
        <w:rPr>
          <w:spacing w:val="56"/>
        </w:rPr>
        <w:t> </w:t>
      </w:r>
      <w:r>
        <w:rPr/>
        <w:t>estratos</w:t>
      </w:r>
    </w:p>
    <w:p>
      <w:pPr>
        <w:pStyle w:val="BodyText"/>
        <w:spacing w:before="3"/>
        <w:rPr>
          <w:sz w:val="23"/>
        </w:rPr>
      </w:pPr>
      <w:r>
        <w:rPr/>
        <w:pict>
          <v:line style="position:absolute;mso-position-horizontal-relative:page;mso-position-vertical-relative:paragraph;z-index:9688;mso-wrap-distance-left:0;mso-wrap-distance-right:0" from="99.224998pt,15.653888pt" to="243.274998pt,15.653888pt" stroked="true" strokeweight=".60004pt" strokecolor="#000000">
            <w10:wrap type="topAndBottom"/>
          </v:line>
        </w:pict>
      </w:r>
    </w:p>
    <w:p>
      <w:pPr>
        <w:spacing w:line="236" w:lineRule="exact" w:before="46"/>
        <w:ind w:left="684" w:right="0" w:firstLine="0"/>
        <w:jc w:val="both"/>
        <w:rPr>
          <w:rFonts w:ascii="Calibri" w:hAnsi="Calibri"/>
          <w:sz w:val="18"/>
        </w:rPr>
      </w:pPr>
      <w:r>
        <w:rPr>
          <w:rFonts w:ascii="Calibri" w:hAnsi="Calibri"/>
          <w:position w:val="9"/>
          <w:sz w:val="12"/>
        </w:rPr>
        <w:t>347 </w:t>
      </w:r>
      <w:r>
        <w:rPr>
          <w:rFonts w:ascii="Calibri" w:hAnsi="Calibri"/>
          <w:sz w:val="18"/>
        </w:rPr>
        <w:t>Véase: EQUIPO *NUEVE Y MEDIO</w:t>
      </w:r>
      <w:r>
        <w:rPr>
          <w:rFonts w:ascii="Calibri" w:hAnsi="Calibri"/>
          <w:i/>
          <w:sz w:val="18"/>
        </w:rPr>
        <w:t>*, Los teleniños</w:t>
      </w:r>
      <w:r>
        <w:rPr>
          <w:rFonts w:ascii="Calibri" w:hAnsi="Calibri"/>
          <w:sz w:val="18"/>
        </w:rPr>
        <w:t>, Laia, Barcelona, 1986.</w:t>
      </w:r>
    </w:p>
    <w:p>
      <w:pPr>
        <w:spacing w:line="220" w:lineRule="exact" w:before="0"/>
        <w:ind w:left="684" w:right="0" w:firstLine="0"/>
        <w:jc w:val="both"/>
        <w:rPr>
          <w:rFonts w:ascii="Calibri" w:hAnsi="Calibri"/>
          <w:sz w:val="18"/>
        </w:rPr>
      </w:pPr>
      <w:r>
        <w:rPr>
          <w:rFonts w:ascii="Calibri" w:hAnsi="Calibri"/>
          <w:position w:val="9"/>
          <w:sz w:val="12"/>
        </w:rPr>
        <w:t>348 </w:t>
      </w:r>
      <w:r>
        <w:rPr>
          <w:rFonts w:ascii="Calibri" w:hAnsi="Calibri"/>
          <w:sz w:val="18"/>
        </w:rPr>
        <w:t>Véase </w:t>
      </w:r>
      <w:r>
        <w:rPr>
          <w:rFonts w:ascii="Calibri" w:hAnsi="Calibri"/>
          <w:i/>
          <w:sz w:val="18"/>
        </w:rPr>
        <w:t>La telebasura, Óp. Cit., </w:t>
      </w:r>
      <w:r>
        <w:rPr>
          <w:rFonts w:ascii="Calibri" w:hAnsi="Calibri"/>
          <w:sz w:val="18"/>
        </w:rPr>
        <w:t>p. 22-27</w:t>
      </w:r>
    </w:p>
    <w:p>
      <w:pPr>
        <w:spacing w:line="220" w:lineRule="exact" w:before="12"/>
        <w:ind w:left="684" w:right="116" w:firstLine="0"/>
        <w:jc w:val="both"/>
        <w:rPr>
          <w:rFonts w:ascii="Calibri" w:hAnsi="Calibri"/>
          <w:sz w:val="18"/>
        </w:rPr>
      </w:pPr>
      <w:r>
        <w:rPr>
          <w:rFonts w:ascii="Calibri" w:hAnsi="Calibri"/>
          <w:position w:val="9"/>
          <w:sz w:val="12"/>
        </w:rPr>
        <w:t>349 </w:t>
      </w:r>
      <w:r>
        <w:rPr>
          <w:rFonts w:ascii="Calibri" w:hAnsi="Calibri"/>
          <w:sz w:val="18"/>
        </w:rPr>
        <w:t>CISNEROS Estupiñán, Mireya, “El Lenguaje de la Telenovela en la Conducta Lingüística de Televidentes Jóvenes: Un estudio de caso”, Universidad Tecnológica de Pereira, Colombia, [en línea] Consulta 24/03/2012, disponible en: </w:t>
      </w:r>
      <w:hyperlink r:id="rId135">
        <w:r>
          <w:rPr>
            <w:rFonts w:ascii="Calibri" w:hAnsi="Calibri"/>
            <w:color w:val="0000FF"/>
            <w:sz w:val="18"/>
            <w:u w:val="single" w:color="0000FF"/>
          </w:rPr>
          <w:t>http://www.perspectivasdelacomunicacion.cl/revista_2_2009/01texto.pdf.</w:t>
        </w:r>
      </w:hyperlink>
    </w:p>
    <w:p>
      <w:pPr>
        <w:spacing w:after="0" w:line="220" w:lineRule="exact"/>
        <w:jc w:val="both"/>
        <w:rPr>
          <w:rFonts w:ascii="Calibri" w:hAnsi="Calibri"/>
          <w:sz w:val="18"/>
        </w:rPr>
        <w:sectPr>
          <w:footerReference w:type="default" r:id="rId134"/>
          <w:pgSz w:w="12240" w:h="15840"/>
          <w:pgMar w:footer="876" w:header="0" w:top="520" w:bottom="1060" w:left="1300" w:right="1300"/>
        </w:sectPr>
      </w:pPr>
    </w:p>
    <w:p>
      <w:pPr>
        <w:pStyle w:val="Heading3"/>
      </w:pPr>
      <w:r>
        <w:rPr/>
        <w:pict>
          <v:line style="position:absolute;mso-position-horizontal-relative:page;mso-position-vertical-relative:paragraph;z-index:973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right="225"/>
        <w:jc w:val="both"/>
      </w:pPr>
      <w:r>
        <w:rPr/>
        <w:t>sociales parodiando a un personaje ridículo, que además resulta discriminador al suponer la ignorancia y la fatuidad como característica de los pobres.</w:t>
      </w:r>
    </w:p>
    <w:p>
      <w:pPr>
        <w:pStyle w:val="BodyText"/>
        <w:spacing w:line="360" w:lineRule="auto" w:before="8"/>
        <w:ind w:left="264" w:right="224" w:firstLine="271"/>
        <w:jc w:val="both"/>
      </w:pPr>
      <w:r>
        <w:rPr/>
        <w:t>Los niños con un “síganme los buenos” y un movimiento de brazos y piernas se identifican con un gracioso personaje, que en el ámbito familiar, resulta divertido fortalecer la imitación vistiendo al niño con el disfraz, consecuentemente cuando es posible económicamente para los padres; también en el caso de las niñas la identificación con los personajes infantiles de las telenovelas las lleva a peinarse o vestirse como ellas, además de agregar algunas frases que configuran el personaje.</w:t>
      </w:r>
    </w:p>
    <w:p>
      <w:pPr>
        <w:tabs>
          <w:tab w:pos="4321" w:val="left" w:leader="none"/>
        </w:tabs>
        <w:spacing w:line="274" w:lineRule="exact" w:before="0"/>
        <w:ind w:left="264" w:right="0" w:firstLine="472"/>
        <w:jc w:val="left"/>
        <w:rPr>
          <w:sz w:val="24"/>
        </w:rPr>
      </w:pPr>
      <w:r>
        <w:rPr>
          <w:sz w:val="24"/>
        </w:rPr>
        <w:t>En  Honduras  el  </w:t>
      </w:r>
      <w:r>
        <w:rPr>
          <w:spacing w:val="7"/>
          <w:sz w:val="24"/>
        </w:rPr>
        <w:t> </w:t>
      </w:r>
      <w:r>
        <w:rPr>
          <w:sz w:val="24"/>
        </w:rPr>
        <w:t>periódico </w:t>
      </w:r>
      <w:r>
        <w:rPr>
          <w:spacing w:val="22"/>
          <w:sz w:val="24"/>
        </w:rPr>
        <w:t> </w:t>
      </w:r>
      <w:r>
        <w:rPr>
          <w:i/>
          <w:sz w:val="24"/>
        </w:rPr>
        <w:t>El</w:t>
        <w:tab/>
        <w:t>Heraldo,</w:t>
      </w:r>
      <w:r>
        <w:rPr>
          <w:position w:val="11"/>
          <w:sz w:val="16"/>
        </w:rPr>
        <w:t>350   </w:t>
      </w:r>
      <w:r>
        <w:rPr>
          <w:sz w:val="24"/>
        </w:rPr>
        <w:t>después  de  una  </w:t>
      </w:r>
      <w:r>
        <w:rPr>
          <w:spacing w:val="23"/>
          <w:sz w:val="24"/>
        </w:rPr>
        <w:t> </w:t>
      </w:r>
      <w:r>
        <w:rPr>
          <w:sz w:val="24"/>
        </w:rPr>
        <w:t>investigación</w:t>
      </w:r>
    </w:p>
    <w:p>
      <w:pPr>
        <w:pStyle w:val="BodyText"/>
        <w:spacing w:line="360" w:lineRule="auto" w:before="144"/>
        <w:ind w:left="264" w:right="227"/>
        <w:jc w:val="both"/>
      </w:pPr>
      <w:r>
        <w:rPr/>
        <w:t>realizada entre la población de ese país ha descubierto que al igual que en México y en Europa, los niños crecen con una gran influencia de la televisión, misma que contribuye a interiorizar sus conceptos de belleza, éxito y violencia.</w:t>
      </w:r>
    </w:p>
    <w:p>
      <w:pPr>
        <w:pStyle w:val="BodyText"/>
        <w:spacing w:line="360" w:lineRule="auto" w:before="2"/>
        <w:ind w:left="264" w:right="213" w:firstLine="336"/>
        <w:jc w:val="both"/>
      </w:pPr>
      <w:r>
        <w:rPr/>
        <w:t>Si bien es cierto desde hace mucho tiempo la televisión ocupa un lugar importante en la vida de las familias, en los últimos treinta años ha aumentado considerablemente la cantidad de horas que se pasan frente a la misma. Este fenómeno incide en todas las edades y clases sociales; niños, adolescentes y adultos han incrementado de manera importante su consumo de horas de TV   por</w:t>
      </w:r>
    </w:p>
    <w:p>
      <w:pPr>
        <w:pStyle w:val="BodyText"/>
        <w:spacing w:line="328" w:lineRule="auto" w:before="6"/>
        <w:ind w:left="264" w:right="216"/>
        <w:jc w:val="both"/>
        <w:rPr>
          <w:sz w:val="16"/>
        </w:rPr>
      </w:pPr>
      <w:r>
        <w:rPr/>
        <w:t>día, llegando a un promedio de tres o cuatro horas por jornada entre semana y hasta 7 horas los fines de semana.</w:t>
      </w:r>
      <w:r>
        <w:rPr>
          <w:position w:val="11"/>
          <w:sz w:val="16"/>
        </w:rPr>
        <w:t>351</w:t>
      </w:r>
    </w:p>
    <w:p>
      <w:pPr>
        <w:pStyle w:val="BodyText"/>
        <w:spacing w:line="360" w:lineRule="auto" w:before="26"/>
        <w:ind w:left="264" w:right="214" w:firstLine="336"/>
        <w:jc w:val="both"/>
      </w:pPr>
      <w:r>
        <w:rPr/>
        <w:t>Es un hecho que la conciencia de los televidentes (jóvenes y adultos) sobre la aplicación de los modelos todavía no es clara, si bien se han realizado esfuerzos por enfocar al televidente para que observe los distintos eventos televisivos con una mirada crítica, ya que la información emitida es cuestionable en cuanto a actitudes y valores, de tal manera que refuerza los estereotipos negativos frente a algún sector social, cultural o racial</w:t>
      </w:r>
      <w:r>
        <w:rPr>
          <w:i/>
        </w:rPr>
        <w:t>. </w:t>
      </w:r>
      <w:r>
        <w:rPr/>
        <w:t>Además de que se convierten en filtro sobre la forma de percibir la realidad, a través del mensaje, modificando a la vez, desde el uso del lenguaje las relaciones sociales. A partir de una identificación emocional</w:t>
      </w:r>
    </w:p>
    <w:p>
      <w:pPr>
        <w:pStyle w:val="BodyText"/>
        <w:spacing w:before="6"/>
        <w:rPr>
          <w:sz w:val="19"/>
        </w:rPr>
      </w:pPr>
    </w:p>
    <w:p>
      <w:pPr>
        <w:spacing w:before="78"/>
        <w:ind w:left="264" w:right="220" w:firstLine="0"/>
        <w:jc w:val="left"/>
        <w:rPr>
          <w:rFonts w:ascii="Calibri" w:hAnsi="Calibri"/>
          <w:sz w:val="18"/>
        </w:rPr>
      </w:pPr>
      <w:r>
        <w:rPr>
          <w:rFonts w:ascii="Calibri" w:hAnsi="Calibri"/>
          <w:position w:val="9"/>
          <w:sz w:val="12"/>
        </w:rPr>
        <w:t>350 </w:t>
      </w:r>
      <w:r>
        <w:rPr>
          <w:rFonts w:ascii="Calibri" w:hAnsi="Calibri"/>
          <w:sz w:val="18"/>
        </w:rPr>
        <w:t>REVISTAS, </w:t>
      </w:r>
      <w:r>
        <w:rPr>
          <w:rFonts w:ascii="Calibri" w:hAnsi="Calibri"/>
          <w:i/>
          <w:sz w:val="18"/>
        </w:rPr>
        <w:t>El Heraldo de Tegucigalpa</w:t>
      </w:r>
      <w:r>
        <w:rPr>
          <w:rFonts w:ascii="Calibri" w:hAnsi="Calibri"/>
          <w:sz w:val="18"/>
        </w:rPr>
        <w:t>, “Cuidado con la TV”, [en línea] Consulta 02/06/2012, disponible en: </w:t>
      </w:r>
      <w:hyperlink r:id="rId137">
        <w:r>
          <w:rPr>
            <w:rFonts w:ascii="Calibri" w:hAnsi="Calibri"/>
            <w:color w:val="0000FF"/>
            <w:sz w:val="18"/>
            <w:u w:val="single" w:color="0000FF"/>
          </w:rPr>
          <w:t>http://eng.elheraldo.hn/Publicaciones/Revistas/Mia/Edicion-13-de-enero/Cuidado-con-la-TV</w:t>
        </w:r>
        <w:r>
          <w:rPr>
            <w:rFonts w:ascii="Calibri" w:hAnsi="Calibri"/>
            <w:sz w:val="18"/>
          </w:rPr>
          <w:t>.</w:t>
        </w:r>
      </w:hyperlink>
    </w:p>
    <w:p>
      <w:pPr>
        <w:spacing w:line="220" w:lineRule="exact" w:before="0"/>
        <w:ind w:left="264" w:right="0" w:firstLine="0"/>
        <w:jc w:val="left"/>
        <w:rPr>
          <w:rFonts w:ascii="Calibri" w:hAnsi="Calibri"/>
          <w:sz w:val="18"/>
        </w:rPr>
      </w:pPr>
      <w:r>
        <w:rPr>
          <w:rFonts w:ascii="Calibri" w:hAnsi="Calibri"/>
          <w:position w:val="9"/>
          <w:sz w:val="12"/>
        </w:rPr>
        <w:t>351  </w:t>
      </w:r>
      <w:r>
        <w:rPr>
          <w:rFonts w:ascii="Calibri" w:hAnsi="Calibri"/>
          <w:sz w:val="18"/>
        </w:rPr>
        <w:t>El  estudio realizado reveló que aunado a esta dedicación de la sociedad del siglo XX de mirar televisión por un mayor</w:t>
      </w:r>
    </w:p>
    <w:p>
      <w:pPr>
        <w:spacing w:before="0"/>
        <w:ind w:left="264" w:right="0" w:firstLine="0"/>
        <w:jc w:val="left"/>
        <w:rPr>
          <w:rFonts w:ascii="Calibri" w:hAnsi="Calibri"/>
          <w:sz w:val="18"/>
        </w:rPr>
      </w:pPr>
      <w:r>
        <w:rPr>
          <w:rFonts w:ascii="Calibri" w:hAnsi="Calibri"/>
          <w:sz w:val="18"/>
        </w:rPr>
        <w:t>tiempo, ha aumentado la prevalencia de enfermedades de tipo nutricional en México, en Honduras y en el mundo, tales</w:t>
      </w:r>
    </w:p>
    <w:p>
      <w:pPr>
        <w:spacing w:after="0"/>
        <w:jc w:val="left"/>
        <w:rPr>
          <w:rFonts w:ascii="Calibri" w:hAnsi="Calibri"/>
          <w:sz w:val="18"/>
        </w:rPr>
        <w:sectPr>
          <w:footerReference w:type="default" r:id="rId136"/>
          <w:pgSz w:w="12240" w:h="15840"/>
          <w:pgMar w:footer="1096" w:header="0" w:top="520" w:bottom="1280" w:left="1720" w:right="1200"/>
          <w:pgNumType w:start="192"/>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978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6"/>
        <w:jc w:val="both"/>
      </w:pPr>
      <w:r>
        <w:rPr/>
        <w:t>con los personajes de moda que influyen por la constante repetición y establecen cambios que determinan inclusive una nueva moda lingüística, una nueva forma  de alimentarse, de diversión y de relaciones</w:t>
      </w:r>
      <w:r>
        <w:rPr>
          <w:spacing w:val="-32"/>
        </w:rPr>
        <w:t> </w:t>
      </w:r>
      <w:r>
        <w:rPr/>
        <w:t>humanas.</w:t>
      </w:r>
    </w:p>
    <w:p>
      <w:pPr>
        <w:pStyle w:val="BodyText"/>
        <w:spacing w:line="360" w:lineRule="auto" w:before="2"/>
        <w:ind w:left="684" w:right="111" w:firstLine="271"/>
        <w:jc w:val="both"/>
      </w:pPr>
      <w:r>
        <w:rPr/>
        <w:t>Es claro que la televisión influye de manera extensiva e intensiva en la mente, el cuerpo y el comportamiento social. Nadie se escapa a su ascendencia, la mercadotecnia diseña programas para todos, para niños, para jóvenes, adultos, personas mayores, para clases altas o medias y también para los pobres y los  </w:t>
      </w:r>
      <w:r>
        <w:rPr>
          <w:spacing w:val="-2"/>
        </w:rPr>
        <w:t>más </w:t>
      </w:r>
      <w:r>
        <w:rPr/>
        <w:t>pobres, a todos se les considera en la programación televisiva, el objetivo: a cada quien según la necesidad de ser alienado en torno a un sistema, que en el televisor encuentra el mejor aliado para mantener el estado de cosas. En un estado de pensamiento abismal, nada es posible más allá del</w:t>
      </w:r>
      <w:r>
        <w:rPr>
          <w:spacing w:val="-41"/>
        </w:rPr>
        <w:t> </w:t>
      </w:r>
      <w:r>
        <w:rPr/>
        <w:t>televisor.</w:t>
      </w:r>
    </w:p>
    <w:p>
      <w:pPr>
        <w:pStyle w:val="BodyText"/>
      </w:pPr>
    </w:p>
    <w:p>
      <w:pPr>
        <w:pStyle w:val="Heading3"/>
        <w:numPr>
          <w:ilvl w:val="0"/>
          <w:numId w:val="8"/>
        </w:numPr>
        <w:tabs>
          <w:tab w:pos="952" w:val="left" w:leader="none"/>
        </w:tabs>
        <w:spacing w:line="240" w:lineRule="auto" w:before="138" w:after="0"/>
        <w:ind w:left="951" w:right="0" w:hanging="267"/>
        <w:jc w:val="both"/>
        <w:rPr>
          <w:rFonts w:ascii="Arial"/>
        </w:rPr>
      </w:pPr>
      <w:bookmarkStart w:name="_TOC_250008" w:id="16"/>
      <w:r>
        <w:rPr>
          <w:rFonts w:ascii="Arial"/>
        </w:rPr>
        <w:t>Variaciones de una perspectiva de ser y la estructura</w:t>
      </w:r>
      <w:r>
        <w:rPr>
          <w:rFonts w:ascii="Arial"/>
          <w:spacing w:val="-32"/>
        </w:rPr>
        <w:t> </w:t>
      </w:r>
      <w:bookmarkEnd w:id="16"/>
      <w:r>
        <w:rPr>
          <w:rFonts w:ascii="Arial"/>
        </w:rPr>
        <w:t>social</w:t>
      </w:r>
    </w:p>
    <w:p>
      <w:pPr>
        <w:pStyle w:val="BodyText"/>
        <w:rPr>
          <w:b/>
        </w:rPr>
      </w:pPr>
    </w:p>
    <w:p>
      <w:pPr>
        <w:pStyle w:val="BodyText"/>
        <w:spacing w:before="4"/>
        <w:rPr>
          <w:b/>
        </w:rPr>
      </w:pPr>
    </w:p>
    <w:p>
      <w:pPr>
        <w:pStyle w:val="BodyText"/>
        <w:spacing w:line="360" w:lineRule="auto"/>
        <w:ind w:left="684" w:right="113" w:firstLine="271"/>
        <w:jc w:val="both"/>
      </w:pPr>
      <w:r>
        <w:rPr/>
        <w:t>El ser humano, su tendencia acumulativa y consumista alimentada por la mercadotecnia, que a través de la televisión promueve formas de vida orientando la facultad de elegir de los individuos, condicionando su libertad ante las opciones que de manera invariable inserta en el inconsciente social e individual, en un mundo que ha cambiado sus metas, en donde el ser humano se ha convertido en un ser dispensable, sin arraigo. </w:t>
      </w:r>
      <w:r>
        <w:rPr>
          <w:i/>
        </w:rPr>
        <w:t>Tener es la meta; </w:t>
      </w:r>
      <w:r>
        <w:rPr/>
        <w:t>rebasando cualquier interés humano los individuos centran sus esfuerzos en lo material, que sin embargo se diluye entre sus manos, sin dar tiempo producir la satisfacción anhelada. Y</w:t>
      </w:r>
      <w:r>
        <w:rPr>
          <w:i/>
        </w:rPr>
        <w:t>, </w:t>
      </w:r>
      <w:r>
        <w:rPr/>
        <w:t>en esa persecución del objeto, de los bienes materiales la actividad humana ha tomado una forma de </w:t>
      </w:r>
      <w:r>
        <w:rPr>
          <w:i/>
        </w:rPr>
        <w:t>esclavismo voluntario, </w:t>
      </w:r>
      <w:r>
        <w:rPr/>
        <w:t>tan sutil que ahora es promovida por el mismo individuo, que en ánimo de tener más se somete a largas jornadas laborales. La</w:t>
      </w:r>
    </w:p>
    <w:p>
      <w:pPr>
        <w:pStyle w:val="BodyText"/>
        <w:spacing w:line="278" w:lineRule="exact"/>
        <w:ind w:left="684"/>
        <w:jc w:val="both"/>
      </w:pPr>
      <w:r>
        <w:rPr/>
        <w:t>regla  de  oro</w:t>
      </w:r>
      <w:r>
        <w:rPr>
          <w:position w:val="11"/>
          <w:sz w:val="16"/>
        </w:rPr>
        <w:t>352  </w:t>
      </w:r>
      <w:r>
        <w:rPr/>
        <w:t>ya  no aplica, con  gran  insistencia se demanda  más  salario que</w:t>
      </w:r>
    </w:p>
    <w:p>
      <w:pPr>
        <w:pStyle w:val="BodyText"/>
        <w:spacing w:line="360" w:lineRule="auto" w:before="140"/>
        <w:ind w:left="684" w:right="124"/>
        <w:jc w:val="both"/>
      </w:pPr>
      <w:r>
        <w:rPr/>
        <w:t>necesariamente requiere más horas de trabajo y menos para el descanso, la meditación y el goce estético.</w:t>
      </w:r>
    </w:p>
    <w:p>
      <w:pPr>
        <w:pStyle w:val="BodyText"/>
        <w:rPr>
          <w:sz w:val="20"/>
        </w:rPr>
      </w:pPr>
    </w:p>
    <w:p>
      <w:pPr>
        <w:pStyle w:val="BodyText"/>
        <w:spacing w:before="5"/>
        <w:rPr>
          <w:sz w:val="22"/>
        </w:rPr>
      </w:pPr>
      <w:r>
        <w:rPr/>
        <w:pict>
          <v:line style="position:absolute;mso-position-horizontal-relative:page;mso-position-vertical-relative:paragraph;z-index:9760;mso-wrap-distance-left:0;mso-wrap-distance-right:0" from="99.224998pt,15.154864pt" to="243.274998pt,15.154864pt" stroked="true" strokeweight=".60004pt" strokecolor="#000000">
            <w10:wrap type="topAndBottom"/>
          </v:line>
        </w:pict>
      </w:r>
    </w:p>
    <w:p>
      <w:pPr>
        <w:spacing w:before="46"/>
        <w:ind w:left="684" w:right="114" w:firstLine="0"/>
        <w:jc w:val="both"/>
        <w:rPr>
          <w:rFonts w:ascii="Calibri" w:hAnsi="Calibri"/>
          <w:sz w:val="18"/>
        </w:rPr>
      </w:pPr>
      <w:r>
        <w:rPr>
          <w:rFonts w:ascii="Calibri" w:hAnsi="Calibri"/>
          <w:position w:val="9"/>
          <w:sz w:val="12"/>
        </w:rPr>
        <w:t>352 </w:t>
      </w:r>
      <w:r>
        <w:rPr>
          <w:rFonts w:ascii="Calibri" w:hAnsi="Calibri"/>
          <w:sz w:val="18"/>
        </w:rPr>
        <w:t>La regla de oro, que permite el desarrollo integro del ser humano, que distribuye su jornada en tercios; ocho horas para descansar, ocho para el trabajo y otro tanto para la recreación. Ahora bien si las horas de recreación son aprovechadas adecuadamente y distribuida de esta manera, la jornada del hombre tiene el tiempo suficiente para  crecer espiritualmente y</w:t>
      </w:r>
      <w:r>
        <w:rPr>
          <w:rFonts w:ascii="Calibri" w:hAnsi="Calibri"/>
          <w:spacing w:val="-17"/>
          <w:sz w:val="18"/>
        </w:rPr>
        <w:t> </w:t>
      </w:r>
      <w:r>
        <w:rPr>
          <w:rFonts w:ascii="Calibri" w:hAnsi="Calibri"/>
          <w:sz w:val="18"/>
        </w:rPr>
        <w:t>materialmente.</w:t>
      </w:r>
    </w:p>
    <w:p>
      <w:pPr>
        <w:spacing w:after="0"/>
        <w:jc w:val="both"/>
        <w:rPr>
          <w:rFonts w:ascii="Calibri" w:hAnsi="Calibri"/>
          <w:sz w:val="18"/>
        </w:rPr>
        <w:sectPr>
          <w:footerReference w:type="default" r:id="rId138"/>
          <w:pgSz w:w="12240" w:h="15840"/>
          <w:pgMar w:footer="876" w:header="0" w:top="520" w:bottom="1060" w:left="1300" w:right="1300"/>
          <w:pgNumType w:start="193"/>
        </w:sectPr>
      </w:pPr>
    </w:p>
    <w:p>
      <w:pPr>
        <w:pStyle w:val="Heading3"/>
      </w:pPr>
      <w:r>
        <w:rPr/>
        <w:pict>
          <v:line style="position:absolute;mso-position-horizontal-relative:page;mso-position-vertical-relative:paragraph;z-index:983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21" w:firstLine="336"/>
        <w:jc w:val="both"/>
      </w:pPr>
      <w:r>
        <w:rPr/>
        <w:t>De ahí que uno de los objetivos de esta investigación es vislumbrar una nueva forma de entender a los hombres y mujeres del siglo XXI. La televisión puede  tener un papel importante si realmente ofrece alternativas de vida, si alimenta las necesidades de desarrollo espiritual, si ofrece contenidos menos tendenciosos que solo benefician a las grandes empresas y el mercado, y construye una propuesta que, dado su alto potencial educativo, brinde a los televidentes conocimiento y posibilidad de elegir entre diversas opciones con la finalidad de aumentar la actividad libre de las personas. Fromm también hace énfasis en la importancia que tiene para los individuos desarrollar su capacidad para hacer uso pleno de su potencial perceptivo,  emocional e intelectual situación que daría como   </w:t>
      </w:r>
      <w:r>
        <w:rPr>
          <w:spacing w:val="14"/>
        </w:rPr>
        <w:t> </w:t>
      </w:r>
      <w:r>
        <w:rPr/>
        <w:t>resultado</w:t>
      </w:r>
    </w:p>
    <w:p>
      <w:pPr>
        <w:pStyle w:val="BodyText"/>
        <w:spacing w:line="328" w:lineRule="auto" w:before="6"/>
        <w:ind w:left="264"/>
        <w:rPr>
          <w:sz w:val="16"/>
        </w:rPr>
      </w:pPr>
      <w:r>
        <w:rPr/>
        <w:t>una sociedad orientada a la realización como persona de cada individuo que la conforme, sin menoscabo de sus virtudes solidarias.</w:t>
      </w:r>
      <w:r>
        <w:rPr>
          <w:position w:val="11"/>
          <w:sz w:val="16"/>
        </w:rPr>
        <w:t>353</w:t>
      </w:r>
    </w:p>
    <w:p>
      <w:pPr>
        <w:pStyle w:val="BodyText"/>
        <w:spacing w:line="343" w:lineRule="auto" w:before="26"/>
        <w:ind w:left="264" w:right="213" w:firstLine="336"/>
        <w:jc w:val="both"/>
        <w:rPr>
          <w:sz w:val="16"/>
        </w:rPr>
      </w:pPr>
      <w:r>
        <w:rPr/>
        <w:t>Mounier al respecto afirma que se debe tener como finalidad “[...] el poner a cada persona en estado de poder vivir como persona, es decir de poder acceder  al </w:t>
      </w:r>
      <w:r>
        <w:rPr>
          <w:i/>
        </w:rPr>
        <w:t>maximum </w:t>
      </w:r>
      <w:r>
        <w:rPr/>
        <w:t>de iniciativa, de responsabilidad, de vida</w:t>
      </w:r>
      <w:r>
        <w:rPr>
          <w:spacing w:val="-33"/>
        </w:rPr>
        <w:t> </w:t>
      </w:r>
      <w:r>
        <w:rPr/>
        <w:t>espiritual.”</w:t>
      </w:r>
      <w:r>
        <w:rPr>
          <w:position w:val="11"/>
          <w:sz w:val="16"/>
        </w:rPr>
        <w:t>354</w:t>
      </w:r>
    </w:p>
    <w:p>
      <w:pPr>
        <w:pStyle w:val="BodyText"/>
        <w:spacing w:line="360" w:lineRule="auto" w:before="8"/>
        <w:ind w:left="264" w:right="214" w:firstLine="336"/>
        <w:jc w:val="both"/>
      </w:pPr>
      <w:r>
        <w:rPr/>
        <w:t>Considerando la posibilidad de que cada ente humano se constituya en base a sus necesidades materiales y espirituales, en una cultura que distribuya  sus bienes entre todos los integrantes del grupo social. Motivando la capacidad activa de razonar, de crear y no sólo de ser un espectador pasivo, propiciando el desarrollo de la capacidad para relacionarse con los demás en un ambiente de respeto y corresponsabilidad; con el uso de la tecnología y los mcm bajo otro estilo y con otro enfoque, por lo que es necesario rediseñar la forma de recuperar las relaciones humanas cercanas suspendidas por el uso de la televisión, que ha suplido la relación cercana por una relación virtual que se pierde en el tiempo y un espacio lejano e inexistente.</w:t>
      </w:r>
    </w:p>
    <w:p>
      <w:pPr>
        <w:pStyle w:val="BodyText"/>
        <w:spacing w:line="360" w:lineRule="auto" w:before="2"/>
        <w:ind w:left="264" w:right="218" w:firstLine="336"/>
        <w:jc w:val="both"/>
      </w:pPr>
      <w:r>
        <w:rPr/>
        <w:pict>
          <v:line style="position:absolute;mso-position-horizontal-relative:page;mso-position-vertical-relative:paragraph;z-index:9808;mso-wrap-distance-left:0;mso-wrap-distance-right:0" from="99.224998pt,106.080841pt" to="243.274998pt,106.080841pt" stroked="true" strokeweight=".60004pt" strokecolor="#000000">
            <w10:wrap type="topAndBottom"/>
          </v:line>
        </w:pict>
      </w:r>
      <w:r>
        <w:rPr/>
        <w:t>¿Cuál sería una forma de ser diferente en un mundo globalizado? en donde uno de los mayores problemas engendrados es la vida cómoda del más fuerte y la agresividad contra aquellos que sobreviven en condiciones de una necesidad no satisfecha, de una gran mayoría excluida de los beneficios del gran proyecto de progreso  tecnológico.  En  donde  el  cuidado  de  la  existencia  del  otro   </w:t>
      </w:r>
      <w:r>
        <w:rPr>
          <w:spacing w:val="55"/>
        </w:rPr>
        <w:t> </w:t>
      </w:r>
      <w:r>
        <w:rPr/>
        <w:t>queda</w:t>
      </w:r>
    </w:p>
    <w:p>
      <w:pPr>
        <w:spacing w:line="235" w:lineRule="exact" w:before="48"/>
        <w:ind w:left="264" w:right="0" w:firstLine="0"/>
        <w:jc w:val="left"/>
        <w:rPr>
          <w:rFonts w:ascii="Calibri" w:hAnsi="Calibri"/>
          <w:i/>
          <w:sz w:val="18"/>
        </w:rPr>
      </w:pPr>
      <w:r>
        <w:rPr>
          <w:position w:val="9"/>
          <w:sz w:val="12"/>
        </w:rPr>
        <w:t>353 </w:t>
      </w:r>
      <w:r>
        <w:rPr>
          <w:rFonts w:ascii="Calibri" w:hAnsi="Calibri"/>
          <w:sz w:val="18"/>
        </w:rPr>
        <w:t>Véase Erich Fromm, </w:t>
      </w:r>
      <w:r>
        <w:rPr>
          <w:rFonts w:ascii="Calibri" w:hAnsi="Calibri"/>
          <w:i/>
          <w:sz w:val="18"/>
        </w:rPr>
        <w:t>La revolución de la esperanza</w:t>
      </w:r>
      <w:r>
        <w:rPr>
          <w:rFonts w:ascii="Calibri" w:hAnsi="Calibri"/>
          <w:sz w:val="18"/>
        </w:rPr>
        <w:t>, </w:t>
      </w:r>
      <w:r>
        <w:rPr>
          <w:rFonts w:ascii="Calibri" w:hAnsi="Calibri"/>
          <w:i/>
          <w:sz w:val="18"/>
        </w:rPr>
        <w:t>Óp. Cit.</w:t>
      </w:r>
    </w:p>
    <w:p>
      <w:pPr>
        <w:spacing w:line="236" w:lineRule="exact" w:before="0"/>
        <w:ind w:left="264" w:right="0" w:firstLine="0"/>
        <w:jc w:val="left"/>
        <w:rPr>
          <w:rFonts w:ascii="Calibri" w:hAnsi="Calibri"/>
          <w:sz w:val="18"/>
        </w:rPr>
      </w:pPr>
      <w:r>
        <w:rPr>
          <w:rFonts w:ascii="Calibri" w:hAnsi="Calibri"/>
          <w:position w:val="9"/>
          <w:sz w:val="12"/>
        </w:rPr>
        <w:t>354  </w:t>
      </w:r>
      <w:r>
        <w:rPr>
          <w:rFonts w:ascii="Calibri" w:hAnsi="Calibri"/>
          <w:sz w:val="18"/>
        </w:rPr>
        <w:t>MOUNIER, Emmanuel,  </w:t>
      </w:r>
      <w:r>
        <w:rPr>
          <w:rFonts w:ascii="Calibri" w:hAnsi="Calibri"/>
          <w:i/>
          <w:sz w:val="18"/>
        </w:rPr>
        <w:t>Manifiesto al servicio del personalismo</w:t>
      </w:r>
      <w:r>
        <w:rPr>
          <w:rFonts w:ascii="Calibri" w:hAnsi="Calibri"/>
          <w:sz w:val="18"/>
        </w:rPr>
        <w:t>,  Ed. Taurus, España, 1976, p. 59.</w:t>
      </w:r>
    </w:p>
    <w:p>
      <w:pPr>
        <w:spacing w:after="0" w:line="236"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988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8"/>
        <w:jc w:val="both"/>
      </w:pPr>
      <w:r>
        <w:rPr/>
        <w:t>superado por el cuidado de la existencia de las cosas. Una sociedad que fomente el tener sobre el ser. Un individuo que vive para consumir y no para desarrollar sus capacidades como persona que lo distinguen de los animales, o sea sus capacidades espirituales.</w:t>
      </w:r>
    </w:p>
    <w:p>
      <w:pPr>
        <w:pStyle w:val="BodyText"/>
        <w:spacing w:line="360" w:lineRule="auto" w:before="6"/>
        <w:ind w:left="684" w:right="114" w:firstLine="336"/>
        <w:jc w:val="both"/>
      </w:pPr>
      <w:r>
        <w:rPr/>
        <w:t>Con la advertencia de que no es vislumbrar un mundo feliz donde las pasiones y los esfuerzos humanos que emanan de su propia naturaleza, de saberse finito, de conocer sus debilidades relacionadas con su naturaleza biológica desaparezcan, sin embargo, con la esperanza de que bajo una formación diferente, con la satisfacción de las necesidades materiales para todos los individuos, la preocupación de cada persona será superar sus debilidades y formarse para mejorar la sociedad en la que vive; propósito que una vez  alcanzado será de beneficio para todos (porque nadie puede vivir en paz y armonía sí en los espacios que le rodean existe violencia y agresividad) así como fomentar las fortalezas emanadas del ser. Aunque como afirma Bauman: “La vida de las personas, incluso de las más felices (o de las </w:t>
      </w:r>
      <w:r>
        <w:rPr>
          <w:spacing w:val="-2"/>
        </w:rPr>
        <w:t>más </w:t>
      </w:r>
      <w:r>
        <w:rPr/>
        <w:t>afortunadas, según opinión común,  un poco teñida  de  envidia,  de  las infelices) es cualquier    </w:t>
      </w:r>
      <w:r>
        <w:rPr>
          <w:spacing w:val="43"/>
        </w:rPr>
        <w:t> </w:t>
      </w:r>
      <w:r>
        <w:rPr/>
        <w:t>cosa</w:t>
      </w:r>
    </w:p>
    <w:p>
      <w:pPr>
        <w:pStyle w:val="BodyText"/>
        <w:spacing w:line="282" w:lineRule="exact"/>
        <w:ind w:left="684"/>
        <w:jc w:val="both"/>
        <w:rPr>
          <w:sz w:val="16"/>
        </w:rPr>
      </w:pPr>
      <w:r>
        <w:rPr/>
        <w:t>menos carente de problemas”</w:t>
      </w:r>
      <w:r>
        <w:rPr>
          <w:position w:val="11"/>
          <w:sz w:val="16"/>
        </w:rPr>
        <w:t>355</w:t>
      </w:r>
    </w:p>
    <w:p>
      <w:pPr>
        <w:pStyle w:val="BodyText"/>
        <w:spacing w:line="360" w:lineRule="auto" w:before="136"/>
        <w:ind w:left="684" w:right="120" w:firstLine="244"/>
        <w:jc w:val="both"/>
      </w:pPr>
      <w:r>
        <w:rPr/>
        <w:t>Sin embargo, la posibilidad de que la sociedad organice una nueva forma de distribución del poder, que debe ser usado como un medio de comunicación de decisiones para el bien común y no como medio de opresión o imposición de medidas que perjudican el desarrollo del individuo es parte de una estrategia política diferente que puede garantizar el desarrollo equitativo de la sociedad y su supervivencia. Así como un modo de vida en el que hombres y mujeres logren alcanzar el nivel de persona, con la alternativa de hacer uso de la anhelada libertad.</w:t>
      </w:r>
    </w:p>
    <w:p>
      <w:pPr>
        <w:pStyle w:val="BodyText"/>
        <w:spacing w:line="360" w:lineRule="auto" w:before="2"/>
        <w:ind w:left="684" w:right="121" w:firstLine="336"/>
        <w:jc w:val="both"/>
      </w:pPr>
      <w:r>
        <w:rPr/>
        <w:t>Una variación del ser humano dirigida hacia un mundo solidario y corresponsable que fortalece al individuo en su gran capacidad de ser gregario, de ser social, que estimule la actividad espontánea y creativa que dignifica al hombre como integrante de una comunidad. Esta acción permite a hombres y mujeres abrazar  al  mundo.  En  donde,  cómo  afirma  Fromm:  “No  sólo  su  yo individual</w:t>
      </w:r>
    </w:p>
    <w:p>
      <w:pPr>
        <w:pStyle w:val="BodyText"/>
        <w:spacing w:before="9"/>
        <w:rPr>
          <w:sz w:val="27"/>
        </w:rPr>
      </w:pPr>
      <w:r>
        <w:rPr/>
        <w:pict>
          <v:line style="position:absolute;mso-position-horizontal-relative:page;mso-position-vertical-relative:paragraph;z-index:9856;mso-wrap-distance-left:0;mso-wrap-distance-right:0" from="99.224998pt,18.258888pt" to="243.274998pt,18.258888pt" stroked="true" strokeweight=".60004pt" strokecolor="#000000">
            <w10:wrap type="topAndBottom"/>
          </v:line>
        </w:pict>
      </w:r>
    </w:p>
    <w:p>
      <w:pPr>
        <w:spacing w:before="46"/>
        <w:ind w:left="684" w:right="114" w:firstLine="0"/>
        <w:jc w:val="left"/>
        <w:rPr>
          <w:sz w:val="18"/>
        </w:rPr>
      </w:pPr>
      <w:r>
        <w:rPr>
          <w:rFonts w:ascii="Calibri" w:hAnsi="Calibri"/>
          <w:position w:val="9"/>
          <w:sz w:val="12"/>
        </w:rPr>
        <w:t>355   </w:t>
      </w:r>
      <w:r>
        <w:rPr>
          <w:rFonts w:ascii="Calibri" w:hAnsi="Calibri"/>
          <w:sz w:val="18"/>
        </w:rPr>
        <w:t>BAUMAN, Zygmunt, </w:t>
      </w:r>
      <w:r>
        <w:rPr>
          <w:rFonts w:ascii="Calibri" w:hAnsi="Calibri"/>
          <w:i/>
          <w:sz w:val="18"/>
        </w:rPr>
        <w:t>Tiempos Líquidos, </w:t>
      </w:r>
      <w:r>
        <w:rPr>
          <w:rFonts w:ascii="Calibri" w:hAnsi="Calibri"/>
          <w:sz w:val="18"/>
        </w:rPr>
        <w:t>p. 133</w:t>
      </w:r>
      <w:r>
        <w:rPr>
          <w:sz w:val="18"/>
        </w:rPr>
        <w:t>.</w:t>
      </w:r>
    </w:p>
    <w:p>
      <w:pPr>
        <w:spacing w:after="0"/>
        <w:jc w:val="left"/>
        <w:rPr>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992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pStyle w:val="BodyText"/>
        <w:spacing w:line="355" w:lineRule="auto" w:before="70"/>
        <w:ind w:left="264" w:right="213"/>
        <w:jc w:val="both"/>
      </w:pPr>
      <w:r>
        <w:rPr/>
        <w:t>permanece intacto, sino que se vuelve </w:t>
      </w:r>
      <w:r>
        <w:rPr>
          <w:spacing w:val="-2"/>
        </w:rPr>
        <w:t>más </w:t>
      </w:r>
      <w:r>
        <w:rPr/>
        <w:t>fuerte y recio. </w:t>
      </w:r>
      <w:r>
        <w:rPr>
          <w:i/>
        </w:rPr>
        <w:t>Porque el yo es fuerte  </w:t>
      </w:r>
      <w:r>
        <w:rPr>
          <w:i/>
        </w:rPr>
        <w:t>en la medida que es activo</w:t>
      </w:r>
      <w:r>
        <w:rPr/>
        <w:t>. No hay fuerza genuina en la posesión como tal, ni en las propiedades materiales ni en aquellas de cualidades  espirituales.”</w:t>
      </w:r>
      <w:r>
        <w:rPr>
          <w:position w:val="11"/>
          <w:sz w:val="16"/>
        </w:rPr>
        <w:t>356  </w:t>
      </w:r>
      <w:r>
        <w:rPr/>
        <w:t>Esta forma de actuar se constituye en la base de su integridad, en la que las relaciones con los otros fortalecen y dan seguridad al individuo y fomentan la confianza en la vida humana, propiciando el desarrollo del Yo evitando las manifestaciones de inseguridad en</w:t>
      </w:r>
      <w:r>
        <w:rPr>
          <w:spacing w:val="-19"/>
        </w:rPr>
        <w:t> </w:t>
      </w:r>
      <w:r>
        <w:rPr/>
        <w:t>inferioridad.</w:t>
      </w:r>
    </w:p>
    <w:p>
      <w:pPr>
        <w:pStyle w:val="BodyText"/>
        <w:spacing w:line="360" w:lineRule="auto" w:before="7"/>
        <w:ind w:left="264" w:right="214" w:firstLine="336"/>
        <w:jc w:val="both"/>
      </w:pPr>
      <w:r>
        <w:rPr/>
        <w:t>Una forma de ser humano diferente, que se manifieste en la satisfacción de lo que es propio de su naturaleza, en el goce estético, en la recreación del espíritu y en el cuidado de lograr el ejercicio de las facultades humanas que se derivan del cuidado de sí y del planeta, y no en la de producir para vender o para, convertidos en mercancía, venderse a cualquier precio. Y así liberarse de las cadenas de la esclavitud que se ha impuesto (bajo el supuesto del trabajo por un salario) que lo ubican como un eslabón en la cadena de producción del sistema capitalista- imperialista.</w:t>
      </w:r>
    </w:p>
    <w:p>
      <w:pPr>
        <w:pStyle w:val="BodyText"/>
        <w:spacing w:before="11"/>
        <w:rPr>
          <w:sz w:val="35"/>
        </w:rPr>
      </w:pPr>
    </w:p>
    <w:p>
      <w:pPr>
        <w:pStyle w:val="Heading3"/>
        <w:numPr>
          <w:ilvl w:val="0"/>
          <w:numId w:val="8"/>
        </w:numPr>
        <w:tabs>
          <w:tab w:pos="769" w:val="left" w:leader="none"/>
        </w:tabs>
        <w:spacing w:line="240" w:lineRule="auto" w:before="0" w:after="0"/>
        <w:ind w:left="769" w:right="0" w:hanging="361"/>
        <w:jc w:val="left"/>
        <w:rPr>
          <w:rFonts w:ascii="Arial" w:hAnsi="Arial"/>
        </w:rPr>
      </w:pPr>
      <w:bookmarkStart w:name="_TOC_250007" w:id="17"/>
      <w:r>
        <w:rPr>
          <w:rFonts w:ascii="Arial" w:hAnsi="Arial"/>
        </w:rPr>
        <w:t>Sociedad, participación y</w:t>
      </w:r>
      <w:r>
        <w:rPr>
          <w:rFonts w:ascii="Arial" w:hAnsi="Arial"/>
          <w:spacing w:val="-16"/>
        </w:rPr>
        <w:t> </w:t>
      </w:r>
      <w:bookmarkEnd w:id="17"/>
      <w:r>
        <w:rPr>
          <w:rFonts w:ascii="Arial" w:hAnsi="Arial"/>
        </w:rPr>
        <w:t>colaboración</w:t>
      </w:r>
    </w:p>
    <w:p>
      <w:pPr>
        <w:pStyle w:val="BodyText"/>
        <w:rPr>
          <w:b/>
        </w:rPr>
      </w:pPr>
    </w:p>
    <w:p>
      <w:pPr>
        <w:pStyle w:val="BodyText"/>
        <w:spacing w:before="4"/>
        <w:rPr>
          <w:b/>
        </w:rPr>
      </w:pPr>
    </w:p>
    <w:p>
      <w:pPr>
        <w:pStyle w:val="BodyText"/>
        <w:spacing w:line="360" w:lineRule="auto"/>
        <w:ind w:left="264" w:right="216" w:firstLine="336"/>
        <w:jc w:val="both"/>
      </w:pPr>
      <w:r>
        <w:rPr/>
        <w:t>La sociedad edificada durante el siglo pasado enfrentó una serie de obstáculos para su realización plena, grandes dificultades, guerras, movimientos políticos, la lucha por el poder, la instauración de nuevos sistemas económicos, la pobreza, la injusticia y la inequidad auspiciadas por el fortalecimiento del capitalismo, en el que el hombre se constituye como un medio para fortalecer el mercado, las grandes empresas trasnacionales, el consumo y la producción. Desde esta perspectiva la integración del ser humano en su calidad de persona, </w:t>
      </w:r>
      <w:r>
        <w:rPr>
          <w:spacing w:val="2"/>
        </w:rPr>
        <w:t>dejó </w:t>
      </w:r>
      <w:r>
        <w:rPr/>
        <w:t>de ser una prioridad, su presencia social es válida en tanto es productor y</w:t>
      </w:r>
      <w:r>
        <w:rPr>
          <w:spacing w:val="-42"/>
        </w:rPr>
        <w:t> </w:t>
      </w:r>
      <w:r>
        <w:rPr/>
        <w:t>consumidor.</w:t>
      </w:r>
    </w:p>
    <w:p>
      <w:pPr>
        <w:pStyle w:val="BodyText"/>
        <w:spacing w:line="360" w:lineRule="auto" w:before="6"/>
        <w:ind w:left="264" w:right="214" w:firstLine="336"/>
        <w:jc w:val="both"/>
      </w:pPr>
      <w:r>
        <w:rPr/>
        <w:pict>
          <v:line style="position:absolute;mso-position-horizontal-relative:page;mso-position-vertical-relative:paragraph;z-index:9904;mso-wrap-distance-left:0;mso-wrap-distance-right:0" from="99.224998pt,85.480843pt" to="243.274998pt,85.480843pt" stroked="true" strokeweight=".60004pt" strokecolor="#000000">
            <w10:wrap type="topAndBottom"/>
          </v:line>
        </w:pict>
      </w:r>
      <w:r>
        <w:rPr/>
        <w:t>El desencanto que esta situación genera en los individuos se pone de manifiesto en el aumento de la violencia, en la insatisfacción demostrada por los habitantes del siglo XX y XXI, que sin embargo, han sido capaces de generar grandes transformaciones a nivel social, económico y cultural.</w:t>
      </w:r>
    </w:p>
    <w:p>
      <w:pPr>
        <w:spacing w:before="48"/>
        <w:ind w:left="264" w:right="0" w:firstLine="0"/>
        <w:jc w:val="left"/>
        <w:rPr>
          <w:rFonts w:ascii="Calibri"/>
          <w:sz w:val="18"/>
        </w:rPr>
      </w:pPr>
      <w:r>
        <w:rPr>
          <w:position w:val="9"/>
          <w:sz w:val="12"/>
        </w:rPr>
        <w:t>356   </w:t>
      </w:r>
      <w:r>
        <w:rPr>
          <w:rFonts w:ascii="Calibri"/>
          <w:sz w:val="18"/>
        </w:rPr>
        <w:t>FROMM, Erich, </w:t>
      </w:r>
      <w:r>
        <w:rPr>
          <w:rFonts w:ascii="Calibri"/>
          <w:i/>
          <w:sz w:val="18"/>
        </w:rPr>
        <w:t>El miedo a la libertad</w:t>
      </w:r>
      <w:r>
        <w:rPr>
          <w:rFonts w:ascii="Calibri"/>
          <w:sz w:val="18"/>
        </w:rPr>
        <w:t>, p. 250.</w:t>
      </w:r>
    </w:p>
    <w:p>
      <w:pPr>
        <w:spacing w:after="0"/>
        <w:jc w:val="left"/>
        <w:rPr>
          <w:rFonts w:asci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997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4" w:firstLine="271"/>
        <w:jc w:val="both"/>
      </w:pPr>
      <w:r>
        <w:rPr/>
        <w:t>En ese contexto la cibernética y la automatización están a la vuelta de la esquina, las máquinas se han constituido en elementos indispensables en el orden mundial. La sociedad en su conjunto está en las manos de un número limitado de grandes transnacionales que manejan la economía, la política y la toma de decisiones en cuanto a lo que es mejor (de acuerdo a sus intereses) para las naciones. Y en ese ambiente se debate el individuo que se encuentra acotado por estas empresas y el Estado que han establecido una alianza de apoyo mutuo en detrimento del bienestar social que éste último significaba. Lo importante para este sistema es el capital no el trabajo.</w:t>
      </w:r>
    </w:p>
    <w:p>
      <w:pPr>
        <w:pStyle w:val="BodyText"/>
        <w:spacing w:line="360" w:lineRule="auto" w:before="2"/>
        <w:ind w:left="684" w:right="114" w:firstLine="336"/>
        <w:jc w:val="both"/>
      </w:pPr>
      <w:r>
        <w:rPr/>
        <w:t>La advertencia del desequilibrio que esto conlleva para el desarrollo humano, ante el impetuoso avance de las máquinas es inadvertido para un pensamiento abismal formado en el colonialismo que no alcanza a percibir que lo que es bueno para las máquinas no es bueno para los hombres. Para la civilización de mediados del siglo XX se ha consolidado la utopía de la modernidad, los seres humanos han logrado el confort y el lujo soñado (para unos cuantos, no para todos). Así, los hombres creen, según Fromm que:</w:t>
      </w:r>
    </w:p>
    <w:p>
      <w:pPr>
        <w:pStyle w:val="BodyText"/>
        <w:spacing w:before="9"/>
        <w:rPr>
          <w:sz w:val="33"/>
        </w:rPr>
      </w:pPr>
    </w:p>
    <w:p>
      <w:pPr>
        <w:spacing w:line="235" w:lineRule="auto" w:before="0"/>
        <w:ind w:left="1393" w:right="114" w:firstLine="0"/>
        <w:jc w:val="both"/>
        <w:rPr>
          <w:sz w:val="14"/>
        </w:rPr>
      </w:pPr>
      <w:r>
        <w:rPr>
          <w:sz w:val="22"/>
        </w:rPr>
        <w:t>[  ] </w:t>
      </w:r>
      <w:r>
        <w:rPr>
          <w:spacing w:val="-3"/>
          <w:sz w:val="22"/>
        </w:rPr>
        <w:t>la </w:t>
      </w:r>
      <w:r>
        <w:rPr>
          <w:sz w:val="22"/>
        </w:rPr>
        <w:t>ausencia de opresión política directa es una manifestación de </w:t>
      </w:r>
      <w:r>
        <w:rPr>
          <w:spacing w:val="-3"/>
          <w:sz w:val="22"/>
        </w:rPr>
        <w:t>la </w:t>
      </w:r>
      <w:r>
        <w:rPr>
          <w:sz w:val="22"/>
        </w:rPr>
        <w:t>conquista   de </w:t>
      </w:r>
      <w:r>
        <w:rPr>
          <w:spacing w:val="-3"/>
          <w:sz w:val="22"/>
        </w:rPr>
        <w:t>la </w:t>
      </w:r>
      <w:r>
        <w:rPr>
          <w:sz w:val="22"/>
        </w:rPr>
        <w:t>libertad personal. Su visión del </w:t>
      </w:r>
      <w:r>
        <w:rPr>
          <w:spacing w:val="2"/>
          <w:sz w:val="22"/>
        </w:rPr>
        <w:t>año </w:t>
      </w:r>
      <w:r>
        <w:rPr>
          <w:sz w:val="22"/>
        </w:rPr>
        <w:t>2000 se identifica con </w:t>
      </w:r>
      <w:r>
        <w:rPr>
          <w:spacing w:val="-3"/>
          <w:sz w:val="22"/>
        </w:rPr>
        <w:t>la </w:t>
      </w:r>
      <w:r>
        <w:rPr>
          <w:sz w:val="22"/>
        </w:rPr>
        <w:t>plena realización de las aspiraciones que el hombre tiene desde el término de </w:t>
      </w:r>
      <w:r>
        <w:rPr>
          <w:spacing w:val="-3"/>
          <w:sz w:val="22"/>
        </w:rPr>
        <w:t>la </w:t>
      </w:r>
      <w:r>
        <w:rPr>
          <w:sz w:val="22"/>
        </w:rPr>
        <w:t>Edad Media, y no se dan cuenta de que el año 2000 puede no ser </w:t>
      </w:r>
      <w:r>
        <w:rPr>
          <w:spacing w:val="-3"/>
          <w:sz w:val="22"/>
        </w:rPr>
        <w:t>la </w:t>
      </w:r>
      <w:r>
        <w:rPr>
          <w:sz w:val="22"/>
        </w:rPr>
        <w:t>culminación rotunda y feliz de un periodo en que el hombre luchó por </w:t>
      </w:r>
      <w:r>
        <w:rPr>
          <w:spacing w:val="-3"/>
          <w:sz w:val="22"/>
        </w:rPr>
        <w:t>la </w:t>
      </w:r>
      <w:r>
        <w:rPr>
          <w:sz w:val="22"/>
        </w:rPr>
        <w:t>libertad y </w:t>
      </w:r>
      <w:r>
        <w:rPr>
          <w:spacing w:val="-3"/>
          <w:sz w:val="22"/>
        </w:rPr>
        <w:t>la </w:t>
      </w:r>
      <w:r>
        <w:rPr>
          <w:sz w:val="22"/>
        </w:rPr>
        <w:t>felicidad, sino el principio de una era en </w:t>
      </w:r>
      <w:r>
        <w:rPr>
          <w:spacing w:val="-3"/>
          <w:sz w:val="22"/>
        </w:rPr>
        <w:t>la </w:t>
      </w:r>
      <w:r>
        <w:rPr>
          <w:sz w:val="22"/>
        </w:rPr>
        <w:t>que el hombre cese de ser humano y se transforme en una máquina sin sentimiento y sin ideas.</w:t>
      </w:r>
      <w:r>
        <w:rPr>
          <w:spacing w:val="-10"/>
          <w:sz w:val="22"/>
        </w:rPr>
        <w:t> </w:t>
      </w:r>
      <w:r>
        <w:rPr>
          <w:spacing w:val="-2"/>
          <w:position w:val="10"/>
          <w:sz w:val="14"/>
        </w:rPr>
        <w:t>357</w:t>
      </w:r>
    </w:p>
    <w:p>
      <w:pPr>
        <w:pStyle w:val="BodyText"/>
        <w:spacing w:before="1"/>
        <w:rPr>
          <w:sz w:val="33"/>
        </w:rPr>
      </w:pPr>
    </w:p>
    <w:p>
      <w:pPr>
        <w:pStyle w:val="BodyText"/>
        <w:spacing w:line="360" w:lineRule="auto" w:before="1"/>
        <w:ind w:left="684" w:right="113" w:firstLine="336"/>
        <w:jc w:val="both"/>
      </w:pPr>
      <w:r>
        <w:rPr/>
        <w:t>Estas predicciones de Fromm, son bastantes desalentadoras en el sentido de que es real que para la civilización del siglo XX la prioridad es la ciencia y la tecnología y la vida fácil que éstas proporcionan, a través de la aplicación de la ley del menor esfuerzo, que se consolida en la era de la digitalización en la que basta apretar un botón para realizar los trabajos más pesados; o adquirir los </w:t>
      </w:r>
      <w:r>
        <w:rPr>
          <w:spacing w:val="-2"/>
        </w:rPr>
        <w:t>más </w:t>
      </w:r>
      <w:r>
        <w:rPr/>
        <w:t>sofisticados equipos de comunicación que paradójicamente alejan al individuo próximo ante una relación virtual, lejana e impersonal que no es congruente con los valores de solidaridad, apoyo mutuo, colaboración, honestidad y</w:t>
      </w:r>
      <w:r>
        <w:rPr>
          <w:spacing w:val="-40"/>
        </w:rPr>
        <w:t> </w:t>
      </w:r>
      <w:r>
        <w:rPr/>
        <w:t>autenticidad.</w:t>
      </w:r>
    </w:p>
    <w:p>
      <w:pPr>
        <w:pStyle w:val="BodyText"/>
        <w:spacing w:before="7"/>
        <w:rPr>
          <w:sz w:val="23"/>
        </w:rPr>
      </w:pPr>
      <w:r>
        <w:rPr/>
        <w:pict>
          <v:line style="position:absolute;mso-position-horizontal-relative:page;mso-position-vertical-relative:paragraph;z-index:9952;mso-wrap-distance-left:0;mso-wrap-distance-right:0" from="99.224998pt,15.853889pt" to="243.274998pt,15.853889pt" stroked="true" strokeweight=".60004pt" strokecolor="#000000">
            <w10:wrap type="topAndBottom"/>
          </v:line>
        </w:pict>
      </w:r>
    </w:p>
    <w:p>
      <w:pPr>
        <w:spacing w:before="46"/>
        <w:ind w:left="684" w:right="114" w:firstLine="0"/>
        <w:jc w:val="left"/>
        <w:rPr>
          <w:rFonts w:ascii="Calibri" w:hAnsi="Calibri"/>
          <w:sz w:val="18"/>
        </w:rPr>
      </w:pPr>
      <w:r>
        <w:rPr>
          <w:rFonts w:ascii="Calibri" w:hAnsi="Calibri"/>
          <w:position w:val="9"/>
          <w:sz w:val="12"/>
        </w:rPr>
        <w:t>357   </w:t>
      </w:r>
      <w:r>
        <w:rPr>
          <w:rFonts w:ascii="Calibri" w:hAnsi="Calibri"/>
          <w:sz w:val="18"/>
        </w:rPr>
        <w:t>FROMM, Erich, </w:t>
      </w:r>
      <w:r>
        <w:rPr>
          <w:rFonts w:ascii="Calibri" w:hAnsi="Calibri"/>
          <w:i/>
          <w:sz w:val="18"/>
        </w:rPr>
        <w:t>La revolución de la esperanza</w:t>
      </w:r>
      <w:r>
        <w:rPr>
          <w:rFonts w:ascii="Calibri" w:hAnsi="Calibri"/>
          <w:sz w:val="18"/>
        </w:rPr>
        <w:t>, p. 37.</w:t>
      </w:r>
    </w:p>
    <w:p>
      <w:pPr>
        <w:spacing w:after="0"/>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002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3" w:firstLine="271"/>
        <w:jc w:val="both"/>
      </w:pPr>
      <w:r>
        <w:rPr/>
        <w:t>La televisión, como se ha venido comentando es el instrumento que eficientemente ha logrado construir una sociedad basada en un individualismo que se separa de los otros, que se abstrae y refugia en el entretenimiento enajenante que proporciona un mundo feliz virtual, como sustituto a la difícil realidad que cotidianamente tiene que afrontar.</w:t>
      </w:r>
    </w:p>
    <w:p>
      <w:pPr>
        <w:pStyle w:val="BodyText"/>
        <w:spacing w:line="360" w:lineRule="auto" w:before="2"/>
        <w:ind w:left="264" w:right="217" w:firstLine="336"/>
        <w:jc w:val="both"/>
      </w:pPr>
      <w:r>
        <w:rPr/>
        <w:t>La premisa de esta sociedad se fundamenta en la productividad, y ante ello lo que no es eficaz es desechable, inclusive los hombres. Esta idea deteriora los principios humanistas de hacer lo que es bueno para la sociedad, de proveer lo que es necesario para el crecimiento de hombres y mujeres, para su bienestar y, bajo el principio de un desarrollo humano que alcance la satisfacción del espíritu.</w:t>
      </w:r>
    </w:p>
    <w:p>
      <w:pPr>
        <w:pStyle w:val="BodyText"/>
        <w:spacing w:line="357" w:lineRule="auto" w:before="6"/>
        <w:ind w:left="264" w:right="216" w:firstLine="336"/>
        <w:jc w:val="both"/>
      </w:pPr>
      <w:r>
        <w:rPr/>
        <w:t>Ahora bien ¿Cómo es posible alcanzar una sociedad diferente, participativa y solidaria,  formada  en  principios  de  apoyo  mutuo,  colaboración  y    confianza?</w:t>
      </w:r>
    </w:p>
    <w:p>
      <w:pPr>
        <w:pStyle w:val="BodyText"/>
        <w:spacing w:line="360" w:lineRule="auto" w:before="8"/>
        <w:ind w:left="264" w:right="214"/>
        <w:jc w:val="both"/>
      </w:pPr>
      <w:r>
        <w:rPr/>
        <w:t>¿Cómo obtener ese mundo posible en el que la esperanza y el amor sean los principio y no la productividad y el dinero? ¿Cómo superar el poder de la programación televisiva que enajena, mediatiza y paraliza las mentes creativas de los seres humanos, debilitando su capacidad de respuesta para ser solidario y su disposición para evitar el dolor y la injusticia?</w:t>
      </w:r>
    </w:p>
    <w:p>
      <w:pPr>
        <w:pStyle w:val="BodyText"/>
        <w:spacing w:line="355" w:lineRule="auto" w:before="2"/>
        <w:ind w:left="264" w:right="215" w:firstLine="336"/>
        <w:jc w:val="both"/>
      </w:pPr>
      <w:r>
        <w:rPr/>
        <w:t>Es vital, para vislumbrar ese mundo diferente considerar lo que afirma Bauman “&lt;&lt;Si quieres paz, preocúpate por la justicia&gt;&gt;, aseveraba la sabiduría antigua, </w:t>
      </w:r>
      <w:r>
        <w:rPr>
          <w:spacing w:val="-3"/>
        </w:rPr>
        <w:t>y, </w:t>
      </w:r>
      <w:r>
        <w:rPr/>
        <w:t>a diferencia del conocimiento, la sabiduría no envejece. Hoy, igual que hace dos mil años, la ausencia de justicia obstruye el camino hacia la paz.”</w:t>
      </w:r>
      <w:r>
        <w:rPr>
          <w:position w:val="11"/>
          <w:sz w:val="16"/>
        </w:rPr>
        <w:t>358 </w:t>
      </w:r>
      <w:r>
        <w:rPr/>
        <w:t>Sólo que  ahora las proporciones de la injusticia, la inequidad y la pobreza han cobrado dimensiones  enormes,  tan  grandes  como  el  planeta  tierra.  De  ahí  que     </w:t>
      </w:r>
      <w:r>
        <w:rPr>
          <w:spacing w:val="43"/>
        </w:rPr>
        <w:t> </w:t>
      </w:r>
      <w:r>
        <w:rPr/>
        <w:t>es</w:t>
      </w:r>
    </w:p>
    <w:p>
      <w:pPr>
        <w:pStyle w:val="BodyText"/>
        <w:spacing w:line="360" w:lineRule="auto" w:before="7"/>
        <w:ind w:left="264" w:right="219"/>
        <w:jc w:val="both"/>
      </w:pPr>
      <w:r>
        <w:rPr/>
        <w:t>necesario tomar medidas que fortalezcan la capacidad de los seres humanos para actuar ante lo indecible, ante lo oprobioso y ante la inhumanidad de muchos habitantes de esta civilización. Siguiendo con Bauman, en su obra </w:t>
      </w:r>
      <w:r>
        <w:rPr>
          <w:i/>
        </w:rPr>
        <w:t>Tiempos </w:t>
      </w:r>
      <w:r>
        <w:rPr>
          <w:i/>
        </w:rPr>
        <w:t>líquidos </w:t>
      </w:r>
      <w:r>
        <w:rPr/>
        <w:t>asevera:</w:t>
      </w:r>
    </w:p>
    <w:p>
      <w:pPr>
        <w:pStyle w:val="BodyText"/>
        <w:spacing w:before="5"/>
        <w:rPr>
          <w:sz w:val="33"/>
        </w:rPr>
      </w:pPr>
    </w:p>
    <w:p>
      <w:pPr>
        <w:spacing w:line="240" w:lineRule="auto" w:before="1"/>
        <w:ind w:left="973" w:right="218" w:firstLine="0"/>
        <w:jc w:val="both"/>
        <w:rPr>
          <w:sz w:val="22"/>
        </w:rPr>
      </w:pPr>
      <w:r>
        <w:rPr>
          <w:sz w:val="22"/>
        </w:rPr>
        <w:t>El sufrimiento humano de lugares lejanos y modos de vida remotos, así como el despilfarro de otros lugares y modos de vida también remotos, entran en nuestras casas a través de las imágenes electrónicas de una manera vívida y atroz, de</w:t>
      </w:r>
    </w:p>
    <w:p>
      <w:pPr>
        <w:pStyle w:val="BodyText"/>
        <w:spacing w:before="4"/>
        <w:rPr>
          <w:sz w:val="28"/>
        </w:rPr>
      </w:pPr>
      <w:r>
        <w:rPr/>
        <w:pict>
          <v:line style="position:absolute;mso-position-horizontal-relative:page;mso-position-vertical-relative:paragraph;z-index:10000;mso-wrap-distance-left:0;mso-wrap-distance-right:0" from="99.224998pt,18.568924pt" to="243.274998pt,18.568924pt" stroked="true" strokeweight=".60004pt" strokecolor="#000000">
            <w10:wrap type="topAndBottom"/>
          </v:line>
        </w:pict>
      </w:r>
    </w:p>
    <w:p>
      <w:pPr>
        <w:spacing w:before="48"/>
        <w:ind w:left="264" w:right="0" w:firstLine="0"/>
        <w:jc w:val="left"/>
        <w:rPr>
          <w:rFonts w:ascii="Calibri" w:hAnsi="Calibri"/>
          <w:sz w:val="18"/>
        </w:rPr>
      </w:pPr>
      <w:r>
        <w:rPr>
          <w:position w:val="9"/>
          <w:sz w:val="12"/>
        </w:rPr>
        <w:t>358   </w:t>
      </w:r>
      <w:r>
        <w:rPr>
          <w:rFonts w:ascii="Calibri" w:hAnsi="Calibri"/>
          <w:sz w:val="18"/>
        </w:rPr>
        <w:t>BAUMAN, Zygmunt, </w:t>
      </w:r>
      <w:r>
        <w:rPr>
          <w:rFonts w:ascii="Calibri" w:hAnsi="Calibri"/>
          <w:i/>
          <w:sz w:val="18"/>
        </w:rPr>
        <w:t>Tiempos Líquidos</w:t>
      </w:r>
      <w:r>
        <w:rPr>
          <w:rFonts w:ascii="Calibri" w:hAnsi="Calibri"/>
          <w:sz w:val="18"/>
        </w:rPr>
        <w:t>, p. 13.</w:t>
      </w:r>
    </w:p>
    <w:p>
      <w:pPr>
        <w:spacing w:after="0"/>
        <w:jc w:val="left"/>
        <w:rPr>
          <w:rFonts w:ascii="Calibri" w:hAnsi="Calibri"/>
          <w:sz w:val="18"/>
        </w:rPr>
        <w:sectPr>
          <w:footerReference w:type="default" r:id="rId139"/>
          <w:pgSz w:w="12240" w:h="15840"/>
          <w:pgMar w:footer="876" w:header="0" w:top="520" w:bottom="1060" w:left="1720" w:right="1200"/>
          <w:pgNumType w:start="198"/>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07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1"/>
        <w:rPr>
          <w:rFonts w:ascii="Cambria"/>
          <w:sz w:val="18"/>
        </w:rPr>
      </w:pPr>
    </w:p>
    <w:p>
      <w:pPr>
        <w:spacing w:line="228" w:lineRule="auto" w:before="82"/>
        <w:ind w:left="1393" w:right="119" w:firstLine="0"/>
        <w:jc w:val="both"/>
        <w:rPr>
          <w:sz w:val="14"/>
        </w:rPr>
      </w:pPr>
      <w:r>
        <w:rPr>
          <w:sz w:val="22"/>
        </w:rPr>
        <w:t>forma tan vergonzosa o humillante como la miseria y la ostentación de los seres humanos que encontramos cerca de casa durante nuestros paseos cotidianos por las calles de la ciudad. </w:t>
      </w:r>
      <w:r>
        <w:rPr>
          <w:position w:val="10"/>
          <w:sz w:val="14"/>
        </w:rPr>
        <w:t>359</w:t>
      </w:r>
    </w:p>
    <w:p>
      <w:pPr>
        <w:pStyle w:val="BodyText"/>
        <w:spacing w:before="7"/>
        <w:rPr>
          <w:sz w:val="33"/>
        </w:rPr>
      </w:pPr>
    </w:p>
    <w:p>
      <w:pPr>
        <w:pStyle w:val="BodyText"/>
        <w:spacing w:line="360" w:lineRule="auto"/>
        <w:ind w:left="684" w:right="113" w:firstLine="336"/>
        <w:jc w:val="both"/>
      </w:pPr>
      <w:r>
        <w:rPr/>
        <w:t>Lo </w:t>
      </w:r>
      <w:r>
        <w:rPr>
          <w:spacing w:val="-2"/>
        </w:rPr>
        <w:t>más </w:t>
      </w:r>
      <w:r>
        <w:rPr/>
        <w:t>preocupante de esta situación es que bajo las reglas del capitalismo global, lo que sucede en una nación sea cercano o lejano, o lo que pasa en un barrio o una calle cercana o lejana repercute en la tranquilidad o en la vida de cada sujeto humano. Ante estos hechos irrefutables, la práctica de los valores y  los principios de solidaridad, cooperación y participación social son inminentes para prevenir el deterioro social y el sufrimiento del individuo. Por lo que ante la necesidad de un pensamiento esperanzador: “En los siglos posteriores, el mundo moderno debería ser un mundo optimista; un-mundo-que-tiende-a-la-utopía, un mundo</w:t>
      </w:r>
      <w:r>
        <w:rPr>
          <w:spacing w:val="48"/>
        </w:rPr>
        <w:t> </w:t>
      </w:r>
      <w:r>
        <w:rPr/>
        <w:t>convencido</w:t>
      </w:r>
      <w:r>
        <w:rPr>
          <w:spacing w:val="48"/>
        </w:rPr>
        <w:t> </w:t>
      </w:r>
      <w:r>
        <w:rPr/>
        <w:t>de</w:t>
      </w:r>
      <w:r>
        <w:rPr>
          <w:spacing w:val="48"/>
        </w:rPr>
        <w:t> </w:t>
      </w:r>
      <w:r>
        <w:rPr/>
        <w:t>que</w:t>
      </w:r>
      <w:r>
        <w:rPr>
          <w:spacing w:val="48"/>
        </w:rPr>
        <w:t> </w:t>
      </w:r>
      <w:r>
        <w:rPr/>
        <w:t>una</w:t>
      </w:r>
      <w:r>
        <w:rPr>
          <w:spacing w:val="48"/>
        </w:rPr>
        <w:t> </w:t>
      </w:r>
      <w:r>
        <w:rPr/>
        <w:t>sociedad</w:t>
      </w:r>
      <w:r>
        <w:rPr>
          <w:spacing w:val="48"/>
        </w:rPr>
        <w:t> </w:t>
      </w:r>
      <w:r>
        <w:rPr/>
        <w:t>sin</w:t>
      </w:r>
      <w:r>
        <w:rPr>
          <w:spacing w:val="48"/>
        </w:rPr>
        <w:t> </w:t>
      </w:r>
      <w:r>
        <w:rPr/>
        <w:t>utopía</w:t>
      </w:r>
      <w:r>
        <w:rPr>
          <w:spacing w:val="48"/>
        </w:rPr>
        <w:t> </w:t>
      </w:r>
      <w:r>
        <w:rPr/>
        <w:t>no</w:t>
      </w:r>
      <w:r>
        <w:rPr>
          <w:spacing w:val="48"/>
        </w:rPr>
        <w:t> </w:t>
      </w:r>
      <w:r>
        <w:rPr/>
        <w:t>es</w:t>
      </w:r>
      <w:r>
        <w:rPr>
          <w:spacing w:val="50"/>
        </w:rPr>
        <w:t> </w:t>
      </w:r>
      <w:r>
        <w:rPr/>
        <w:t>habitable</w:t>
      </w:r>
      <w:r>
        <w:rPr>
          <w:spacing w:val="48"/>
        </w:rPr>
        <w:t> </w:t>
      </w:r>
      <w:r>
        <w:rPr/>
        <w:t>y</w:t>
      </w:r>
      <w:r>
        <w:rPr>
          <w:spacing w:val="46"/>
        </w:rPr>
        <w:t> </w:t>
      </w:r>
      <w:r>
        <w:rPr/>
        <w:t>que,</w:t>
      </w:r>
      <w:r>
        <w:rPr>
          <w:spacing w:val="51"/>
        </w:rPr>
        <w:t> </w:t>
      </w:r>
      <w:r>
        <w:rPr/>
        <w:t>en</w:t>
      </w:r>
    </w:p>
    <w:p>
      <w:pPr>
        <w:pStyle w:val="BodyText"/>
        <w:spacing w:line="282" w:lineRule="exact"/>
        <w:ind w:left="684"/>
        <w:jc w:val="both"/>
        <w:rPr>
          <w:sz w:val="16"/>
        </w:rPr>
      </w:pPr>
      <w:r>
        <w:rPr/>
        <w:t>consecuencia, una vida sin utopía no es digna de ser vivida.”</w:t>
      </w:r>
      <w:r>
        <w:rPr>
          <w:position w:val="11"/>
          <w:sz w:val="16"/>
        </w:rPr>
        <w:t>360</w:t>
      </w:r>
    </w:p>
    <w:p>
      <w:pPr>
        <w:pStyle w:val="BodyText"/>
        <w:spacing w:line="360" w:lineRule="auto" w:before="136"/>
        <w:ind w:left="684" w:right="114" w:firstLine="336"/>
        <w:jc w:val="both"/>
      </w:pPr>
      <w:r>
        <w:rPr/>
        <w:t>Una utopía que los hombres día con día construyen, pero que en ese proceso de creación y construcción desaparece para dar vida a nuevas utopías. Y en este caso la utopía de la libertad que se construye como fundamento del desarrollo humano. En ese sentido para Chomsky el hombre es libre, sí es capaz de actuar para lograr sus metas, objetivos que son </w:t>
      </w:r>
      <w:r>
        <w:rPr>
          <w:spacing w:val="-2"/>
        </w:rPr>
        <w:t>más </w:t>
      </w:r>
      <w:r>
        <w:rPr/>
        <w:t>fáciles de obtener en cuanto existe la</w:t>
      </w:r>
      <w:r>
        <w:rPr>
          <w:spacing w:val="20"/>
        </w:rPr>
        <w:t> </w:t>
      </w:r>
      <w:r>
        <w:rPr/>
        <w:t>organización</w:t>
      </w:r>
      <w:r>
        <w:rPr>
          <w:spacing w:val="24"/>
        </w:rPr>
        <w:t> </w:t>
      </w:r>
      <w:r>
        <w:rPr/>
        <w:t>y</w:t>
      </w:r>
      <w:r>
        <w:rPr>
          <w:spacing w:val="17"/>
        </w:rPr>
        <w:t> </w:t>
      </w:r>
      <w:r>
        <w:rPr/>
        <w:t>la</w:t>
      </w:r>
      <w:r>
        <w:rPr>
          <w:spacing w:val="24"/>
        </w:rPr>
        <w:t> </w:t>
      </w:r>
      <w:r>
        <w:rPr/>
        <w:t>participación</w:t>
      </w:r>
      <w:r>
        <w:rPr>
          <w:spacing w:val="24"/>
        </w:rPr>
        <w:t> </w:t>
      </w:r>
      <w:r>
        <w:rPr/>
        <w:t>de</w:t>
      </w:r>
      <w:r>
        <w:rPr>
          <w:spacing w:val="20"/>
        </w:rPr>
        <w:t> </w:t>
      </w:r>
      <w:r>
        <w:rPr/>
        <w:t>todos</w:t>
      </w:r>
      <w:r>
        <w:rPr>
          <w:spacing w:val="22"/>
        </w:rPr>
        <w:t> </w:t>
      </w:r>
      <w:r>
        <w:rPr/>
        <w:t>los</w:t>
      </w:r>
      <w:r>
        <w:rPr>
          <w:spacing w:val="22"/>
        </w:rPr>
        <w:t> </w:t>
      </w:r>
      <w:r>
        <w:rPr/>
        <w:t>ciudadanos,</w:t>
      </w:r>
      <w:r>
        <w:rPr>
          <w:spacing w:val="22"/>
        </w:rPr>
        <w:t> </w:t>
      </w:r>
      <w:r>
        <w:rPr/>
        <w:t>y</w:t>
      </w:r>
      <w:r>
        <w:rPr>
          <w:spacing w:val="17"/>
        </w:rPr>
        <w:t> </w:t>
      </w:r>
      <w:r>
        <w:rPr/>
        <w:t>ante</w:t>
      </w:r>
      <w:r>
        <w:rPr>
          <w:spacing w:val="20"/>
        </w:rPr>
        <w:t> </w:t>
      </w:r>
      <w:r>
        <w:rPr/>
        <w:t>la</w:t>
      </w:r>
      <w:r>
        <w:rPr>
          <w:spacing w:val="24"/>
        </w:rPr>
        <w:t> </w:t>
      </w:r>
      <w:r>
        <w:rPr/>
        <w:t>pregunta</w:t>
      </w:r>
      <w:r>
        <w:rPr>
          <w:spacing w:val="20"/>
        </w:rPr>
        <w:t> </w:t>
      </w:r>
      <w:r>
        <w:rPr/>
        <w:t>de</w:t>
      </w:r>
    </w:p>
    <w:p>
      <w:pPr>
        <w:pStyle w:val="BodyText"/>
        <w:spacing w:line="350" w:lineRule="auto" w:before="1"/>
        <w:ind w:left="684" w:right="113"/>
        <w:jc w:val="both"/>
      </w:pPr>
      <w:r>
        <w:rPr/>
        <w:t>¿cómo se logra la participación y organización de los grupos sociales? afirma que es cuestión de decisión y voluntad</w:t>
      </w:r>
      <w:r>
        <w:rPr>
          <w:position w:val="11"/>
          <w:sz w:val="16"/>
        </w:rPr>
        <w:t>361</w:t>
      </w:r>
      <w:r>
        <w:rPr/>
        <w:t>. Opina que: “Se pueden diseñar “juegos”, interacciones, en las que cada participante gana más si trabaja con los demás, pero sólo es posible ganar si la otra persona trabaja con uno. Si la otra persona trata de maximizar su propia ganancia, uno pierde.”</w:t>
      </w:r>
      <w:r>
        <w:rPr>
          <w:position w:val="11"/>
          <w:sz w:val="16"/>
        </w:rPr>
        <w:t>362  </w:t>
      </w:r>
      <w:r>
        <w:rPr/>
        <w:t>Por lo tanto la colaboración y la solidaridad son la meta, en función de la tendencia gregaria del ser humano, que vive en sociedad y se constituye en la misma. Para ello, es preciso, como</w:t>
      </w:r>
    </w:p>
    <w:p>
      <w:pPr>
        <w:pStyle w:val="BodyText"/>
        <w:spacing w:line="357" w:lineRule="auto" w:before="16"/>
        <w:ind w:left="684" w:right="115"/>
        <w:jc w:val="both"/>
      </w:pPr>
      <w:r>
        <w:rPr/>
        <w:t>dijera Marcuse, liberar la imaginación para que pueda disponer de todos sus medios de expresión.</w:t>
      </w:r>
    </w:p>
    <w:p>
      <w:pPr>
        <w:pStyle w:val="BodyText"/>
        <w:rPr>
          <w:sz w:val="20"/>
        </w:rPr>
      </w:pPr>
    </w:p>
    <w:p>
      <w:pPr>
        <w:pStyle w:val="BodyText"/>
        <w:spacing w:before="7"/>
        <w:rPr>
          <w:sz w:val="12"/>
        </w:rPr>
      </w:pPr>
      <w:r>
        <w:rPr/>
        <w:pict>
          <v:line style="position:absolute;mso-position-horizontal-relative:page;mso-position-vertical-relative:paragraph;z-index:10048;mso-wrap-distance-left:0;mso-wrap-distance-right:0" from="99.224998pt,9.518922pt" to="243.274998pt,9.518922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359   </w:t>
      </w:r>
      <w:r>
        <w:rPr>
          <w:rFonts w:ascii="Calibri" w:hAnsi="Calibri"/>
          <w:i/>
          <w:sz w:val="18"/>
        </w:rPr>
        <w:t>Ibíd</w:t>
      </w:r>
      <w:r>
        <w:rPr>
          <w:rFonts w:ascii="Calibri" w:hAnsi="Calibri"/>
          <w:sz w:val="18"/>
        </w:rPr>
        <w:t>. pp. 13-14.</w:t>
      </w:r>
    </w:p>
    <w:p>
      <w:pPr>
        <w:spacing w:line="220" w:lineRule="exact" w:before="0"/>
        <w:ind w:left="684" w:right="114" w:firstLine="0"/>
        <w:jc w:val="left"/>
        <w:rPr>
          <w:rFonts w:ascii="Calibri" w:hAnsi="Calibri"/>
          <w:sz w:val="18"/>
        </w:rPr>
      </w:pPr>
      <w:r>
        <w:rPr>
          <w:rFonts w:ascii="Calibri" w:hAnsi="Calibri"/>
          <w:position w:val="9"/>
          <w:sz w:val="12"/>
        </w:rPr>
        <w:t>360   </w:t>
      </w:r>
      <w:r>
        <w:rPr>
          <w:rFonts w:ascii="Calibri" w:hAnsi="Calibri"/>
          <w:i/>
          <w:sz w:val="18"/>
        </w:rPr>
        <w:t>Ibíd</w:t>
      </w:r>
      <w:r>
        <w:rPr>
          <w:rFonts w:ascii="Calibri" w:hAnsi="Calibri"/>
          <w:sz w:val="18"/>
        </w:rPr>
        <w:t>. p. 135.</w:t>
      </w:r>
    </w:p>
    <w:p>
      <w:pPr>
        <w:spacing w:line="220" w:lineRule="exact" w:before="0"/>
        <w:ind w:left="684" w:right="114" w:firstLine="0"/>
        <w:jc w:val="left"/>
        <w:rPr>
          <w:rFonts w:ascii="Calibri" w:hAnsi="Calibri"/>
          <w:sz w:val="18"/>
        </w:rPr>
      </w:pPr>
      <w:r>
        <w:rPr>
          <w:rFonts w:ascii="Calibri" w:hAnsi="Calibri"/>
          <w:position w:val="9"/>
          <w:sz w:val="12"/>
        </w:rPr>
        <w:t>361 </w:t>
      </w:r>
      <w:r>
        <w:rPr>
          <w:rFonts w:ascii="Calibri" w:hAnsi="Calibri"/>
          <w:sz w:val="18"/>
        </w:rPr>
        <w:t>CHOMSKY, Noam, </w:t>
      </w:r>
      <w:r>
        <w:rPr>
          <w:rFonts w:ascii="Calibri" w:hAnsi="Calibri"/>
          <w:i/>
          <w:sz w:val="18"/>
        </w:rPr>
        <w:t>Cómo mantener a raya a la plebe</w:t>
      </w:r>
      <w:r>
        <w:rPr>
          <w:rFonts w:ascii="Calibri" w:hAnsi="Calibri"/>
          <w:sz w:val="18"/>
        </w:rPr>
        <w:t>, p.114.</w:t>
      </w:r>
    </w:p>
    <w:p>
      <w:pPr>
        <w:spacing w:line="236" w:lineRule="exact" w:before="0"/>
        <w:ind w:left="684" w:right="114" w:firstLine="0"/>
        <w:jc w:val="left"/>
        <w:rPr>
          <w:rFonts w:ascii="Calibri" w:hAnsi="Calibri"/>
          <w:sz w:val="18"/>
        </w:rPr>
      </w:pPr>
      <w:r>
        <w:rPr>
          <w:rFonts w:ascii="Calibri" w:hAnsi="Calibri"/>
          <w:position w:val="9"/>
          <w:sz w:val="12"/>
        </w:rPr>
        <w:t>362   </w:t>
      </w:r>
      <w:r>
        <w:rPr>
          <w:rFonts w:ascii="Calibri" w:hAnsi="Calibri"/>
          <w:i/>
          <w:sz w:val="18"/>
        </w:rPr>
        <w:t>Ibíd</w:t>
      </w:r>
      <w:r>
        <w:rPr>
          <w:rFonts w:ascii="Calibri" w:hAnsi="Calibri"/>
          <w:sz w:val="18"/>
        </w:rPr>
        <w:t>. P. 89.</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012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1"/>
        </w:rPr>
      </w:pPr>
    </w:p>
    <w:p>
      <w:pPr>
        <w:pStyle w:val="Heading3"/>
        <w:numPr>
          <w:ilvl w:val="0"/>
          <w:numId w:val="8"/>
        </w:numPr>
        <w:tabs>
          <w:tab w:pos="601" w:val="left" w:leader="none"/>
        </w:tabs>
        <w:spacing w:line="240" w:lineRule="auto" w:before="70" w:after="0"/>
        <w:ind w:left="601" w:right="0" w:hanging="269"/>
        <w:jc w:val="left"/>
        <w:rPr>
          <w:rFonts w:ascii="Arial" w:hAnsi="Arial"/>
        </w:rPr>
      </w:pPr>
      <w:bookmarkStart w:name="_TOC_250006" w:id="18"/>
      <w:r>
        <w:rPr>
          <w:rFonts w:ascii="Arial" w:hAnsi="Arial"/>
        </w:rPr>
        <w:t>Recreación, educación y formación  en los medios</w:t>
      </w:r>
      <w:r>
        <w:rPr>
          <w:rFonts w:ascii="Arial" w:hAnsi="Arial"/>
          <w:spacing w:val="-30"/>
        </w:rPr>
        <w:t> </w:t>
      </w:r>
      <w:bookmarkEnd w:id="18"/>
      <w:r>
        <w:rPr>
          <w:rFonts w:ascii="Arial" w:hAnsi="Arial"/>
        </w:rPr>
        <w:t>masivos</w:t>
      </w:r>
    </w:p>
    <w:p>
      <w:pPr>
        <w:pStyle w:val="BodyText"/>
        <w:rPr>
          <w:b/>
        </w:rPr>
      </w:pPr>
    </w:p>
    <w:p>
      <w:pPr>
        <w:pStyle w:val="BodyText"/>
        <w:spacing w:before="4"/>
        <w:rPr>
          <w:b/>
        </w:rPr>
      </w:pPr>
    </w:p>
    <w:p>
      <w:pPr>
        <w:pStyle w:val="BodyText"/>
        <w:spacing w:line="360" w:lineRule="auto"/>
        <w:ind w:left="264" w:right="215" w:firstLine="336"/>
        <w:jc w:val="both"/>
      </w:pPr>
      <w:r>
        <w:rPr/>
        <w:t>Los grandes problemas de México y de Honduras se ven reflejados a partir de graves fenómenos que se evidencian en la inequidad, la pobreza y la apatía  social, pero sobre todo como se mencionó antes, en el desencanto y la indolencia del individuo, en la falta de integración de los seres humanos como personas. La violencia que encarna la falta de respeto hacia los otros, hacia la deshumanización que se presenta en la capacidad que ha demostrado el habitante del siglo XXI  para hacer daño a los demás ha desencadenado la desesperanza que invade las conciencias. Situación que se agudiza ante las acciones de los Estados que bajo un proceso darwiniano pretenden seleccionar a los mejores y a los </w:t>
      </w:r>
      <w:r>
        <w:rPr>
          <w:spacing w:val="-2"/>
        </w:rPr>
        <w:t>más </w:t>
      </w:r>
      <w:r>
        <w:rPr/>
        <w:t>aptos bajo un sistema de formación en</w:t>
      </w:r>
      <w:r>
        <w:rPr>
          <w:spacing w:val="-22"/>
        </w:rPr>
        <w:t> </w:t>
      </w:r>
      <w:r>
        <w:rPr/>
        <w:t>competencias</w:t>
      </w:r>
    </w:p>
    <w:p>
      <w:pPr>
        <w:pStyle w:val="BodyText"/>
        <w:spacing w:line="360" w:lineRule="auto" w:before="2"/>
        <w:ind w:left="264" w:right="218" w:firstLine="336"/>
        <w:jc w:val="both"/>
      </w:pPr>
      <w:r>
        <w:rPr/>
        <w:t>La coexistencia de la sociedad con la violencia y con el dolor, con la alegría superflua que dan las drogas y con el arte barato que adormece los sentidos, ha logrado de manera exitosa a partir del uso de la televisión, la mediatización de las conciencias. “Según Adorno, la cultura modifica y ayuda a crecer, la </w:t>
      </w:r>
      <w:r>
        <w:rPr>
          <w:i/>
        </w:rPr>
        <w:t>pseudocultura </w:t>
      </w:r>
      <w:r>
        <w:rPr/>
        <w:t>no sólo no modela al individuo civilizado sino que lo convierte en necio: la ignorancia</w:t>
      </w:r>
      <w:r>
        <w:rPr>
          <w:spacing w:val="53"/>
        </w:rPr>
        <w:t> </w:t>
      </w:r>
      <w:r>
        <w:rPr/>
        <w:t>puede</w:t>
      </w:r>
      <w:r>
        <w:rPr>
          <w:spacing w:val="53"/>
        </w:rPr>
        <w:t> </w:t>
      </w:r>
      <w:r>
        <w:rPr/>
        <w:t>ser</w:t>
      </w:r>
      <w:r>
        <w:rPr>
          <w:spacing w:val="53"/>
        </w:rPr>
        <w:t> </w:t>
      </w:r>
      <w:r>
        <w:rPr/>
        <w:t>curada;</w:t>
      </w:r>
      <w:r>
        <w:rPr>
          <w:spacing w:val="54"/>
        </w:rPr>
        <w:t> </w:t>
      </w:r>
      <w:r>
        <w:rPr/>
        <w:t>en</w:t>
      </w:r>
      <w:r>
        <w:rPr>
          <w:spacing w:val="53"/>
        </w:rPr>
        <w:t> </w:t>
      </w:r>
      <w:r>
        <w:rPr/>
        <w:t>cambio,</w:t>
      </w:r>
      <w:r>
        <w:rPr>
          <w:spacing w:val="54"/>
        </w:rPr>
        <w:t> </w:t>
      </w:r>
      <w:r>
        <w:rPr/>
        <w:t>la</w:t>
      </w:r>
      <w:r>
        <w:rPr>
          <w:spacing w:val="53"/>
        </w:rPr>
        <w:t> </w:t>
      </w:r>
      <w:r>
        <w:rPr/>
        <w:t>necedad</w:t>
      </w:r>
      <w:r>
        <w:rPr>
          <w:spacing w:val="53"/>
        </w:rPr>
        <w:t> </w:t>
      </w:r>
      <w:r>
        <w:rPr/>
        <w:t>del</w:t>
      </w:r>
      <w:r>
        <w:rPr>
          <w:spacing w:val="53"/>
        </w:rPr>
        <w:t> </w:t>
      </w:r>
      <w:r>
        <w:rPr/>
        <w:t>que</w:t>
      </w:r>
      <w:r>
        <w:rPr>
          <w:spacing w:val="53"/>
        </w:rPr>
        <w:t> </w:t>
      </w:r>
      <w:r>
        <w:rPr/>
        <w:t>cree</w:t>
      </w:r>
      <w:r>
        <w:rPr>
          <w:spacing w:val="53"/>
        </w:rPr>
        <w:t> </w:t>
      </w:r>
      <w:r>
        <w:rPr/>
        <w:t>saber</w:t>
      </w:r>
      <w:r>
        <w:rPr>
          <w:spacing w:val="53"/>
        </w:rPr>
        <w:t> </w:t>
      </w:r>
      <w:r>
        <w:rPr/>
        <w:t>está</w:t>
      </w:r>
    </w:p>
    <w:p>
      <w:pPr>
        <w:pStyle w:val="BodyText"/>
        <w:spacing w:line="331" w:lineRule="auto" w:before="2"/>
        <w:ind w:left="264" w:right="335"/>
        <w:rPr>
          <w:sz w:val="16"/>
        </w:rPr>
      </w:pPr>
      <w:r>
        <w:rPr/>
        <w:t>garantizada por su propia soberbia (pensaba seguramente en las muchas personas “cultas” que adhirieron al nazismo en su país.)”</w:t>
      </w:r>
      <w:r>
        <w:rPr>
          <w:position w:val="11"/>
          <w:sz w:val="16"/>
        </w:rPr>
        <w:t>363</w:t>
      </w:r>
    </w:p>
    <w:p>
      <w:pPr>
        <w:pStyle w:val="BodyText"/>
        <w:spacing w:line="360" w:lineRule="auto" w:before="20"/>
        <w:ind w:left="264" w:right="215" w:firstLine="271"/>
        <w:jc w:val="both"/>
      </w:pPr>
      <w:r>
        <w:rPr/>
        <w:t>Los hombres y mujeres se han acostumbrado a vivir con la muerte, con el espectáculo bochornoso, que crudamente refleja </w:t>
      </w:r>
      <w:r>
        <w:rPr>
          <w:spacing w:val="-3"/>
        </w:rPr>
        <w:t>más </w:t>
      </w:r>
      <w:r>
        <w:rPr/>
        <w:t>aspectos negativos que los positivos de la sociedad, los niños se educan en el miedo, o en la apatía, en el autoritarismo o en el total relajamiento y la falta de oportunidades; se les ha condicionado y codificado para que actúen según patrones orientados por el ente televisivo, en el sometimiento y en la repetición, en la indiferencia y la evasión de la</w:t>
      </w:r>
      <w:r>
        <w:rPr>
          <w:spacing w:val="-10"/>
        </w:rPr>
        <w:t> </w:t>
      </w:r>
      <w:r>
        <w:rPr/>
        <w:t>realidad.</w:t>
      </w:r>
    </w:p>
    <w:p>
      <w:pPr>
        <w:pStyle w:val="BodyText"/>
        <w:spacing w:line="357" w:lineRule="auto" w:before="6"/>
        <w:ind w:left="264" w:right="218" w:firstLine="336"/>
        <w:jc w:val="both"/>
      </w:pPr>
      <w:r>
        <w:rPr/>
        <w:pict>
          <v:line style="position:absolute;mso-position-horizontal-relative:page;mso-position-vertical-relative:paragraph;z-index:10096;mso-wrap-distance-left:0;mso-wrap-distance-right:0" from="99.224998pt,44.060841pt" to="243.274998pt,44.060841pt" stroked="true" strokeweight=".60004pt" strokecolor="#000000">
            <w10:wrap type="topAndBottom"/>
          </v:line>
        </w:pict>
      </w:r>
      <w:r>
        <w:rPr/>
        <w:t>Y, desde este fenómeno formativo llega al siglo XXI el video-niño y por ende el video-hombre con una predisposición a imitar los contenidos que la  programación</w:t>
      </w:r>
    </w:p>
    <w:p>
      <w:pPr>
        <w:spacing w:before="48"/>
        <w:ind w:left="264" w:right="211" w:firstLine="0"/>
        <w:jc w:val="left"/>
        <w:rPr>
          <w:rFonts w:ascii="Calibri" w:hAnsi="Calibri"/>
          <w:sz w:val="18"/>
        </w:rPr>
      </w:pPr>
      <w:r>
        <w:rPr>
          <w:position w:val="9"/>
          <w:sz w:val="12"/>
        </w:rPr>
        <w:t>363 </w:t>
      </w:r>
      <w:r>
        <w:rPr>
          <w:rFonts w:ascii="Calibri" w:hAnsi="Calibri"/>
          <w:sz w:val="18"/>
        </w:rPr>
        <w:t>ORTOLANO, Mariel</w:t>
      </w:r>
      <w:r>
        <w:rPr>
          <w:rFonts w:ascii="Calibri" w:hAnsi="Calibri"/>
          <w:i/>
          <w:sz w:val="18"/>
        </w:rPr>
        <w:t>, “</w:t>
      </w:r>
      <w:r>
        <w:rPr>
          <w:rFonts w:ascii="Calibri" w:hAnsi="Calibri"/>
          <w:sz w:val="18"/>
        </w:rPr>
        <w:t>Los aportes de la escuela de Frankfurt”, [en línea] consulta 15/04/2012 </w:t>
      </w:r>
      <w:hyperlink r:id="rId141">
        <w:r>
          <w:rPr>
            <w:rFonts w:ascii="Calibri" w:hAnsi="Calibri"/>
            <w:color w:val="0000FF"/>
            <w:sz w:val="18"/>
            <w:u w:val="single" w:color="0000FF"/>
          </w:rPr>
          <w:t>http://cultura.wordpress.com/2012/08/11/los-aportes-de-la-escuela-de-frankfurt/#more-41</w:t>
        </w:r>
        <w:r>
          <w:rPr>
            <w:rFonts w:ascii="Calibri" w:hAnsi="Calibri"/>
            <w:sz w:val="18"/>
          </w:rPr>
          <w:t>.</w:t>
        </w:r>
      </w:hyperlink>
    </w:p>
    <w:p>
      <w:pPr>
        <w:spacing w:after="0"/>
        <w:jc w:val="left"/>
        <w:rPr>
          <w:rFonts w:ascii="Calibri" w:hAnsi="Calibri"/>
          <w:sz w:val="18"/>
        </w:rPr>
        <w:sectPr>
          <w:footerReference w:type="default" r:id="rId140"/>
          <w:pgSz w:w="12240" w:h="15840"/>
          <w:pgMar w:footer="876" w:header="0"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14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5" w:lineRule="auto" w:before="70"/>
        <w:ind w:left="684" w:right="113"/>
        <w:jc w:val="both"/>
        <w:rPr>
          <w:sz w:val="16"/>
        </w:rPr>
      </w:pPr>
      <w:r>
        <w:rPr/>
        <w:t>televisiva le presenta. Es así que la sociedad contemporánea descubre una actitud infantil que demuestra una gran tendencia a la crueldad, el llamado bulling, o acoso entre los escolares fenómeno lamentable que se caracteriza por la marginación y las agresiones verbales o físicas hacia algún integrante del grupo; fenómeno que ha devenido en actos cruentos, en suicidios o movimiento escolar de los agredidos o de los agresores. Es un fenómeno que representa la falta de solidaridad, la falta de respeto y la deshumanización de niños y adolescentes.</w:t>
      </w:r>
      <w:r>
        <w:rPr>
          <w:spacing w:val="-33"/>
        </w:rPr>
        <w:t> </w:t>
      </w:r>
      <w:r>
        <w:rPr>
          <w:position w:val="11"/>
          <w:sz w:val="16"/>
        </w:rPr>
        <w:t>364</w:t>
      </w:r>
    </w:p>
    <w:p>
      <w:pPr>
        <w:pStyle w:val="BodyText"/>
        <w:spacing w:line="355" w:lineRule="auto"/>
        <w:ind w:left="684" w:right="117" w:firstLine="271"/>
        <w:jc w:val="both"/>
      </w:pPr>
      <w:r>
        <w:rPr/>
        <w:t>Este fenómeno social se presenta principalmente en los centros escolares estadounidenses, y se ha difundido en Latinoamérica a través de los programas televisivos. Al respecto John Condry comenta: “Si los niños de hoy son crueles con sus semejantes, como lo sostienen algunos; si desconocen la solidaridad, si se ríen de los débiles y desprecian a quienes tienen necesidad de ayuda, ¿no serán actitudes</w:t>
      </w:r>
      <w:r>
        <w:rPr>
          <w:spacing w:val="29"/>
        </w:rPr>
        <w:t> </w:t>
      </w:r>
      <w:r>
        <w:rPr/>
        <w:t>atribuibles</w:t>
      </w:r>
      <w:r>
        <w:rPr>
          <w:spacing w:val="29"/>
        </w:rPr>
        <w:t> </w:t>
      </w:r>
      <w:r>
        <w:rPr/>
        <w:t>a</w:t>
      </w:r>
      <w:r>
        <w:rPr>
          <w:spacing w:val="27"/>
        </w:rPr>
        <w:t> </w:t>
      </w:r>
      <w:r>
        <w:rPr/>
        <w:t>lo</w:t>
      </w:r>
      <w:r>
        <w:rPr>
          <w:spacing w:val="27"/>
        </w:rPr>
        <w:t> </w:t>
      </w:r>
      <w:r>
        <w:rPr/>
        <w:t>que</w:t>
      </w:r>
      <w:r>
        <w:rPr>
          <w:spacing w:val="27"/>
        </w:rPr>
        <w:t> </w:t>
      </w:r>
      <w:r>
        <w:rPr/>
        <w:t>se</w:t>
      </w:r>
      <w:r>
        <w:rPr>
          <w:spacing w:val="27"/>
        </w:rPr>
        <w:t> </w:t>
      </w:r>
      <w:r>
        <w:rPr/>
        <w:t>ve</w:t>
      </w:r>
      <w:r>
        <w:rPr>
          <w:spacing w:val="27"/>
        </w:rPr>
        <w:t> </w:t>
      </w:r>
      <w:r>
        <w:rPr/>
        <w:t>en</w:t>
      </w:r>
      <w:r>
        <w:rPr>
          <w:spacing w:val="27"/>
        </w:rPr>
        <w:t> </w:t>
      </w:r>
      <w:r>
        <w:rPr/>
        <w:t>la</w:t>
      </w:r>
      <w:r>
        <w:rPr>
          <w:spacing w:val="27"/>
        </w:rPr>
        <w:t> </w:t>
      </w:r>
      <w:r>
        <w:rPr/>
        <w:t>pantalla</w:t>
      </w:r>
      <w:r>
        <w:rPr>
          <w:spacing w:val="27"/>
        </w:rPr>
        <w:t> </w:t>
      </w:r>
      <w:r>
        <w:rPr/>
        <w:t>chica?”</w:t>
      </w:r>
      <w:r>
        <w:rPr>
          <w:spacing w:val="36"/>
        </w:rPr>
        <w:t> </w:t>
      </w:r>
      <w:r>
        <w:rPr>
          <w:position w:val="11"/>
          <w:sz w:val="16"/>
        </w:rPr>
        <w:t>365 </w:t>
      </w:r>
      <w:r>
        <w:rPr>
          <w:spacing w:val="6"/>
          <w:position w:val="11"/>
          <w:sz w:val="16"/>
        </w:rPr>
        <w:t> </w:t>
      </w:r>
      <w:r>
        <w:rPr/>
        <w:t>La</w:t>
      </w:r>
      <w:r>
        <w:rPr>
          <w:spacing w:val="27"/>
        </w:rPr>
        <w:t> </w:t>
      </w:r>
      <w:r>
        <w:rPr/>
        <w:t>respuesta</w:t>
      </w:r>
      <w:r>
        <w:rPr>
          <w:spacing w:val="31"/>
        </w:rPr>
        <w:t> </w:t>
      </w:r>
      <w:r>
        <w:rPr/>
        <w:t>tiene</w:t>
      </w:r>
    </w:p>
    <w:p>
      <w:pPr>
        <w:pStyle w:val="BodyText"/>
        <w:spacing w:line="360" w:lineRule="auto"/>
        <w:ind w:left="684" w:right="114"/>
        <w:jc w:val="both"/>
      </w:pPr>
      <w:r>
        <w:rPr/>
        <w:t>que ver con lo que los niños ven en los medios, cuya función debería estar al servicio de una verdadera comunicación, de una formación acorde con el desarrollo espiritual del hombre, con la posibilidad de la creatividad que se despliega en el arte y sin embargo, se ha distorsionado dejando al descubierto de los niños actos que deterioran su conciencia.</w:t>
      </w:r>
    </w:p>
    <w:p>
      <w:pPr>
        <w:pStyle w:val="BodyText"/>
        <w:spacing w:line="360" w:lineRule="auto" w:before="6"/>
        <w:ind w:left="684" w:right="115" w:firstLine="336"/>
        <w:jc w:val="both"/>
      </w:pPr>
      <w:r>
        <w:rPr/>
        <w:t>Ante este fenómeno la sociedad predispuesta por el mensaje televisivo tiene muy pocas opciones. Su conciencia está llena de lo que la maquinaria socio- económica ha planeado para ellos. Es tal la preocupación que ha despertado este fenómeno, que la Comunidad Europea estableció una reglamentación al respecto:</w:t>
      </w:r>
    </w:p>
    <w:p>
      <w:pPr>
        <w:pStyle w:val="BodyText"/>
        <w:spacing w:before="5"/>
      </w:pPr>
    </w:p>
    <w:p>
      <w:pPr>
        <w:spacing w:line="240" w:lineRule="auto" w:before="0"/>
        <w:ind w:left="1393" w:right="115" w:firstLine="0"/>
        <w:jc w:val="both"/>
        <w:rPr>
          <w:sz w:val="22"/>
        </w:rPr>
      </w:pPr>
      <w:r>
        <w:rPr>
          <w:sz w:val="22"/>
        </w:rPr>
        <w:t>Tutela de los menores. Artículo 22: Por </w:t>
      </w:r>
      <w:r>
        <w:rPr>
          <w:spacing w:val="-3"/>
          <w:sz w:val="22"/>
        </w:rPr>
        <w:t>lo </w:t>
      </w:r>
      <w:r>
        <w:rPr>
          <w:sz w:val="22"/>
        </w:rPr>
        <w:t>que se refiere a las emisiones televisiva sujetas a su jurisdicción, los estados miembros adoptarán las medidas apropiadas para garantizar que sus transmisiones no contengan programas que puedan dañar gravemente el desarrollo físico, mental y moral de los menores de edad, en particular programas que contengan escenas pornográficas o de violencia gratuita. Esta disposición se aplicará también a los otros programas que, aún no perteneciendo a </w:t>
      </w:r>
      <w:r>
        <w:rPr>
          <w:spacing w:val="-3"/>
          <w:sz w:val="22"/>
        </w:rPr>
        <w:t>la </w:t>
      </w:r>
      <w:r>
        <w:rPr>
          <w:sz w:val="22"/>
        </w:rPr>
        <w:t>categoría precedente, puedan dañar el desarrollo físico, mental o moral de los menores de edad, a menos que </w:t>
      </w:r>
      <w:r>
        <w:rPr>
          <w:spacing w:val="-3"/>
          <w:sz w:val="22"/>
        </w:rPr>
        <w:t>la </w:t>
      </w:r>
      <w:r>
        <w:rPr>
          <w:sz w:val="22"/>
        </w:rPr>
        <w:t>elección de </w:t>
      </w:r>
      <w:r>
        <w:rPr>
          <w:spacing w:val="-3"/>
          <w:sz w:val="22"/>
        </w:rPr>
        <w:t>la </w:t>
      </w:r>
      <w:r>
        <w:rPr>
          <w:sz w:val="22"/>
        </w:rPr>
        <w:t>hora de  transmisión o cualquier otra precaución técnica excluyan que los menores de edad que se encuentren en el área de difusión normalmente sigan tales</w:t>
      </w:r>
      <w:r>
        <w:rPr>
          <w:spacing w:val="-39"/>
          <w:sz w:val="22"/>
        </w:rPr>
        <w:t> </w:t>
      </w:r>
      <w:r>
        <w:rPr>
          <w:sz w:val="22"/>
        </w:rPr>
        <w:t>programas.</w:t>
      </w:r>
    </w:p>
    <w:p>
      <w:pPr>
        <w:pStyle w:val="BodyText"/>
        <w:rPr>
          <w:sz w:val="20"/>
        </w:rPr>
      </w:pPr>
    </w:p>
    <w:p>
      <w:pPr>
        <w:pStyle w:val="BodyText"/>
        <w:rPr>
          <w:sz w:val="20"/>
        </w:rPr>
      </w:pPr>
    </w:p>
    <w:p>
      <w:pPr>
        <w:pStyle w:val="BodyText"/>
        <w:rPr>
          <w:sz w:val="16"/>
        </w:rPr>
      </w:pPr>
    </w:p>
    <w:p>
      <w:pPr>
        <w:spacing w:line="235" w:lineRule="exact" w:before="87"/>
        <w:ind w:left="684" w:right="114" w:firstLine="0"/>
        <w:jc w:val="left"/>
        <w:rPr>
          <w:rFonts w:ascii="Calibri" w:hAnsi="Calibri"/>
          <w:i/>
          <w:sz w:val="18"/>
        </w:rPr>
      </w:pPr>
      <w:r>
        <w:rPr>
          <w:position w:val="9"/>
          <w:sz w:val="12"/>
        </w:rPr>
        <w:t>364 </w:t>
      </w:r>
      <w:r>
        <w:rPr>
          <w:rFonts w:ascii="Calibri" w:hAnsi="Calibri"/>
          <w:sz w:val="18"/>
        </w:rPr>
        <w:t>Véase a John Condry, “Ladrona de tiempo, criada infiel, en Popper, Condry, </w:t>
      </w:r>
      <w:r>
        <w:rPr>
          <w:rFonts w:ascii="Calibri" w:hAnsi="Calibri"/>
          <w:i/>
          <w:sz w:val="18"/>
        </w:rPr>
        <w:t>et. al</w:t>
      </w:r>
      <w:r>
        <w:rPr>
          <w:rFonts w:ascii="Calibri" w:hAnsi="Calibri"/>
          <w:sz w:val="18"/>
        </w:rPr>
        <w:t>. </w:t>
      </w:r>
      <w:r>
        <w:rPr>
          <w:rFonts w:ascii="Calibri" w:hAnsi="Calibri"/>
          <w:i/>
          <w:sz w:val="18"/>
        </w:rPr>
        <w:t>Óp. Cit.</w:t>
      </w:r>
    </w:p>
    <w:p>
      <w:pPr>
        <w:spacing w:line="235" w:lineRule="exact" w:before="0"/>
        <w:ind w:left="684" w:right="114" w:firstLine="0"/>
        <w:jc w:val="left"/>
        <w:rPr>
          <w:rFonts w:ascii="Calibri"/>
          <w:sz w:val="18"/>
        </w:rPr>
      </w:pPr>
      <w:r>
        <w:rPr>
          <w:position w:val="9"/>
          <w:sz w:val="12"/>
        </w:rPr>
        <w:t>365  </w:t>
      </w:r>
      <w:r>
        <w:rPr>
          <w:rFonts w:ascii="Calibri"/>
          <w:sz w:val="18"/>
        </w:rPr>
        <w:t>POPPER, CONDRY, </w:t>
      </w:r>
      <w:r>
        <w:rPr>
          <w:rFonts w:ascii="Calibri"/>
          <w:i/>
          <w:sz w:val="18"/>
        </w:rPr>
        <w:t>et al.  Op. Cit. p</w:t>
      </w:r>
      <w:r>
        <w:rPr>
          <w:rFonts w:ascii="Calibri"/>
          <w:sz w:val="18"/>
        </w:rPr>
        <w:t>. 72.</w:t>
      </w:r>
    </w:p>
    <w:p>
      <w:pPr>
        <w:spacing w:after="0" w:line="235" w:lineRule="exact"/>
        <w:jc w:val="left"/>
        <w:rPr>
          <w:rFonts w:ascii="Calibri"/>
          <w:sz w:val="18"/>
        </w:rPr>
        <w:sectPr>
          <w:footerReference w:type="default" r:id="rId142"/>
          <w:pgSz w:w="12240" w:h="15840"/>
          <w:pgMar w:footer="876" w:header="0" w:top="520" w:bottom="1060" w:left="1300" w:right="1300"/>
        </w:sectPr>
      </w:pPr>
    </w:p>
    <w:p>
      <w:pPr>
        <w:pStyle w:val="Heading3"/>
      </w:pPr>
      <w:r>
        <w:rPr/>
        <w:pict>
          <v:line style="position:absolute;mso-position-horizontal-relative:page;mso-position-vertical-relative:paragraph;z-index:1019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228" w:lineRule="auto" w:before="83"/>
        <w:ind w:left="973" w:right="218" w:firstLine="300"/>
        <w:jc w:val="both"/>
        <w:rPr>
          <w:sz w:val="14"/>
        </w:rPr>
      </w:pPr>
      <w:r>
        <w:rPr>
          <w:sz w:val="22"/>
        </w:rPr>
        <w:t>Los estados miembros vigilarán también que las transmisiones no contengan alguna incitación al odio basado en diferencias de raza, sexo, religión o nacionalidad.</w:t>
      </w:r>
      <w:r>
        <w:rPr>
          <w:position w:val="10"/>
          <w:sz w:val="14"/>
        </w:rPr>
        <w:t>366</w:t>
      </w:r>
    </w:p>
    <w:p>
      <w:pPr>
        <w:pStyle w:val="BodyText"/>
        <w:spacing w:before="5"/>
        <w:rPr>
          <w:sz w:val="36"/>
        </w:rPr>
      </w:pPr>
    </w:p>
    <w:p>
      <w:pPr>
        <w:pStyle w:val="BodyText"/>
        <w:spacing w:line="360" w:lineRule="auto"/>
        <w:ind w:left="264" w:right="213" w:firstLine="271"/>
        <w:jc w:val="both"/>
      </w:pPr>
      <w:r>
        <w:rPr/>
        <w:t>Esta normatividad es de gran importancia para la reglamentación del uso de  uno de los medios, que cómo se ha comentado aquí ha sido determinante en la conformación de la sociedad y del mundo actual, dado su nivel de influencia.</w:t>
      </w:r>
      <w:r>
        <w:rPr>
          <w:spacing w:val="14"/>
        </w:rPr>
        <w:t> </w:t>
      </w:r>
      <w:r>
        <w:rPr/>
        <w:t>Karol</w:t>
      </w:r>
    </w:p>
    <w:p>
      <w:pPr>
        <w:pStyle w:val="BodyText"/>
        <w:spacing w:line="350" w:lineRule="auto" w:before="6"/>
        <w:ind w:left="264" w:right="216"/>
        <w:jc w:val="both"/>
      </w:pPr>
      <w:r>
        <w:rPr/>
        <w:t>Wojtyla asegura que, cómo se ha mencionado, a la T. V. se le asignó el papel de “niñera electrónica”</w:t>
      </w:r>
      <w:r>
        <w:rPr>
          <w:position w:val="11"/>
          <w:sz w:val="16"/>
        </w:rPr>
        <w:t>367 </w:t>
      </w:r>
      <w:r>
        <w:rPr/>
        <w:t>por lo que es necesario reconsiderar que, sí en la programación de este medio masivo de información se incluyen contenidos relacionados con la debilidad humana, así como sus efectos en los individuos,</w:t>
      </w:r>
    </w:p>
    <w:p>
      <w:pPr>
        <w:pStyle w:val="BodyText"/>
        <w:spacing w:line="350" w:lineRule="auto" w:before="16"/>
        <w:ind w:left="264" w:right="217"/>
        <w:jc w:val="both"/>
      </w:pPr>
      <w:r>
        <w:rPr/>
        <w:t>además de ilustrar las debilidades de las instituciones sociales, de los Estados y la religión y por su capacidad de infiltrarse en las conciencias de niños y adolescentes estos temas deben ser tratados “sin sensacionalismo con sincera solicitud para el bien de la sociedad y escrupuloso respeto a la verdad.”</w:t>
      </w:r>
      <w:r>
        <w:rPr>
          <w:position w:val="11"/>
          <w:sz w:val="16"/>
        </w:rPr>
        <w:t>368    </w:t>
      </w:r>
      <w:r>
        <w:rPr>
          <w:spacing w:val="4"/>
          <w:position w:val="11"/>
          <w:sz w:val="16"/>
        </w:rPr>
        <w:t> </w:t>
      </w:r>
      <w:r>
        <w:rPr/>
        <w:t>Afirma</w:t>
      </w:r>
    </w:p>
    <w:p>
      <w:pPr>
        <w:pStyle w:val="BodyText"/>
        <w:spacing w:line="357" w:lineRule="auto"/>
        <w:ind w:left="264" w:right="226"/>
        <w:jc w:val="both"/>
      </w:pPr>
      <w:r>
        <w:rPr/>
        <w:t>que esta industria debe desarrollar y aplicar un código ético que incorpore el compromiso de promover valores que mejoren la vida social y familiar.</w:t>
      </w:r>
    </w:p>
    <w:p>
      <w:pPr>
        <w:pStyle w:val="BodyText"/>
        <w:spacing w:line="360" w:lineRule="auto" w:before="8"/>
        <w:ind w:left="264" w:right="213" w:firstLine="336"/>
        <w:jc w:val="both"/>
      </w:pPr>
      <w:r>
        <w:rPr/>
        <w:t>Desde otro enfoque, en relación a los efectos de la coacción de la libertad física del individuo, provocada por la adicción a la televisión por tiempos prolongados, que induce a la inmovilización del mismo, se ha comprobado que ésta impacta también en la formación del cuerpo, ya que aumenta los riesgos de sufrir enfermedades relacionadas con la nutrición y de tipo cardiaco, el factor que las provoca es la inactividad (a la que Fromm llama pasividad) que disminuye la actividad que mejora la salud y fomenta el almacenamiento de grasa corporal.</w:t>
      </w:r>
    </w:p>
    <w:p>
      <w:pPr>
        <w:pStyle w:val="BodyText"/>
      </w:pPr>
    </w:p>
    <w:p>
      <w:pPr>
        <w:spacing w:line="235" w:lineRule="auto" w:before="141"/>
        <w:ind w:left="973" w:right="221" w:firstLine="0"/>
        <w:jc w:val="both"/>
        <w:rPr>
          <w:sz w:val="14"/>
        </w:rPr>
      </w:pPr>
      <w:r>
        <w:rPr>
          <w:sz w:val="22"/>
        </w:rPr>
        <w:t>Por cada dos horas que vemos televisión al día incrementamos al 20% el riesgo de contraer diabetes tipo 2, hipertensión y colesterol alto, una nueva investigación encontró que se puede reducir el riesgo de sufrir muchos problemas de salud disminuyendo el número de horas que pasamos viendo nuestra programación favorita.</w:t>
      </w:r>
      <w:r>
        <w:rPr>
          <w:position w:val="10"/>
          <w:sz w:val="14"/>
        </w:rPr>
        <w:t>369</w:t>
      </w:r>
    </w:p>
    <w:p>
      <w:pPr>
        <w:pStyle w:val="BodyText"/>
        <w:rPr>
          <w:sz w:val="20"/>
        </w:rPr>
      </w:pPr>
    </w:p>
    <w:p>
      <w:pPr>
        <w:pStyle w:val="BodyText"/>
        <w:spacing w:before="1"/>
        <w:rPr>
          <w:sz w:val="16"/>
        </w:rPr>
      </w:pPr>
      <w:r>
        <w:rPr/>
        <w:pict>
          <v:line style="position:absolute;mso-position-horizontal-relative:page;mso-position-vertical-relative:paragraph;z-index:10168;mso-wrap-distance-left:0;mso-wrap-distance-right:0" from="99.224998pt,11.546516pt" to="243.274998pt,11.546516pt" stroked="true" strokeweight=".60004pt" strokecolor="#000000">
            <w10:wrap type="topAndBottom"/>
          </v:line>
        </w:pict>
      </w:r>
    </w:p>
    <w:p>
      <w:pPr>
        <w:spacing w:before="46"/>
        <w:ind w:left="264" w:right="215" w:firstLine="0"/>
        <w:jc w:val="both"/>
        <w:rPr>
          <w:rFonts w:ascii="Calibri" w:hAnsi="Calibri"/>
          <w:sz w:val="18"/>
        </w:rPr>
      </w:pPr>
      <w:r>
        <w:rPr>
          <w:rFonts w:ascii="Calibri" w:hAnsi="Calibri"/>
          <w:position w:val="9"/>
          <w:sz w:val="12"/>
        </w:rPr>
        <w:t>366 </w:t>
      </w:r>
      <w:r>
        <w:rPr>
          <w:rFonts w:ascii="Calibri" w:hAnsi="Calibri"/>
          <w:sz w:val="18"/>
        </w:rPr>
        <w:t>POPPER, Karl R., Condry, Charles </w:t>
      </w:r>
      <w:r>
        <w:rPr>
          <w:rFonts w:ascii="Calibri" w:hAnsi="Calibri"/>
          <w:i/>
          <w:sz w:val="18"/>
        </w:rPr>
        <w:t>et al</w:t>
      </w:r>
      <w:r>
        <w:rPr>
          <w:rFonts w:ascii="Calibri" w:hAnsi="Calibri"/>
          <w:sz w:val="18"/>
        </w:rPr>
        <w:t>. </w:t>
      </w:r>
      <w:r>
        <w:rPr>
          <w:rFonts w:ascii="Calibri" w:hAnsi="Calibri"/>
          <w:i/>
          <w:sz w:val="18"/>
        </w:rPr>
        <w:t>Óp. Cit. </w:t>
      </w:r>
      <w:r>
        <w:rPr>
          <w:rFonts w:ascii="Calibri" w:hAnsi="Calibri"/>
          <w:sz w:val="18"/>
        </w:rPr>
        <w:t>pp. 99-100. Norma de la Directiva de las Comunidades Europeas del 3 de octubre de 1989 relativa a la coordinación de determinadas disposiciones legislativas reglamentaria y administrativas de los estados miembros en torno al ejercicio de las actividades televisivas (89/552/cce).</w:t>
      </w:r>
    </w:p>
    <w:p>
      <w:pPr>
        <w:spacing w:line="204" w:lineRule="exact" w:before="0"/>
        <w:ind w:left="264" w:right="0" w:firstLine="0"/>
        <w:jc w:val="both"/>
        <w:rPr>
          <w:rFonts w:ascii="Calibri" w:hAnsi="Calibri"/>
          <w:sz w:val="18"/>
        </w:rPr>
      </w:pPr>
      <w:r>
        <w:rPr>
          <w:position w:val="9"/>
          <w:sz w:val="12"/>
        </w:rPr>
        <w:t>367 </w:t>
      </w:r>
      <w:r>
        <w:rPr>
          <w:rFonts w:ascii="Calibri" w:hAnsi="Calibri"/>
          <w:sz w:val="18"/>
        </w:rPr>
        <w:t>WOJTYLA, Karol, “La potencia de los medios de información”, en POPPER, KARL R., Condry, </w:t>
      </w:r>
      <w:r>
        <w:rPr>
          <w:rFonts w:ascii="Calibri" w:hAnsi="Calibri"/>
          <w:i/>
          <w:sz w:val="18"/>
        </w:rPr>
        <w:t>et al</w:t>
      </w:r>
      <w:r>
        <w:rPr>
          <w:rFonts w:ascii="Calibri" w:hAnsi="Calibri"/>
          <w:sz w:val="18"/>
        </w:rPr>
        <w:t>.- </w:t>
      </w:r>
      <w:r>
        <w:rPr>
          <w:rFonts w:ascii="Calibri" w:hAnsi="Calibri"/>
          <w:i/>
          <w:sz w:val="18"/>
        </w:rPr>
        <w:t>Óp. Cit., </w:t>
      </w:r>
      <w:r>
        <w:rPr>
          <w:rFonts w:ascii="Calibri" w:hAnsi="Calibri"/>
          <w:sz w:val="18"/>
        </w:rPr>
        <w:t>p. 56.</w:t>
      </w:r>
    </w:p>
    <w:p>
      <w:pPr>
        <w:spacing w:line="220" w:lineRule="exact" w:before="0"/>
        <w:ind w:left="264" w:right="0" w:firstLine="0"/>
        <w:jc w:val="both"/>
        <w:rPr>
          <w:rFonts w:ascii="Calibri" w:hAnsi="Calibri"/>
          <w:sz w:val="18"/>
        </w:rPr>
      </w:pPr>
      <w:r>
        <w:rPr>
          <w:rFonts w:ascii="Calibri" w:hAnsi="Calibri"/>
          <w:position w:val="9"/>
          <w:sz w:val="12"/>
        </w:rPr>
        <w:t>368   </w:t>
      </w:r>
      <w:r>
        <w:rPr>
          <w:rFonts w:ascii="Calibri" w:hAnsi="Calibri"/>
          <w:i/>
          <w:sz w:val="18"/>
        </w:rPr>
        <w:t>Ibíd. </w:t>
      </w:r>
      <w:r>
        <w:rPr>
          <w:rFonts w:ascii="Calibri" w:hAnsi="Calibri"/>
          <w:sz w:val="18"/>
        </w:rPr>
        <w:t>P. 57.</w:t>
      </w:r>
    </w:p>
    <w:p>
      <w:pPr>
        <w:spacing w:line="236" w:lineRule="exact" w:before="0"/>
        <w:ind w:left="264" w:right="0" w:firstLine="0"/>
        <w:jc w:val="both"/>
        <w:rPr>
          <w:rFonts w:ascii="Calibri" w:hAnsi="Calibri"/>
          <w:i/>
          <w:sz w:val="18"/>
        </w:rPr>
      </w:pPr>
      <w:r>
        <w:rPr>
          <w:rFonts w:ascii="Calibri" w:hAnsi="Calibri"/>
          <w:position w:val="9"/>
          <w:sz w:val="12"/>
        </w:rPr>
        <w:t>369  </w:t>
      </w:r>
      <w:r>
        <w:rPr>
          <w:rFonts w:ascii="Calibri" w:hAnsi="Calibri"/>
          <w:i/>
          <w:sz w:val="18"/>
        </w:rPr>
        <w:t>REVISTAS, El Heraldo de Tegucigalpa, Óp. Cit.</w:t>
      </w:r>
    </w:p>
    <w:p>
      <w:pPr>
        <w:spacing w:after="0" w:line="236" w:lineRule="exact"/>
        <w:jc w:val="both"/>
        <w:rPr>
          <w:rFonts w:ascii="Calibri" w:hAnsi="Calibri"/>
          <w:sz w:val="18"/>
        </w:rPr>
        <w:sectPr>
          <w:footerReference w:type="default" r:id="rId143"/>
          <w:pgSz w:w="12240" w:h="15840"/>
          <w:pgMar w:footer="876" w:header="0" w:top="520" w:bottom="1060" w:left="1720" w:right="1200"/>
          <w:pgNumType w:start="202"/>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24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5" w:firstLine="336"/>
        <w:jc w:val="both"/>
      </w:pPr>
      <w:r>
        <w:rPr/>
        <w:t>En México y Honduras para las clases medias y las clases más vulnerables su rutina se constriñe a trabajar, comer, dormir y ver televisión como actividades comunes. En promedio las personas dedican cuatro horas al día para ver televisión, ya que ésta es una de las actividades recreativas más frecuentes con las que cuenta la sociedad en general.</w:t>
      </w:r>
    </w:p>
    <w:p>
      <w:pPr>
        <w:pStyle w:val="BodyText"/>
        <w:spacing w:line="355" w:lineRule="auto" w:before="2"/>
        <w:ind w:left="684" w:right="115" w:firstLine="336"/>
        <w:jc w:val="both"/>
      </w:pPr>
      <w:r>
        <w:rPr/>
        <w:t>Se analizaron datos de estudios realizados entre 1970 y 2011 sobre la asociación entre ver tele y la incidencia de diabetes tipo 2 y enfermedad cardiovascular letal o no letal. Los europeos y los australianos pasan en promedio 40 y 50%</w:t>
      </w:r>
      <w:r>
        <w:rPr>
          <w:position w:val="11"/>
          <w:sz w:val="16"/>
        </w:rPr>
        <w:t>370 </w:t>
      </w:r>
      <w:r>
        <w:rPr/>
        <w:t>de su tiempo libre respectivamente viendo televisión. Estos datos revelan la necesidad de cambiar hábitos que motiven a los individuos para realizar más actividades físicas.</w:t>
      </w:r>
    </w:p>
    <w:p>
      <w:pPr>
        <w:pStyle w:val="BodyText"/>
      </w:pPr>
    </w:p>
    <w:p>
      <w:pPr>
        <w:spacing w:line="235" w:lineRule="auto" w:before="150"/>
        <w:ind w:left="1393" w:right="115" w:firstLine="0"/>
        <w:jc w:val="both"/>
        <w:rPr>
          <w:sz w:val="14"/>
        </w:rPr>
      </w:pPr>
      <w:r>
        <w:rPr>
          <w:sz w:val="22"/>
        </w:rPr>
        <w:t>En realidad, los resultados no son nada sorprendentes”, reconoce el profesor de nutrición Frank Hu… “ya sabemos que </w:t>
      </w:r>
      <w:r>
        <w:rPr>
          <w:spacing w:val="-3"/>
          <w:sz w:val="22"/>
        </w:rPr>
        <w:t>la </w:t>
      </w:r>
      <w:r>
        <w:rPr>
          <w:sz w:val="22"/>
        </w:rPr>
        <w:t>gente que ve mucha televisión es más propensa a llevar una dieta mal sana y a ser obesa. El mensaje es muy sencillo,  los que ven demasiada televisión deben ver menos y realizar más actividades físicas, no sólo se debe promover que aumente </w:t>
      </w:r>
      <w:r>
        <w:rPr>
          <w:spacing w:val="-3"/>
          <w:sz w:val="22"/>
        </w:rPr>
        <w:t>la </w:t>
      </w:r>
      <w:r>
        <w:rPr>
          <w:sz w:val="22"/>
        </w:rPr>
        <w:t>actividad física, sino también que se minimicen determinados comportamientos sedentarios, como ver mucho la televisión.</w:t>
      </w:r>
      <w:r>
        <w:rPr>
          <w:spacing w:val="-6"/>
          <w:sz w:val="22"/>
        </w:rPr>
        <w:t> </w:t>
      </w:r>
      <w:r>
        <w:rPr>
          <w:spacing w:val="-2"/>
          <w:position w:val="10"/>
          <w:sz w:val="14"/>
        </w:rPr>
        <w:t>371</w:t>
      </w:r>
    </w:p>
    <w:p>
      <w:pPr>
        <w:pStyle w:val="BodyText"/>
        <w:spacing w:before="3"/>
        <w:rPr>
          <w:sz w:val="36"/>
        </w:rPr>
      </w:pPr>
    </w:p>
    <w:p>
      <w:pPr>
        <w:pStyle w:val="BodyText"/>
        <w:spacing w:line="360" w:lineRule="auto"/>
        <w:ind w:left="684" w:right="117" w:firstLine="336"/>
        <w:jc w:val="both"/>
      </w:pPr>
      <w:r>
        <w:rPr/>
        <w:t>A largo plazo la televisión está demostrando su influencia determinante en la cultura, en la modificación de costumbres, en los hábitos, estilos de vida, corporalidad y en la forma como el individuo se relaciona a partir de su tiempo libre con el arte y con la recreación. De ahí que en tanto los seres humanos no encuentren diversas fuentes para experimentar placer a partir del arte y del deporte, las falsas expectativas proporcionadas por fuentes externas como las drogas, o las que provienen de los alimentos existirá una sociedad victimizada por la drogadicción o la adicción a la comida no saludable que provoca enfermedad y no salud, muchas de éstas prácticas racionalizadas a partir de la información compartida desde el mensaje que la televisión emite con la finalidad de controlar y</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r>
        <w:rPr/>
        <w:pict>
          <v:line style="position:absolute;mso-position-horizontal-relative:page;mso-position-vertical-relative:paragraph;z-index:10216;mso-wrap-distance-left:0;mso-wrap-distance-right:0" from="99.224998pt,17.682793pt" to="243.274998pt,17.682793pt" stroked="true" strokeweight=".60004pt" strokecolor="#000000">
            <w10:wrap type="topAndBottom"/>
          </v:line>
        </w:pict>
      </w:r>
    </w:p>
    <w:p>
      <w:pPr>
        <w:spacing w:line="235" w:lineRule="exact" w:before="48"/>
        <w:ind w:left="684" w:right="114" w:firstLine="0"/>
        <w:jc w:val="left"/>
        <w:rPr>
          <w:rFonts w:ascii="Calibri" w:hAnsi="Calibri"/>
          <w:sz w:val="18"/>
        </w:rPr>
      </w:pPr>
      <w:r>
        <w:rPr>
          <w:i/>
          <w:position w:val="9"/>
          <w:sz w:val="12"/>
        </w:rPr>
        <w:t>370 </w:t>
      </w:r>
      <w:r>
        <w:rPr>
          <w:rFonts w:ascii="Calibri" w:hAnsi="Calibri"/>
          <w:i/>
          <w:sz w:val="18"/>
        </w:rPr>
        <w:t>Ídem</w:t>
      </w:r>
      <w:r>
        <w:rPr>
          <w:rFonts w:ascii="Calibri" w:hAnsi="Calibri"/>
          <w:sz w:val="18"/>
        </w:rPr>
        <w:t>.</w:t>
      </w:r>
    </w:p>
    <w:p>
      <w:pPr>
        <w:spacing w:line="236" w:lineRule="exact" w:before="0"/>
        <w:ind w:left="684" w:right="114" w:firstLine="0"/>
        <w:jc w:val="left"/>
        <w:rPr>
          <w:rFonts w:ascii="Calibri" w:hAnsi="Calibri"/>
          <w:sz w:val="18"/>
        </w:rPr>
      </w:pPr>
      <w:r>
        <w:rPr>
          <w:rFonts w:ascii="Calibri" w:hAnsi="Calibri"/>
          <w:i/>
          <w:position w:val="9"/>
          <w:sz w:val="12"/>
        </w:rPr>
        <w:t>371  </w:t>
      </w:r>
      <w:r>
        <w:rPr>
          <w:rFonts w:ascii="Calibri" w:hAnsi="Calibri"/>
          <w:i/>
          <w:sz w:val="18"/>
        </w:rPr>
        <w:t>Ídem</w:t>
      </w:r>
      <w:r>
        <w:rPr>
          <w:rFonts w:ascii="Calibri" w:hAnsi="Calibri"/>
          <w:sz w:val="18"/>
        </w:rPr>
        <w:t>.</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028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28" w:lineRule="auto" w:before="70"/>
        <w:ind w:left="264" w:right="210"/>
        <w:rPr>
          <w:sz w:val="16"/>
        </w:rPr>
      </w:pPr>
      <w:r>
        <w:rPr/>
        <w:t>mediatizar a las masas y a los individuos mantenerlos en una pasividad que destruye el espíritu.</w:t>
      </w:r>
      <w:r>
        <w:rPr>
          <w:position w:val="11"/>
          <w:sz w:val="16"/>
        </w:rPr>
        <w:t>372</w:t>
      </w:r>
    </w:p>
    <w:p>
      <w:pPr>
        <w:pStyle w:val="BodyText"/>
        <w:spacing w:line="355" w:lineRule="auto" w:before="27"/>
        <w:ind w:left="264" w:right="213" w:firstLine="336"/>
        <w:jc w:val="both"/>
      </w:pPr>
      <w:r>
        <w:rPr/>
        <w:t>Es necesario que los seres humanos experimenten la necesidad de la práctica del verdadero arte y logren la experiencia estética que permita comprender que arte que no sublima declina en satisfactores que no elevan la calidad humana y en placer estético que no logra su objetivo. Entender asimismo que el deporte funciona como un catalizador de desarrollo físico y neurológico. Por lo tanto, es necesario trabajar en la conformación de un individuo “artista que encuentra el desarrollo pleno en la creación artística”.</w:t>
      </w:r>
      <w:r>
        <w:rPr>
          <w:position w:val="11"/>
          <w:sz w:val="16"/>
        </w:rPr>
        <w:t>373 </w:t>
      </w:r>
      <w:r>
        <w:rPr/>
        <w:t>Y no en la superficialidad del programa televisivo.</w:t>
      </w:r>
    </w:p>
    <w:p>
      <w:pPr>
        <w:pStyle w:val="BodyText"/>
      </w:pPr>
    </w:p>
    <w:p>
      <w:pPr>
        <w:pStyle w:val="Heading3"/>
        <w:numPr>
          <w:ilvl w:val="1"/>
          <w:numId w:val="8"/>
        </w:numPr>
        <w:tabs>
          <w:tab w:pos="909" w:val="left" w:leader="none"/>
        </w:tabs>
        <w:spacing w:line="240" w:lineRule="auto" w:before="143" w:after="0"/>
        <w:ind w:left="909" w:right="0" w:hanging="361"/>
        <w:jc w:val="left"/>
        <w:rPr>
          <w:rFonts w:ascii="Arial" w:hAnsi="Arial"/>
        </w:rPr>
      </w:pPr>
      <w:bookmarkStart w:name="_TOC_250005" w:id="19"/>
      <w:r>
        <w:rPr>
          <w:rFonts w:ascii="Arial" w:hAnsi="Arial"/>
        </w:rPr>
        <w:t>Educación y</w:t>
      </w:r>
      <w:r>
        <w:rPr>
          <w:rFonts w:ascii="Arial" w:hAnsi="Arial"/>
          <w:spacing w:val="-8"/>
        </w:rPr>
        <w:t> </w:t>
      </w:r>
      <w:bookmarkEnd w:id="19"/>
      <w:r>
        <w:rPr>
          <w:rFonts w:ascii="Arial" w:hAnsi="Arial"/>
        </w:rPr>
        <w:t>televisión</w:t>
      </w:r>
    </w:p>
    <w:p>
      <w:pPr>
        <w:pStyle w:val="BodyText"/>
        <w:rPr>
          <w:b/>
        </w:rPr>
      </w:pPr>
    </w:p>
    <w:p>
      <w:pPr>
        <w:pStyle w:val="BodyText"/>
        <w:spacing w:before="4"/>
        <w:rPr>
          <w:b/>
        </w:rPr>
      </w:pPr>
    </w:p>
    <w:p>
      <w:pPr>
        <w:pStyle w:val="BodyText"/>
        <w:spacing w:line="355" w:lineRule="auto"/>
        <w:ind w:left="264" w:right="214" w:firstLine="336"/>
        <w:jc w:val="both"/>
      </w:pPr>
      <w:r>
        <w:rPr/>
        <w:t>Para algunos autores como Giovanni Sartori la forma como aprende el ser humano es determinante para su desarrollo social, cognitivo y moral. Afirma que los hombres del siglo XXI, como producto del aprendizaje adquirido a través de los medios, más que de las instituciones como las escuelas, han sufrido cambios importantes en la forma como construyen su conocimiento, pasando de un hombre con capacidades de abstracción, surgido desde que es </w:t>
      </w:r>
      <w:r>
        <w:rPr>
          <w:i/>
        </w:rPr>
        <w:t>homo sapiens </w:t>
      </w:r>
      <w:r>
        <w:rPr/>
        <w:t>e inclusive las del </w:t>
      </w:r>
      <w:r>
        <w:rPr>
          <w:i/>
        </w:rPr>
        <w:t>homo cogitans </w:t>
      </w:r>
      <w:r>
        <w:rPr/>
        <w:t>(hombre que duda) a las del video-hombre o como él le denomina   </w:t>
      </w:r>
      <w:r>
        <w:rPr>
          <w:i/>
        </w:rPr>
        <w:t>homo-videns.</w:t>
      </w:r>
      <w:r>
        <w:rPr>
          <w:i/>
          <w:position w:val="11"/>
          <w:sz w:val="16"/>
        </w:rPr>
        <w:t>374     </w:t>
      </w:r>
      <w:r>
        <w:rPr/>
        <w:t>Su   preocupación   estriba   en   que   las      nuevas</w:t>
      </w:r>
    </w:p>
    <w:p>
      <w:pPr>
        <w:pStyle w:val="BodyText"/>
        <w:spacing w:line="362" w:lineRule="auto"/>
        <w:ind w:left="264" w:right="210"/>
      </w:pPr>
      <w:r>
        <w:rPr/>
        <w:t>generaciones de niños y adultos expuestos a la televisión han construido una cultura mental que revela una gran pobreza de espíritu y de lenguaje.</w:t>
      </w:r>
    </w:p>
    <w:p>
      <w:pPr>
        <w:pStyle w:val="BodyText"/>
        <w:spacing w:line="362" w:lineRule="auto"/>
        <w:ind w:left="264" w:right="216" w:firstLine="271"/>
        <w:jc w:val="both"/>
      </w:pPr>
      <w:r>
        <w:rPr/>
        <w:t>La juventud de este siglo se ha formado en la cultura rápida, en el </w:t>
      </w:r>
      <w:r>
        <w:rPr>
          <w:i/>
        </w:rPr>
        <w:t>fast track</w:t>
      </w:r>
      <w:r>
        <w:rPr/>
        <w:t>, en la repetición y el entretenimiento televisivo, en la ley del menor esfuerzo, que además en muchos casos se ha constituido en educativo y formativo. Para Sartori esto debe ser motivo de ocupación de los estados en vista de que el niño vive   en</w:t>
      </w:r>
    </w:p>
    <w:p>
      <w:pPr>
        <w:pStyle w:val="BodyText"/>
        <w:rPr>
          <w:sz w:val="20"/>
        </w:rPr>
      </w:pPr>
    </w:p>
    <w:p>
      <w:pPr>
        <w:pStyle w:val="BodyText"/>
        <w:spacing w:before="9"/>
        <w:rPr>
          <w:sz w:val="11"/>
        </w:rPr>
      </w:pPr>
      <w:r>
        <w:rPr/>
        <w:pict>
          <v:line style="position:absolute;mso-position-horizontal-relative:page;mso-position-vertical-relative:paragraph;z-index:10264;mso-wrap-distance-left:0;mso-wrap-distance-right:0" from="99.224998pt,9.0508pt" to="243.274998pt,9.0508pt" stroked="true" strokeweight=".60004pt" strokecolor="#000000">
            <w10:wrap type="topAndBottom"/>
          </v:line>
        </w:pict>
      </w:r>
    </w:p>
    <w:p>
      <w:pPr>
        <w:spacing w:before="48"/>
        <w:ind w:left="264" w:right="335" w:firstLine="0"/>
        <w:jc w:val="left"/>
        <w:rPr>
          <w:rFonts w:ascii="Calibri" w:hAnsi="Calibri"/>
          <w:sz w:val="18"/>
        </w:rPr>
      </w:pPr>
      <w:r>
        <w:rPr>
          <w:position w:val="9"/>
          <w:sz w:val="12"/>
        </w:rPr>
        <w:t>372372 </w:t>
      </w:r>
      <w:r>
        <w:rPr>
          <w:rFonts w:ascii="Calibri" w:hAnsi="Calibri"/>
          <w:sz w:val="18"/>
        </w:rPr>
        <w:t>Véase REBEIL, María Antonieta y Gómez Delia Guadalupe, </w:t>
      </w:r>
      <w:r>
        <w:rPr>
          <w:rFonts w:ascii="Calibri" w:hAnsi="Calibri"/>
          <w:i/>
          <w:sz w:val="18"/>
        </w:rPr>
        <w:t>Ética, Violencia y Televisión</w:t>
      </w:r>
      <w:r>
        <w:rPr>
          <w:rFonts w:ascii="Calibri" w:hAnsi="Calibri"/>
          <w:sz w:val="18"/>
        </w:rPr>
        <w:t>, Trillas, México, 2008, p.  206, Declaración de Granada para la educación en medios de</w:t>
      </w:r>
      <w:r>
        <w:rPr>
          <w:rFonts w:ascii="Calibri" w:hAnsi="Calibri"/>
          <w:spacing w:val="-21"/>
          <w:sz w:val="18"/>
        </w:rPr>
        <w:t> </w:t>
      </w:r>
      <w:r>
        <w:rPr>
          <w:rFonts w:ascii="Calibri" w:hAnsi="Calibri"/>
          <w:sz w:val="18"/>
        </w:rPr>
        <w:t>comunicación.</w:t>
      </w:r>
    </w:p>
    <w:p>
      <w:pPr>
        <w:spacing w:line="220" w:lineRule="exact" w:before="0"/>
        <w:ind w:left="264" w:right="0" w:firstLine="0"/>
        <w:jc w:val="left"/>
        <w:rPr>
          <w:rFonts w:ascii="Calibri" w:hAnsi="Calibri"/>
          <w:sz w:val="18"/>
        </w:rPr>
      </w:pPr>
      <w:r>
        <w:rPr>
          <w:rFonts w:ascii="Calibri" w:hAnsi="Calibri"/>
          <w:position w:val="9"/>
          <w:sz w:val="12"/>
        </w:rPr>
        <w:t>373     </w:t>
      </w:r>
      <w:r>
        <w:rPr>
          <w:rFonts w:ascii="Calibri" w:hAnsi="Calibri"/>
          <w:sz w:val="18"/>
        </w:rPr>
        <w:t>KRAUS, Arnoldo,  “Catarsis  / Sobre el poder  curativo  de la  naturaleza  y del arte, de Andrzej  Szczeklik”,[en    línea]</w:t>
      </w:r>
    </w:p>
    <w:p>
      <w:pPr>
        <w:spacing w:before="0"/>
        <w:ind w:left="264" w:right="215" w:firstLine="0"/>
        <w:jc w:val="left"/>
        <w:rPr>
          <w:rFonts w:ascii="Calibri"/>
          <w:sz w:val="18"/>
        </w:rPr>
      </w:pPr>
      <w:r>
        <w:rPr>
          <w:rFonts w:ascii="Calibri"/>
          <w:sz w:val="18"/>
        </w:rPr>
        <w:t>consulta 05/03/2012, disponible en: </w:t>
      </w:r>
      <w:hyperlink r:id="rId144">
        <w:r>
          <w:rPr>
            <w:rFonts w:ascii="Calibri"/>
            <w:color w:val="0000FF"/>
            <w:sz w:val="18"/>
            <w:u w:val="single" w:color="0000FF"/>
          </w:rPr>
          <w:t>http://www.letraslibres.com/revista/libros/catarsis-sobre-el-poder-curativo-de-la-</w:t>
        </w:r>
      </w:hyperlink>
      <w:r>
        <w:rPr>
          <w:rFonts w:ascii="Calibri"/>
          <w:color w:val="0000FF"/>
          <w:sz w:val="18"/>
          <w:u w:val="single" w:color="0000FF"/>
        </w:rPr>
        <w:t> </w:t>
      </w:r>
      <w:hyperlink r:id="rId144">
        <w:r>
          <w:rPr>
            <w:rFonts w:ascii="Calibri"/>
            <w:color w:val="0000FF"/>
            <w:sz w:val="18"/>
            <w:u w:val="single" w:color="0000FF"/>
          </w:rPr>
          <w:t>naturaleza-y-del-arte-de-andrzej-szczeklik</w:t>
        </w:r>
        <w:r>
          <w:rPr>
            <w:rFonts w:ascii="Calibri"/>
            <w:sz w:val="18"/>
          </w:rPr>
          <w:t>.</w:t>
        </w:r>
      </w:hyperlink>
    </w:p>
    <w:p>
      <w:pPr>
        <w:spacing w:line="220" w:lineRule="exact" w:before="0"/>
        <w:ind w:left="264" w:right="0" w:firstLine="0"/>
        <w:jc w:val="left"/>
        <w:rPr>
          <w:rFonts w:ascii="Calibri" w:hAnsi="Calibri"/>
          <w:sz w:val="18"/>
        </w:rPr>
      </w:pPr>
      <w:r>
        <w:rPr>
          <w:rFonts w:ascii="Calibri" w:hAnsi="Calibri"/>
          <w:position w:val="9"/>
          <w:sz w:val="12"/>
        </w:rPr>
        <w:t>374   </w:t>
      </w:r>
      <w:r>
        <w:rPr>
          <w:rFonts w:ascii="Calibri" w:hAnsi="Calibri"/>
          <w:sz w:val="18"/>
        </w:rPr>
        <w:t>SARTORI, Giovanni, </w:t>
      </w:r>
      <w:r>
        <w:rPr>
          <w:rFonts w:ascii="Calibri" w:hAnsi="Calibri"/>
          <w:i/>
          <w:sz w:val="18"/>
        </w:rPr>
        <w:t>Óp. Cit. </w:t>
      </w:r>
      <w:r>
        <w:rPr>
          <w:rFonts w:ascii="Calibri" w:hAnsi="Calibri"/>
          <w:sz w:val="18"/>
        </w:rPr>
        <w:t>p. 191.</w:t>
      </w:r>
    </w:p>
    <w:p>
      <w:pPr>
        <w:spacing w:after="0" w:line="220"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33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21"/>
        </w:rPr>
      </w:pPr>
    </w:p>
    <w:p>
      <w:pPr>
        <w:pStyle w:val="BodyText"/>
        <w:spacing w:line="360" w:lineRule="auto"/>
        <w:ind w:left="684" w:right="114"/>
        <w:jc w:val="both"/>
      </w:pPr>
      <w:r>
        <w:rPr/>
        <w:t>una “melaza mental”. </w:t>
      </w:r>
      <w:r>
        <w:rPr>
          <w:position w:val="11"/>
          <w:sz w:val="16"/>
        </w:rPr>
        <w:t>375</w:t>
      </w:r>
      <w:r>
        <w:rPr/>
        <w:t>Y afirma además si “esta diferencia de &lt;&lt;cultura mental&gt;&gt; pasa desapercibida a gran parte de los padres, es porque los padres de 1999 son a su vez video-niños que se ven reflejados en sus hijos.” Sartori considera que en esta nueva relación de video- adulto con video-niño los padres </w:t>
      </w:r>
      <w:r>
        <w:rPr>
          <w:spacing w:val="-3"/>
        </w:rPr>
        <w:t>ya </w:t>
      </w:r>
      <w:r>
        <w:rPr/>
        <w:t>no significan  una estructura de</w:t>
      </w:r>
      <w:r>
        <w:rPr>
          <w:spacing w:val="-20"/>
        </w:rPr>
        <w:t> </w:t>
      </w:r>
      <w:r>
        <w:rPr/>
        <w:t>autoridad.</w:t>
      </w:r>
    </w:p>
    <w:p>
      <w:pPr>
        <w:pStyle w:val="BodyText"/>
        <w:spacing w:line="355" w:lineRule="auto" w:before="2"/>
        <w:ind w:left="684" w:right="113" w:firstLine="336"/>
        <w:jc w:val="both"/>
      </w:pPr>
      <w:r>
        <w:rPr/>
        <w:t>Este fenómeno pone en peligro la salud mental de los niños pues Sartori afirma que “las vías para la &lt;&lt;construcción de la identidad&gt;&gt; están en peligro.”</w:t>
      </w:r>
      <w:r>
        <w:rPr>
          <w:position w:val="11"/>
          <w:sz w:val="16"/>
        </w:rPr>
        <w:t>376</w:t>
      </w:r>
      <w:r>
        <w:rPr/>
        <w:t>Este hecho se manifiesta en la edad adulta, en los momentos de conflicto cuando el fracaso y el encuentro con la realidad les doblegan y traumatizan. Las nuevas generaciones están súper excitadas predispuestas al juego, expuestos al denominado hipertexto que busca desarrollar habilidades que se considera el libro no había conseguido.</w:t>
      </w:r>
    </w:p>
    <w:p>
      <w:pPr>
        <w:pStyle w:val="BodyText"/>
        <w:spacing w:line="360" w:lineRule="auto" w:before="11"/>
        <w:ind w:left="684" w:right="117" w:firstLine="336"/>
        <w:jc w:val="both"/>
      </w:pPr>
      <w:r>
        <w:rPr/>
        <w:t>Situación que para Sartori sigue poniendo en peligro la coherencia, la forma de captar la realidad (la verdadera realidad, no una de tipo virtual) de los individuos. Inclusive la propuesta de la creación del hipertexto a través del ordenador que pretende transformar al niño- lector en niño-autor, es un peligro para la formación del individuo por la pérdida de tiempo y la desviación del objetivo principal hacia la navegación sin enfoque.</w:t>
      </w:r>
    </w:p>
    <w:p>
      <w:pPr>
        <w:pStyle w:val="BodyText"/>
        <w:spacing w:line="360" w:lineRule="auto" w:before="6"/>
        <w:ind w:left="684" w:right="119" w:firstLine="336"/>
        <w:jc w:val="both"/>
      </w:pPr>
      <w:r>
        <w:rPr/>
        <w:t>La televisión es uno de los artefactos que por su función sorprende al ser humano desde su aparición (le remonta a los cuentos de hadas donde a través de la magia la bola de cristal del mago en turno, tenía la capacidad de ver a lo lejos), abre el mundo hacia lugares remotos, y transmite vivencias cognitivas que de no existir este medio sería imposible conocer. Empero el uso que se le ha dado le asigna una connotación de medio de control y manipulación.</w:t>
      </w:r>
    </w:p>
    <w:p>
      <w:pPr>
        <w:pStyle w:val="BodyText"/>
        <w:spacing w:line="357" w:lineRule="auto" w:before="6"/>
        <w:ind w:left="684" w:right="114" w:firstLine="271"/>
        <w:jc w:val="both"/>
      </w:pPr>
      <w:r>
        <w:rPr/>
        <w:t>Ha cubierto necesidades del hombre de educación y desarrollo estético, ante el fracaso de otras instituciones que están predestinadas para estos objetivos.</w:t>
      </w:r>
    </w:p>
    <w:p>
      <w:pPr>
        <w:pStyle w:val="BodyText"/>
        <w:spacing w:before="7"/>
        <w:rPr>
          <w:sz w:val="33"/>
        </w:rPr>
      </w:pPr>
    </w:p>
    <w:p>
      <w:pPr>
        <w:spacing w:line="253" w:lineRule="exact" w:before="1"/>
        <w:ind w:left="1393" w:right="0" w:firstLine="0"/>
        <w:jc w:val="both"/>
        <w:rPr>
          <w:sz w:val="22"/>
        </w:rPr>
      </w:pPr>
      <w:r>
        <w:rPr>
          <w:sz w:val="22"/>
        </w:rPr>
        <w:t>Así pues los medios piensan dentro de nosotros y nos orientan a actuar […]  Antes</w:t>
      </w:r>
    </w:p>
    <w:p>
      <w:pPr>
        <w:spacing w:before="0"/>
        <w:ind w:left="1393" w:right="119" w:firstLine="0"/>
        <w:jc w:val="both"/>
        <w:rPr>
          <w:sz w:val="22"/>
        </w:rPr>
      </w:pPr>
      <w:r>
        <w:rPr>
          <w:sz w:val="22"/>
        </w:rPr>
        <w:t>&lt;&lt;la función del saber era la de asegurar la estabilidad del edificio cultural del individuo. Ahora es la de hacer que el individuo sea sensible a toda forma de trasformación&gt;&gt;… ya no es posible &lt;&lt;configurar el saber como un texto o   “cosa”.</w:t>
      </w:r>
    </w:p>
    <w:p>
      <w:pPr>
        <w:pStyle w:val="BodyText"/>
        <w:spacing w:before="4"/>
        <w:rPr>
          <w:sz w:val="12"/>
        </w:rPr>
      </w:pPr>
      <w:r>
        <w:rPr/>
        <w:pict>
          <v:line style="position:absolute;mso-position-horizontal-relative:page;mso-position-vertical-relative:paragraph;z-index:10312;mso-wrap-distance-left:0;mso-wrap-distance-right:0" from="99.224998pt,9.373924pt" to="243.274998pt,9.373924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375   </w:t>
      </w:r>
      <w:r>
        <w:rPr>
          <w:rFonts w:ascii="Calibri" w:hAnsi="Calibri"/>
          <w:i/>
          <w:sz w:val="18"/>
        </w:rPr>
        <w:t>Ibíd</w:t>
      </w:r>
      <w:r>
        <w:rPr>
          <w:rFonts w:ascii="Calibri" w:hAnsi="Calibri"/>
          <w:sz w:val="18"/>
        </w:rPr>
        <w:t>. p. 192.</w:t>
      </w:r>
    </w:p>
    <w:p>
      <w:pPr>
        <w:spacing w:line="236" w:lineRule="exact" w:before="0"/>
        <w:ind w:left="684" w:right="114" w:firstLine="0"/>
        <w:jc w:val="left"/>
        <w:rPr>
          <w:rFonts w:ascii="Calibri" w:hAnsi="Calibri"/>
          <w:i/>
          <w:sz w:val="18"/>
        </w:rPr>
      </w:pPr>
      <w:r>
        <w:rPr>
          <w:rFonts w:ascii="Calibri" w:hAnsi="Calibri"/>
          <w:position w:val="9"/>
          <w:sz w:val="12"/>
        </w:rPr>
        <w:t>376  </w:t>
      </w:r>
      <w:r>
        <w:rPr>
          <w:rFonts w:ascii="Calibri" w:hAnsi="Calibri"/>
          <w:i/>
          <w:sz w:val="18"/>
        </w:rPr>
        <w:t>Ídem.</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038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before="72"/>
        <w:ind w:left="973" w:right="217" w:firstLine="0"/>
        <w:jc w:val="both"/>
        <w:rPr>
          <w:sz w:val="22"/>
        </w:rPr>
      </w:pPr>
      <w:r>
        <w:rPr>
          <w:sz w:val="22"/>
        </w:rPr>
        <w:t>Éste se presenta cada vez menos como una estructura “dada” de elementos fijos y cada vez más como un espacio de ene dimensiones, un conglomerado fluido&gt;&gt;.</w:t>
      </w:r>
    </w:p>
    <w:p>
      <w:pPr>
        <w:spacing w:line="135" w:lineRule="exact" w:before="0"/>
        <w:ind w:left="973" w:right="0" w:firstLine="0"/>
        <w:jc w:val="both"/>
        <w:rPr>
          <w:sz w:val="14"/>
        </w:rPr>
      </w:pPr>
      <w:r>
        <w:rPr>
          <w:sz w:val="14"/>
        </w:rPr>
        <w:t>377</w:t>
      </w:r>
    </w:p>
    <w:p>
      <w:pPr>
        <w:pStyle w:val="BodyText"/>
        <w:rPr>
          <w:sz w:val="14"/>
        </w:rPr>
      </w:pPr>
    </w:p>
    <w:p>
      <w:pPr>
        <w:pStyle w:val="BodyText"/>
        <w:spacing w:before="6"/>
        <w:rPr>
          <w:sz w:val="20"/>
        </w:rPr>
      </w:pPr>
    </w:p>
    <w:p>
      <w:pPr>
        <w:pStyle w:val="BodyText"/>
        <w:spacing w:line="360" w:lineRule="auto"/>
        <w:ind w:left="264" w:right="214" w:firstLine="271"/>
        <w:jc w:val="both"/>
      </w:pPr>
      <w:r>
        <w:rPr/>
        <w:t>Esta nueva episteme es para Sartori una gran preocupación pues el hombre se pierde en la inestabilidad de lo no concreto, de lo no real. Es un mundo de esquizofrenia donde las bases y fundamentos se pierden dejando a un individuo sin sentido ni orientación en este mundo. Ahora bien, considerando que la televisión ha tomado un papel formativo que significa la educación informal de los televidentes, a través de la programación que invade todos los aspectos de la vida de las personas, en las que la instrucción </w:t>
      </w:r>
      <w:r>
        <w:rPr>
          <w:spacing w:val="-2"/>
        </w:rPr>
        <w:t>más </w:t>
      </w:r>
      <w:r>
        <w:rPr/>
        <w:t>que la educación pueden ser eficaces, es necesario aclarar esto, porque a la televisión no se le puede asignar  el papel</w:t>
      </w:r>
      <w:r>
        <w:rPr>
          <w:spacing w:val="-14"/>
        </w:rPr>
        <w:t> </w:t>
      </w:r>
      <w:r>
        <w:rPr/>
        <w:t>educativo.</w:t>
      </w:r>
    </w:p>
    <w:p>
      <w:pPr>
        <w:pStyle w:val="BodyText"/>
        <w:spacing w:line="360" w:lineRule="auto" w:before="2"/>
        <w:ind w:left="264" w:right="214" w:firstLine="271"/>
        <w:jc w:val="both"/>
      </w:pPr>
      <w:r>
        <w:rPr/>
        <w:t>Ya que la educación contiene implicaciones más profundas para la especie, implicaciones que para John Dewey, significan la preservación de la vida. Así los fines de la educación se expresan de acuerdo con Sobrino Ordoñez en un triple sentido: social, individual y trascendental.</w:t>
      </w:r>
    </w:p>
    <w:p>
      <w:pPr>
        <w:pStyle w:val="BodyText"/>
      </w:pPr>
    </w:p>
    <w:p>
      <w:pPr>
        <w:spacing w:line="240" w:lineRule="auto" w:before="0"/>
        <w:ind w:left="973" w:right="216" w:firstLine="0"/>
        <w:jc w:val="both"/>
        <w:rPr>
          <w:sz w:val="22"/>
        </w:rPr>
      </w:pPr>
      <w:r>
        <w:rPr>
          <w:sz w:val="22"/>
        </w:rPr>
        <w:t>En sentido social: Prepara a las nuevas generaciones para recibir, conservar y enriquecer </w:t>
      </w:r>
      <w:r>
        <w:rPr>
          <w:spacing w:val="-3"/>
          <w:sz w:val="22"/>
        </w:rPr>
        <w:t>la </w:t>
      </w:r>
      <w:r>
        <w:rPr>
          <w:sz w:val="22"/>
        </w:rPr>
        <w:t>herencia cultural de </w:t>
      </w:r>
      <w:r>
        <w:rPr>
          <w:spacing w:val="-3"/>
          <w:sz w:val="22"/>
        </w:rPr>
        <w:t>la </w:t>
      </w:r>
      <w:r>
        <w:rPr>
          <w:sz w:val="22"/>
        </w:rPr>
        <w:t>comunidad política. Asimismo, prepara los procesos de subsistencia y organización de los grupos humanos, teniendo  en  vista nuevas exigencias sociales, derivadas del crecimiento demográfico y de los nuevos conocimientos. Y promueve el desenvolvimiento social al proporcionar los beneficios del bien común a los</w:t>
      </w:r>
      <w:r>
        <w:rPr>
          <w:spacing w:val="-19"/>
          <w:sz w:val="22"/>
        </w:rPr>
        <w:t> </w:t>
      </w:r>
      <w:r>
        <w:rPr>
          <w:sz w:val="22"/>
        </w:rPr>
        <w:t>individuos.</w:t>
      </w:r>
    </w:p>
    <w:p>
      <w:pPr>
        <w:spacing w:before="3"/>
        <w:ind w:left="973" w:right="212" w:firstLine="180"/>
        <w:jc w:val="both"/>
        <w:rPr>
          <w:sz w:val="22"/>
        </w:rPr>
      </w:pPr>
      <w:r>
        <w:rPr>
          <w:sz w:val="22"/>
        </w:rPr>
        <w:t>En sentido individual: Proporciona una adecuada atención a cada individuo, según sus posibilidades, de modo que se favorezca el pleno desenvolvimiento de su personalidad. Inculca al individuo sentimientos de grupo, a fin de inducirlo a cooperar con sus semejantes en empresas de bien común.</w:t>
      </w:r>
    </w:p>
    <w:p>
      <w:pPr>
        <w:spacing w:line="228" w:lineRule="auto" w:before="14"/>
        <w:ind w:left="973" w:right="220" w:firstLine="180"/>
        <w:jc w:val="both"/>
        <w:rPr>
          <w:sz w:val="16"/>
        </w:rPr>
      </w:pPr>
      <w:r>
        <w:rPr>
          <w:sz w:val="22"/>
        </w:rPr>
        <w:t>En sentido trascendental: Orienta al individuo hacia </w:t>
      </w:r>
      <w:r>
        <w:rPr>
          <w:spacing w:val="-3"/>
          <w:sz w:val="22"/>
        </w:rPr>
        <w:t>la </w:t>
      </w:r>
      <w:r>
        <w:rPr>
          <w:sz w:val="22"/>
        </w:rPr>
        <w:t>aprehensión del sentido estético y poético de </w:t>
      </w:r>
      <w:r>
        <w:rPr>
          <w:spacing w:val="-3"/>
          <w:sz w:val="22"/>
        </w:rPr>
        <w:t>la </w:t>
      </w:r>
      <w:r>
        <w:rPr>
          <w:sz w:val="22"/>
        </w:rPr>
        <w:t>realidad. Y </w:t>
      </w:r>
      <w:r>
        <w:rPr>
          <w:spacing w:val="-3"/>
          <w:sz w:val="22"/>
        </w:rPr>
        <w:t>lo </w:t>
      </w:r>
      <w:r>
        <w:rPr>
          <w:sz w:val="22"/>
        </w:rPr>
        <w:t>lleva a tomar conciencia y a reflexionar sobre los grandes problemas de </w:t>
      </w:r>
      <w:r>
        <w:rPr>
          <w:spacing w:val="-3"/>
          <w:sz w:val="22"/>
        </w:rPr>
        <w:t>la </w:t>
      </w:r>
      <w:r>
        <w:rPr>
          <w:sz w:val="22"/>
        </w:rPr>
        <w:t>realidad, de </w:t>
      </w:r>
      <w:r>
        <w:rPr>
          <w:spacing w:val="-3"/>
          <w:sz w:val="22"/>
        </w:rPr>
        <w:t>la </w:t>
      </w:r>
      <w:r>
        <w:rPr>
          <w:sz w:val="22"/>
        </w:rPr>
        <w:t>vida y del cosmos a </w:t>
      </w:r>
      <w:r>
        <w:rPr>
          <w:spacing w:val="-3"/>
          <w:sz w:val="22"/>
        </w:rPr>
        <w:t>fin </w:t>
      </w:r>
      <w:r>
        <w:rPr>
          <w:sz w:val="22"/>
        </w:rPr>
        <w:t>de proporcionarle un sentido último. </w:t>
      </w:r>
      <w:r>
        <w:rPr>
          <w:spacing w:val="56"/>
          <w:sz w:val="22"/>
        </w:rPr>
        <w:t> </w:t>
      </w:r>
      <w:r>
        <w:rPr>
          <w:position w:val="11"/>
          <w:sz w:val="16"/>
        </w:rPr>
        <w:t>378</w:t>
      </w:r>
    </w:p>
    <w:p>
      <w:pPr>
        <w:pStyle w:val="BodyText"/>
        <w:spacing w:before="10"/>
      </w:pPr>
    </w:p>
    <w:p>
      <w:pPr>
        <w:pStyle w:val="BodyText"/>
        <w:spacing w:line="360" w:lineRule="auto"/>
        <w:ind w:left="264" w:right="215" w:firstLine="336"/>
        <w:jc w:val="both"/>
      </w:pPr>
      <w:r>
        <w:rPr/>
        <w:pict>
          <v:line style="position:absolute;mso-position-horizontal-relative:page;mso-position-vertical-relative:paragraph;z-index:10360;mso-wrap-distance-left:0;mso-wrap-distance-right:0" from="99.224998pt,85.780846pt" to="243.274998pt,85.780846pt" stroked="true" strokeweight=".60004pt" strokecolor="#000000">
            <w10:wrap type="topAndBottom"/>
          </v:line>
        </w:pict>
      </w:r>
      <w:r>
        <w:rPr/>
        <w:t>Citado en extenso este concepto sobre los fines de la educación nos expresa claramente porque la televisión no puede calificarse como el mejor transmisor de la gran tarea social que es la educación, misma que sólo la familia y las instituciones creadas para ello pueden hacer. No obstante, es   </w:t>
      </w:r>
      <w:r>
        <w:rPr>
          <w:spacing w:val="21"/>
        </w:rPr>
        <w:t> </w:t>
      </w:r>
      <w:r>
        <w:rPr/>
        <w:t>difícil sustraer a la</w:t>
      </w:r>
    </w:p>
    <w:p>
      <w:pPr>
        <w:spacing w:before="46"/>
        <w:ind w:left="264" w:right="0" w:firstLine="0"/>
        <w:jc w:val="left"/>
        <w:rPr>
          <w:rFonts w:ascii="Calibri" w:hAnsi="Calibri"/>
          <w:sz w:val="18"/>
        </w:rPr>
      </w:pPr>
      <w:r>
        <w:rPr>
          <w:rFonts w:ascii="Calibri" w:hAnsi="Calibri"/>
          <w:position w:val="9"/>
          <w:sz w:val="12"/>
        </w:rPr>
        <w:t>377   </w:t>
      </w:r>
      <w:r>
        <w:rPr>
          <w:rFonts w:ascii="Calibri" w:hAnsi="Calibri"/>
          <w:i/>
          <w:sz w:val="18"/>
        </w:rPr>
        <w:t>Ibíd. </w:t>
      </w:r>
      <w:r>
        <w:rPr>
          <w:rFonts w:ascii="Calibri" w:hAnsi="Calibri"/>
          <w:sz w:val="18"/>
        </w:rPr>
        <w:t>p. 196.</w:t>
      </w:r>
    </w:p>
    <w:p>
      <w:pPr>
        <w:spacing w:before="189"/>
        <w:ind w:left="264" w:right="0" w:firstLine="0"/>
        <w:jc w:val="left"/>
        <w:rPr>
          <w:rFonts w:ascii="Calibri" w:hAnsi="Calibri"/>
          <w:sz w:val="18"/>
        </w:rPr>
      </w:pPr>
      <w:r>
        <w:rPr>
          <w:position w:val="9"/>
          <w:sz w:val="12"/>
        </w:rPr>
        <w:t>378 </w:t>
      </w:r>
      <w:r>
        <w:rPr>
          <w:rFonts w:ascii="Calibri" w:hAnsi="Calibri"/>
          <w:sz w:val="18"/>
        </w:rPr>
        <w:t>SOBRINO, Ordoñez, </w:t>
      </w:r>
      <w:r>
        <w:rPr>
          <w:rFonts w:ascii="Calibri" w:hAnsi="Calibri"/>
          <w:i/>
          <w:sz w:val="18"/>
        </w:rPr>
        <w:t>Óp. Cit</w:t>
      </w:r>
      <w:r>
        <w:rPr>
          <w:rFonts w:ascii="Calibri" w:hAnsi="Calibri"/>
          <w:sz w:val="18"/>
        </w:rPr>
        <w:t>. p. 140.</w:t>
      </w:r>
    </w:p>
    <w:p>
      <w:pPr>
        <w:spacing w:after="0"/>
        <w:jc w:val="left"/>
        <w:rPr>
          <w:rFonts w:ascii="Calibri" w:hAnsi="Calibri"/>
          <w:sz w:val="18"/>
        </w:rPr>
        <w:sectPr>
          <w:footerReference w:type="default" r:id="rId145"/>
          <w:pgSz w:w="12240" w:h="15840"/>
          <w:pgMar w:footer="876" w:header="0" w:top="520" w:bottom="1060" w:left="1720" w:right="1200"/>
          <w:pgNumType w:start="206"/>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43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0" w:lineRule="auto" w:before="70"/>
        <w:ind w:left="684" w:right="114"/>
        <w:jc w:val="both"/>
        <w:rPr>
          <w:sz w:val="16"/>
        </w:rPr>
      </w:pPr>
      <w:r>
        <w:rPr/>
        <w:t>población de la gran influencia que la programación televisiva, en algunos casos única forma de entretenimiento, mantiene sobre la sociedad, ya que “la televisión interviene e interfiere en la mayoría de los ambientes por las que discurren las rutinas de los grupos e individuos.”</w:t>
      </w:r>
      <w:r>
        <w:rPr>
          <w:spacing w:val="51"/>
        </w:rPr>
        <w:t> </w:t>
      </w:r>
      <w:r>
        <w:rPr>
          <w:position w:val="11"/>
          <w:sz w:val="16"/>
        </w:rPr>
        <w:t>379</w:t>
      </w:r>
    </w:p>
    <w:p>
      <w:pPr>
        <w:pStyle w:val="BodyText"/>
        <w:spacing w:line="360" w:lineRule="auto"/>
        <w:ind w:left="684" w:right="115" w:firstLine="336"/>
        <w:jc w:val="both"/>
      </w:pPr>
      <w:r>
        <w:rPr/>
        <w:t>Así, aunque la educación debe preparar a los hombre y mujeres, en lo que Ordoñez afirma es el sentido trascendental, el gusto estético, o sea, su habilidad creativa y su capacidad para disfrutar de lo bello, para alcanzar la plenitud en el arte, o el goce del cuerpo en el deporte o la sublimación en la creación de la obra; en el caso de la sociedad mexicana y la hondureña la educación no ha alcanzado estos nobles propósitos; dejándole a la televisión la función recreativa pero con contenidos tan pobres que no logran sublimar el espíritu, sino más bien lo adormecen y atrofian por la calidad inferior de su producción, que atienden más a las necesidades mercadotécnicas del patrocinador que al de los televidentes, que se sumergen en la trama del mensaje evadiendo su realidad y declinando sus propias aspiraciones de ser por las impuestas por el ente televisivo.</w:t>
      </w:r>
    </w:p>
    <w:p>
      <w:pPr>
        <w:pStyle w:val="BodyText"/>
        <w:spacing w:before="11"/>
        <w:rPr>
          <w:sz w:val="35"/>
        </w:rPr>
      </w:pPr>
    </w:p>
    <w:p>
      <w:pPr>
        <w:pStyle w:val="Heading3"/>
        <w:spacing w:before="0"/>
        <w:ind w:left="684"/>
        <w:jc w:val="both"/>
        <w:rPr>
          <w:rFonts w:ascii="Arial"/>
        </w:rPr>
      </w:pPr>
      <w:bookmarkStart w:name="_TOC_250004" w:id="20"/>
      <w:bookmarkEnd w:id="20"/>
      <w:r>
        <w:rPr>
          <w:rFonts w:ascii="Arial"/>
        </w:rPr>
        <w:t>7. La existencia humana y la necesidad de trans-sobrevivencia</w:t>
      </w:r>
    </w:p>
    <w:p>
      <w:pPr>
        <w:pStyle w:val="BodyText"/>
        <w:rPr>
          <w:b/>
        </w:rPr>
      </w:pPr>
    </w:p>
    <w:p>
      <w:pPr>
        <w:pStyle w:val="BodyText"/>
        <w:spacing w:before="4"/>
        <w:rPr>
          <w:b/>
        </w:rPr>
      </w:pPr>
    </w:p>
    <w:p>
      <w:pPr>
        <w:pStyle w:val="BodyText"/>
        <w:spacing w:line="360" w:lineRule="auto"/>
        <w:ind w:left="684" w:right="119" w:firstLine="336"/>
        <w:jc w:val="both"/>
      </w:pPr>
      <w:r>
        <w:rPr/>
        <w:t>El paradigma de la sociedad del último quinto del siglo XX y la primera década del XXI vive el síndrome de la velocidad, de la liquidez que diluye todo lo hecho para substituirlo por lo nuevo, así no se detiene para reconocer al individuo que se ha detenido o para aquel que no ha logrado incorporarse en la versada carrera. Por lo que Bauman</w:t>
      </w:r>
      <w:r>
        <w:rPr>
          <w:spacing w:val="-14"/>
        </w:rPr>
        <w:t> </w:t>
      </w:r>
      <w:r>
        <w:rPr/>
        <w:t>dice:</w:t>
      </w:r>
    </w:p>
    <w:p>
      <w:pPr>
        <w:pStyle w:val="BodyText"/>
      </w:pPr>
    </w:p>
    <w:p>
      <w:pPr>
        <w:spacing w:line="252" w:lineRule="exact" w:before="146"/>
        <w:ind w:left="1393" w:right="113" w:firstLine="0"/>
        <w:jc w:val="both"/>
        <w:rPr>
          <w:sz w:val="14"/>
        </w:rPr>
      </w:pPr>
      <w:r>
        <w:rPr>
          <w:sz w:val="22"/>
        </w:rPr>
        <w:t>El tiempo pasa volando, y el truco consiste en mantenerse a flote con las olas. Si uno no quiere hundirse, debe seguir haciendo surf, y eso implica cambiar de vestuario de muebles, de papel pintado, de aspecto y de hábitos -cambiar uno mismo, en definitiva- tan a menudo como le sea posible.</w:t>
      </w:r>
      <w:r>
        <w:rPr>
          <w:position w:val="10"/>
          <w:sz w:val="14"/>
        </w:rPr>
        <w:t>380</w:t>
      </w:r>
    </w:p>
    <w:p>
      <w:pPr>
        <w:pStyle w:val="BodyText"/>
        <w:rPr>
          <w:sz w:val="20"/>
        </w:rPr>
      </w:pPr>
    </w:p>
    <w:p>
      <w:pPr>
        <w:pStyle w:val="BodyText"/>
        <w:spacing w:before="1"/>
        <w:rPr>
          <w:sz w:val="25"/>
        </w:rPr>
      </w:pPr>
      <w:r>
        <w:rPr/>
        <w:pict>
          <v:line style="position:absolute;mso-position-horizontal-relative:page;mso-position-vertical-relative:paragraph;z-index:10408;mso-wrap-distance-left:0;mso-wrap-distance-right:0" from="99.224998pt,16.710983pt" to="243.274998pt,16.710983pt" stroked="true" strokeweight=".599980pt" strokecolor="#000000">
            <w10:wrap type="topAndBottom"/>
          </v:line>
        </w:pict>
      </w:r>
    </w:p>
    <w:p>
      <w:pPr>
        <w:spacing w:before="46"/>
        <w:ind w:left="684" w:right="112" w:firstLine="0"/>
        <w:jc w:val="both"/>
        <w:rPr>
          <w:rFonts w:ascii="Calibri" w:hAnsi="Calibri"/>
          <w:sz w:val="18"/>
        </w:rPr>
      </w:pPr>
      <w:r>
        <w:rPr>
          <w:rFonts w:ascii="Calibri" w:hAnsi="Calibri"/>
          <w:position w:val="9"/>
          <w:sz w:val="12"/>
        </w:rPr>
        <w:t>379 </w:t>
      </w:r>
      <w:r>
        <w:rPr>
          <w:rFonts w:ascii="Calibri" w:hAnsi="Calibri"/>
          <w:sz w:val="18"/>
        </w:rPr>
        <w:t>BUSTAMANTE Bohorquez, Borys, ARANGUREN Díaz, Fernando, </w:t>
      </w:r>
      <w:r>
        <w:rPr>
          <w:rFonts w:ascii="Calibri" w:hAnsi="Calibri"/>
          <w:i/>
          <w:sz w:val="18"/>
        </w:rPr>
        <w:t>et al</w:t>
      </w:r>
      <w:r>
        <w:rPr>
          <w:rFonts w:ascii="Calibri" w:hAnsi="Calibri"/>
          <w:sz w:val="18"/>
        </w:rPr>
        <w:t>. “Educación y televisión: Una convergencia creativa”, </w:t>
      </w:r>
      <w:r>
        <w:rPr>
          <w:rFonts w:ascii="Calibri" w:hAnsi="Calibri"/>
          <w:i/>
          <w:sz w:val="18"/>
        </w:rPr>
        <w:t>Comunicar</w:t>
      </w:r>
      <w:r>
        <w:rPr>
          <w:rFonts w:ascii="Calibri" w:hAnsi="Calibri"/>
          <w:sz w:val="18"/>
        </w:rPr>
        <w:t>, España, 2004, pp. 132-136, Red de Revistas Científicas de AMÉRICA Latina y el Caribe, [en línea] consulta 20/06/2012, disponible en: </w:t>
      </w:r>
      <w:hyperlink r:id="rId146">
        <w:r>
          <w:rPr>
            <w:rFonts w:ascii="Calibri" w:hAnsi="Calibri"/>
            <w:color w:val="0000FF"/>
            <w:sz w:val="18"/>
            <w:u w:val="single" w:color="0000FF"/>
          </w:rPr>
          <w:t>http://redalyc.uaemex.mx</w:t>
        </w:r>
        <w:r>
          <w:rPr>
            <w:rFonts w:ascii="Calibri" w:hAnsi="Calibri"/>
            <w:sz w:val="18"/>
          </w:rPr>
          <w:t>.</w:t>
        </w:r>
      </w:hyperlink>
    </w:p>
    <w:p>
      <w:pPr>
        <w:spacing w:line="202" w:lineRule="exact" w:before="0"/>
        <w:ind w:left="684" w:right="0" w:firstLine="0"/>
        <w:jc w:val="both"/>
        <w:rPr>
          <w:sz w:val="18"/>
        </w:rPr>
      </w:pPr>
      <w:r>
        <w:rPr>
          <w:position w:val="9"/>
          <w:sz w:val="12"/>
        </w:rPr>
        <w:t>380  </w:t>
      </w:r>
      <w:r>
        <w:rPr>
          <w:sz w:val="18"/>
        </w:rPr>
        <w:t>BAUMAN, Zygmunt, </w:t>
      </w:r>
      <w:r>
        <w:rPr>
          <w:i/>
          <w:sz w:val="18"/>
        </w:rPr>
        <w:t>Tiempos Líquidos</w:t>
      </w:r>
      <w:r>
        <w:rPr>
          <w:sz w:val="18"/>
        </w:rPr>
        <w:t>, p.</w:t>
      </w:r>
    </w:p>
    <w:p>
      <w:pPr>
        <w:spacing w:after="0" w:line="202" w:lineRule="exact"/>
        <w:jc w:val="both"/>
        <w:rPr>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048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6" w:firstLine="336"/>
        <w:jc w:val="both"/>
      </w:pPr>
      <w:r>
        <w:rPr/>
        <w:t>Vivir, gozar, transformar, amar, construir, correr, actuar pero todo en corto tiempo. Son las exigencias de la vida en el siglo XXI, ante ello la seguridad de los seres humanos se hace vulnerable, su estabilidad emocional aumenta su capacidad de reacción pero disminuye su capacidad para amar y crear lazos humanos.</w:t>
      </w:r>
    </w:p>
    <w:p>
      <w:pPr>
        <w:pStyle w:val="BodyText"/>
        <w:spacing w:line="360" w:lineRule="auto" w:before="2"/>
        <w:ind w:left="264" w:right="215" w:firstLine="271"/>
        <w:jc w:val="both"/>
      </w:pPr>
      <w:r>
        <w:rPr/>
        <w:t>Ante este fenómeno cultural que despega a los seres humanos de fundamentos y principios y los impulsa hacia la búsqueda constante de nuevas cosas y nuevas formas de vida, la presencia de lo humano, de lo que subyace la integración del ser humano se debilita antes de que se consolide lo que </w:t>
      </w:r>
      <w:r>
        <w:rPr>
          <w:spacing w:val="-3"/>
        </w:rPr>
        <w:t>ya </w:t>
      </w:r>
      <w:r>
        <w:rPr/>
        <w:t>es. La sociedad tecnetrónica, que rige la vida de los individuos de esta era, se yergue como organizadora de todos los ámbitos de la vida económica y social de las  </w:t>
      </w:r>
      <w:r>
        <w:rPr>
          <w:spacing w:val="46"/>
        </w:rPr>
        <w:t> </w:t>
      </w:r>
      <w:r>
        <w:rPr/>
        <w:t>personas</w:t>
      </w:r>
    </w:p>
    <w:p>
      <w:pPr>
        <w:pStyle w:val="BodyText"/>
        <w:spacing w:line="331" w:lineRule="auto" w:before="2"/>
        <w:ind w:left="264"/>
        <w:rPr>
          <w:sz w:val="16"/>
        </w:rPr>
      </w:pPr>
      <w:r>
        <w:rPr/>
        <w:t>eficientemente y aquellos que no aceptan las reglas del juego, simplemente son excluidos. </w:t>
      </w:r>
      <w:r>
        <w:rPr>
          <w:position w:val="11"/>
          <w:sz w:val="16"/>
        </w:rPr>
        <w:t>381</w:t>
      </w:r>
    </w:p>
    <w:p>
      <w:pPr>
        <w:pStyle w:val="BodyText"/>
        <w:spacing w:line="360" w:lineRule="auto" w:before="20"/>
        <w:ind w:left="264" w:right="218" w:firstLine="336"/>
        <w:jc w:val="both"/>
      </w:pPr>
      <w:r>
        <w:rPr/>
        <w:t>En este sistema orientado por el ente televisivo, el ser humano se encuentra tenso, dispuesto a la huida, ansioso, deprimido por lo que no puede alcanzar. Este tipo de vida se transforma en una </w:t>
      </w:r>
      <w:r>
        <w:rPr>
          <w:i/>
        </w:rPr>
        <w:t>no vida humana</w:t>
      </w:r>
      <w:r>
        <w:rPr/>
        <w:t>, y hace de hombres y mujeres anexos de las máquinas, obstáculos del desarrollo o desechos de los que se puede</w:t>
      </w:r>
      <w:r>
        <w:rPr>
          <w:spacing w:val="-11"/>
        </w:rPr>
        <w:t> </w:t>
      </w:r>
      <w:r>
        <w:rPr/>
        <w:t>prescindir.</w:t>
      </w:r>
    </w:p>
    <w:p>
      <w:pPr>
        <w:pStyle w:val="BodyText"/>
        <w:spacing w:before="5"/>
        <w:rPr>
          <w:sz w:val="33"/>
        </w:rPr>
      </w:pPr>
    </w:p>
    <w:p>
      <w:pPr>
        <w:spacing w:line="240" w:lineRule="auto" w:before="0"/>
        <w:ind w:left="973" w:right="213" w:firstLine="0"/>
        <w:jc w:val="both"/>
        <w:rPr>
          <w:sz w:val="22"/>
        </w:rPr>
      </w:pPr>
      <w:r>
        <w:rPr>
          <w:sz w:val="22"/>
        </w:rPr>
        <w:t>El principio de la aceleración continua y sin límites rige no sólo a la producción industrial. También el sistema educativo utiliza igual criterio; tanto más estudiantes se gradúen, tanto mejor. Y lo mismo ocurre en los deportes: cada nueva marca es vista como un avance […] Podría poner muchísimos más ejemplos de que el constante aumento en la cantidad constituye la meta de nuestra vida. En efecto,  a</w:t>
      </w:r>
    </w:p>
    <w:p>
      <w:pPr>
        <w:spacing w:line="273" w:lineRule="exact" w:before="0"/>
        <w:ind w:left="973" w:right="0" w:firstLine="0"/>
        <w:jc w:val="both"/>
        <w:rPr>
          <w:sz w:val="16"/>
        </w:rPr>
      </w:pPr>
      <w:r>
        <w:rPr>
          <w:sz w:val="22"/>
        </w:rPr>
        <w:t>esto es a lo que se refiere el concepto de “progreso</w:t>
      </w:r>
      <w:r>
        <w:rPr>
          <w:sz w:val="24"/>
        </w:rPr>
        <w:t>”. </w:t>
      </w:r>
      <w:r>
        <w:rPr>
          <w:position w:val="11"/>
          <w:sz w:val="16"/>
        </w:rPr>
        <w:t>382</w:t>
      </w:r>
    </w:p>
    <w:p>
      <w:pPr>
        <w:pStyle w:val="BodyText"/>
        <w:spacing w:before="2"/>
        <w:rPr>
          <w:sz w:val="36"/>
        </w:rPr>
      </w:pPr>
    </w:p>
    <w:p>
      <w:pPr>
        <w:pStyle w:val="BodyText"/>
        <w:spacing w:line="360" w:lineRule="auto"/>
        <w:ind w:left="264" w:right="214" w:firstLine="271"/>
        <w:jc w:val="both"/>
      </w:pPr>
      <w:r>
        <w:rPr/>
        <w:t>En este estado de cosas discurre la existencia humana, pero qué sucede con esa característica tan humana de la necesidad de la trascendencia o de la trans- sobrevivencia como la llama Fromm. La parte espiritual del ser humano lo estimula para la búsqueda de lo que está más allá de su experiencia material; aunque el siglo pasado favoreció la seducción del hombre en su ámbito material, por medio de los artefactos producidos por la  tecnología y los avances de la cultura. Así   los</w:t>
      </w:r>
    </w:p>
    <w:p>
      <w:pPr>
        <w:pStyle w:val="BodyText"/>
        <w:spacing w:before="6"/>
        <w:rPr>
          <w:sz w:val="13"/>
        </w:rPr>
      </w:pPr>
      <w:r>
        <w:rPr/>
        <w:pict>
          <v:line style="position:absolute;mso-position-horizontal-relative:page;mso-position-vertical-relative:paragraph;z-index:10456;mso-wrap-distance-left:0;mso-wrap-distance-right:0" from="99.224998pt,10.048889pt" to="243.274998pt,10.048889pt" stroked="true" strokeweight=".60004pt" strokecolor="#000000">
            <w10:wrap type="topAndBottom"/>
          </v:line>
        </w:pict>
      </w:r>
    </w:p>
    <w:p>
      <w:pPr>
        <w:spacing w:line="235" w:lineRule="exact" w:before="48"/>
        <w:ind w:left="264" w:right="0" w:firstLine="0"/>
        <w:jc w:val="left"/>
        <w:rPr>
          <w:rFonts w:ascii="Calibri" w:hAnsi="Calibri"/>
          <w:sz w:val="18"/>
        </w:rPr>
      </w:pPr>
      <w:r>
        <w:rPr>
          <w:position w:val="9"/>
          <w:sz w:val="12"/>
        </w:rPr>
        <w:t>381  </w:t>
      </w:r>
      <w:r>
        <w:rPr>
          <w:rFonts w:ascii="Calibri" w:hAnsi="Calibri"/>
          <w:sz w:val="18"/>
        </w:rPr>
        <w:t>Véase MARCUSE, </w:t>
      </w:r>
      <w:r>
        <w:rPr>
          <w:rFonts w:ascii="Calibri" w:hAnsi="Calibri"/>
          <w:i/>
          <w:sz w:val="18"/>
        </w:rPr>
        <w:t>Óp. Cit</w:t>
      </w:r>
      <w:r>
        <w:rPr>
          <w:rFonts w:ascii="Calibri" w:hAnsi="Calibri"/>
          <w:sz w:val="18"/>
        </w:rPr>
        <w:t>. Capitulo VI</w:t>
      </w:r>
    </w:p>
    <w:p>
      <w:pPr>
        <w:spacing w:line="236" w:lineRule="exact" w:before="0"/>
        <w:ind w:left="264" w:right="0" w:firstLine="0"/>
        <w:jc w:val="left"/>
        <w:rPr>
          <w:rFonts w:ascii="Calibri" w:hAnsi="Calibri"/>
          <w:sz w:val="18"/>
        </w:rPr>
      </w:pPr>
      <w:r>
        <w:rPr>
          <w:rFonts w:ascii="Calibri" w:hAnsi="Calibri"/>
          <w:position w:val="9"/>
          <w:sz w:val="12"/>
        </w:rPr>
        <w:t>382   </w:t>
      </w:r>
      <w:r>
        <w:rPr>
          <w:rFonts w:ascii="Calibri" w:hAnsi="Calibri"/>
          <w:sz w:val="18"/>
        </w:rPr>
        <w:t>FROMM, Erich, </w:t>
      </w:r>
      <w:r>
        <w:rPr>
          <w:rFonts w:ascii="Calibri" w:hAnsi="Calibri"/>
          <w:i/>
          <w:sz w:val="18"/>
        </w:rPr>
        <w:t>La Revolución de la Esperanza</w:t>
      </w:r>
      <w:r>
        <w:rPr>
          <w:rFonts w:ascii="Calibri" w:hAnsi="Calibri"/>
          <w:sz w:val="18"/>
        </w:rPr>
        <w:t>, p. 45.</w:t>
      </w:r>
    </w:p>
    <w:p>
      <w:pPr>
        <w:spacing w:after="0" w:line="236" w:lineRule="exact"/>
        <w:jc w:val="left"/>
        <w:rPr>
          <w:rFonts w:ascii="Calibri" w:hAnsi="Calibri"/>
          <w:sz w:val="18"/>
        </w:rPr>
        <w:sectPr>
          <w:pgSz w:w="12240" w:h="15840"/>
          <w:pgMar w:header="0" w:footer="876"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52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3"/>
        <w:jc w:val="both"/>
      </w:pPr>
      <w:r>
        <w:rPr/>
        <w:t>medios como eje de orientación lo llevan hacia un mundo que encauza su humanidad, misma que se define en función de la sociedad a la que pertenece,  por lo que va transformado su concepto de lo que es la esencia humana, desde este punto de vista, esta era ha hecho del hombre un </w:t>
      </w:r>
      <w:r>
        <w:rPr>
          <w:i/>
        </w:rPr>
        <w:t>homo consumens</w:t>
      </w:r>
      <w:r>
        <w:rPr/>
        <w:t>, desprovisto de su </w:t>
      </w:r>
      <w:r>
        <w:rPr>
          <w:i/>
        </w:rPr>
        <w:t>ser </w:t>
      </w:r>
      <w:r>
        <w:rPr/>
        <w:t>por </w:t>
      </w:r>
      <w:r>
        <w:rPr>
          <w:i/>
        </w:rPr>
        <w:t>tener</w:t>
      </w:r>
      <w:r>
        <w:rPr/>
        <w:t>, vive para </w:t>
      </w:r>
      <w:r>
        <w:rPr>
          <w:i/>
        </w:rPr>
        <w:t>tener </w:t>
      </w:r>
      <w:r>
        <w:rPr/>
        <w:t>y se olvida de</w:t>
      </w:r>
      <w:r>
        <w:rPr>
          <w:spacing w:val="-27"/>
        </w:rPr>
        <w:t> </w:t>
      </w:r>
      <w:r>
        <w:rPr>
          <w:i/>
        </w:rPr>
        <w:t>ser</w:t>
      </w:r>
      <w:r>
        <w:rPr/>
        <w:t>.</w:t>
      </w:r>
    </w:p>
    <w:p>
      <w:pPr>
        <w:pStyle w:val="BodyText"/>
        <w:spacing w:line="345" w:lineRule="auto" w:before="6"/>
        <w:ind w:left="684" w:right="113" w:firstLine="336"/>
        <w:jc w:val="both"/>
      </w:pPr>
      <w:r>
        <w:rPr/>
        <w:t>Para Fromm es necesario por salud mental de hombres y mujeres recuperar  los marcos de orientación y devoción que le dan sentido a la existencia  del hombre,</w:t>
      </w:r>
      <w:r>
        <w:rPr>
          <w:spacing w:val="22"/>
        </w:rPr>
        <w:t> </w:t>
      </w:r>
      <w:r>
        <w:rPr/>
        <w:t>en</w:t>
      </w:r>
      <w:r>
        <w:rPr>
          <w:spacing w:val="20"/>
        </w:rPr>
        <w:t> </w:t>
      </w:r>
      <w:r>
        <w:rPr/>
        <w:t>el</w:t>
      </w:r>
      <w:r>
        <w:rPr>
          <w:spacing w:val="20"/>
        </w:rPr>
        <w:t> </w:t>
      </w:r>
      <w:r>
        <w:rPr/>
        <w:t>ánimo</w:t>
      </w:r>
      <w:r>
        <w:rPr>
          <w:spacing w:val="16"/>
        </w:rPr>
        <w:t> </w:t>
      </w:r>
      <w:r>
        <w:rPr/>
        <w:t>de</w:t>
      </w:r>
      <w:r>
        <w:rPr>
          <w:spacing w:val="16"/>
        </w:rPr>
        <w:t> </w:t>
      </w:r>
      <w:r>
        <w:rPr/>
        <w:t>recuperar</w:t>
      </w:r>
      <w:r>
        <w:rPr>
          <w:spacing w:val="18"/>
        </w:rPr>
        <w:t> </w:t>
      </w:r>
      <w:r>
        <w:rPr/>
        <w:t>su</w:t>
      </w:r>
      <w:r>
        <w:rPr>
          <w:spacing w:val="20"/>
        </w:rPr>
        <w:t> </w:t>
      </w:r>
      <w:r>
        <w:rPr/>
        <w:t>esencia</w:t>
      </w:r>
      <w:r>
        <w:rPr>
          <w:spacing w:val="26"/>
        </w:rPr>
        <w:t> </w:t>
      </w:r>
      <w:r>
        <w:rPr>
          <w:position w:val="11"/>
          <w:sz w:val="16"/>
        </w:rPr>
        <w:t>383</w:t>
      </w:r>
      <w:r>
        <w:rPr>
          <w:spacing w:val="44"/>
          <w:position w:val="11"/>
          <w:sz w:val="16"/>
        </w:rPr>
        <w:t> </w:t>
      </w:r>
      <w:r>
        <w:rPr/>
        <w:t>y</w:t>
      </w:r>
      <w:r>
        <w:rPr>
          <w:spacing w:val="14"/>
        </w:rPr>
        <w:t> </w:t>
      </w:r>
      <w:r>
        <w:rPr/>
        <w:t>cambiar</w:t>
      </w:r>
      <w:r>
        <w:rPr>
          <w:spacing w:val="22"/>
        </w:rPr>
        <w:t> </w:t>
      </w:r>
      <w:r>
        <w:rPr/>
        <w:t>la</w:t>
      </w:r>
      <w:r>
        <w:rPr>
          <w:spacing w:val="20"/>
        </w:rPr>
        <w:t> </w:t>
      </w:r>
      <w:r>
        <w:rPr/>
        <w:t>proclive</w:t>
      </w:r>
      <w:r>
        <w:rPr>
          <w:spacing w:val="16"/>
        </w:rPr>
        <w:t> </w:t>
      </w:r>
      <w:r>
        <w:rPr/>
        <w:t>actitud</w:t>
      </w:r>
      <w:r>
        <w:rPr>
          <w:spacing w:val="16"/>
        </w:rPr>
        <w:t> </w:t>
      </w:r>
      <w:r>
        <w:rPr/>
        <w:t>de</w:t>
      </w:r>
    </w:p>
    <w:p>
      <w:pPr>
        <w:pStyle w:val="BodyText"/>
        <w:spacing w:line="357" w:lineRule="auto" w:before="6"/>
        <w:ind w:left="684" w:right="113"/>
        <w:jc w:val="both"/>
      </w:pPr>
      <w:r>
        <w:rPr/>
        <w:t>los hombres del siglo XX y XXI hacia la violencia y la destrucción del otro por un reconocimiento de la otredad.</w:t>
      </w:r>
    </w:p>
    <w:p>
      <w:pPr>
        <w:pStyle w:val="BodyText"/>
        <w:spacing w:line="360" w:lineRule="auto" w:before="8"/>
        <w:ind w:left="684" w:right="115" w:firstLine="336"/>
        <w:jc w:val="both"/>
      </w:pPr>
      <w:r>
        <w:rPr/>
        <w:t>La naturaleza animal del ser humano le impone cubrir necesidades corporales, las que comparte esencialmente con las del animal, que al igual que a ellos, un impulso intrínseco le orienta a sobrevivir biológicamente, aún cuando los métodos que emplea han sustituido el instinto reflejo que en los animales está más desarrollado. Por otro lado lo domina una segunda naturaleza que tiene que ver con lo que ha agregado para su supervivencia y almacenado en la cultura que cada civilización ha atesorado históricamente. Quedando como cualidad  específica su tendencia al desarrollo espiritual, que lo lleva a buscar la trascendencia.</w:t>
      </w:r>
    </w:p>
    <w:p>
      <w:pPr>
        <w:pStyle w:val="BodyText"/>
        <w:rPr>
          <w:sz w:val="23"/>
        </w:rPr>
      </w:pPr>
    </w:p>
    <w:p>
      <w:pPr>
        <w:spacing w:line="230" w:lineRule="auto" w:before="0"/>
        <w:ind w:left="1393" w:right="116" w:firstLine="0"/>
        <w:jc w:val="both"/>
        <w:rPr>
          <w:sz w:val="16"/>
        </w:rPr>
      </w:pPr>
      <w:r>
        <w:rPr>
          <w:sz w:val="22"/>
        </w:rPr>
        <w:t>Él quiere saber no sólo saber lo que se necesita para sobrevivir, sino comprender que es la vida humana. Constituye entre los seres vivos el único caso que tiene consciencia de sí mismo. Y quiere utilizar las facultades que ha desarrollado en el proceso de la historia, las cuales le sirven más que el proceso de la mera supervivencia biológica.</w:t>
      </w:r>
      <w:r>
        <w:rPr>
          <w:position w:val="11"/>
          <w:sz w:val="16"/>
        </w:rPr>
        <w:t>384</w:t>
      </w:r>
    </w:p>
    <w:p>
      <w:pPr>
        <w:pStyle w:val="BodyText"/>
        <w:spacing w:before="6"/>
      </w:pPr>
    </w:p>
    <w:p>
      <w:pPr>
        <w:pStyle w:val="BodyText"/>
        <w:spacing w:line="345" w:lineRule="auto"/>
        <w:ind w:left="684" w:right="113" w:firstLine="336"/>
        <w:jc w:val="both"/>
      </w:pPr>
      <w:r>
        <w:rPr/>
        <w:t>Para el ser humano su impulso son las pasiones que son específicamente humanas y que trascienden la función supervivencial. Que como afirma Marx: “La pasión es el esfuerzo de las facultades del hombre para obtener su objeto. </w:t>
      </w:r>
      <w:r>
        <w:rPr>
          <w:position w:val="11"/>
          <w:sz w:val="16"/>
        </w:rPr>
        <w:t>385 </w:t>
      </w:r>
      <w:r>
        <w:rPr/>
        <w:t>Una</w:t>
      </w:r>
    </w:p>
    <w:p>
      <w:pPr>
        <w:pStyle w:val="BodyText"/>
        <w:spacing w:line="360" w:lineRule="auto" w:before="5"/>
        <w:ind w:left="684" w:right="113"/>
        <w:jc w:val="both"/>
      </w:pPr>
      <w:r>
        <w:rPr/>
        <w:t>acción que orientada por ese esfuerzo trasciende una actitud sólo supervivencial. Estos estímulos del hombre, que en cuanto pierden su carácter utilitarios  </w:t>
      </w:r>
      <w:r>
        <w:rPr>
          <w:spacing w:val="65"/>
        </w:rPr>
        <w:t> </w:t>
      </w:r>
      <w:r>
        <w:rPr/>
        <w:t>revelan</w:t>
      </w:r>
    </w:p>
    <w:p>
      <w:pPr>
        <w:pStyle w:val="BodyText"/>
        <w:rPr>
          <w:sz w:val="20"/>
        </w:rPr>
      </w:pPr>
    </w:p>
    <w:p>
      <w:pPr>
        <w:pStyle w:val="BodyText"/>
        <w:spacing w:before="7"/>
        <w:rPr>
          <w:sz w:val="27"/>
        </w:rPr>
      </w:pPr>
      <w:r>
        <w:rPr/>
        <w:pict>
          <v:line style="position:absolute;mso-position-horizontal-relative:page;mso-position-vertical-relative:paragraph;z-index:10504;mso-wrap-distance-left:0;mso-wrap-distance-right:0" from="99.224998pt,18.149864pt" to="243.274998pt,18.149864pt" stroked="true" strokeweight=".60004pt" strokecolor="#000000">
            <w10:wrap type="topAndBottom"/>
          </v:line>
        </w:pict>
      </w:r>
    </w:p>
    <w:p>
      <w:pPr>
        <w:spacing w:line="237" w:lineRule="exact" w:before="46"/>
        <w:ind w:left="684" w:right="114" w:firstLine="0"/>
        <w:jc w:val="left"/>
        <w:rPr>
          <w:rFonts w:ascii="Calibri" w:hAnsi="Calibri"/>
          <w:sz w:val="18"/>
        </w:rPr>
      </w:pPr>
      <w:r>
        <w:rPr>
          <w:rFonts w:ascii="Calibri" w:hAnsi="Calibri"/>
          <w:position w:val="9"/>
          <w:sz w:val="12"/>
        </w:rPr>
        <w:t>383   </w:t>
      </w:r>
      <w:r>
        <w:rPr>
          <w:rFonts w:ascii="Calibri" w:hAnsi="Calibri"/>
          <w:i/>
          <w:sz w:val="18"/>
        </w:rPr>
        <w:t>Ibíd</w:t>
      </w:r>
      <w:r>
        <w:rPr>
          <w:rFonts w:ascii="Calibri" w:hAnsi="Calibri"/>
          <w:sz w:val="18"/>
        </w:rPr>
        <w:t>., p. 70.</w:t>
      </w:r>
    </w:p>
    <w:p>
      <w:pPr>
        <w:spacing w:line="219" w:lineRule="exact" w:before="0"/>
        <w:ind w:left="684" w:right="114" w:firstLine="0"/>
        <w:jc w:val="left"/>
        <w:rPr>
          <w:rFonts w:ascii="Calibri" w:hAnsi="Calibri"/>
          <w:sz w:val="18"/>
        </w:rPr>
      </w:pPr>
      <w:r>
        <w:rPr>
          <w:position w:val="9"/>
          <w:sz w:val="12"/>
        </w:rPr>
        <w:t>384   </w:t>
      </w:r>
      <w:r>
        <w:rPr>
          <w:rFonts w:ascii="Calibri" w:hAnsi="Calibri"/>
          <w:i/>
          <w:sz w:val="18"/>
        </w:rPr>
        <w:t>Ibíd</w:t>
      </w:r>
      <w:r>
        <w:rPr>
          <w:rFonts w:ascii="Calibri" w:hAnsi="Calibri"/>
          <w:sz w:val="18"/>
        </w:rPr>
        <w:t>., p. 75.</w:t>
      </w:r>
    </w:p>
    <w:p>
      <w:pPr>
        <w:spacing w:line="236" w:lineRule="exact" w:before="0"/>
        <w:ind w:left="684" w:right="114" w:firstLine="0"/>
        <w:jc w:val="left"/>
        <w:rPr>
          <w:rFonts w:ascii="Calibri" w:hAnsi="Calibri"/>
          <w:sz w:val="18"/>
        </w:rPr>
      </w:pPr>
      <w:r>
        <w:rPr>
          <w:rFonts w:ascii="Calibri" w:hAnsi="Calibri"/>
          <w:position w:val="9"/>
          <w:sz w:val="12"/>
        </w:rPr>
        <w:t>385  </w:t>
      </w:r>
      <w:r>
        <w:rPr>
          <w:rFonts w:ascii="Calibri" w:hAnsi="Calibri"/>
          <w:sz w:val="18"/>
        </w:rPr>
        <w:t>Fromm, Erich, cita a Marx en su obra </w:t>
      </w:r>
      <w:r>
        <w:rPr>
          <w:rFonts w:ascii="Calibri" w:hAnsi="Calibri"/>
          <w:i/>
          <w:sz w:val="18"/>
        </w:rPr>
        <w:t>“La revolución de la esperanza”, </w:t>
      </w:r>
      <w:r>
        <w:rPr>
          <w:rFonts w:ascii="Calibri" w:hAnsi="Calibri"/>
          <w:sz w:val="18"/>
        </w:rPr>
        <w:t>p. 75.</w:t>
      </w:r>
    </w:p>
    <w:p>
      <w:pPr>
        <w:spacing w:after="0" w:line="236" w:lineRule="exact"/>
        <w:jc w:val="left"/>
        <w:rPr>
          <w:rFonts w:ascii="Calibri" w:hAnsi="Calibri"/>
          <w:sz w:val="18"/>
        </w:rPr>
        <w:sectPr>
          <w:pgSz w:w="12240" w:h="15840"/>
          <w:pgMar w:header="0" w:footer="876" w:top="520" w:bottom="1060" w:left="1300" w:right="1300"/>
        </w:sectPr>
      </w:pPr>
    </w:p>
    <w:p>
      <w:pPr>
        <w:pStyle w:val="Heading3"/>
      </w:pPr>
      <w:r>
        <w:rPr/>
        <w:pict>
          <v:line style="position:absolute;mso-position-horizontal-relative:page;mso-position-vertical-relative:paragraph;z-index:1055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28" w:lineRule="auto" w:before="70"/>
        <w:ind w:left="264" w:right="218"/>
        <w:jc w:val="both"/>
        <w:rPr>
          <w:sz w:val="16"/>
        </w:rPr>
      </w:pPr>
      <w:r>
        <w:rPr/>
        <w:t>“una necesidad fundamental y específicamente humana: la necesidad de relacionarse con el hombre y con la naturaleza y de afirmarse en esta relación.”</w:t>
      </w:r>
      <w:r>
        <w:rPr>
          <w:position w:val="11"/>
          <w:sz w:val="16"/>
        </w:rPr>
        <w:t>386</w:t>
      </w:r>
    </w:p>
    <w:p>
      <w:pPr>
        <w:pStyle w:val="BodyText"/>
        <w:spacing w:line="360" w:lineRule="auto" w:before="27"/>
        <w:ind w:left="264" w:right="210" w:firstLine="271"/>
        <w:jc w:val="both"/>
      </w:pPr>
      <w:r>
        <w:rPr/>
        <w:t>Esta puntualización se presenta en el marco del presente trabajo con la intención de demostrar que los seres humanos en tanto no rompan con la diaria rutina de permanecer frente al televisor o el ordenador, están perdiendo la posibilidad de habilitar su capacidad de trascendencia y por lo tanto de trans- sobrevivencia.</w:t>
      </w:r>
    </w:p>
    <w:p>
      <w:pPr>
        <w:pStyle w:val="BodyText"/>
        <w:spacing w:before="6"/>
        <w:rPr>
          <w:sz w:val="22"/>
        </w:rPr>
      </w:pPr>
    </w:p>
    <w:p>
      <w:pPr>
        <w:spacing w:line="237" w:lineRule="auto" w:before="0"/>
        <w:ind w:left="973" w:right="213" w:firstLine="0"/>
        <w:jc w:val="both"/>
        <w:rPr>
          <w:sz w:val="14"/>
        </w:rPr>
      </w:pPr>
      <w:r>
        <w:rPr>
          <w:sz w:val="22"/>
        </w:rPr>
        <w:t>Tanto la acción como el pensamiento participan de la doble naturaleza de esta polaridad. La acción en el plano supervivencial es lo que comúnmente llamamos trabajo. La actividad en el plano trans-supervivencial en que se designa como juego, al igual que todas aquellas actividades que se relacionan con el culto, los ritos y el arte. El pensamiento también aparece en dos formas una que se halla al servicio de la función de sobrevivir y la otra al de la de conocer en el sentido de comprender e intuir. Esta distinción entre el pensamiento supervivencial y el trans- supervivencial es muy importante para comprender la consciencia y el llamado inconsciente.</w:t>
      </w:r>
      <w:r>
        <w:rPr>
          <w:position w:val="10"/>
          <w:sz w:val="14"/>
        </w:rPr>
        <w:t>387</w:t>
      </w:r>
    </w:p>
    <w:p>
      <w:pPr>
        <w:pStyle w:val="BodyText"/>
        <w:spacing w:before="10"/>
        <w:rPr>
          <w:sz w:val="35"/>
        </w:rPr>
      </w:pPr>
    </w:p>
    <w:p>
      <w:pPr>
        <w:pStyle w:val="BodyText"/>
        <w:spacing w:line="355" w:lineRule="auto"/>
        <w:ind w:left="264" w:right="210" w:firstLine="271"/>
        <w:jc w:val="both"/>
      </w:pPr>
      <w:r>
        <w:rPr/>
        <w:t>Si bien la conciencia se construye fundamentalmente con la intervención de todos los fenómenos que el filtro social, compuesto de lenguaje, símbolo, lógica y prohibiciones le permite distinguir. Dice Fromm que: “Todos los fenómenos que no pueden atravesar el filtro social permanecen inconscientes o, hablando con más exactitud, nos pasa inadvertido todo aquello que no puede penetrar nuestra consciencia porque el filtro social impide su entrada.” </w:t>
      </w:r>
      <w:r>
        <w:rPr>
          <w:position w:val="11"/>
          <w:sz w:val="16"/>
        </w:rPr>
        <w:t>388 </w:t>
      </w:r>
      <w:r>
        <w:rPr/>
        <w:t>Este es el motivo por el que las estructuras de la sociedad son determinantes en la conformación de la</w:t>
      </w:r>
    </w:p>
    <w:p>
      <w:pPr>
        <w:pStyle w:val="BodyText"/>
        <w:spacing w:line="360" w:lineRule="auto" w:before="11"/>
        <w:ind w:left="264" w:right="220"/>
        <w:jc w:val="both"/>
      </w:pPr>
      <w:r>
        <w:rPr/>
        <w:t>conciencia. En ese sentido la sociedad actual de México y Honduras se ha configurado bajo el mensaje de la sociedad capitalista-colonialista, emitido por el televisor integrando el lenguaje, el fundamento ético y moral, y la forma de entender el mundo bajo supuestos lógicos de los ciudadanos.</w:t>
      </w:r>
    </w:p>
    <w:p>
      <w:pPr>
        <w:pStyle w:val="BodyText"/>
        <w:spacing w:line="360" w:lineRule="auto" w:before="6"/>
        <w:ind w:left="264" w:right="220" w:firstLine="336"/>
        <w:jc w:val="both"/>
      </w:pPr>
      <w:r>
        <w:rPr/>
        <w:t>Aún con todo, el hombre no puede aislarse de estas estructuras societales, pues las necesita para sentirse seguro. “Sin embargo, está afirmación es únicamente descriptiva. En tanto que el hombre tiene que trabajar dentro de una sociedad dada, su necesidad de supervivencia lo hace aceptar, generalmente,</w:t>
      </w:r>
      <w:r>
        <w:rPr>
          <w:spacing w:val="66"/>
        </w:rPr>
        <w:t> </w:t>
      </w:r>
      <w:r>
        <w:rPr/>
        <w:t>las</w:t>
      </w:r>
    </w:p>
    <w:p>
      <w:pPr>
        <w:spacing w:after="0" w:line="360" w:lineRule="auto"/>
        <w:jc w:val="both"/>
        <w:sectPr>
          <w:footerReference w:type="default" r:id="rId147"/>
          <w:pgSz w:w="12240" w:h="15840"/>
          <w:pgMar w:footer="1713" w:header="0" w:top="520" w:bottom="1900" w:left="1720" w:right="1200"/>
          <w:pgNumType w:start="21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60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28" w:lineRule="auto" w:before="70"/>
        <w:ind w:left="684" w:right="114"/>
        <w:rPr>
          <w:sz w:val="16"/>
        </w:rPr>
      </w:pPr>
      <w:r>
        <w:rPr/>
        <w:t>conceptuaciones sociales y reprimir por consiguiente, lo que advertiría si se hubieran fijado otros esquemas en su consciencia.”</w:t>
      </w:r>
      <w:r>
        <w:rPr>
          <w:position w:val="11"/>
          <w:sz w:val="16"/>
        </w:rPr>
        <w:t>389</w:t>
      </w:r>
    </w:p>
    <w:p>
      <w:pPr>
        <w:pStyle w:val="BodyText"/>
        <w:spacing w:line="360" w:lineRule="auto" w:before="27"/>
        <w:ind w:left="684" w:right="113" w:firstLine="336"/>
        <w:jc w:val="both"/>
      </w:pPr>
      <w:r>
        <w:rPr/>
        <w:t>Sólo en los sueños es cuando el hombre es realmente libre, su inconsciente lo libera de las prescripciones sociales, por ello es ahí donde se pueden manifestar principalmente los deseos de trascendencia de los individuos. Esta necesidad de hombres y mujeres de ir más allá de la vida material, de contribuir a la supervivencia del espíritu, la encuentra primordialmente en la práctica de los rituales, en los símbolos que le dan sentido y comprensión del mundo, en el arte en todas sus expresiones: la danza, la música, la literatura, la pintura, el teatro, y también como una extensión de satisfacción física y de la razón, en el juego y el deporte. No obstante afirma Fromm: “Nuestro pensamiento utilitario, muy lógicamente, ha tratado de interpretar todos estos fenómenos como </w:t>
      </w:r>
      <w:r>
        <w:rPr>
          <w:spacing w:val="12"/>
        </w:rPr>
        <w:t> </w:t>
      </w:r>
      <w:r>
        <w:rPr/>
        <w:t>dependientes</w:t>
      </w:r>
    </w:p>
    <w:p>
      <w:pPr>
        <w:pStyle w:val="BodyText"/>
        <w:spacing w:line="282" w:lineRule="exact"/>
        <w:ind w:left="684" w:right="114"/>
      </w:pPr>
      <w:r>
        <w:rPr/>
        <w:t>de  la  función  supervivencial,”  </w:t>
      </w:r>
      <w:r>
        <w:rPr>
          <w:position w:val="11"/>
          <w:sz w:val="16"/>
        </w:rPr>
        <w:t>390  </w:t>
      </w:r>
      <w:r>
        <w:rPr/>
        <w:t>aunque  es  preciso  notar  que  esta tendencia</w:t>
      </w:r>
    </w:p>
    <w:p>
      <w:pPr>
        <w:pStyle w:val="BodyText"/>
        <w:spacing w:line="362" w:lineRule="auto" w:before="136"/>
        <w:ind w:left="684" w:right="114"/>
      </w:pPr>
      <w:r>
        <w:rPr/>
        <w:t>humana tiene como función contribuir preferentemente a la supervivencia del espíritu del hombre, antes que la de su cuerpo.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10576;mso-wrap-distance-left:0;mso-wrap-distance-right:0" from="99.224998pt,19.119226pt" to="243.274998pt,19.119226pt" stroked="true" strokeweight=".60004pt" strokecolor="#000000">
            <w10:wrap type="topAndBottom"/>
          </v:line>
        </w:pict>
      </w:r>
    </w:p>
    <w:p>
      <w:pPr>
        <w:spacing w:line="236" w:lineRule="exact" w:before="46"/>
        <w:ind w:left="684" w:right="114" w:firstLine="0"/>
        <w:jc w:val="left"/>
        <w:rPr>
          <w:rFonts w:ascii="Calibri" w:hAnsi="Calibri"/>
          <w:sz w:val="18"/>
        </w:rPr>
      </w:pPr>
      <w:r>
        <w:rPr>
          <w:rFonts w:ascii="Calibri" w:hAnsi="Calibri"/>
          <w:position w:val="9"/>
          <w:sz w:val="12"/>
        </w:rPr>
        <w:t>389   </w:t>
      </w:r>
      <w:r>
        <w:rPr>
          <w:rFonts w:ascii="Calibri" w:hAnsi="Calibri"/>
          <w:i/>
          <w:sz w:val="18"/>
        </w:rPr>
        <w:t>Ibíd</w:t>
      </w:r>
      <w:r>
        <w:rPr>
          <w:rFonts w:ascii="Calibri" w:hAnsi="Calibri"/>
          <w:sz w:val="18"/>
        </w:rPr>
        <w:t>., pp. 76-77.</w:t>
      </w:r>
    </w:p>
    <w:p>
      <w:pPr>
        <w:spacing w:line="236" w:lineRule="exact" w:before="0"/>
        <w:ind w:left="684" w:right="114" w:firstLine="0"/>
        <w:jc w:val="left"/>
        <w:rPr>
          <w:rFonts w:ascii="Calibri" w:hAnsi="Calibri"/>
          <w:sz w:val="18"/>
        </w:rPr>
      </w:pPr>
      <w:r>
        <w:rPr>
          <w:rFonts w:ascii="Calibri" w:hAnsi="Calibri"/>
          <w:position w:val="9"/>
          <w:sz w:val="12"/>
        </w:rPr>
        <w:t>390 </w:t>
      </w:r>
      <w:r>
        <w:rPr>
          <w:rFonts w:ascii="Calibri" w:hAnsi="Calibri"/>
          <w:i/>
          <w:sz w:val="18"/>
        </w:rPr>
        <w:t>Ibíd</w:t>
      </w:r>
      <w:r>
        <w:rPr>
          <w:rFonts w:ascii="Calibri" w:hAnsi="Calibri"/>
          <w:sz w:val="18"/>
        </w:rPr>
        <w:t>., p. 78.</w:t>
      </w:r>
    </w:p>
    <w:p>
      <w:pPr>
        <w:spacing w:after="0" w:line="236" w:lineRule="exact"/>
        <w:jc w:val="left"/>
        <w:rPr>
          <w:rFonts w:ascii="Calibri" w:hAnsi="Calibri"/>
          <w:sz w:val="18"/>
        </w:rPr>
        <w:sectPr>
          <w:footerReference w:type="default" r:id="rId148"/>
          <w:pgSz w:w="12240" w:h="15840"/>
          <w:pgMar w:footer="878" w:header="0" w:top="520" w:bottom="1060" w:left="1300" w:right="1300"/>
          <w:pgNumType w:start="211"/>
        </w:sectPr>
      </w:pPr>
    </w:p>
    <w:p>
      <w:pPr>
        <w:pStyle w:val="Heading3"/>
      </w:pPr>
      <w:r>
        <w:rPr/>
        <w:pict>
          <v:line style="position:absolute;mso-position-horizontal-relative:page;mso-position-vertical-relative:paragraph;z-index:10624" from="546.470032pt,2.397331pt" to="546.470032pt,30.622331pt" stroked="true" strokeweight=".60004pt" strokecolor="#000000">
            <w10:wrap type="none"/>
          </v:line>
        </w:pict>
      </w:r>
      <w:r>
        <w:rPr>
          <w:w w:val="75"/>
        </w:rPr>
        <w:t>El condicionamiento de la libertad ante la influencia de la televisión</w:t>
      </w:r>
    </w:p>
    <w:p>
      <w:pPr>
        <w:spacing w:after="0"/>
        <w:sectPr>
          <w:pgSz w:w="12240" w:h="15840"/>
          <w:pgMar w:header="0" w:footer="878" w:top="520" w:bottom="1060" w:left="1720" w:right="1200"/>
        </w:sectPr>
      </w:pPr>
    </w:p>
    <w:p>
      <w:pPr>
        <w:pStyle w:val="BodyText"/>
        <w:tabs>
          <w:tab w:pos="7214" w:val="left" w:leader="none"/>
        </w:tabs>
        <w:spacing w:before="36"/>
        <w:ind w:left="224"/>
        <w:rPr>
          <w:rFonts w:ascii="Cambria" w:hAnsi="Cambria"/>
        </w:rPr>
      </w:pPr>
      <w:r>
        <w:rPr/>
        <w:pict>
          <v:line style="position:absolute;mso-position-horizontal-relative:page;mso-position-vertical-relative:paragraph;z-index:1064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8"/>
        </w:rPr>
      </w:pPr>
    </w:p>
    <w:p>
      <w:pPr>
        <w:pStyle w:val="Heading1"/>
        <w:ind w:left="3973" w:right="0"/>
        <w:jc w:val="left"/>
      </w:pPr>
      <w:bookmarkStart w:name="_TOC_250003" w:id="21"/>
      <w:bookmarkEnd w:id="21"/>
      <w:r>
        <w:rPr/>
        <w:t>CONCLUSIONES</w:t>
      </w:r>
    </w:p>
    <w:p>
      <w:pPr>
        <w:spacing w:after="0"/>
        <w:jc w:val="left"/>
        <w:sectPr>
          <w:pgSz w:w="12240" w:h="15840"/>
          <w:pgMar w:header="0" w:footer="878" w:top="520" w:bottom="1060" w:left="1300" w:right="1720"/>
        </w:sectPr>
      </w:pPr>
    </w:p>
    <w:p>
      <w:pPr>
        <w:pStyle w:val="Heading3"/>
      </w:pPr>
      <w:r>
        <w:rPr/>
        <w:pict>
          <v:line style="position:absolute;mso-position-horizontal-relative:page;mso-position-vertical-relative:paragraph;z-index:1067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6" w:firstLine="336"/>
        <w:jc w:val="both"/>
      </w:pPr>
      <w:r>
        <w:rPr/>
        <w:t>La humanidad del siglo XX y XXI se han desarrollado a partir de los  importantes avances de la ciencia y la tecnología, pero en un mundo donde se le ha dado prioridad al estudio de la naturaleza antes que al ser humano, el resultado es previsible, se conoce lo que es externo al hombre y se postergó el descubrimiento de la naturaleza humana. Es así que el mundo material ha sobrepasado al mismo hombre. Y es sorprendente como la tecnología le brindó a los seres humanos las armas de su propia exclusión en un sistema que se apega  a lo material antes que a lo que hace la diferencia para la humanidad, la vida espiritual.</w:t>
      </w:r>
    </w:p>
    <w:p>
      <w:pPr>
        <w:pStyle w:val="BodyText"/>
        <w:spacing w:line="360" w:lineRule="auto" w:before="1"/>
        <w:ind w:left="264" w:right="216" w:firstLine="336"/>
        <w:jc w:val="both"/>
      </w:pPr>
      <w:r>
        <w:rPr/>
        <w:t>La libertad como atributo de los seres humanos sólo es posible desde su conocimiento y la construcción de la misma, sin embargo es necesario para los seres humanos contar con alternativas de vida para tener la posibilidad de elegir. La libertad va de la mano con el grado de autoconciencia y la conceptualización de cada individuo, de su capacidad de amar, de su autonomía y la aceptación de su independencia. Sin embargo su autoconciencia de ser libre se construye a partir  de su socialización, misma que se integra con los valores, los hábitos, las costumbres y las restricciones que el grupo le</w:t>
      </w:r>
      <w:r>
        <w:rPr>
          <w:spacing w:val="-29"/>
        </w:rPr>
        <w:t> </w:t>
      </w:r>
      <w:r>
        <w:rPr/>
        <w:t>impone.</w:t>
      </w:r>
    </w:p>
    <w:p>
      <w:pPr>
        <w:pStyle w:val="BodyText"/>
        <w:spacing w:line="360" w:lineRule="auto" w:before="2"/>
        <w:ind w:left="264" w:right="214" w:firstLine="336"/>
        <w:jc w:val="both"/>
      </w:pPr>
      <w:r>
        <w:rPr/>
        <w:t>No obstante, en el sistema de dominación-colonialista que pervive actualmente, la libertad se convierte en un poderoso instrumento de dominación. La misma amplitud de la selección abierta a un individuo en el régimen neoliberal, que aparentemente ofrece más, no es factor decisivo para determinar el grado de libertad humana, pero sí lo es lo que se puede escoger y lo que es escogido por el individuo. Marcuse considera que inclusive la libre elección de amos no suprime ni a los amos ni a los esclavos. Escoger libremente entre una amplia variedad de bienes y servicios que nos ofrece actualmente el mercado no significa libertad si estos bienes y servicios sostienen controles sociales sobre una vida de esfuerzo y de temor, esto es, si sostienen la alienación. Y la reproducción espontánea, por los individuos, de necesidades creadas a partir de la mercadotecnia y el libre mercado no establece la autonomía, sólo prueba la eficacia de los controles creados.</w:t>
      </w:r>
    </w:p>
    <w:p>
      <w:pPr>
        <w:pStyle w:val="BodyText"/>
        <w:spacing w:line="362" w:lineRule="auto" w:before="2"/>
        <w:ind w:left="264" w:right="218" w:firstLine="271"/>
        <w:jc w:val="both"/>
      </w:pPr>
      <w:r>
        <w:rPr/>
        <w:t>En cuanto a la influencia del ente televisivo en la libertad de los individuos, resulta de gran importancia, considerando que para el ejercicio de la    libertad, los</w:t>
      </w:r>
    </w:p>
    <w:p>
      <w:pPr>
        <w:spacing w:after="0" w:line="362" w:lineRule="auto"/>
        <w:jc w:val="both"/>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69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4"/>
        <w:jc w:val="both"/>
      </w:pPr>
      <w:r>
        <w:rPr/>
        <w:t>seres humanos requieren pasar por un proceso de autoconciencia que se integra  a partir de la formación e información que reciben de su entorno social y cultural. Y tomando en cuenta la capacidad que tiene el contenido televisivo de transmitir de manera eficiente y eficaz mensajes, que han sido diseñados para ser atendidos, que acuden a todas las esferas de la naturaleza humana, </w:t>
      </w:r>
      <w:r>
        <w:rPr>
          <w:spacing w:val="-3"/>
        </w:rPr>
        <w:t>ya </w:t>
      </w:r>
      <w:r>
        <w:rPr/>
        <w:t>sea en el plano racional o emotivo, que por lo tanto penetran en la conciencia de los seres humanos a través del filtro social que estructura los contenidos paradigmáticos  que permiten a las personas integrarse al grupo social; este mensaje es capaz de influir en la libertad de las personas orientándolas hacia los fines del mismo, transmitido bajo un proceso de introyección en el individuo, proceso que también ha sido diluido en la súper</w:t>
      </w:r>
      <w:r>
        <w:rPr>
          <w:spacing w:val="-19"/>
        </w:rPr>
        <w:t> </w:t>
      </w:r>
      <w:r>
        <w:rPr/>
        <w:t>alienación.</w:t>
      </w:r>
    </w:p>
    <w:p>
      <w:pPr>
        <w:pStyle w:val="BodyText"/>
        <w:spacing w:line="360" w:lineRule="auto" w:before="2"/>
        <w:ind w:left="684" w:right="121" w:firstLine="336"/>
        <w:jc w:val="both"/>
      </w:pPr>
      <w:r>
        <w:rPr/>
        <w:t>Al cuestionar a los entrevistados sobre la influencia de la televisión en la libertad, </w:t>
      </w:r>
      <w:r>
        <w:rPr>
          <w:spacing w:val="-2"/>
        </w:rPr>
        <w:t>mas </w:t>
      </w:r>
      <w:r>
        <w:rPr/>
        <w:t>de la mitad de ellos, acepta que ésta si la condiciona notablemente (muchas veces o frecuentemente), </w:t>
      </w:r>
      <w:r>
        <w:rPr>
          <w:spacing w:val="-3"/>
        </w:rPr>
        <w:t>ya </w:t>
      </w:r>
      <w:r>
        <w:rPr/>
        <w:t>sea físicamente, porque los impulsa a permanecer frente a ella observando el programa en cuestión, o porque a partir de los mensajes emitidos los lleva a actuar hacia el consumo o a imitar alguna acción en particular. Situación que en algunas personas se vuelve muy persistente. No obstante bajo esta aparente influencia de acciones existe el mensaje que a través de la persuasión, de la presión sobre la mayoría, creada por el medio condiciona  la dirección del desear. Así, la televisión influye desde las emociones y a partir de este nivel del ser humano, tiene una gran incidencia en los deseos, en los proyectos de vida personales, en los miedos, en la aceptación y resignación ante el estado de cosas del sistema social, de la estructura</w:t>
      </w:r>
      <w:r>
        <w:rPr>
          <w:spacing w:val="-40"/>
        </w:rPr>
        <w:t> </w:t>
      </w:r>
      <w:r>
        <w:rPr/>
        <w:t>socio-capitalista-industrial.</w:t>
      </w:r>
    </w:p>
    <w:p>
      <w:pPr>
        <w:pStyle w:val="BodyText"/>
        <w:spacing w:line="360" w:lineRule="auto" w:before="2"/>
        <w:ind w:left="684" w:right="114" w:firstLine="336"/>
        <w:jc w:val="both"/>
      </w:pPr>
      <w:r>
        <w:rPr/>
        <w:t>El placer que proporcionan los sentidos es una facultad irrenunciable del ser humano, las sensaciones y emociones que los sentidos provocan son irreemplazables. La satisfacción personal que provoca el gusto estético es parte  de la necesidad de las personas y es a partir de esta característica de los seres humanos que la televisión, como invento extraordinario del siglo XX, ha logrado encantar a las masas. Sin embargo, su capacidad para mostrar la naturaleza, para exhibir el arte auténtico, para demostrar la cultura en todas sus dimensiones cómo acerbo de la humanidad y las manifestaciones del hombre envueltas en una </w:t>
      </w:r>
      <w:r>
        <w:rPr>
          <w:spacing w:val="57"/>
        </w:rPr>
        <w:t> </w:t>
      </w:r>
      <w:r>
        <w:rPr/>
        <w:t>ética</w:t>
      </w:r>
    </w:p>
    <w:p>
      <w:pPr>
        <w:spacing w:after="0" w:line="360" w:lineRule="auto"/>
        <w:jc w:val="both"/>
        <w:sectPr>
          <w:pgSz w:w="12240" w:h="15840"/>
          <w:pgMar w:header="0" w:footer="878" w:top="520" w:bottom="1060" w:left="1300" w:right="1300"/>
        </w:sectPr>
      </w:pPr>
    </w:p>
    <w:p>
      <w:pPr>
        <w:pStyle w:val="Heading3"/>
      </w:pPr>
      <w:r>
        <w:rPr/>
        <w:pict>
          <v:line style="position:absolute;mso-position-horizontal-relative:page;mso-position-vertical-relative:paragraph;z-index:1072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pPr>
      <w:r>
        <w:rPr/>
        <w:t>presidida por su necesidad de trans-sobrevivencia, se ha atrofiado al quedar al servicio del mercado y el capitalismo.</w:t>
      </w:r>
    </w:p>
    <w:p>
      <w:pPr>
        <w:pStyle w:val="BodyText"/>
        <w:spacing w:line="360" w:lineRule="auto" w:before="8"/>
        <w:ind w:left="264" w:right="216" w:firstLine="336"/>
        <w:jc w:val="both"/>
      </w:pPr>
      <w:r>
        <w:rPr/>
        <w:t>La televisión como elemento importante en la reproducción del mundo material promovido por el capitalismo, ha jugado un papel relevante, ya que en un mundo de objetos, ésta los promueve e incorpora a la cotidianeidad de los televidentes y estos toman un lugar significativo que desplaza las necesidades de realización humana ante la expansión del mercado y el capital.</w:t>
      </w:r>
    </w:p>
    <w:p>
      <w:pPr>
        <w:pStyle w:val="BodyText"/>
        <w:spacing w:line="360" w:lineRule="auto" w:before="2"/>
        <w:ind w:left="264" w:right="212" w:firstLine="336"/>
        <w:jc w:val="both"/>
      </w:pPr>
      <w:r>
        <w:rPr/>
        <w:t>La eficacia del mundo televisivo ha promovido el carácter racional de la irracionalidad de este sistema que afecta notablemente a los seres humanos de todas las clases y grupos sociales, que se manifiesta en su capacidad de incrementar y difundir las comodidades, de convertir lo superfluo en necesidad. La civilización ha transformado al mundo en objeto, en extensión de la mente y el cuerpo del hombre, haciendo cuestionable hasta la noción misma de alienación.  La gente se reconoce en sus mercancías; por lo que posee, encuentra su satisfacción en el automóvil, en su aparato de alta fidelidad, su casa, su equipo de cocina, porque es el modelo a imitar sugerido por el mensaje televisivo. La televisión como aparato de control une el individuo a su sociedad, así el control social se ha incrustado en las nuevas necesidades que ha</w:t>
      </w:r>
      <w:r>
        <w:rPr>
          <w:spacing w:val="-37"/>
        </w:rPr>
        <w:t> </w:t>
      </w:r>
      <w:r>
        <w:rPr/>
        <w:t>producido.</w:t>
      </w:r>
    </w:p>
    <w:p>
      <w:pPr>
        <w:pStyle w:val="BodyText"/>
        <w:spacing w:line="360" w:lineRule="auto" w:before="6"/>
        <w:ind w:left="264" w:right="214" w:firstLine="336"/>
        <w:jc w:val="both"/>
      </w:pPr>
      <w:r>
        <w:rPr/>
        <w:t>De acuerdo con Adorno y Horkheimer, la industria cultural con su formulación seriada, con su estructura repetitiva y con su imagen llamativa que favorece la inercia e inactividad; se fundamenta en la ingenuidad, la credulidad o la mediocridad de los televidentes presentando contenidos frívolos, divertidos y aparentemente inocentes, pero peligrosos, en tanto acostumbran al individuo a no pensar, sólo mirar, a la simplificación intelectual, que es contraria a todo ejercicio racional del pensamiento, provocando la generación de una mentalidad adecuada para que los regímenes totalitarios, quienes utilizan este medio con eficacia para distraer a la población y disfrazar sus más cruentos actos de autoritarismo y opresión que se insertan en las personas llevándolas a actuar en deterioro de su propio beneficio.</w:t>
      </w:r>
    </w:p>
    <w:p>
      <w:pPr>
        <w:pStyle w:val="BodyText"/>
        <w:spacing w:line="362" w:lineRule="auto" w:before="2"/>
        <w:ind w:left="264" w:right="214" w:firstLine="336"/>
        <w:jc w:val="both"/>
      </w:pPr>
      <w:r>
        <w:rPr/>
        <w:t>La sociedad en algunos casos está consciente de que la programación presentada por  el ente televisivo está muy  lejos  de ser  la forma  más  adecuada</w:t>
      </w:r>
    </w:p>
    <w:p>
      <w:pPr>
        <w:spacing w:after="0" w:line="362" w:lineRule="auto"/>
        <w:jc w:val="both"/>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74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3"/>
        <w:jc w:val="both"/>
      </w:pPr>
      <w:r>
        <w:rPr/>
        <w:t>para su crecimiento, sin embargo, no hace nada para evitarla. Por otro lado, en la mayoría de la población la percepción de la televisión como elemento enajenante no se percibe. Por lo tanto, si la televisión se distingue desde su origen por su capacidad de traspasar fronteras, de unificar ideas (aún de diferente idioma, </w:t>
      </w:r>
      <w:r>
        <w:rPr>
          <w:spacing w:val="-3"/>
        </w:rPr>
        <w:t>ya </w:t>
      </w:r>
      <w:r>
        <w:rPr/>
        <w:t>que la imagen no requiere muchas explicaciones por la información implícita en la misma) también tiene el potencial para establecer agendas de discusión entre la población, e imponer símbolos e iconos </w:t>
      </w:r>
      <w:r>
        <w:rPr>
          <w:spacing w:val="-3"/>
        </w:rPr>
        <w:t>ya </w:t>
      </w:r>
      <w:r>
        <w:rPr/>
        <w:t>sea políticos, religiosos o del espectáculo. Su función es dar coherencia a la dinámica</w:t>
      </w:r>
      <w:r>
        <w:rPr>
          <w:spacing w:val="-29"/>
        </w:rPr>
        <w:t> </w:t>
      </w:r>
      <w:r>
        <w:rPr/>
        <w:t>social.</w:t>
      </w:r>
    </w:p>
    <w:p>
      <w:pPr>
        <w:pStyle w:val="BodyText"/>
        <w:spacing w:line="360" w:lineRule="auto" w:before="6"/>
        <w:ind w:left="684" w:right="116" w:firstLine="348"/>
        <w:jc w:val="both"/>
      </w:pPr>
      <w:r>
        <w:rPr/>
        <w:t>El estudio realizado demuestra el carácter mítico que la población ha  concedido a la televisión, su mensaje es en algunos casos de tal incidencia, que conforma en su totalidad la racionalidad de los grupos sociales. Su presencia da sentido a la realidad, se constituye en el elemento por excelencia para conformar el imaginario colectivo, asimismo es un vínculo de conexión con la realidad y la fuente principal de principios para su interpretación, como afirma Joan</w:t>
      </w:r>
      <w:r>
        <w:rPr>
          <w:spacing w:val="-33"/>
        </w:rPr>
        <w:t> </w:t>
      </w:r>
      <w:r>
        <w:rPr/>
        <w:t>Ferres.</w:t>
      </w:r>
    </w:p>
    <w:p>
      <w:pPr>
        <w:pStyle w:val="BodyText"/>
        <w:spacing w:line="360" w:lineRule="auto" w:before="6"/>
        <w:ind w:left="684" w:right="116" w:firstLine="271"/>
        <w:jc w:val="both"/>
      </w:pPr>
      <w:r>
        <w:rPr/>
        <w:t>Ya que la televisión puede, paradójicamente, ocultar mostrando es necesario para la sociedad discernir y oponer al discurso televisivo una actitud crítica, dispuesta a leer entre líneas lo que no se dijo, ya que ésta muestra algo distinto de lo que tendría que mostrar, y hace algo diferente de lo que tiene que hacer, informar. A la vez, es necesario discernir cuando muestra algo verdadero, pero  que lo hace ver insignificante, porque así conviene o magnifica lo que pretende sea de importancia social, acorde con el sistema de control del</w:t>
      </w:r>
      <w:r>
        <w:rPr>
          <w:spacing w:val="-34"/>
        </w:rPr>
        <w:t> </w:t>
      </w:r>
      <w:r>
        <w:rPr/>
        <w:t>Estado.</w:t>
      </w:r>
    </w:p>
    <w:p>
      <w:pPr>
        <w:pStyle w:val="BodyText"/>
        <w:spacing w:line="360" w:lineRule="auto" w:before="2"/>
        <w:ind w:left="684" w:right="113" w:firstLine="336"/>
        <w:jc w:val="both"/>
      </w:pPr>
      <w:r>
        <w:rPr/>
        <w:t>La decodificación del mensaje mediático emitido por el ente televisivo, que establece una agenda formativa capaz de incidir en la facultad de elección de los individuos con tal fuerza que promueve proyectos de vida, establece marcos de opinión y modifica conductas, debe ser uno de los objetivos de la educación formal, que implica establecer como objeto de estudio la nueva alfabetización para el análisis y comprensión del lenguaje</w:t>
      </w:r>
      <w:r>
        <w:rPr>
          <w:spacing w:val="-21"/>
        </w:rPr>
        <w:t> </w:t>
      </w:r>
      <w:r>
        <w:rPr/>
        <w:t>televisivo.</w:t>
      </w:r>
    </w:p>
    <w:p>
      <w:pPr>
        <w:pStyle w:val="BodyText"/>
        <w:spacing w:line="360" w:lineRule="auto" w:before="2"/>
        <w:ind w:left="684" w:right="115" w:firstLine="336"/>
        <w:jc w:val="both"/>
      </w:pPr>
      <w:r>
        <w:rPr/>
        <w:t>El ser humano por naturaleza tiene la necesidad de la recreación. Así como de establecer marcos de devoción o interés que le den seguridad y sentido a su existencia. De ahí que es necesario, con la finalidad de propiciar acciones que llenen   espiritualmente   al   sujeto   humano,   provocar   espacios   estéticos  que</w:t>
      </w:r>
    </w:p>
    <w:p>
      <w:pPr>
        <w:pStyle w:val="BodyText"/>
        <w:spacing w:before="2"/>
        <w:ind w:left="684"/>
        <w:jc w:val="both"/>
      </w:pPr>
      <w:r>
        <w:rPr/>
        <w:t>favorezcan la sublimación (aspecto de la naturaleza humana que se ha obviado</w:t>
      </w:r>
    </w:p>
    <w:p>
      <w:pPr>
        <w:spacing w:after="0"/>
        <w:jc w:val="both"/>
        <w:sectPr>
          <w:pgSz w:w="12240" w:h="15840"/>
          <w:pgMar w:header="0" w:footer="878" w:top="520" w:bottom="1060" w:left="1300" w:right="1300"/>
        </w:sectPr>
      </w:pPr>
    </w:p>
    <w:p>
      <w:pPr>
        <w:pStyle w:val="Heading3"/>
      </w:pPr>
      <w:r>
        <w:rPr/>
        <w:pict>
          <v:line style="position:absolute;mso-position-horizontal-relative:page;mso-position-vertical-relative:paragraph;z-index:1076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4"/>
        <w:jc w:val="both"/>
      </w:pPr>
      <w:r>
        <w:rPr/>
        <w:t>ante el goce instantáneo y superfluo), este gusto estético como proceso de exaltación que lleva al individuo hacia intereses más elevados, que lo alejan de la violencia, la desubicación o la disociación que provoca la enajenación en que lo ha sumido la sociedad capitalista, canalizándolo a un nuevo y más aceptable destino. Desde la teoría de Fromm este impulso se sublima en la medida en que dimana hacia un nuevo fin, no sexual, erotizado, y se realiza en actos socialmente valorados, principalmente la actividad artística y la investigación intelectual.</w:t>
      </w:r>
    </w:p>
    <w:p>
      <w:pPr>
        <w:pStyle w:val="BodyText"/>
        <w:spacing w:line="360" w:lineRule="auto" w:before="2"/>
        <w:ind w:left="264" w:right="213" w:firstLine="604"/>
        <w:jc w:val="both"/>
      </w:pPr>
      <w:r>
        <w:rPr/>
        <w:t>En este estado de cosas la recuperación de la necesidad de la trascendencia o de la trans-sobrevivencia como la llama Fromm, o sea el desarrollo de la fase espiritual del ser humano que lo estimula para la búsqueda de lo que está más allá de su experiencia material; debe ser el eje de orientación que lo lleve hacia un mundo que encauce su humanidad, en función del desarrollo de la otredad, misma que se define en función de la sociedad a la que pertenece, que lo lleve a transformar su concepto de lo que es la esencia humana.</w:t>
      </w:r>
    </w:p>
    <w:p>
      <w:pPr>
        <w:pStyle w:val="BodyText"/>
        <w:spacing w:line="360" w:lineRule="auto" w:before="2"/>
        <w:ind w:left="264" w:right="213" w:firstLine="336"/>
        <w:jc w:val="both"/>
      </w:pPr>
      <w:r>
        <w:rPr/>
        <w:t>Y </w:t>
      </w:r>
      <w:r>
        <w:rPr>
          <w:spacing w:val="-3"/>
        </w:rPr>
        <w:t>ya </w:t>
      </w:r>
      <w:r>
        <w:rPr/>
        <w:t>que la televisión ha hecho del hombre un homo </w:t>
      </w:r>
      <w:r>
        <w:rPr>
          <w:i/>
        </w:rPr>
        <w:t>consumens</w:t>
      </w:r>
      <w:r>
        <w:rPr/>
        <w:t>, desprovisto de su ser por tener, es importante exigir a los poderes públicos que denuncien sobre este fenómeno de difusión de contenidos audiovisuales en la televisión que contienen escasa o nula calidad ética y/o estética que dificultan el desarrollo armónico de la personalidad de los infantes y además contribuyen a la extensión de la violencia. Asimismo es preciso tomar medidas para instar para que los contenidos televisivos fomenten el sentimiento de ciudadanía mundial y acciones para salvaguarda la libertad, la paz, la vida y los valores que procuren la conservación de la humanidad en un estado de justicia y no</w:t>
      </w:r>
      <w:r>
        <w:rPr>
          <w:spacing w:val="-33"/>
        </w:rPr>
        <w:t> </w:t>
      </w:r>
      <w:r>
        <w:rPr/>
        <w:t>violencia.</w:t>
      </w:r>
    </w:p>
    <w:p>
      <w:pPr>
        <w:pStyle w:val="BodyText"/>
        <w:spacing w:line="360" w:lineRule="auto" w:before="2"/>
        <w:ind w:left="264" w:right="218" w:firstLine="404"/>
        <w:jc w:val="both"/>
      </w:pPr>
      <w:r>
        <w:rPr/>
        <w:t>Por otro lado a partir de la investigación se ha confirmado la influencia de la televisión en diferentes ámbitos de la vida de los seres humanos, que implica no sólo a nivel de conciencia, sino a nivel corporal. Situación que se deriva del hecho de que para ver televisión es necesario que el individuo se encuentre inactivo corporalmente, provocando una disminución del movimiento, y si bien el ser humano necesita descanso también es cierto que el cuerpo humano está hecho para el movimiento y no para la inactividad. Estas conductas impuestas a la vida del ciudadano del siglo XX han disminuido su desgaste de energía incorporando</w:t>
      </w:r>
    </w:p>
    <w:p>
      <w:pPr>
        <w:spacing w:after="0" w:line="360" w:lineRule="auto"/>
        <w:jc w:val="both"/>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79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60" w:lineRule="auto" w:before="70"/>
        <w:ind w:left="684" w:right="116"/>
        <w:jc w:val="both"/>
      </w:pPr>
      <w:r>
        <w:rPr/>
        <w:t>nuevos hábitos de vida y alimenticios (inducidos por el mensaje televisivo) que han originado las enfermedades del siglo, que en su mayor parte tienen que ver con problemas nutricionales y cardiovasculares. Y considerando que la televisión si influye en nuestra libertad de movimiento, una de las sugerencias de los especialistas es que si se pasa mucho tiempo mirando la televisión se debe procurar hacer ejercicio simultáneamente. Este pequeño cambio puede contribuir  a mejorar la salud y tener una mejor calidad de</w:t>
      </w:r>
      <w:r>
        <w:rPr>
          <w:spacing w:val="-29"/>
        </w:rPr>
        <w:t> </w:t>
      </w:r>
      <w:r>
        <w:rPr/>
        <w:t>vida.</w:t>
      </w:r>
    </w:p>
    <w:p>
      <w:pPr>
        <w:pStyle w:val="BodyText"/>
        <w:spacing w:line="360" w:lineRule="auto" w:before="2"/>
        <w:ind w:left="684" w:right="113" w:firstLine="336"/>
        <w:jc w:val="both"/>
      </w:pPr>
      <w:r>
        <w:rPr/>
        <w:t>Es preciso orientar a la sociedad hacia medios diferentes de recreación que desplacen la inactividad de ver televisión. Despertar el interés por la trascendencia a través de la creación artística por medio de nuevos enfoques en la educación estética, ya que el goce estético es primordial para la realización plena del individuo. Es necesario reconocer que la catarsis que ofrece el arte proporciona bienestar duradero al individuo, y esto no lo ha logrado la televisión.</w:t>
      </w:r>
    </w:p>
    <w:p>
      <w:pPr>
        <w:spacing w:after="0" w:line="360" w:lineRule="auto"/>
        <w:jc w:val="both"/>
        <w:sectPr>
          <w:pgSz w:w="12240" w:h="15840"/>
          <w:pgMar w:header="0" w:footer="878" w:top="520" w:bottom="1060" w:left="1300" w:right="1300"/>
        </w:sectPr>
      </w:pPr>
    </w:p>
    <w:p>
      <w:pPr>
        <w:pStyle w:val="Heading3"/>
      </w:pPr>
      <w:r>
        <w:rPr/>
        <w:pict>
          <v:line style="position:absolute;mso-position-horizontal-relative:page;mso-position-vertical-relative:paragraph;z-index:10816" from="546.470032pt,2.397331pt" to="546.470032pt,30.622331pt" stroked="true" strokeweight=".60004pt" strokecolor="#000000">
            <w10:wrap type="none"/>
          </v:line>
        </w:pict>
      </w:r>
      <w:r>
        <w:rPr>
          <w:w w:val="75"/>
        </w:rPr>
        <w:t>El condicionamiento de la libertad ante la influencia de la televisión</w:t>
      </w:r>
    </w:p>
    <w:p>
      <w:pPr>
        <w:spacing w:after="0"/>
        <w:sectPr>
          <w:pgSz w:w="12240" w:h="15840"/>
          <w:pgMar w:header="0" w:footer="878" w:top="520" w:bottom="1060" w:left="1720" w:right="1200"/>
        </w:sectPr>
      </w:pPr>
    </w:p>
    <w:p>
      <w:pPr>
        <w:pStyle w:val="BodyText"/>
        <w:tabs>
          <w:tab w:pos="7214" w:val="left" w:leader="none"/>
        </w:tabs>
        <w:spacing w:before="36"/>
        <w:ind w:left="224"/>
        <w:rPr>
          <w:rFonts w:ascii="Cambria" w:hAnsi="Cambria"/>
        </w:rPr>
      </w:pPr>
      <w:r>
        <w:rPr/>
        <w:pict>
          <v:line style="position:absolute;mso-position-horizontal-relative:page;mso-position-vertical-relative:paragraph;z-index:1084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Heading1"/>
        <w:spacing w:before="196"/>
        <w:ind w:left="1567"/>
      </w:pPr>
      <w:bookmarkStart w:name="_TOC_250002" w:id="22"/>
      <w:bookmarkEnd w:id="22"/>
      <w:r>
        <w:rPr/>
        <w:t>BIBLIOGRAFÍA</w:t>
      </w:r>
    </w:p>
    <w:p>
      <w:pPr>
        <w:spacing w:after="0"/>
        <w:sectPr>
          <w:pgSz w:w="12240" w:h="15840"/>
          <w:pgMar w:header="0" w:footer="878" w:top="520" w:bottom="1060" w:left="1300" w:right="1720"/>
        </w:sectPr>
      </w:pPr>
    </w:p>
    <w:p>
      <w:pPr>
        <w:pStyle w:val="Heading3"/>
      </w:pPr>
      <w:r>
        <w:rPr/>
        <w:pict>
          <v:line style="position:absolute;mso-position-horizontal-relative:page;mso-position-vertical-relative:paragraph;z-index:1086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spacing w:line="362" w:lineRule="auto" w:before="201"/>
        <w:ind w:left="264" w:right="791" w:firstLine="0"/>
        <w:jc w:val="left"/>
        <w:rPr>
          <w:sz w:val="24"/>
        </w:rPr>
      </w:pPr>
      <w:r>
        <w:rPr>
          <w:sz w:val="24"/>
        </w:rPr>
        <w:t>ARANA, Juan, </w:t>
      </w:r>
      <w:r>
        <w:rPr>
          <w:i/>
          <w:sz w:val="24"/>
        </w:rPr>
        <w:t>Los filósofos y la libertad: necesidad natural y autonomía de la </w:t>
      </w:r>
      <w:r>
        <w:rPr>
          <w:i/>
          <w:sz w:val="24"/>
        </w:rPr>
        <w:t>voluntad,  </w:t>
      </w:r>
      <w:r>
        <w:rPr>
          <w:sz w:val="24"/>
        </w:rPr>
        <w:t>Síntesis, Madrid, 2005.</w:t>
      </w:r>
    </w:p>
    <w:p>
      <w:pPr>
        <w:tabs>
          <w:tab w:pos="3505" w:val="left" w:leader="none"/>
        </w:tabs>
        <w:spacing w:line="362" w:lineRule="auto" w:before="0"/>
        <w:ind w:left="264" w:right="220" w:firstLine="0"/>
        <w:jc w:val="left"/>
        <w:rPr>
          <w:sz w:val="24"/>
        </w:rPr>
      </w:pPr>
      <w:r>
        <w:rPr>
          <w:sz w:val="24"/>
        </w:rPr>
        <w:t>AHUMADA</w:t>
      </w:r>
      <w:r>
        <w:rPr>
          <w:spacing w:val="28"/>
          <w:sz w:val="24"/>
        </w:rPr>
        <w:t> </w:t>
      </w:r>
      <w:r>
        <w:rPr>
          <w:sz w:val="24"/>
        </w:rPr>
        <w:t>Barajas,</w:t>
      </w:r>
      <w:r>
        <w:rPr>
          <w:spacing w:val="29"/>
          <w:sz w:val="24"/>
        </w:rPr>
        <w:t> </w:t>
      </w:r>
      <w:r>
        <w:rPr>
          <w:sz w:val="24"/>
        </w:rPr>
        <w:t>Rafael,</w:t>
        <w:tab/>
      </w:r>
      <w:r>
        <w:rPr>
          <w:i/>
          <w:sz w:val="24"/>
        </w:rPr>
        <w:t>T. V. Su influencia  en  la  percepción de</w:t>
      </w:r>
      <w:r>
        <w:rPr>
          <w:i/>
          <w:spacing w:val="57"/>
          <w:sz w:val="24"/>
        </w:rPr>
        <w:t> </w:t>
      </w:r>
      <w:r>
        <w:rPr>
          <w:i/>
          <w:sz w:val="24"/>
        </w:rPr>
        <w:t>la</w:t>
      </w:r>
      <w:r>
        <w:rPr>
          <w:i/>
          <w:spacing w:val="30"/>
          <w:sz w:val="24"/>
        </w:rPr>
        <w:t> </w:t>
      </w:r>
      <w:r>
        <w:rPr>
          <w:i/>
          <w:sz w:val="24"/>
        </w:rPr>
        <w:t>realidad</w:t>
      </w:r>
      <w:r>
        <w:rPr>
          <w:i/>
          <w:w w:val="99"/>
          <w:sz w:val="24"/>
        </w:rPr>
        <w:t> </w:t>
      </w:r>
      <w:r>
        <w:rPr>
          <w:i/>
          <w:sz w:val="24"/>
        </w:rPr>
        <w:t>social, </w:t>
      </w:r>
      <w:r>
        <w:rPr>
          <w:sz w:val="24"/>
        </w:rPr>
        <w:t>UNAM, Facultad de Estudios Superiores Aragón, México,</w:t>
      </w:r>
      <w:r>
        <w:rPr>
          <w:spacing w:val="-29"/>
          <w:sz w:val="24"/>
        </w:rPr>
        <w:t> </w:t>
      </w:r>
      <w:r>
        <w:rPr>
          <w:sz w:val="24"/>
        </w:rPr>
        <w:t>2007.</w:t>
      </w:r>
    </w:p>
    <w:p>
      <w:pPr>
        <w:spacing w:line="275" w:lineRule="exact" w:before="0"/>
        <w:ind w:left="264" w:right="0" w:firstLine="0"/>
        <w:jc w:val="left"/>
        <w:rPr>
          <w:sz w:val="24"/>
        </w:rPr>
      </w:pPr>
      <w:r>
        <w:rPr>
          <w:sz w:val="24"/>
        </w:rPr>
        <w:t>BAUMAN, Zygmunt, </w:t>
      </w:r>
      <w:r>
        <w:rPr>
          <w:i/>
          <w:sz w:val="24"/>
        </w:rPr>
        <w:t>Ética Posmoderna</w:t>
      </w:r>
      <w:r>
        <w:rPr>
          <w:sz w:val="24"/>
        </w:rPr>
        <w:t>, Siglo XXI, 2a. Ed. México, 2006.</w:t>
      </w:r>
    </w:p>
    <w:p>
      <w:pPr>
        <w:tabs>
          <w:tab w:pos="2131" w:val="left" w:leader="none"/>
        </w:tabs>
        <w:spacing w:before="140"/>
        <w:ind w:left="264" w:right="0" w:firstLine="0"/>
        <w:jc w:val="left"/>
        <w:rPr>
          <w:sz w:val="24"/>
        </w:rPr>
      </w:pPr>
      <w:r>
        <w:rPr>
          <w:w w:val="100"/>
          <w:sz w:val="24"/>
          <w:u w:val="single"/>
        </w:rPr>
        <w:t> </w:t>
      </w:r>
      <w:r>
        <w:rPr>
          <w:sz w:val="24"/>
          <w:u w:val="single"/>
        </w:rPr>
        <w:tab/>
      </w:r>
      <w:r>
        <w:rPr>
          <w:sz w:val="24"/>
        </w:rPr>
        <w:t>_, </w:t>
      </w:r>
      <w:r>
        <w:rPr>
          <w:i/>
          <w:sz w:val="24"/>
        </w:rPr>
        <w:t>Tiempos Líquidos</w:t>
      </w:r>
      <w:r>
        <w:rPr>
          <w:sz w:val="24"/>
        </w:rPr>
        <w:t>, Tusquets Editores, México,</w:t>
      </w:r>
      <w:r>
        <w:rPr>
          <w:spacing w:val="-23"/>
          <w:sz w:val="24"/>
        </w:rPr>
        <w:t> </w:t>
      </w:r>
      <w:r>
        <w:rPr>
          <w:sz w:val="24"/>
        </w:rPr>
        <w:t>2009.</w:t>
      </w:r>
    </w:p>
    <w:p>
      <w:pPr>
        <w:tabs>
          <w:tab w:pos="2395" w:val="left" w:leader="none"/>
        </w:tabs>
        <w:spacing w:before="136"/>
        <w:ind w:left="264" w:right="0" w:firstLine="0"/>
        <w:jc w:val="left"/>
        <w:rPr>
          <w:sz w:val="24"/>
        </w:rPr>
      </w:pPr>
      <w:r>
        <w:rPr>
          <w:w w:val="100"/>
          <w:sz w:val="24"/>
          <w:u w:val="single"/>
        </w:rPr>
        <w:t> </w:t>
      </w:r>
      <w:r>
        <w:rPr>
          <w:sz w:val="24"/>
          <w:u w:val="single"/>
        </w:rPr>
        <w:tab/>
      </w:r>
      <w:r>
        <w:rPr>
          <w:sz w:val="24"/>
        </w:rPr>
        <w:t>, </w:t>
      </w:r>
      <w:r>
        <w:rPr>
          <w:i/>
          <w:sz w:val="24"/>
        </w:rPr>
        <w:t>Vida Líquida</w:t>
      </w:r>
      <w:r>
        <w:rPr>
          <w:sz w:val="24"/>
        </w:rPr>
        <w:t>, Paidós, Barcelona,</w:t>
      </w:r>
      <w:r>
        <w:rPr>
          <w:spacing w:val="-14"/>
          <w:sz w:val="24"/>
        </w:rPr>
        <w:t> </w:t>
      </w:r>
      <w:r>
        <w:rPr>
          <w:sz w:val="24"/>
        </w:rPr>
        <w:t>2006.</w:t>
      </w:r>
    </w:p>
    <w:p>
      <w:pPr>
        <w:spacing w:before="140"/>
        <w:ind w:left="264" w:right="0" w:firstLine="0"/>
        <w:jc w:val="left"/>
        <w:rPr>
          <w:sz w:val="24"/>
        </w:rPr>
      </w:pPr>
      <w:r>
        <w:rPr>
          <w:sz w:val="24"/>
        </w:rPr>
        <w:t>BAUDRILLARD, Jean, </w:t>
      </w:r>
      <w:r>
        <w:rPr>
          <w:i/>
          <w:sz w:val="24"/>
        </w:rPr>
        <w:t>La transparencia del mal</w:t>
      </w:r>
      <w:r>
        <w:rPr>
          <w:sz w:val="24"/>
        </w:rPr>
        <w:t>, Anagrama, Barcelona, 2001.</w:t>
      </w:r>
    </w:p>
    <w:p>
      <w:pPr>
        <w:tabs>
          <w:tab w:pos="2529" w:val="left" w:leader="none"/>
          <w:tab w:pos="3410" w:val="left" w:leader="none"/>
        </w:tabs>
        <w:spacing w:line="362" w:lineRule="auto" w:before="136"/>
        <w:ind w:left="264" w:right="335" w:firstLine="0"/>
        <w:jc w:val="left"/>
        <w:rPr>
          <w:sz w:val="24"/>
        </w:rPr>
      </w:pPr>
      <w:r>
        <w:rPr>
          <w:w w:val="100"/>
          <w:sz w:val="24"/>
          <w:u w:val="single"/>
        </w:rPr>
        <w:t> </w:t>
      </w:r>
      <w:r>
        <w:rPr>
          <w:sz w:val="24"/>
          <w:u w:val="single"/>
        </w:rPr>
        <w:tab/>
      </w:r>
      <w:r>
        <w:rPr>
          <w:sz w:val="24"/>
        </w:rPr>
        <w:t>, </w:t>
      </w:r>
      <w:r>
        <w:rPr>
          <w:i/>
          <w:sz w:val="24"/>
        </w:rPr>
        <w:t>El sistema de los objetos, </w:t>
      </w:r>
      <w:r>
        <w:rPr>
          <w:sz w:val="24"/>
        </w:rPr>
        <w:t>Siglo XXI,</w:t>
      </w:r>
      <w:r>
        <w:rPr>
          <w:spacing w:val="-13"/>
          <w:sz w:val="24"/>
        </w:rPr>
        <w:t> </w:t>
      </w:r>
      <w:r>
        <w:rPr>
          <w:sz w:val="24"/>
        </w:rPr>
        <w:t>México,</w:t>
      </w:r>
      <w:r>
        <w:rPr>
          <w:spacing w:val="-2"/>
          <w:sz w:val="24"/>
        </w:rPr>
        <w:t> </w:t>
      </w:r>
      <w:r>
        <w:rPr>
          <w:sz w:val="24"/>
        </w:rPr>
        <w:t>2010.</w:t>
      </w:r>
      <w:r>
        <w:rPr>
          <w:w w:val="100"/>
          <w:sz w:val="24"/>
        </w:rPr>
        <w:t> </w:t>
      </w:r>
      <w:r>
        <w:rPr>
          <w:sz w:val="24"/>
        </w:rPr>
        <w:t>BERLIN, Isaiah, ¿Qué</w:t>
      </w:r>
      <w:r>
        <w:rPr>
          <w:spacing w:val="-6"/>
          <w:sz w:val="24"/>
        </w:rPr>
        <w:t> </w:t>
      </w:r>
      <w:r>
        <w:rPr>
          <w:sz w:val="24"/>
        </w:rPr>
        <w:t>es</w:t>
      </w:r>
      <w:r>
        <w:rPr>
          <w:spacing w:val="-2"/>
          <w:sz w:val="24"/>
        </w:rPr>
        <w:t> </w:t>
      </w:r>
      <w:r>
        <w:rPr>
          <w:sz w:val="24"/>
        </w:rPr>
        <w:t>la</w:t>
        <w:tab/>
        <w:t>libertad política?, </w:t>
      </w:r>
      <w:r>
        <w:rPr>
          <w:i/>
          <w:sz w:val="24"/>
        </w:rPr>
        <w:t>Letras libres</w:t>
      </w:r>
      <w:r>
        <w:rPr>
          <w:sz w:val="24"/>
        </w:rPr>
        <w:t>, México, Año</w:t>
      </w:r>
      <w:r>
        <w:rPr>
          <w:spacing w:val="-30"/>
          <w:sz w:val="24"/>
        </w:rPr>
        <w:t> </w:t>
      </w:r>
      <w:r>
        <w:rPr>
          <w:sz w:val="24"/>
        </w:rPr>
        <w:t>VIII,</w:t>
      </w:r>
      <w:r>
        <w:rPr>
          <w:spacing w:val="-2"/>
          <w:sz w:val="24"/>
        </w:rPr>
        <w:t> </w:t>
      </w:r>
      <w:r>
        <w:rPr>
          <w:sz w:val="24"/>
        </w:rPr>
        <w:t>No.</w:t>
      </w:r>
      <w:r>
        <w:rPr>
          <w:w w:val="100"/>
          <w:sz w:val="24"/>
        </w:rPr>
        <w:t> </w:t>
      </w:r>
      <w:r>
        <w:rPr>
          <w:sz w:val="24"/>
        </w:rPr>
        <w:t>91.</w:t>
      </w:r>
    </w:p>
    <w:p>
      <w:pPr>
        <w:spacing w:line="276" w:lineRule="exact" w:before="0"/>
        <w:ind w:left="264" w:right="0" w:firstLine="0"/>
        <w:jc w:val="left"/>
        <w:rPr>
          <w:sz w:val="24"/>
        </w:rPr>
      </w:pPr>
      <w:r>
        <w:rPr>
          <w:sz w:val="24"/>
        </w:rPr>
        <w:t>BOURDIEU, Pierre, </w:t>
      </w:r>
      <w:r>
        <w:rPr>
          <w:i/>
          <w:sz w:val="24"/>
        </w:rPr>
        <w:t>Sobre la televisión</w:t>
      </w:r>
      <w:r>
        <w:rPr>
          <w:sz w:val="24"/>
        </w:rPr>
        <w:t>, Anagrama, Barcelona, 1997.</w:t>
      </w:r>
    </w:p>
    <w:p>
      <w:pPr>
        <w:spacing w:line="364" w:lineRule="auto" w:before="136"/>
        <w:ind w:left="264" w:right="0" w:firstLine="0"/>
        <w:jc w:val="left"/>
        <w:rPr>
          <w:sz w:val="24"/>
        </w:rPr>
      </w:pPr>
      <w:r>
        <w:rPr>
          <w:sz w:val="24"/>
        </w:rPr>
        <w:t>BUCKLEY, Tom, </w:t>
      </w:r>
      <w:r>
        <w:rPr>
          <w:i/>
          <w:sz w:val="24"/>
        </w:rPr>
        <w:t>Vecinos violentos. </w:t>
      </w:r>
      <w:r>
        <w:rPr>
          <w:sz w:val="24"/>
        </w:rPr>
        <w:t>Traducción Angélika Sherp, Edivisión, México, 1986.</w:t>
      </w:r>
    </w:p>
    <w:p>
      <w:pPr>
        <w:spacing w:line="362" w:lineRule="auto" w:before="0"/>
        <w:ind w:left="264" w:right="0" w:firstLine="0"/>
        <w:jc w:val="left"/>
        <w:rPr>
          <w:sz w:val="24"/>
        </w:rPr>
      </w:pPr>
      <w:r>
        <w:rPr>
          <w:sz w:val="24"/>
        </w:rPr>
        <w:t>BUENO, Gustavo, </w:t>
      </w:r>
      <w:r>
        <w:rPr>
          <w:i/>
          <w:sz w:val="24"/>
        </w:rPr>
        <w:t>Televisión: Apariencia y Verdad</w:t>
      </w:r>
      <w:r>
        <w:rPr>
          <w:sz w:val="24"/>
        </w:rPr>
        <w:t>, Gedisa, Barcelona, 2000. CASSIRER, Ernst, </w:t>
      </w:r>
      <w:r>
        <w:rPr>
          <w:i/>
          <w:sz w:val="24"/>
        </w:rPr>
        <w:t>Antropología Filosófica</w:t>
      </w:r>
      <w:r>
        <w:rPr>
          <w:sz w:val="24"/>
        </w:rPr>
        <w:t>, Fondo de Cultura Económica, México, 1982</w:t>
      </w:r>
    </w:p>
    <w:p>
      <w:pPr>
        <w:tabs>
          <w:tab w:pos="2127" w:val="left" w:leader="none"/>
          <w:tab w:pos="2461" w:val="left" w:leader="none"/>
        </w:tabs>
        <w:spacing w:line="362" w:lineRule="auto" w:before="0"/>
        <w:ind w:left="264" w:right="215" w:firstLine="0"/>
        <w:jc w:val="left"/>
        <w:rPr>
          <w:sz w:val="24"/>
        </w:rPr>
      </w:pPr>
      <w:r>
        <w:rPr>
          <w:w w:val="100"/>
          <w:sz w:val="24"/>
          <w:u w:val="single"/>
        </w:rPr>
        <w:t> </w:t>
      </w:r>
      <w:r>
        <w:rPr>
          <w:sz w:val="24"/>
          <w:u w:val="single"/>
        </w:rPr>
        <w:tab/>
      </w:r>
      <w:r>
        <w:rPr>
          <w:sz w:val="24"/>
        </w:rPr>
        <w:t>,</w:t>
        <w:tab/>
      </w:r>
      <w:r>
        <w:rPr>
          <w:i/>
          <w:sz w:val="24"/>
        </w:rPr>
        <w:t>El  mito  del  estado,  </w:t>
      </w:r>
      <w:r>
        <w:rPr>
          <w:sz w:val="24"/>
        </w:rPr>
        <w:t>Fondo  de  Cultura</w:t>
      </w:r>
      <w:r>
        <w:rPr>
          <w:spacing w:val="40"/>
          <w:sz w:val="24"/>
        </w:rPr>
        <w:t> </w:t>
      </w:r>
      <w:r>
        <w:rPr>
          <w:sz w:val="24"/>
        </w:rPr>
        <w:t>Económica,  México,</w:t>
      </w:r>
      <w:r>
        <w:rPr>
          <w:w w:val="100"/>
          <w:sz w:val="24"/>
        </w:rPr>
        <w:t> </w:t>
      </w:r>
      <w:r>
        <w:rPr>
          <w:sz w:val="24"/>
        </w:rPr>
        <w:t>1985.</w:t>
      </w:r>
    </w:p>
    <w:p>
      <w:pPr>
        <w:tabs>
          <w:tab w:pos="5020" w:val="left" w:leader="none"/>
          <w:tab w:pos="5796" w:val="left" w:leader="none"/>
        </w:tabs>
        <w:spacing w:line="357" w:lineRule="auto" w:before="0"/>
        <w:ind w:left="264" w:right="222" w:firstLine="0"/>
        <w:jc w:val="left"/>
        <w:rPr>
          <w:sz w:val="24"/>
        </w:rPr>
      </w:pPr>
      <w:r>
        <w:rPr>
          <w:sz w:val="24"/>
        </w:rPr>
        <w:t>CERUTTI  Guldberg, </w:t>
      </w:r>
      <w:r>
        <w:rPr>
          <w:spacing w:val="19"/>
          <w:sz w:val="24"/>
        </w:rPr>
        <w:t> </w:t>
      </w:r>
      <w:r>
        <w:rPr>
          <w:sz w:val="24"/>
        </w:rPr>
        <w:t>Horacio, </w:t>
      </w:r>
      <w:r>
        <w:rPr>
          <w:spacing w:val="15"/>
          <w:sz w:val="24"/>
        </w:rPr>
        <w:t> </w:t>
      </w:r>
      <w:r>
        <w:rPr>
          <w:i/>
          <w:sz w:val="24"/>
        </w:rPr>
        <w:t>Filosofías</w:t>
        <w:tab/>
        <w:t>para</w:t>
        <w:tab/>
        <w:t>la  liberación, </w:t>
      </w:r>
      <w:r>
        <w:rPr>
          <w:i/>
          <w:spacing w:val="22"/>
          <w:sz w:val="24"/>
        </w:rPr>
        <w:t> </w:t>
      </w:r>
      <w:r>
        <w:rPr>
          <w:i/>
          <w:sz w:val="24"/>
        </w:rPr>
        <w:t>¿Liberación </w:t>
      </w:r>
      <w:r>
        <w:rPr>
          <w:i/>
          <w:spacing w:val="8"/>
          <w:sz w:val="24"/>
        </w:rPr>
        <w:t> </w:t>
      </w:r>
      <w:r>
        <w:rPr>
          <w:i/>
          <w:sz w:val="24"/>
        </w:rPr>
        <w:t>del</w:t>
      </w:r>
      <w:r>
        <w:rPr>
          <w:i/>
          <w:w w:val="99"/>
          <w:sz w:val="24"/>
        </w:rPr>
        <w:t> </w:t>
      </w:r>
      <w:r>
        <w:rPr>
          <w:i/>
          <w:sz w:val="24"/>
        </w:rPr>
        <w:t>filosofar?, </w:t>
      </w:r>
      <w:r>
        <w:rPr>
          <w:sz w:val="24"/>
        </w:rPr>
        <w:t>U A E M, México,</w:t>
      </w:r>
      <w:r>
        <w:rPr>
          <w:spacing w:val="-18"/>
          <w:sz w:val="24"/>
        </w:rPr>
        <w:t> </w:t>
      </w:r>
      <w:r>
        <w:rPr>
          <w:sz w:val="24"/>
        </w:rPr>
        <w:t>2001.</w:t>
      </w:r>
    </w:p>
    <w:p>
      <w:pPr>
        <w:spacing w:line="362" w:lineRule="auto" w:before="9"/>
        <w:ind w:left="264" w:right="0" w:firstLine="0"/>
        <w:jc w:val="left"/>
        <w:rPr>
          <w:sz w:val="24"/>
        </w:rPr>
      </w:pPr>
      <w:r>
        <w:rPr>
          <w:sz w:val="24"/>
        </w:rPr>
        <w:t>CONACYT, Revista </w:t>
      </w:r>
      <w:r>
        <w:rPr>
          <w:i/>
          <w:sz w:val="24"/>
        </w:rPr>
        <w:t>Ciencia y Desarrollo</w:t>
      </w:r>
      <w:r>
        <w:rPr>
          <w:sz w:val="24"/>
        </w:rPr>
        <w:t>, Enero-Febrero, 1985, Núm. 60, Año X, México, 1985.</w:t>
      </w:r>
    </w:p>
    <w:p>
      <w:pPr>
        <w:spacing w:line="362" w:lineRule="auto" w:before="0"/>
        <w:ind w:left="264" w:right="218" w:firstLine="0"/>
        <w:jc w:val="both"/>
        <w:rPr>
          <w:sz w:val="24"/>
        </w:rPr>
      </w:pPr>
      <w:r>
        <w:rPr>
          <w:sz w:val="24"/>
        </w:rPr>
        <w:t>CÓRDOVA, Arnaldo, </w:t>
      </w:r>
      <w:r>
        <w:rPr>
          <w:i/>
          <w:sz w:val="24"/>
        </w:rPr>
        <w:t>la ideología de la Revolución Mexicana, La formación del </w:t>
      </w:r>
      <w:r>
        <w:rPr>
          <w:i/>
          <w:sz w:val="24"/>
        </w:rPr>
        <w:t>nuevo régimen</w:t>
      </w:r>
      <w:r>
        <w:rPr>
          <w:sz w:val="24"/>
        </w:rPr>
        <w:t>, Instituto de Investigaciones Sociales de la UNAM, Era, México, 1978.</w:t>
      </w:r>
    </w:p>
    <w:p>
      <w:pPr>
        <w:tabs>
          <w:tab w:pos="1783" w:val="left" w:leader="none"/>
          <w:tab w:pos="2573" w:val="left" w:leader="none"/>
          <w:tab w:pos="4028" w:val="left" w:leader="none"/>
          <w:tab w:pos="4392" w:val="left" w:leader="none"/>
          <w:tab w:pos="5328" w:val="left" w:leader="none"/>
          <w:tab w:pos="6918" w:val="left" w:leader="none"/>
          <w:tab w:pos="7830" w:val="left" w:leader="none"/>
          <w:tab w:pos="8326" w:val="left" w:leader="none"/>
        </w:tabs>
        <w:spacing w:line="364" w:lineRule="auto" w:before="0"/>
        <w:ind w:left="264" w:right="218" w:firstLine="0"/>
        <w:jc w:val="left"/>
        <w:rPr>
          <w:sz w:val="24"/>
        </w:rPr>
      </w:pPr>
      <w:r>
        <w:rPr>
          <w:sz w:val="24"/>
        </w:rPr>
        <w:t>CREMOUX,</w:t>
        <w:tab/>
        <w:t>Raúl,</w:t>
        <w:tab/>
      </w:r>
      <w:r>
        <w:rPr>
          <w:i/>
          <w:sz w:val="24"/>
        </w:rPr>
        <w:t>¿Televisión</w:t>
        <w:tab/>
        <w:t>o</w:t>
        <w:tab/>
        <w:t>prisión</w:t>
        <w:tab/>
        <w:t>electrónica?,</w:t>
        <w:tab/>
      </w:r>
      <w:r>
        <w:rPr>
          <w:sz w:val="24"/>
        </w:rPr>
        <w:t>Fondo</w:t>
        <w:tab/>
        <w:t>de</w:t>
        <w:tab/>
      </w:r>
      <w:r>
        <w:rPr>
          <w:spacing w:val="-1"/>
          <w:sz w:val="24"/>
        </w:rPr>
        <w:t>Cultura </w:t>
      </w:r>
      <w:r>
        <w:rPr>
          <w:sz w:val="24"/>
        </w:rPr>
        <w:t>Económica, México,</w:t>
      </w:r>
      <w:r>
        <w:rPr>
          <w:spacing w:val="-14"/>
          <w:sz w:val="24"/>
        </w:rPr>
        <w:t> </w:t>
      </w:r>
      <w:r>
        <w:rPr>
          <w:sz w:val="24"/>
        </w:rPr>
        <w:t>1974.</w:t>
      </w:r>
    </w:p>
    <w:p>
      <w:pPr>
        <w:tabs>
          <w:tab w:pos="5388" w:val="left" w:leader="none"/>
        </w:tabs>
        <w:spacing w:line="269" w:lineRule="exact" w:before="0"/>
        <w:ind w:left="264" w:right="0" w:firstLine="0"/>
        <w:jc w:val="left"/>
        <w:rPr>
          <w:sz w:val="24"/>
        </w:rPr>
      </w:pPr>
      <w:r>
        <w:rPr>
          <w:sz w:val="24"/>
        </w:rPr>
        <w:t>CHOMSKY,  Noam, </w:t>
      </w:r>
      <w:r>
        <w:rPr>
          <w:i/>
          <w:sz w:val="24"/>
        </w:rPr>
        <w:t>La quinta</w:t>
      </w:r>
      <w:r>
        <w:rPr>
          <w:i/>
          <w:spacing w:val="-11"/>
          <w:sz w:val="24"/>
        </w:rPr>
        <w:t> </w:t>
      </w:r>
      <w:r>
        <w:rPr>
          <w:i/>
          <w:sz w:val="24"/>
        </w:rPr>
        <w:t>libertad, </w:t>
      </w:r>
      <w:r>
        <w:rPr>
          <w:sz w:val="24"/>
        </w:rPr>
        <w:t>Crítica,</w:t>
        <w:tab/>
        <w:t>Barcelona,</w:t>
      </w:r>
      <w:r>
        <w:rPr>
          <w:spacing w:val="-14"/>
          <w:sz w:val="24"/>
        </w:rPr>
        <w:t> </w:t>
      </w:r>
      <w:r>
        <w:rPr>
          <w:sz w:val="24"/>
        </w:rPr>
        <w:t>2003.</w:t>
      </w:r>
    </w:p>
    <w:p>
      <w:pPr>
        <w:spacing w:after="0" w:line="269" w:lineRule="exact"/>
        <w:jc w:val="left"/>
        <w:rPr>
          <w:sz w:val="24"/>
        </w:rPr>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88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18"/>
        </w:rPr>
      </w:pPr>
    </w:p>
    <w:p>
      <w:pPr>
        <w:tabs>
          <w:tab w:pos="2483" w:val="left" w:leader="none"/>
          <w:tab w:pos="2789" w:val="left" w:leader="none"/>
          <w:tab w:pos="6410" w:val="left" w:leader="none"/>
        </w:tabs>
        <w:spacing w:line="362" w:lineRule="auto" w:before="70"/>
        <w:ind w:left="684" w:right="119" w:firstLine="67"/>
        <w:jc w:val="left"/>
        <w:rPr>
          <w:sz w:val="24"/>
        </w:rPr>
      </w:pPr>
      <w:r>
        <w:rPr>
          <w:i/>
          <w:sz w:val="24"/>
          <w:u w:val="single"/>
        </w:rPr>
        <w:t> </w:t>
        <w:tab/>
      </w:r>
      <w:r>
        <w:rPr>
          <w:i/>
          <w:sz w:val="24"/>
        </w:rPr>
        <w:t>_,  Cómo  nos  venden  </w:t>
      </w:r>
      <w:r>
        <w:rPr>
          <w:i/>
          <w:spacing w:val="31"/>
          <w:sz w:val="24"/>
        </w:rPr>
        <w:t> </w:t>
      </w:r>
      <w:r>
        <w:rPr>
          <w:i/>
          <w:sz w:val="24"/>
        </w:rPr>
        <w:t>la </w:t>
      </w:r>
      <w:r>
        <w:rPr>
          <w:i/>
          <w:spacing w:val="26"/>
          <w:sz w:val="24"/>
        </w:rPr>
        <w:t> </w:t>
      </w:r>
      <w:r>
        <w:rPr>
          <w:i/>
          <w:sz w:val="24"/>
        </w:rPr>
        <w:t>moto,</w:t>
        <w:tab/>
      </w:r>
      <w:r>
        <w:rPr>
          <w:sz w:val="24"/>
        </w:rPr>
        <w:t>(Noam  Chomsky </w:t>
      </w:r>
      <w:r>
        <w:rPr>
          <w:spacing w:val="46"/>
          <w:sz w:val="24"/>
        </w:rPr>
        <w:t> </w:t>
      </w:r>
      <w:r>
        <w:rPr>
          <w:sz w:val="24"/>
        </w:rPr>
        <w:t>e </w:t>
      </w:r>
      <w:r>
        <w:rPr>
          <w:spacing w:val="25"/>
          <w:sz w:val="24"/>
        </w:rPr>
        <w:t> </w:t>
      </w:r>
      <w:r>
        <w:rPr>
          <w:sz w:val="24"/>
        </w:rPr>
        <w:t>Ignacio</w:t>
      </w:r>
      <w:r>
        <w:rPr>
          <w:w w:val="99"/>
          <w:sz w:val="24"/>
        </w:rPr>
        <w:t> </w:t>
      </w:r>
      <w:r>
        <w:rPr>
          <w:sz w:val="24"/>
        </w:rPr>
        <w:t>Ramonet),</w:t>
      </w:r>
      <w:r>
        <w:rPr>
          <w:spacing w:val="-3"/>
          <w:sz w:val="24"/>
        </w:rPr>
        <w:t> </w:t>
      </w:r>
      <w:r>
        <w:rPr>
          <w:sz w:val="24"/>
        </w:rPr>
        <w:t>Icaria,</w:t>
        <w:tab/>
        <w:t>Barcelona,</w:t>
      </w:r>
      <w:r>
        <w:rPr>
          <w:spacing w:val="-7"/>
          <w:sz w:val="24"/>
        </w:rPr>
        <w:t> </w:t>
      </w:r>
      <w:r>
        <w:rPr>
          <w:sz w:val="24"/>
        </w:rPr>
        <w:t>1995.</w:t>
      </w:r>
    </w:p>
    <w:p>
      <w:pPr>
        <w:tabs>
          <w:tab w:pos="2283" w:val="left" w:leader="none"/>
          <w:tab w:pos="4096" w:val="left" w:leader="none"/>
          <w:tab w:pos="7022" w:val="left" w:leader="none"/>
        </w:tabs>
        <w:spacing w:line="362" w:lineRule="auto" w:before="0"/>
        <w:ind w:left="684" w:right="114" w:firstLine="0"/>
        <w:jc w:val="left"/>
        <w:rPr>
          <w:sz w:val="24"/>
        </w:rPr>
      </w:pPr>
      <w:r>
        <w:rPr>
          <w:w w:val="100"/>
          <w:sz w:val="24"/>
          <w:u w:val="single"/>
        </w:rPr>
        <w:t> </w:t>
      </w:r>
      <w:r>
        <w:rPr>
          <w:sz w:val="24"/>
          <w:u w:val="single"/>
        </w:rPr>
        <w:tab/>
      </w:r>
      <w:r>
        <w:rPr>
          <w:sz w:val="24"/>
        </w:rPr>
        <w:t>_,   Artículo:   </w:t>
      </w:r>
      <w:r>
        <w:rPr>
          <w:i/>
          <w:sz w:val="24"/>
        </w:rPr>
        <w:t>Diez  estrategias  de  manipulación  </w:t>
      </w:r>
      <w:r>
        <w:rPr>
          <w:i/>
          <w:spacing w:val="3"/>
          <w:sz w:val="24"/>
        </w:rPr>
        <w:t> </w:t>
      </w:r>
      <w:r>
        <w:rPr>
          <w:i/>
          <w:sz w:val="24"/>
        </w:rPr>
        <w:t>masiva</w:t>
      </w:r>
      <w:r>
        <w:rPr>
          <w:sz w:val="24"/>
        </w:rPr>
        <w:t>, </w:t>
      </w:r>
      <w:r>
        <w:rPr>
          <w:spacing w:val="34"/>
          <w:sz w:val="24"/>
        </w:rPr>
        <w:t> </w:t>
      </w:r>
      <w:r>
        <w:rPr>
          <w:sz w:val="24"/>
        </w:rPr>
        <w:t>Revista</w:t>
      </w:r>
      <w:r>
        <w:rPr>
          <w:w w:val="99"/>
          <w:sz w:val="24"/>
        </w:rPr>
        <w:t> </w:t>
      </w:r>
      <w:r>
        <w:rPr>
          <w:sz w:val="24"/>
        </w:rPr>
        <w:t>Archipiélago,</w:t>
      </w:r>
      <w:r>
        <w:rPr>
          <w:spacing w:val="38"/>
          <w:sz w:val="24"/>
        </w:rPr>
        <w:t> </w:t>
      </w:r>
      <w:r>
        <w:rPr>
          <w:sz w:val="24"/>
        </w:rPr>
        <w:t>julio-septiembre</w:t>
        <w:tab/>
        <w:t>2011,  Núm.  73,</w:t>
      </w:r>
      <w:r>
        <w:rPr>
          <w:spacing w:val="-8"/>
          <w:sz w:val="24"/>
        </w:rPr>
        <w:t> </w:t>
      </w:r>
      <w:r>
        <w:rPr>
          <w:sz w:val="24"/>
        </w:rPr>
        <w:t>Año</w:t>
      </w:r>
      <w:r>
        <w:rPr>
          <w:spacing w:val="38"/>
          <w:sz w:val="24"/>
        </w:rPr>
        <w:t> </w:t>
      </w:r>
      <w:r>
        <w:rPr>
          <w:sz w:val="24"/>
        </w:rPr>
        <w:t>19,</w:t>
        <w:tab/>
        <w:t>CIALC-UNAM,</w:t>
      </w:r>
      <w:r>
        <w:rPr>
          <w:spacing w:val="32"/>
          <w:sz w:val="24"/>
        </w:rPr>
        <w:t> </w:t>
      </w:r>
      <w:r>
        <w:rPr>
          <w:sz w:val="24"/>
        </w:rPr>
        <w:t>México,</w:t>
      </w:r>
    </w:p>
    <w:p>
      <w:pPr>
        <w:pStyle w:val="BodyText"/>
        <w:spacing w:before="3"/>
        <w:ind w:left="684" w:right="114"/>
      </w:pPr>
      <w:r>
        <w:rPr/>
        <w:t>2011.</w:t>
      </w:r>
    </w:p>
    <w:p>
      <w:pPr>
        <w:tabs>
          <w:tab w:pos="2547" w:val="left" w:leader="none"/>
        </w:tabs>
        <w:spacing w:before="132"/>
        <w:ind w:left="684" w:right="114" w:firstLine="0"/>
        <w:jc w:val="left"/>
        <w:rPr>
          <w:sz w:val="24"/>
        </w:rPr>
      </w:pPr>
      <w:r>
        <w:rPr>
          <w:i/>
          <w:sz w:val="24"/>
          <w:u w:val="single"/>
        </w:rPr>
        <w:t> </w:t>
        <w:tab/>
      </w:r>
      <w:r>
        <w:rPr>
          <w:i/>
          <w:sz w:val="24"/>
        </w:rPr>
        <w:t>, El miedo a la democracia</w:t>
      </w:r>
      <w:r>
        <w:rPr>
          <w:sz w:val="24"/>
        </w:rPr>
        <w:t>,  Crítica, Barcelona,</w:t>
      </w:r>
      <w:r>
        <w:rPr>
          <w:spacing w:val="-16"/>
          <w:sz w:val="24"/>
        </w:rPr>
        <w:t> </w:t>
      </w:r>
      <w:r>
        <w:rPr>
          <w:sz w:val="24"/>
        </w:rPr>
        <w:t>2001.</w:t>
      </w:r>
    </w:p>
    <w:p>
      <w:pPr>
        <w:tabs>
          <w:tab w:pos="2547" w:val="left" w:leader="none"/>
        </w:tabs>
        <w:spacing w:before="140"/>
        <w:ind w:left="684" w:right="114" w:firstLine="0"/>
        <w:jc w:val="left"/>
        <w:rPr>
          <w:sz w:val="24"/>
        </w:rPr>
      </w:pPr>
      <w:r>
        <w:rPr>
          <w:i/>
          <w:sz w:val="24"/>
          <w:u w:val="single"/>
        </w:rPr>
        <w:t> </w:t>
        <w:tab/>
      </w:r>
      <w:r>
        <w:rPr>
          <w:i/>
          <w:sz w:val="24"/>
        </w:rPr>
        <w:t>, Cómo mantener a raya a la Plebe,  </w:t>
      </w:r>
      <w:r>
        <w:rPr>
          <w:sz w:val="24"/>
        </w:rPr>
        <w:t>Siglo XXI, México,</w:t>
      </w:r>
      <w:r>
        <w:rPr>
          <w:spacing w:val="-13"/>
          <w:sz w:val="24"/>
        </w:rPr>
        <w:t> </w:t>
      </w:r>
      <w:r>
        <w:rPr>
          <w:sz w:val="24"/>
        </w:rPr>
        <w:t>2002.</w:t>
      </w:r>
    </w:p>
    <w:p>
      <w:pPr>
        <w:tabs>
          <w:tab w:pos="2548" w:val="left" w:leader="none"/>
          <w:tab w:pos="4430" w:val="left" w:leader="none"/>
        </w:tabs>
        <w:spacing w:line="360" w:lineRule="auto" w:before="136"/>
        <w:ind w:left="684" w:right="119" w:firstLine="0"/>
        <w:jc w:val="left"/>
        <w:rPr>
          <w:sz w:val="24"/>
        </w:rPr>
      </w:pPr>
      <w:r>
        <w:rPr>
          <w:i/>
          <w:sz w:val="24"/>
          <w:u w:val="single"/>
        </w:rPr>
        <w:t> </w:t>
        <w:tab/>
      </w:r>
      <w:r>
        <w:rPr>
          <w:i/>
          <w:sz w:val="24"/>
        </w:rPr>
        <w:t>, La Propaganda y la opinión pública</w:t>
      </w:r>
      <w:r>
        <w:rPr>
          <w:sz w:val="24"/>
        </w:rPr>
        <w:t>, Crítica,</w:t>
      </w:r>
      <w:r>
        <w:rPr>
          <w:spacing w:val="-20"/>
          <w:sz w:val="24"/>
        </w:rPr>
        <w:t> </w:t>
      </w:r>
      <w:r>
        <w:rPr>
          <w:sz w:val="24"/>
        </w:rPr>
        <w:t>Barcelona,</w:t>
      </w:r>
      <w:r>
        <w:rPr>
          <w:spacing w:val="-3"/>
          <w:sz w:val="24"/>
        </w:rPr>
        <w:t> </w:t>
      </w:r>
      <w:r>
        <w:rPr>
          <w:sz w:val="24"/>
        </w:rPr>
        <w:t>2002.</w:t>
      </w:r>
      <w:r>
        <w:rPr>
          <w:w w:val="100"/>
          <w:sz w:val="24"/>
        </w:rPr>
        <w:t> </w:t>
      </w:r>
      <w:r>
        <w:rPr>
          <w:sz w:val="24"/>
        </w:rPr>
        <w:t>CHOMSKY,  Noam</w:t>
      </w:r>
      <w:r>
        <w:rPr>
          <w:spacing w:val="23"/>
          <w:sz w:val="24"/>
        </w:rPr>
        <w:t> </w:t>
      </w:r>
      <w:r>
        <w:rPr>
          <w:sz w:val="24"/>
        </w:rPr>
        <w:t>/</w:t>
      </w:r>
      <w:r>
        <w:rPr>
          <w:spacing w:val="47"/>
          <w:sz w:val="24"/>
        </w:rPr>
        <w:t> </w:t>
      </w:r>
      <w:r>
        <w:rPr>
          <w:sz w:val="24"/>
        </w:rPr>
        <w:t>FOUCALT,</w:t>
        <w:tab/>
        <w:t>Michel,  </w:t>
      </w:r>
      <w:r>
        <w:rPr>
          <w:i/>
          <w:sz w:val="24"/>
        </w:rPr>
        <w:t>La  naturaleza  humana:</w:t>
      </w:r>
      <w:r>
        <w:rPr>
          <w:i/>
          <w:spacing w:val="-29"/>
          <w:sz w:val="24"/>
        </w:rPr>
        <w:t> </w:t>
      </w:r>
      <w:r>
        <w:rPr>
          <w:i/>
          <w:sz w:val="24"/>
        </w:rPr>
        <w:t>justicia</w:t>
      </w:r>
      <w:r>
        <w:rPr>
          <w:i/>
          <w:spacing w:val="43"/>
          <w:sz w:val="24"/>
        </w:rPr>
        <w:t> </w:t>
      </w:r>
      <w:r>
        <w:rPr>
          <w:i/>
          <w:sz w:val="24"/>
        </w:rPr>
        <w:t>versus</w:t>
      </w:r>
      <w:r>
        <w:rPr>
          <w:i/>
          <w:sz w:val="24"/>
        </w:rPr>
        <w:t> poder</w:t>
      </w:r>
      <w:r>
        <w:rPr>
          <w:sz w:val="24"/>
        </w:rPr>
        <w:t>, Katz Editores, Buenos Aires</w:t>
      </w:r>
      <w:r>
        <w:rPr>
          <w:spacing w:val="-20"/>
          <w:sz w:val="24"/>
        </w:rPr>
        <w:t> </w:t>
      </w:r>
      <w:r>
        <w:rPr>
          <w:sz w:val="24"/>
        </w:rPr>
        <w:t>2006.</w:t>
      </w:r>
    </w:p>
    <w:p>
      <w:pPr>
        <w:spacing w:line="362" w:lineRule="auto" w:before="6"/>
        <w:ind w:left="684" w:right="114" w:firstLine="0"/>
        <w:jc w:val="left"/>
        <w:rPr>
          <w:sz w:val="24"/>
        </w:rPr>
      </w:pPr>
      <w:r>
        <w:rPr>
          <w:sz w:val="24"/>
        </w:rPr>
        <w:t>DEBRAY, Régis, El Estado Seductor, </w:t>
      </w:r>
      <w:r>
        <w:rPr>
          <w:i/>
          <w:sz w:val="24"/>
        </w:rPr>
        <w:t>Las revoluciones mediológicas del poder</w:t>
      </w:r>
      <w:r>
        <w:rPr>
          <w:sz w:val="24"/>
        </w:rPr>
        <w:t>, Manantial, Buenos Aires, Argentina, 1993.</w:t>
      </w:r>
    </w:p>
    <w:p>
      <w:pPr>
        <w:spacing w:line="362" w:lineRule="auto" w:before="0"/>
        <w:ind w:left="684" w:right="114" w:firstLine="0"/>
        <w:jc w:val="left"/>
        <w:rPr>
          <w:sz w:val="24"/>
        </w:rPr>
      </w:pPr>
      <w:r>
        <w:rPr>
          <w:sz w:val="24"/>
        </w:rPr>
        <w:t>DE SOUSA Santos, Boaventura, </w:t>
      </w:r>
      <w:r>
        <w:rPr>
          <w:i/>
          <w:sz w:val="24"/>
        </w:rPr>
        <w:t>Una epistemología del Sur</w:t>
      </w:r>
      <w:r>
        <w:rPr>
          <w:sz w:val="24"/>
        </w:rPr>
        <w:t>, Siglo XXI, México, 2009.</w:t>
      </w:r>
    </w:p>
    <w:p>
      <w:pPr>
        <w:tabs>
          <w:tab w:pos="7497" w:val="left" w:leader="none"/>
        </w:tabs>
        <w:spacing w:line="362" w:lineRule="auto" w:before="0"/>
        <w:ind w:left="684" w:right="119" w:firstLine="0"/>
        <w:jc w:val="left"/>
        <w:rPr>
          <w:sz w:val="24"/>
        </w:rPr>
      </w:pPr>
      <w:r>
        <w:rPr>
          <w:sz w:val="24"/>
        </w:rPr>
        <w:t>DIETERLEN,  Paulette,  </w:t>
      </w:r>
      <w:r>
        <w:rPr>
          <w:i/>
          <w:sz w:val="24"/>
        </w:rPr>
        <w:t>La  pobreza:  un  </w:t>
      </w:r>
      <w:r>
        <w:rPr>
          <w:i/>
          <w:spacing w:val="8"/>
          <w:sz w:val="24"/>
        </w:rPr>
        <w:t> </w:t>
      </w:r>
      <w:r>
        <w:rPr>
          <w:i/>
          <w:sz w:val="24"/>
        </w:rPr>
        <w:t>estudio </w:t>
      </w:r>
      <w:r>
        <w:rPr>
          <w:i/>
          <w:spacing w:val="11"/>
          <w:sz w:val="24"/>
        </w:rPr>
        <w:t> </w:t>
      </w:r>
      <w:r>
        <w:rPr>
          <w:i/>
          <w:sz w:val="24"/>
        </w:rPr>
        <w:t>filosófico</w:t>
      </w:r>
      <w:r>
        <w:rPr>
          <w:sz w:val="24"/>
        </w:rPr>
        <w:t>.</w:t>
        <w:tab/>
        <w:t>Fondo </w:t>
      </w:r>
      <w:r>
        <w:rPr>
          <w:spacing w:val="10"/>
          <w:sz w:val="24"/>
        </w:rPr>
        <w:t> </w:t>
      </w:r>
      <w:r>
        <w:rPr>
          <w:sz w:val="24"/>
        </w:rPr>
        <w:t>de </w:t>
      </w:r>
      <w:r>
        <w:rPr>
          <w:spacing w:val="14"/>
          <w:sz w:val="24"/>
        </w:rPr>
        <w:t> </w:t>
      </w:r>
      <w:r>
        <w:rPr>
          <w:sz w:val="24"/>
        </w:rPr>
        <w:t>Cultura</w:t>
      </w:r>
      <w:r>
        <w:rPr>
          <w:w w:val="99"/>
          <w:sz w:val="24"/>
        </w:rPr>
        <w:t> </w:t>
      </w:r>
      <w:r>
        <w:rPr>
          <w:sz w:val="24"/>
        </w:rPr>
        <w:t>Económica.  México,</w:t>
      </w:r>
      <w:r>
        <w:rPr>
          <w:spacing w:val="-13"/>
          <w:sz w:val="24"/>
        </w:rPr>
        <w:t> </w:t>
      </w:r>
      <w:r>
        <w:rPr>
          <w:sz w:val="24"/>
        </w:rPr>
        <w:t>2003.</w:t>
      </w:r>
    </w:p>
    <w:p>
      <w:pPr>
        <w:spacing w:line="362" w:lineRule="auto" w:before="0"/>
        <w:ind w:left="684" w:right="114" w:firstLine="0"/>
        <w:jc w:val="left"/>
        <w:rPr>
          <w:sz w:val="24"/>
        </w:rPr>
      </w:pPr>
      <w:r>
        <w:rPr>
          <w:sz w:val="24"/>
        </w:rPr>
        <w:t>DURKHEIM, Emilio, </w:t>
      </w:r>
      <w:r>
        <w:rPr>
          <w:i/>
          <w:sz w:val="24"/>
        </w:rPr>
        <w:t>Educación y sociología, </w:t>
      </w:r>
      <w:r>
        <w:rPr>
          <w:sz w:val="24"/>
        </w:rPr>
        <w:t>Ed. Leega, México, 1990. EAGLERTON, Terry, </w:t>
      </w:r>
      <w:r>
        <w:rPr>
          <w:i/>
          <w:sz w:val="24"/>
        </w:rPr>
        <w:t>Ideología. Una introducción</w:t>
      </w:r>
      <w:r>
        <w:rPr>
          <w:sz w:val="24"/>
        </w:rPr>
        <w:t>, Paidós Surcos 9, Barcelona, 2005.</w:t>
      </w:r>
    </w:p>
    <w:p>
      <w:pPr>
        <w:spacing w:line="271" w:lineRule="exact" w:before="0"/>
        <w:ind w:left="684" w:right="114" w:firstLine="0"/>
        <w:jc w:val="left"/>
        <w:rPr>
          <w:sz w:val="24"/>
        </w:rPr>
      </w:pPr>
      <w:r>
        <w:rPr>
          <w:sz w:val="24"/>
        </w:rPr>
        <w:t>EQUIPO *NUEVE Y MEDIO*, </w:t>
      </w:r>
      <w:r>
        <w:rPr>
          <w:i/>
          <w:sz w:val="24"/>
        </w:rPr>
        <w:t>Los teleniños</w:t>
      </w:r>
      <w:r>
        <w:rPr>
          <w:sz w:val="24"/>
        </w:rPr>
        <w:t>, Laia, Barcelona, 1986.</w:t>
      </w:r>
    </w:p>
    <w:p>
      <w:pPr>
        <w:pStyle w:val="BodyText"/>
        <w:spacing w:line="362" w:lineRule="auto" w:before="140"/>
        <w:ind w:left="684" w:right="115"/>
        <w:jc w:val="both"/>
      </w:pPr>
      <w:r>
        <w:rPr/>
        <w:t>ESCALANTE, Gonzalbo, García Martínez, Bernardo, </w:t>
      </w:r>
      <w:r>
        <w:rPr>
          <w:i/>
        </w:rPr>
        <w:t>et. al</w:t>
      </w:r>
      <w:r>
        <w:rPr/>
        <w:t>. </w:t>
      </w:r>
      <w:r>
        <w:rPr>
          <w:i/>
        </w:rPr>
        <w:t>Nueva Historia Mínima </w:t>
      </w:r>
      <w:r>
        <w:rPr>
          <w:i/>
        </w:rPr>
        <w:t>de México</w:t>
      </w:r>
      <w:r>
        <w:rPr/>
        <w:t>, Biblioteca para la Actualización del maestro, Secretaría de Educación Publica, (SEP), El Colegio de México, México, 2004.</w:t>
      </w:r>
    </w:p>
    <w:p>
      <w:pPr>
        <w:tabs>
          <w:tab w:pos="1940" w:val="left" w:leader="none"/>
          <w:tab w:pos="2287" w:val="left" w:leader="none"/>
          <w:tab w:pos="3198" w:val="left" w:leader="none"/>
          <w:tab w:pos="4069" w:val="left" w:leader="none"/>
          <w:tab w:pos="5433" w:val="left" w:leader="none"/>
          <w:tab w:pos="6854" w:val="left" w:leader="none"/>
          <w:tab w:pos="8538" w:val="left" w:leader="none"/>
        </w:tabs>
        <w:spacing w:line="362" w:lineRule="auto" w:before="0"/>
        <w:ind w:left="684" w:right="114" w:firstLine="0"/>
        <w:jc w:val="left"/>
        <w:rPr>
          <w:sz w:val="24"/>
        </w:rPr>
      </w:pPr>
      <w:r>
        <w:rPr>
          <w:sz w:val="24"/>
        </w:rPr>
        <w:t>FERRÉS</w:t>
        <w:tab/>
        <w:t>I</w:t>
        <w:tab/>
        <w:t>Prats,</w:t>
        <w:tab/>
        <w:t>Joan,</w:t>
        <w:tab/>
      </w:r>
      <w:r>
        <w:rPr>
          <w:i/>
          <w:sz w:val="24"/>
        </w:rPr>
        <w:t>Televisión</w:t>
        <w:tab/>
        <w:t>subliminal.</w:t>
        <w:tab/>
        <w:t>Socialización</w:t>
        <w:tab/>
      </w:r>
      <w:r>
        <w:rPr>
          <w:i/>
          <w:spacing w:val="-1"/>
          <w:sz w:val="24"/>
        </w:rPr>
        <w:t>mediante </w:t>
      </w:r>
      <w:r>
        <w:rPr>
          <w:i/>
          <w:sz w:val="24"/>
        </w:rPr>
        <w:t>comunicaciones inadvertidas</w:t>
      </w:r>
      <w:r>
        <w:rPr>
          <w:sz w:val="24"/>
        </w:rPr>
        <w:t>, Paidós, Barcelona,</w:t>
      </w:r>
      <w:r>
        <w:rPr>
          <w:spacing w:val="-22"/>
          <w:sz w:val="24"/>
        </w:rPr>
        <w:t> </w:t>
      </w:r>
      <w:r>
        <w:rPr>
          <w:sz w:val="24"/>
        </w:rPr>
        <w:t>1996.</w:t>
      </w:r>
    </w:p>
    <w:p>
      <w:pPr>
        <w:spacing w:line="275" w:lineRule="exact" w:before="0"/>
        <w:ind w:left="684" w:right="114" w:firstLine="0"/>
        <w:jc w:val="left"/>
        <w:rPr>
          <w:sz w:val="24"/>
        </w:rPr>
      </w:pPr>
      <w:r>
        <w:rPr>
          <w:sz w:val="24"/>
        </w:rPr>
        <w:t>FREIRE, Paulo, </w:t>
      </w:r>
      <w:r>
        <w:rPr>
          <w:i/>
          <w:sz w:val="24"/>
        </w:rPr>
        <w:t>Pedagogía del oprimido, </w:t>
      </w:r>
      <w:r>
        <w:rPr>
          <w:sz w:val="24"/>
        </w:rPr>
        <w:t>Siglo XXI, México, 2005.</w:t>
      </w:r>
    </w:p>
    <w:p>
      <w:pPr>
        <w:tabs>
          <w:tab w:pos="2617" w:val="left" w:leader="none"/>
        </w:tabs>
        <w:spacing w:line="362" w:lineRule="auto" w:before="140"/>
        <w:ind w:left="684" w:right="124" w:firstLine="0"/>
        <w:jc w:val="left"/>
        <w:rPr>
          <w:sz w:val="24"/>
        </w:rPr>
      </w:pPr>
      <w:r>
        <w:rPr>
          <w:sz w:val="24"/>
        </w:rPr>
        <w:t>FROMM,</w:t>
      </w:r>
      <w:r>
        <w:rPr>
          <w:spacing w:val="45"/>
          <w:sz w:val="24"/>
        </w:rPr>
        <w:t> </w:t>
      </w:r>
      <w:r>
        <w:rPr>
          <w:sz w:val="24"/>
        </w:rPr>
        <w:t>Erich,</w:t>
        <w:tab/>
      </w:r>
      <w:r>
        <w:rPr>
          <w:i/>
          <w:sz w:val="24"/>
        </w:rPr>
        <w:t>El corazón del hombre</w:t>
      </w:r>
      <w:r>
        <w:rPr>
          <w:sz w:val="24"/>
        </w:rPr>
        <w:t>.    </w:t>
      </w:r>
      <w:r>
        <w:rPr>
          <w:spacing w:val="36"/>
          <w:sz w:val="24"/>
        </w:rPr>
        <w:t> </w:t>
      </w:r>
      <w:r>
        <w:rPr>
          <w:sz w:val="24"/>
        </w:rPr>
        <w:t>Fondo de cultura económica.</w:t>
      </w:r>
      <w:r>
        <w:rPr>
          <w:spacing w:val="45"/>
          <w:sz w:val="24"/>
        </w:rPr>
        <w:t> </w:t>
      </w:r>
      <w:r>
        <w:rPr>
          <w:sz w:val="24"/>
        </w:rPr>
        <w:t>México,</w:t>
      </w:r>
      <w:r>
        <w:rPr>
          <w:w w:val="100"/>
          <w:sz w:val="24"/>
        </w:rPr>
        <w:t> </w:t>
      </w:r>
      <w:r>
        <w:rPr>
          <w:sz w:val="24"/>
        </w:rPr>
        <w:t>1998.</w:t>
      </w:r>
    </w:p>
    <w:p>
      <w:pPr>
        <w:tabs>
          <w:tab w:pos="2279" w:val="left" w:leader="none"/>
        </w:tabs>
        <w:spacing w:line="275" w:lineRule="exact" w:before="0"/>
        <w:ind w:left="684" w:right="114" w:firstLine="0"/>
        <w:jc w:val="left"/>
        <w:rPr>
          <w:sz w:val="24"/>
        </w:rPr>
      </w:pPr>
      <w:r>
        <w:rPr>
          <w:w w:val="100"/>
          <w:sz w:val="24"/>
          <w:u w:val="single"/>
        </w:rPr>
        <w:t> </w:t>
      </w:r>
      <w:r>
        <w:rPr>
          <w:sz w:val="24"/>
          <w:u w:val="single"/>
        </w:rPr>
        <w:tab/>
      </w:r>
      <w:r>
        <w:rPr>
          <w:sz w:val="24"/>
        </w:rPr>
        <w:t>, </w:t>
      </w:r>
      <w:r>
        <w:rPr>
          <w:i/>
          <w:sz w:val="24"/>
        </w:rPr>
        <w:t>El miedo a la libertad</w:t>
      </w:r>
      <w:r>
        <w:rPr>
          <w:sz w:val="24"/>
        </w:rPr>
        <w:t>, Paidos, México,</w:t>
      </w:r>
      <w:r>
        <w:rPr>
          <w:spacing w:val="-14"/>
          <w:sz w:val="24"/>
        </w:rPr>
        <w:t> </w:t>
      </w:r>
      <w:r>
        <w:rPr>
          <w:sz w:val="24"/>
        </w:rPr>
        <w:t>2000.</w:t>
      </w:r>
    </w:p>
    <w:p>
      <w:pPr>
        <w:tabs>
          <w:tab w:pos="2279" w:val="left" w:leader="none"/>
        </w:tabs>
        <w:spacing w:line="364" w:lineRule="auto" w:before="136"/>
        <w:ind w:left="684" w:right="115" w:firstLine="0"/>
        <w:jc w:val="left"/>
        <w:rPr>
          <w:sz w:val="24"/>
        </w:rPr>
      </w:pPr>
      <w:r>
        <w:rPr>
          <w:w w:val="100"/>
          <w:sz w:val="24"/>
          <w:u w:val="single"/>
        </w:rPr>
        <w:t> </w:t>
      </w:r>
      <w:r>
        <w:rPr>
          <w:sz w:val="24"/>
          <w:u w:val="single"/>
        </w:rPr>
        <w:tab/>
      </w:r>
      <w:r>
        <w:rPr>
          <w:sz w:val="24"/>
        </w:rPr>
        <w:t>, </w:t>
      </w:r>
      <w:r>
        <w:rPr>
          <w:i/>
          <w:sz w:val="24"/>
        </w:rPr>
        <w:t>La revolución de la esperanza</w:t>
      </w:r>
      <w:r>
        <w:rPr>
          <w:sz w:val="24"/>
        </w:rPr>
        <w:t>, Fondo de Cultura </w:t>
      </w:r>
      <w:r>
        <w:rPr>
          <w:spacing w:val="10"/>
          <w:sz w:val="24"/>
        </w:rPr>
        <w:t> </w:t>
      </w:r>
      <w:r>
        <w:rPr>
          <w:sz w:val="24"/>
        </w:rPr>
        <w:t>Económica,</w:t>
      </w:r>
      <w:r>
        <w:rPr>
          <w:spacing w:val="4"/>
          <w:sz w:val="24"/>
        </w:rPr>
        <w:t> </w:t>
      </w:r>
      <w:r>
        <w:rPr>
          <w:sz w:val="24"/>
        </w:rPr>
        <w:t>12ª.</w:t>
      </w:r>
      <w:r>
        <w:rPr>
          <w:w w:val="100"/>
          <w:sz w:val="24"/>
        </w:rPr>
        <w:t> </w:t>
      </w:r>
      <w:r>
        <w:rPr>
          <w:sz w:val="24"/>
        </w:rPr>
        <w:t>Reimpresión, México</w:t>
      </w:r>
      <w:r>
        <w:rPr>
          <w:spacing w:val="49"/>
          <w:sz w:val="24"/>
        </w:rPr>
        <w:t> </w:t>
      </w:r>
      <w:r>
        <w:rPr>
          <w:sz w:val="24"/>
        </w:rPr>
        <w:t>2002.</w:t>
      </w:r>
    </w:p>
    <w:p>
      <w:pPr>
        <w:tabs>
          <w:tab w:pos="2279" w:val="left" w:leader="none"/>
        </w:tabs>
        <w:spacing w:line="269" w:lineRule="exact" w:before="0"/>
        <w:ind w:left="684" w:right="114" w:firstLine="0"/>
        <w:jc w:val="left"/>
        <w:rPr>
          <w:sz w:val="24"/>
        </w:rPr>
      </w:pPr>
      <w:r>
        <w:rPr>
          <w:w w:val="100"/>
          <w:sz w:val="24"/>
          <w:u w:val="single"/>
        </w:rPr>
        <w:t> </w:t>
      </w:r>
      <w:r>
        <w:rPr>
          <w:sz w:val="24"/>
          <w:u w:val="single"/>
        </w:rPr>
        <w:tab/>
      </w:r>
      <w:r>
        <w:rPr>
          <w:sz w:val="24"/>
        </w:rPr>
        <w:t>, </w:t>
      </w:r>
      <w:r>
        <w:rPr>
          <w:i/>
          <w:sz w:val="24"/>
        </w:rPr>
        <w:t>Ética y psicoanálisis</w:t>
      </w:r>
      <w:r>
        <w:rPr>
          <w:sz w:val="24"/>
        </w:rPr>
        <w:t>, Fondo de Cultura Económica, México,</w:t>
      </w:r>
      <w:r>
        <w:rPr>
          <w:spacing w:val="-24"/>
          <w:sz w:val="24"/>
        </w:rPr>
        <w:t> </w:t>
      </w:r>
      <w:r>
        <w:rPr>
          <w:sz w:val="24"/>
        </w:rPr>
        <w:t>2004.</w:t>
      </w:r>
    </w:p>
    <w:p>
      <w:pPr>
        <w:spacing w:after="0" w:line="269" w:lineRule="exact"/>
        <w:jc w:val="left"/>
        <w:rPr>
          <w:sz w:val="24"/>
        </w:rPr>
        <w:sectPr>
          <w:pgSz w:w="12240" w:h="15840"/>
          <w:pgMar w:header="0" w:footer="878" w:top="520" w:bottom="1060" w:left="1300" w:right="1300"/>
        </w:sectPr>
      </w:pPr>
    </w:p>
    <w:p>
      <w:pPr>
        <w:pStyle w:val="Heading3"/>
      </w:pPr>
      <w:r>
        <w:rPr/>
        <w:pict>
          <v:line style="position:absolute;mso-position-horizontal-relative:page;mso-position-vertical-relative:paragraph;z-index:1091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pStyle w:val="BodyText"/>
        <w:tabs>
          <w:tab w:pos="1859" w:val="left" w:leader="none"/>
        </w:tabs>
        <w:spacing w:line="362" w:lineRule="auto" w:before="70"/>
        <w:ind w:left="264" w:right="221"/>
        <w:jc w:val="both"/>
      </w:pPr>
      <w:r>
        <w:rPr>
          <w:w w:val="100"/>
          <w:u w:val="single"/>
        </w:rPr>
        <w:t> </w:t>
      </w:r>
      <w:r>
        <w:rPr>
          <w:u w:val="single"/>
        </w:rPr>
        <w:tab/>
      </w:r>
      <w:r>
        <w:rPr/>
        <w:t>,  ¿</w:t>
      </w:r>
      <w:r>
        <w:rPr>
          <w:i/>
        </w:rPr>
        <w:t>Tener  o  ser</w:t>
      </w:r>
      <w:r>
        <w:rPr/>
        <w:t>?,  Fondo  de  Cultura  Económica,    </w:t>
      </w:r>
      <w:r>
        <w:rPr>
          <w:spacing w:val="8"/>
        </w:rPr>
        <w:t> </w:t>
      </w:r>
      <w:r>
        <w:rPr/>
        <w:t>México, </w:t>
      </w:r>
      <w:r>
        <w:rPr>
          <w:spacing w:val="27"/>
        </w:rPr>
        <w:t> </w:t>
      </w:r>
      <w:r>
        <w:rPr/>
        <w:t>18a.</w:t>
      </w:r>
      <w:r>
        <w:rPr>
          <w:w w:val="100"/>
        </w:rPr>
        <w:t> </w:t>
      </w:r>
      <w:r>
        <w:rPr/>
        <w:t>Reimpresión,</w:t>
      </w:r>
      <w:r>
        <w:rPr>
          <w:spacing w:val="54"/>
        </w:rPr>
        <w:t> </w:t>
      </w:r>
      <w:r>
        <w:rPr/>
        <w:t>2004.</w:t>
      </w:r>
    </w:p>
    <w:p>
      <w:pPr>
        <w:pStyle w:val="BodyText"/>
        <w:spacing w:line="362" w:lineRule="auto"/>
        <w:ind w:left="264" w:right="219"/>
        <w:jc w:val="both"/>
      </w:pPr>
      <w:r>
        <w:rPr/>
        <w:t>GONZALEZ Casanova, Pablo, Florescano Enrique, (Coordinadores), </w:t>
      </w:r>
      <w:r>
        <w:rPr>
          <w:i/>
        </w:rPr>
        <w:t>México, Hoy</w:t>
      </w:r>
      <w:r>
        <w:rPr/>
        <w:t>, Siglo XXI, México, 1980.</w:t>
      </w:r>
    </w:p>
    <w:p>
      <w:pPr>
        <w:spacing w:line="360" w:lineRule="auto" w:before="0"/>
        <w:ind w:left="264" w:right="215" w:firstLine="0"/>
        <w:jc w:val="both"/>
        <w:rPr>
          <w:sz w:val="24"/>
        </w:rPr>
      </w:pPr>
      <w:r>
        <w:rPr>
          <w:sz w:val="24"/>
        </w:rPr>
        <w:t>GONZÁLEZ Guadalupe/ TIENDA Marta (eds.): </w:t>
      </w:r>
      <w:r>
        <w:rPr>
          <w:i/>
          <w:sz w:val="24"/>
        </w:rPr>
        <w:t>México y Estados Unidos en la </w:t>
      </w:r>
      <w:r>
        <w:rPr>
          <w:i/>
          <w:sz w:val="24"/>
        </w:rPr>
        <w:t>cadena internacional del narcotráfico, </w:t>
      </w:r>
      <w:r>
        <w:rPr>
          <w:sz w:val="24"/>
        </w:rPr>
        <w:t>México, Fondo de Cultura Económica, 1989. GUERRA González, María del Rosario, Ética, globalización y dignidad de la persona, U A E M (Universidad Autónoma del Estado de México), Toluca, México, 2002.</w:t>
      </w:r>
    </w:p>
    <w:p>
      <w:pPr>
        <w:spacing w:line="364" w:lineRule="auto" w:before="0"/>
        <w:ind w:left="264" w:right="223" w:firstLine="0"/>
        <w:jc w:val="both"/>
        <w:rPr>
          <w:sz w:val="24"/>
        </w:rPr>
      </w:pPr>
      <w:r>
        <w:rPr>
          <w:sz w:val="24"/>
        </w:rPr>
        <w:t>HABERMAS, Jürgen, </w:t>
      </w:r>
      <w:r>
        <w:rPr>
          <w:i/>
          <w:sz w:val="24"/>
        </w:rPr>
        <w:t>Ciencia y técnica como “ideología”</w:t>
      </w:r>
      <w:r>
        <w:rPr>
          <w:sz w:val="24"/>
        </w:rPr>
        <w:t>, Tecnos, Madrid, España, 1994.</w:t>
      </w:r>
    </w:p>
    <w:p>
      <w:pPr>
        <w:tabs>
          <w:tab w:pos="2397" w:val="left" w:leader="none"/>
        </w:tabs>
        <w:spacing w:line="362" w:lineRule="auto" w:before="0"/>
        <w:ind w:left="264" w:right="225" w:firstLine="0"/>
        <w:jc w:val="both"/>
        <w:rPr>
          <w:sz w:val="24"/>
        </w:rPr>
      </w:pPr>
      <w:r>
        <w:rPr>
          <w:w w:val="100"/>
          <w:sz w:val="24"/>
          <w:u w:val="single"/>
        </w:rPr>
        <w:t> </w:t>
      </w:r>
      <w:r>
        <w:rPr>
          <w:sz w:val="24"/>
          <w:u w:val="single"/>
        </w:rPr>
        <w:tab/>
      </w:r>
      <w:r>
        <w:rPr>
          <w:sz w:val="24"/>
        </w:rPr>
        <w:t>, </w:t>
      </w:r>
      <w:r>
        <w:rPr>
          <w:i/>
          <w:sz w:val="24"/>
        </w:rPr>
        <w:t>Teoría de la acción comunicativa, Racionalidad de la</w:t>
      </w:r>
      <w:r>
        <w:rPr>
          <w:i/>
          <w:spacing w:val="-23"/>
          <w:sz w:val="24"/>
        </w:rPr>
        <w:t> </w:t>
      </w:r>
      <w:r>
        <w:rPr>
          <w:i/>
          <w:sz w:val="24"/>
        </w:rPr>
        <w:t>acción</w:t>
      </w:r>
      <w:r>
        <w:rPr>
          <w:i/>
          <w:spacing w:val="-4"/>
          <w:sz w:val="24"/>
        </w:rPr>
        <w:t> </w:t>
      </w:r>
      <w:r>
        <w:rPr>
          <w:i/>
          <w:sz w:val="24"/>
        </w:rPr>
        <w:t>y</w:t>
      </w:r>
      <w:r>
        <w:rPr>
          <w:i/>
          <w:sz w:val="24"/>
        </w:rPr>
        <w:t> racionalización social</w:t>
      </w:r>
      <w:r>
        <w:rPr>
          <w:sz w:val="24"/>
        </w:rPr>
        <w:t>, Taurus, México,</w:t>
      </w:r>
      <w:r>
        <w:rPr>
          <w:spacing w:val="-24"/>
          <w:sz w:val="24"/>
        </w:rPr>
        <w:t> </w:t>
      </w:r>
      <w:r>
        <w:rPr>
          <w:sz w:val="24"/>
        </w:rPr>
        <w:t>2008.</w:t>
      </w:r>
    </w:p>
    <w:p>
      <w:pPr>
        <w:spacing w:line="364" w:lineRule="auto" w:before="0"/>
        <w:ind w:left="264" w:right="213" w:firstLine="0"/>
        <w:jc w:val="both"/>
        <w:rPr>
          <w:sz w:val="24"/>
        </w:rPr>
      </w:pPr>
      <w:r>
        <w:rPr>
          <w:sz w:val="24"/>
        </w:rPr>
        <w:t>HORKHEIMER, Max y ADORNO Theodor W. </w:t>
      </w:r>
      <w:r>
        <w:rPr>
          <w:i/>
          <w:sz w:val="24"/>
        </w:rPr>
        <w:t>Dialéctica de la Ilustración</w:t>
      </w:r>
      <w:r>
        <w:rPr>
          <w:sz w:val="24"/>
        </w:rPr>
        <w:t>, Trotta, Barcelona, 1994.</w:t>
      </w:r>
    </w:p>
    <w:p>
      <w:pPr>
        <w:pStyle w:val="BodyText"/>
        <w:spacing w:line="269" w:lineRule="exact"/>
        <w:ind w:left="264"/>
        <w:jc w:val="both"/>
        <w:rPr>
          <w:i/>
        </w:rPr>
      </w:pPr>
      <w:r>
        <w:rPr/>
        <w:t>INSTITUTO NACIONAL PARA LA EDUCACIÓN DE LOS ADULTOS, </w:t>
      </w:r>
      <w:r>
        <w:rPr>
          <w:i/>
        </w:rPr>
        <w:t>Necesidades</w:t>
      </w:r>
    </w:p>
    <w:p>
      <w:pPr>
        <w:spacing w:line="362" w:lineRule="auto" w:before="140"/>
        <w:ind w:left="264" w:right="214" w:firstLine="0"/>
        <w:jc w:val="both"/>
        <w:rPr>
          <w:sz w:val="24"/>
        </w:rPr>
      </w:pPr>
      <w:r>
        <w:rPr>
          <w:i/>
          <w:sz w:val="24"/>
        </w:rPr>
        <w:t>básicas educativas de los adultos, Encuentro de especialistas, </w:t>
      </w:r>
      <w:r>
        <w:rPr>
          <w:sz w:val="24"/>
        </w:rPr>
        <w:t>S E P (Secretaría de  Educación Pública), México, 1994.</w:t>
      </w:r>
    </w:p>
    <w:p>
      <w:pPr>
        <w:spacing w:line="362" w:lineRule="auto" w:before="0"/>
        <w:ind w:left="264" w:right="222" w:firstLine="0"/>
        <w:jc w:val="both"/>
        <w:rPr>
          <w:sz w:val="24"/>
        </w:rPr>
      </w:pPr>
      <w:r>
        <w:rPr>
          <w:sz w:val="24"/>
        </w:rPr>
        <w:t>JOLIVET, Regis, </w:t>
      </w:r>
      <w:r>
        <w:rPr>
          <w:i/>
          <w:sz w:val="24"/>
        </w:rPr>
        <w:t>Tratado de Filosofía II, Psicología</w:t>
      </w:r>
      <w:r>
        <w:rPr>
          <w:sz w:val="24"/>
        </w:rPr>
        <w:t>, Ed. Carlos Lohlé, Buenos Aires, 1956.</w:t>
      </w:r>
    </w:p>
    <w:p>
      <w:pPr>
        <w:spacing w:line="362" w:lineRule="auto" w:before="0"/>
        <w:ind w:left="264" w:right="219" w:firstLine="0"/>
        <w:jc w:val="both"/>
        <w:rPr>
          <w:sz w:val="24"/>
        </w:rPr>
      </w:pPr>
      <w:r>
        <w:rPr>
          <w:sz w:val="24"/>
        </w:rPr>
        <w:t>JUÁREZ, Gámiz, Julio, </w:t>
      </w:r>
      <w:r>
        <w:rPr>
          <w:i/>
          <w:sz w:val="24"/>
        </w:rPr>
        <w:t>La televisión encantada, publicidad política en México</w:t>
      </w:r>
      <w:r>
        <w:rPr>
          <w:sz w:val="24"/>
        </w:rPr>
        <w:t>, UNAM, México, 2009.</w:t>
      </w:r>
    </w:p>
    <w:p>
      <w:pPr>
        <w:spacing w:line="362" w:lineRule="auto" w:before="0"/>
        <w:ind w:left="264" w:right="215" w:firstLine="0"/>
        <w:jc w:val="both"/>
        <w:rPr>
          <w:sz w:val="24"/>
        </w:rPr>
      </w:pPr>
      <w:r>
        <w:rPr>
          <w:sz w:val="24"/>
        </w:rPr>
        <w:t>KANT, Emmanuel, </w:t>
      </w:r>
      <w:r>
        <w:rPr>
          <w:i/>
          <w:sz w:val="24"/>
        </w:rPr>
        <w:t>Fundamentación de la Metafísica de las Costumbres</w:t>
      </w:r>
      <w:r>
        <w:rPr>
          <w:sz w:val="24"/>
        </w:rPr>
        <w:t>, Porrúa. México, 2000.</w:t>
      </w:r>
    </w:p>
    <w:p>
      <w:pPr>
        <w:spacing w:line="275" w:lineRule="exact" w:before="0"/>
        <w:ind w:left="264" w:right="0" w:firstLine="0"/>
        <w:jc w:val="both"/>
        <w:rPr>
          <w:sz w:val="24"/>
        </w:rPr>
      </w:pPr>
      <w:r>
        <w:rPr>
          <w:sz w:val="24"/>
        </w:rPr>
        <w:t>KOSIK, Karel,  </w:t>
      </w:r>
      <w:r>
        <w:rPr>
          <w:i/>
          <w:sz w:val="24"/>
        </w:rPr>
        <w:t>Dialéctica de lo concreto</w:t>
      </w:r>
      <w:r>
        <w:rPr>
          <w:sz w:val="24"/>
        </w:rPr>
        <w:t>,  Grijalbo, México, 1976.</w:t>
      </w:r>
    </w:p>
    <w:p>
      <w:pPr>
        <w:spacing w:line="362" w:lineRule="auto" w:before="136"/>
        <w:ind w:left="264" w:right="215" w:firstLine="0"/>
        <w:jc w:val="both"/>
        <w:rPr>
          <w:sz w:val="24"/>
        </w:rPr>
      </w:pPr>
      <w:r>
        <w:rPr>
          <w:sz w:val="24"/>
        </w:rPr>
        <w:t>LAMEIRAS, José y GALINDO Cáceres, Luis Jesús, (Compiladores), </w:t>
      </w:r>
      <w:r>
        <w:rPr>
          <w:i/>
          <w:sz w:val="24"/>
        </w:rPr>
        <w:t>Medios y </w:t>
      </w:r>
      <w:r>
        <w:rPr>
          <w:i/>
          <w:sz w:val="24"/>
        </w:rPr>
        <w:t>Mediaciones: Los cambios sentidos de la dominación en México</w:t>
      </w:r>
      <w:r>
        <w:rPr>
          <w:sz w:val="24"/>
        </w:rPr>
        <w:t>, ITESO;  El Colegio de Michoacán, México, 1994.</w:t>
      </w:r>
    </w:p>
    <w:p>
      <w:pPr>
        <w:spacing w:line="362" w:lineRule="auto" w:before="0"/>
        <w:ind w:left="264" w:right="218" w:firstLine="0"/>
        <w:jc w:val="both"/>
        <w:rPr>
          <w:sz w:val="24"/>
        </w:rPr>
      </w:pPr>
      <w:r>
        <w:rPr>
          <w:sz w:val="24"/>
        </w:rPr>
        <w:t>LEVINAS, Emmanuel, </w:t>
      </w:r>
      <w:r>
        <w:rPr>
          <w:i/>
          <w:sz w:val="24"/>
        </w:rPr>
        <w:t>Los imprevistos de la Historia</w:t>
      </w:r>
      <w:r>
        <w:rPr>
          <w:sz w:val="24"/>
        </w:rPr>
        <w:t>, Sígueme, Salamanca, España, 2006.</w:t>
      </w:r>
    </w:p>
    <w:p>
      <w:pPr>
        <w:spacing w:after="0" w:line="362" w:lineRule="auto"/>
        <w:jc w:val="both"/>
        <w:rPr>
          <w:sz w:val="24"/>
        </w:rPr>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93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18"/>
        </w:rPr>
      </w:pPr>
    </w:p>
    <w:p>
      <w:pPr>
        <w:spacing w:line="362" w:lineRule="auto" w:before="70"/>
        <w:ind w:left="684" w:right="118" w:firstLine="0"/>
        <w:jc w:val="both"/>
        <w:rPr>
          <w:sz w:val="24"/>
        </w:rPr>
      </w:pPr>
      <w:r>
        <w:rPr>
          <w:sz w:val="24"/>
        </w:rPr>
        <w:t>LOMBARDO Toledano, Vicente, (Compiladora: Marcela Lombardo), </w:t>
      </w:r>
      <w:r>
        <w:rPr>
          <w:i/>
          <w:sz w:val="24"/>
        </w:rPr>
        <w:t>La Revolución </w:t>
      </w:r>
      <w:r>
        <w:rPr>
          <w:i/>
          <w:sz w:val="24"/>
        </w:rPr>
        <w:t>Mexicana, Tomo I, 1921-1967</w:t>
      </w:r>
      <w:r>
        <w:rPr>
          <w:sz w:val="24"/>
        </w:rPr>
        <w:t>, Instituto Nacional de Estudios Históricos de la Revolución Mexicana, México, 1988.</w:t>
      </w:r>
    </w:p>
    <w:p>
      <w:pPr>
        <w:pStyle w:val="BodyText"/>
        <w:spacing w:line="272" w:lineRule="exact"/>
        <w:ind w:left="684"/>
        <w:jc w:val="both"/>
      </w:pPr>
      <w:r>
        <w:rPr/>
        <w:t>LUHMANN, Niklas, </w:t>
      </w:r>
      <w:r>
        <w:rPr>
          <w:i/>
        </w:rPr>
        <w:t>Poder</w:t>
      </w:r>
      <w:r>
        <w:rPr/>
        <w:t>,  Anthropos,  Barcelona, 1995.</w:t>
      </w:r>
    </w:p>
    <w:p>
      <w:pPr>
        <w:spacing w:line="362" w:lineRule="auto" w:before="140"/>
        <w:ind w:left="684" w:right="116" w:firstLine="0"/>
        <w:jc w:val="both"/>
        <w:rPr>
          <w:sz w:val="24"/>
        </w:rPr>
      </w:pPr>
      <w:r>
        <w:rPr>
          <w:sz w:val="24"/>
        </w:rPr>
        <w:t>MARCUSE, Herbert, </w:t>
      </w:r>
      <w:r>
        <w:rPr>
          <w:i/>
          <w:sz w:val="24"/>
        </w:rPr>
        <w:t>El hombre unidimensional, Ensayo sobre la ideología de la </w:t>
      </w:r>
      <w:r>
        <w:rPr>
          <w:i/>
          <w:sz w:val="24"/>
        </w:rPr>
        <w:t>sociedad industrial avanzada, </w:t>
      </w:r>
      <w:r>
        <w:rPr>
          <w:sz w:val="24"/>
        </w:rPr>
        <w:t>Traducción: Antonio Elorza, Editorial Planeta, México, 1993.</w:t>
      </w:r>
    </w:p>
    <w:p>
      <w:pPr>
        <w:spacing w:line="364" w:lineRule="auto" w:before="0"/>
        <w:ind w:left="684" w:right="119" w:firstLine="0"/>
        <w:jc w:val="both"/>
        <w:rPr>
          <w:sz w:val="24"/>
        </w:rPr>
      </w:pPr>
      <w:r>
        <w:rPr>
          <w:sz w:val="24"/>
        </w:rPr>
        <w:t>MARX, Carlos, Engels Federico, </w:t>
      </w:r>
      <w:r>
        <w:rPr>
          <w:i/>
          <w:sz w:val="24"/>
        </w:rPr>
        <w:t>La ideología Alemana</w:t>
      </w:r>
      <w:r>
        <w:rPr>
          <w:sz w:val="24"/>
        </w:rPr>
        <w:t>, Pueblos Unidos, Madrid, España,</w:t>
      </w:r>
      <w:r>
        <w:rPr>
          <w:spacing w:val="56"/>
          <w:sz w:val="24"/>
        </w:rPr>
        <w:t> </w:t>
      </w:r>
      <w:r>
        <w:rPr>
          <w:sz w:val="24"/>
        </w:rPr>
        <w:t>1970.</w:t>
      </w:r>
    </w:p>
    <w:p>
      <w:pPr>
        <w:spacing w:line="364" w:lineRule="auto" w:before="0"/>
        <w:ind w:left="684" w:right="121" w:firstLine="0"/>
        <w:jc w:val="both"/>
        <w:rPr>
          <w:sz w:val="24"/>
        </w:rPr>
      </w:pPr>
      <w:r>
        <w:rPr>
          <w:sz w:val="24"/>
        </w:rPr>
        <w:t>MOUNIER, Emmanuel, </w:t>
      </w:r>
      <w:r>
        <w:rPr>
          <w:i/>
          <w:sz w:val="24"/>
        </w:rPr>
        <w:t>Manifiesto al servicio del personalismo</w:t>
      </w:r>
      <w:r>
        <w:rPr>
          <w:sz w:val="24"/>
        </w:rPr>
        <w:t>, Taurus, Madrid, 1976.</w:t>
      </w:r>
    </w:p>
    <w:p>
      <w:pPr>
        <w:spacing w:line="364" w:lineRule="auto" w:before="0"/>
        <w:ind w:left="684" w:right="123" w:firstLine="0"/>
        <w:jc w:val="both"/>
        <w:rPr>
          <w:sz w:val="24"/>
        </w:rPr>
      </w:pPr>
      <w:r>
        <w:rPr>
          <w:sz w:val="24"/>
        </w:rPr>
        <w:t>NAGEL, Thomas, </w:t>
      </w:r>
      <w:r>
        <w:rPr>
          <w:i/>
          <w:sz w:val="24"/>
        </w:rPr>
        <w:t>Ensayos sobre la vida human</w:t>
      </w:r>
      <w:r>
        <w:rPr>
          <w:sz w:val="24"/>
        </w:rPr>
        <w:t>a, Fondo de Cultura Económica, México, 1998.</w:t>
      </w:r>
    </w:p>
    <w:p>
      <w:pPr>
        <w:spacing w:line="364" w:lineRule="auto" w:before="0"/>
        <w:ind w:left="684" w:right="117" w:firstLine="0"/>
        <w:jc w:val="both"/>
        <w:rPr>
          <w:sz w:val="24"/>
        </w:rPr>
      </w:pPr>
      <w:r>
        <w:rPr>
          <w:sz w:val="24"/>
        </w:rPr>
        <w:t>PEREYRA Carlos, Villoro Luis, e</w:t>
      </w:r>
      <w:r>
        <w:rPr>
          <w:i/>
          <w:sz w:val="24"/>
        </w:rPr>
        <w:t>t. al</w:t>
      </w:r>
      <w:r>
        <w:rPr>
          <w:sz w:val="24"/>
        </w:rPr>
        <w:t>. </w:t>
      </w:r>
      <w:r>
        <w:rPr>
          <w:i/>
          <w:sz w:val="24"/>
        </w:rPr>
        <w:t>Historia ¿Para Qué?</w:t>
      </w:r>
      <w:r>
        <w:rPr>
          <w:sz w:val="24"/>
        </w:rPr>
        <w:t>, Siglo XXI, México, 2000.</w:t>
      </w:r>
    </w:p>
    <w:p>
      <w:pPr>
        <w:spacing w:line="364" w:lineRule="auto" w:before="0"/>
        <w:ind w:left="684" w:right="112" w:firstLine="0"/>
        <w:jc w:val="both"/>
        <w:rPr>
          <w:sz w:val="24"/>
        </w:rPr>
      </w:pPr>
      <w:r>
        <w:rPr>
          <w:sz w:val="24"/>
        </w:rPr>
        <w:t>POPPER, Karl R., Condry, John, </w:t>
      </w:r>
      <w:r>
        <w:rPr>
          <w:i/>
          <w:sz w:val="24"/>
        </w:rPr>
        <w:t>et. al</w:t>
      </w:r>
      <w:r>
        <w:rPr>
          <w:sz w:val="24"/>
        </w:rPr>
        <w:t>. </w:t>
      </w:r>
      <w:r>
        <w:rPr>
          <w:i/>
          <w:sz w:val="24"/>
        </w:rPr>
        <w:t>La televisión es mala maestra</w:t>
      </w:r>
      <w:r>
        <w:rPr>
          <w:sz w:val="24"/>
        </w:rPr>
        <w:t>, Fondo de Cultura Económica, México, 2006.</w:t>
      </w:r>
    </w:p>
    <w:p>
      <w:pPr>
        <w:spacing w:line="364" w:lineRule="auto" w:before="0"/>
        <w:ind w:left="684" w:right="120" w:firstLine="0"/>
        <w:jc w:val="both"/>
        <w:rPr>
          <w:sz w:val="24"/>
        </w:rPr>
      </w:pPr>
      <w:r>
        <w:rPr>
          <w:sz w:val="24"/>
        </w:rPr>
        <w:t>PRIETO Castillo, Daniel, </w:t>
      </w:r>
      <w:r>
        <w:rPr>
          <w:i/>
          <w:sz w:val="24"/>
        </w:rPr>
        <w:t>Retórica y Manipulación Masiva, </w:t>
      </w:r>
      <w:r>
        <w:rPr>
          <w:sz w:val="24"/>
        </w:rPr>
        <w:t>Ediciones Coyoacán, México, 1994.</w:t>
      </w:r>
    </w:p>
    <w:p>
      <w:pPr>
        <w:pStyle w:val="BodyText"/>
        <w:spacing w:line="362" w:lineRule="auto"/>
        <w:ind w:left="684" w:right="117"/>
        <w:jc w:val="both"/>
      </w:pPr>
      <w:r>
        <w:rPr/>
        <w:t>PRIETO González, Alfredo, </w:t>
      </w:r>
      <w:r>
        <w:rPr>
          <w:i/>
        </w:rPr>
        <w:t>Encuentro con Noam Chomsky, </w:t>
      </w:r>
      <w:r>
        <w:rPr/>
        <w:t>Revista TEMAS, Cultura, Ideología y Sociedad, No. 35, Octubre-diciembre, 2003, La Habana,  Cuba.</w:t>
      </w:r>
    </w:p>
    <w:p>
      <w:pPr>
        <w:pStyle w:val="BodyText"/>
        <w:spacing w:line="362" w:lineRule="auto"/>
        <w:ind w:left="684" w:right="117"/>
        <w:jc w:val="both"/>
      </w:pPr>
      <w:r>
        <w:rPr/>
        <w:t>RABINOVICH Silvana/ SAADA Alya, (coordinadoras). </w:t>
      </w:r>
      <w:r>
        <w:rPr>
          <w:i/>
        </w:rPr>
        <w:t>Lo otro</w:t>
      </w:r>
      <w:r>
        <w:rPr/>
        <w:t>, UNESCO, México, 2006.</w:t>
      </w:r>
    </w:p>
    <w:p>
      <w:pPr>
        <w:spacing w:line="362" w:lineRule="auto" w:before="0"/>
        <w:ind w:left="684" w:right="119" w:firstLine="0"/>
        <w:jc w:val="both"/>
        <w:rPr>
          <w:sz w:val="24"/>
        </w:rPr>
      </w:pPr>
      <w:r>
        <w:rPr>
          <w:sz w:val="24"/>
        </w:rPr>
        <w:t>REBEIL, María Antonieta y Gómez Delia Guadalupe, </w:t>
      </w:r>
      <w:r>
        <w:rPr>
          <w:i/>
          <w:sz w:val="24"/>
        </w:rPr>
        <w:t>Ética, Violencia y Televisión</w:t>
      </w:r>
      <w:r>
        <w:rPr>
          <w:sz w:val="24"/>
        </w:rPr>
        <w:t>, Trillas, México, 2008.</w:t>
      </w:r>
    </w:p>
    <w:p>
      <w:pPr>
        <w:spacing w:line="362" w:lineRule="auto" w:before="0"/>
        <w:ind w:left="684" w:right="114" w:firstLine="0"/>
        <w:jc w:val="left"/>
        <w:rPr>
          <w:sz w:val="24"/>
        </w:rPr>
      </w:pPr>
      <w:r>
        <w:rPr>
          <w:sz w:val="24"/>
        </w:rPr>
        <w:t>REYES Heroles, Federico, </w:t>
      </w:r>
      <w:r>
        <w:rPr>
          <w:i/>
          <w:sz w:val="24"/>
        </w:rPr>
        <w:t>Memorial del mañana</w:t>
      </w:r>
      <w:r>
        <w:rPr>
          <w:sz w:val="24"/>
        </w:rPr>
        <w:t>, Taurus, México, 1999. RODRÍGUEZ, Alfonso, </w:t>
      </w:r>
      <w:r>
        <w:rPr>
          <w:i/>
          <w:sz w:val="24"/>
        </w:rPr>
        <w:t>et al</w:t>
      </w:r>
      <w:r>
        <w:rPr>
          <w:sz w:val="24"/>
        </w:rPr>
        <w:t>, </w:t>
      </w:r>
      <w:r>
        <w:rPr>
          <w:i/>
          <w:sz w:val="24"/>
        </w:rPr>
        <w:t>Lecciones de Historia de México</w:t>
      </w:r>
      <w:r>
        <w:rPr>
          <w:sz w:val="24"/>
        </w:rPr>
        <w:t>, Trillas, México, 1995.</w:t>
      </w:r>
    </w:p>
    <w:p>
      <w:pPr>
        <w:spacing w:line="271" w:lineRule="exact" w:before="0"/>
        <w:ind w:left="684" w:right="0" w:firstLine="0"/>
        <w:jc w:val="both"/>
        <w:rPr>
          <w:i/>
          <w:sz w:val="24"/>
        </w:rPr>
      </w:pPr>
      <w:r>
        <w:rPr>
          <w:sz w:val="24"/>
        </w:rPr>
        <w:t>ROUQUIÉ,  Alain     (Coordinador)   </w:t>
      </w:r>
      <w:r>
        <w:rPr>
          <w:i/>
          <w:sz w:val="24"/>
        </w:rPr>
        <w:t>Las  Fuerzas  Políticas  en  América   Central,</w:t>
      </w:r>
    </w:p>
    <w:p>
      <w:pPr>
        <w:pStyle w:val="BodyText"/>
        <w:spacing w:line="410" w:lineRule="atLeast" w:before="10"/>
        <w:ind w:left="684" w:right="504"/>
      </w:pPr>
      <w:r>
        <w:rPr/>
        <w:t>Traducción de Daniel Zadunaisky, Fondo de Cultura Económica, México, 1994. SÁNCHEZ Vázquez, Adolfo, </w:t>
      </w:r>
      <w:r>
        <w:rPr>
          <w:i/>
        </w:rPr>
        <w:t>Filosofía de la Praxis</w:t>
      </w:r>
      <w:r>
        <w:rPr/>
        <w:t>, Grijalbo, México, 1972.</w:t>
      </w:r>
    </w:p>
    <w:p>
      <w:pPr>
        <w:spacing w:after="0" w:line="410" w:lineRule="atLeast"/>
        <w:sectPr>
          <w:pgSz w:w="12240" w:h="15840"/>
          <w:pgMar w:header="0" w:footer="878" w:top="520" w:bottom="1060" w:left="1300" w:right="1300"/>
        </w:sectPr>
      </w:pPr>
    </w:p>
    <w:p>
      <w:pPr>
        <w:pStyle w:val="Heading3"/>
      </w:pPr>
      <w:r>
        <w:rPr/>
        <w:pict>
          <v:line style="position:absolute;mso-position-horizontal-relative:page;mso-position-vertical-relative:paragraph;z-index:1096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362" w:lineRule="auto" w:before="70"/>
        <w:ind w:left="264" w:right="0" w:firstLine="0"/>
        <w:jc w:val="left"/>
        <w:rPr>
          <w:sz w:val="24"/>
        </w:rPr>
      </w:pPr>
      <w:r>
        <w:rPr>
          <w:sz w:val="24"/>
        </w:rPr>
        <w:t>SARTORI Giovanni, </w:t>
      </w:r>
      <w:r>
        <w:rPr>
          <w:i/>
          <w:sz w:val="24"/>
        </w:rPr>
        <w:t>Homo Videns, La sociedad teledirigida, </w:t>
      </w:r>
      <w:r>
        <w:rPr>
          <w:sz w:val="24"/>
        </w:rPr>
        <w:t>Punto de Encuentro, México, 2007.</w:t>
      </w:r>
    </w:p>
    <w:p>
      <w:pPr>
        <w:spacing w:line="362" w:lineRule="auto" w:before="0"/>
        <w:ind w:left="264" w:right="0" w:firstLine="0"/>
        <w:jc w:val="left"/>
        <w:rPr>
          <w:sz w:val="24"/>
        </w:rPr>
      </w:pPr>
      <w:r>
        <w:rPr>
          <w:sz w:val="24"/>
        </w:rPr>
        <w:t>SARTRE, Jean Paul. </w:t>
      </w:r>
      <w:r>
        <w:rPr>
          <w:i/>
          <w:sz w:val="24"/>
        </w:rPr>
        <w:t>El existencialismo es un humanismo</w:t>
      </w:r>
      <w:r>
        <w:rPr>
          <w:sz w:val="24"/>
        </w:rPr>
        <w:t>, Sur, Buenos Aires, Argentina, 1975.</w:t>
      </w:r>
    </w:p>
    <w:p>
      <w:pPr>
        <w:spacing w:line="362" w:lineRule="auto" w:before="0"/>
        <w:ind w:left="264" w:right="0" w:firstLine="0"/>
        <w:jc w:val="left"/>
        <w:rPr>
          <w:sz w:val="24"/>
        </w:rPr>
      </w:pPr>
      <w:r>
        <w:rPr>
          <w:sz w:val="24"/>
        </w:rPr>
        <w:t>SOBRINO Ordóñez, Miguel Ángel, </w:t>
      </w:r>
      <w:r>
        <w:rPr>
          <w:i/>
          <w:sz w:val="24"/>
        </w:rPr>
        <w:t>En Torno a la Paideia</w:t>
      </w:r>
      <w:r>
        <w:rPr>
          <w:sz w:val="24"/>
        </w:rPr>
        <w:t>, ISCEEM, México, 2011. SWADESH, Mauricio</w:t>
      </w:r>
      <w:r>
        <w:rPr>
          <w:i/>
          <w:sz w:val="24"/>
        </w:rPr>
        <w:t>, El lenguaje y la vida humana</w:t>
      </w:r>
      <w:r>
        <w:rPr>
          <w:sz w:val="24"/>
        </w:rPr>
        <w:t>, Fondo de Cultura Económica, Chile, 1995.</w:t>
      </w:r>
    </w:p>
    <w:p>
      <w:pPr>
        <w:spacing w:line="362" w:lineRule="auto" w:before="0"/>
        <w:ind w:left="264" w:right="1166" w:firstLine="0"/>
        <w:jc w:val="left"/>
        <w:rPr>
          <w:sz w:val="24"/>
        </w:rPr>
      </w:pPr>
      <w:r>
        <w:rPr>
          <w:sz w:val="24"/>
        </w:rPr>
        <w:t>TOURAINE, Alain, </w:t>
      </w:r>
      <w:r>
        <w:rPr>
          <w:i/>
          <w:sz w:val="24"/>
        </w:rPr>
        <w:t>¿Cómo Salir del liberalismo?, </w:t>
      </w:r>
      <w:r>
        <w:rPr>
          <w:sz w:val="24"/>
        </w:rPr>
        <w:t>Paidós, México, 1999. TOUSSAINT, Florence, </w:t>
      </w:r>
      <w:r>
        <w:rPr>
          <w:i/>
          <w:sz w:val="24"/>
        </w:rPr>
        <w:t>Televisión sin Fronteras</w:t>
      </w:r>
      <w:r>
        <w:rPr>
          <w:sz w:val="24"/>
        </w:rPr>
        <w:t>, Siglo XXI, México, 1998.</w:t>
      </w:r>
    </w:p>
    <w:p>
      <w:pPr>
        <w:spacing w:line="360" w:lineRule="auto" w:before="0"/>
        <w:ind w:left="264" w:right="220" w:firstLine="0"/>
        <w:jc w:val="both"/>
        <w:rPr>
          <w:sz w:val="24"/>
        </w:rPr>
      </w:pPr>
      <w:r>
        <w:rPr>
          <w:sz w:val="24"/>
        </w:rPr>
        <w:t>U A E M (Universidad Autónoma Del Estado De México). </w:t>
      </w:r>
      <w:r>
        <w:rPr>
          <w:i/>
          <w:sz w:val="24"/>
        </w:rPr>
        <w:t>Recuento de  las </w:t>
      </w:r>
      <w:r>
        <w:rPr>
          <w:i/>
          <w:sz w:val="24"/>
        </w:rPr>
        <w:t>jornadas filosóficas durante 2002, ¿Qué es eso de la filosofía? Razón o embrutecimiento,  </w:t>
      </w:r>
      <w:r>
        <w:rPr>
          <w:sz w:val="24"/>
        </w:rPr>
        <w:t>México, 2003.</w:t>
      </w:r>
    </w:p>
    <w:p>
      <w:pPr>
        <w:spacing w:line="360" w:lineRule="auto" w:before="6"/>
        <w:ind w:left="264" w:right="210" w:firstLine="0"/>
        <w:jc w:val="left"/>
        <w:rPr>
          <w:sz w:val="24"/>
        </w:rPr>
      </w:pPr>
      <w:r>
        <w:rPr>
          <w:sz w:val="24"/>
        </w:rPr>
        <w:t>TRÍAS, Eugenio, </w:t>
      </w:r>
      <w:r>
        <w:rPr>
          <w:i/>
          <w:sz w:val="24"/>
        </w:rPr>
        <w:t>Meditación sobre el poder</w:t>
      </w:r>
      <w:r>
        <w:rPr>
          <w:sz w:val="24"/>
        </w:rPr>
        <w:t>, Anagrama, Barcelona, 1993. VILLAMIL, Jenaro, </w:t>
      </w:r>
      <w:r>
        <w:rPr>
          <w:i/>
          <w:sz w:val="24"/>
        </w:rPr>
        <w:t>La televisión que nos gobierna</w:t>
      </w:r>
      <w:r>
        <w:rPr>
          <w:sz w:val="24"/>
        </w:rPr>
        <w:t>, Grijalbo, México, 2005. VILLORO, Luis, </w:t>
      </w:r>
      <w:r>
        <w:rPr>
          <w:i/>
          <w:sz w:val="24"/>
        </w:rPr>
        <w:t>Estado Plural, Pluralidad de Culturas</w:t>
      </w:r>
      <w:r>
        <w:rPr>
          <w:sz w:val="24"/>
        </w:rPr>
        <w:t>, Paidós, UNAM, Facultad de Filosofía y Letras, México, 1998.</w:t>
      </w:r>
    </w:p>
    <w:p>
      <w:pPr>
        <w:spacing w:line="362" w:lineRule="auto" w:before="2"/>
        <w:ind w:left="264" w:right="0" w:firstLine="0"/>
        <w:jc w:val="left"/>
        <w:rPr>
          <w:sz w:val="24"/>
        </w:rPr>
      </w:pPr>
      <w:r>
        <w:rPr>
          <w:sz w:val="24"/>
        </w:rPr>
        <w:t>VILLORO, Luis, </w:t>
      </w:r>
      <w:r>
        <w:rPr>
          <w:i/>
          <w:sz w:val="24"/>
        </w:rPr>
        <w:t>El Poder y el Valor, fundamentos de una ética política, </w:t>
      </w:r>
      <w:r>
        <w:rPr>
          <w:sz w:val="24"/>
        </w:rPr>
        <w:t>Fondo de Cultura Económica, México, 2001.</w:t>
      </w:r>
    </w:p>
    <w:p>
      <w:pPr>
        <w:spacing w:line="357" w:lineRule="auto" w:before="0"/>
        <w:ind w:left="264" w:right="0" w:firstLine="0"/>
        <w:jc w:val="left"/>
        <w:rPr>
          <w:sz w:val="24"/>
        </w:rPr>
      </w:pPr>
      <w:r>
        <w:rPr>
          <w:sz w:val="24"/>
        </w:rPr>
        <w:t>WILLIAMS, Raymond, </w:t>
      </w:r>
      <w:r>
        <w:rPr>
          <w:i/>
          <w:sz w:val="24"/>
        </w:rPr>
        <w:t>Historia De La Comunicación: De La Imprenta A Nuestros </w:t>
      </w:r>
      <w:r>
        <w:rPr>
          <w:i/>
          <w:sz w:val="24"/>
        </w:rPr>
        <w:t>Días</w:t>
      </w:r>
      <w:r>
        <w:rPr>
          <w:sz w:val="24"/>
        </w:rPr>
        <w:t>,  Editorial Bosch, S.A., Barcelona, 1992.</w:t>
      </w:r>
    </w:p>
    <w:p>
      <w:pPr>
        <w:spacing w:before="9"/>
        <w:ind w:left="264" w:right="0" w:firstLine="0"/>
        <w:jc w:val="left"/>
        <w:rPr>
          <w:sz w:val="24"/>
        </w:rPr>
      </w:pPr>
      <w:r>
        <w:rPr>
          <w:sz w:val="24"/>
        </w:rPr>
        <w:t>WOLF R., Eric, </w:t>
      </w:r>
      <w:r>
        <w:rPr>
          <w:i/>
          <w:sz w:val="24"/>
        </w:rPr>
        <w:t>Las Luchas campesinas del siglo XX</w:t>
      </w:r>
      <w:r>
        <w:rPr>
          <w:sz w:val="24"/>
        </w:rPr>
        <w:t>, Siglo XXI, México, 1987.</w:t>
      </w:r>
    </w:p>
    <w:p>
      <w:pPr>
        <w:pStyle w:val="BodyText"/>
      </w:pPr>
    </w:p>
    <w:p>
      <w:pPr>
        <w:pStyle w:val="BodyText"/>
      </w:pPr>
    </w:p>
    <w:p>
      <w:pPr>
        <w:pStyle w:val="BodyText"/>
        <w:spacing w:before="10"/>
        <w:rPr>
          <w:sz w:val="35"/>
        </w:rPr>
      </w:pPr>
    </w:p>
    <w:p>
      <w:pPr>
        <w:pStyle w:val="Heading3"/>
        <w:spacing w:before="0"/>
        <w:ind w:left="3441"/>
        <w:rPr>
          <w:rFonts w:ascii="Arial" w:hAnsi="Arial"/>
        </w:rPr>
      </w:pPr>
      <w:bookmarkStart w:name="_TOC_250001" w:id="23"/>
      <w:bookmarkEnd w:id="23"/>
      <w:r>
        <w:rPr>
          <w:rFonts w:ascii="Arial" w:hAnsi="Arial"/>
        </w:rPr>
        <w:t>BIBLIOGRAFÍA VIRTUAL</w:t>
      </w:r>
    </w:p>
    <w:p>
      <w:pPr>
        <w:pStyle w:val="BodyText"/>
        <w:rPr>
          <w:b/>
        </w:rPr>
      </w:pPr>
    </w:p>
    <w:p>
      <w:pPr>
        <w:pStyle w:val="BodyText"/>
        <w:spacing w:before="4"/>
        <w:rPr>
          <w:b/>
        </w:rPr>
      </w:pPr>
    </w:p>
    <w:p>
      <w:pPr>
        <w:pStyle w:val="BodyText"/>
        <w:tabs>
          <w:tab w:pos="1651" w:val="left" w:leader="none"/>
          <w:tab w:pos="2451" w:val="left" w:leader="none"/>
          <w:tab w:pos="3130" w:val="left" w:leader="none"/>
          <w:tab w:pos="4254" w:val="left" w:leader="none"/>
          <w:tab w:pos="4745" w:val="left" w:leader="none"/>
          <w:tab w:pos="5277" w:val="left" w:leader="none"/>
          <w:tab w:pos="7698" w:val="left" w:leader="none"/>
          <w:tab w:pos="8198" w:val="left" w:leader="none"/>
        </w:tabs>
        <w:spacing w:line="360" w:lineRule="auto"/>
        <w:ind w:left="264" w:right="216"/>
      </w:pPr>
      <w:r>
        <w:rPr/>
        <w:t>ÁLVAREZ,</w:t>
        <w:tab/>
        <w:t>Clara</w:t>
        <w:tab/>
        <w:t>Luz,</w:t>
        <w:tab/>
        <w:t>“Historia</w:t>
        <w:tab/>
        <w:t>de</w:t>
        <w:tab/>
        <w:t>las</w:t>
        <w:tab/>
        <w:t>Telecomunicaciones</w:t>
        <w:tab/>
        <w:t>en</w:t>
        <w:tab/>
      </w:r>
      <w:r>
        <w:rPr>
          <w:spacing w:val="-1"/>
        </w:rPr>
        <w:t>México”, </w:t>
      </w:r>
      <w:r>
        <w:rPr>
          <w:i/>
        </w:rPr>
        <w:t>WORDPRESS, Revista bimensual, </w:t>
      </w:r>
      <w:r>
        <w:rPr/>
        <w:t>[en línea], consulta 04/09/2012, disponible en: </w:t>
      </w:r>
      <w:hyperlink r:id="rId25">
        <w:r>
          <w:rPr>
            <w:color w:val="0000FF"/>
            <w:u w:val="single" w:color="0000FF"/>
          </w:rPr>
          <w:t>http://revistabimensualup.files.wordpress.com/2007/09/d2-</w:t>
        </w:r>
      </w:hyperlink>
      <w:r>
        <w:rPr>
          <w:color w:val="0000FF"/>
          <w:u w:val="single" w:color="0000FF"/>
        </w:rPr>
        <w:t> </w:t>
      </w:r>
      <w:hyperlink r:id="rId25">
        <w:r>
          <w:rPr>
            <w:color w:val="0000FF"/>
            <w:u w:val="single" w:color="0000FF"/>
          </w:rPr>
          <w:t>historiadelastelecomunicacionesenmxicooriginal1.pdf</w:t>
        </w:r>
      </w:hyperlink>
      <w:r>
        <w:rPr/>
        <w:t>.</w:t>
      </w:r>
    </w:p>
    <w:p>
      <w:pPr>
        <w:pStyle w:val="BodyText"/>
        <w:spacing w:before="2"/>
        <w:ind w:left="264"/>
      </w:pPr>
      <w:r>
        <w:rPr/>
        <w:t>ANIMAL POLÍTICO, [en línea], Consulta 10-05-2012, disponible en:</w:t>
      </w:r>
    </w:p>
    <w:p>
      <w:pPr>
        <w:spacing w:after="0"/>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098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spacing w:line="357" w:lineRule="auto" w:before="70"/>
        <w:ind w:left="684" w:right="353"/>
      </w:pPr>
      <w:hyperlink r:id="rId133">
        <w:r>
          <w:rPr>
            <w:color w:val="0000FF"/>
            <w:u w:val="single" w:color="0000FF"/>
          </w:rPr>
          <w:t>http://www.animalpolitico.com/2012/04/entre-30-y-50-mil-ninos-atrapados-por-la-</w:t>
        </w:r>
      </w:hyperlink>
      <w:r>
        <w:rPr>
          <w:color w:val="0000FF"/>
          <w:u w:val="single" w:color="0000FF"/>
        </w:rPr>
        <w:t> </w:t>
      </w:r>
      <w:hyperlink r:id="rId133">
        <w:r>
          <w:rPr>
            <w:color w:val="0000FF"/>
            <w:u w:val="single" w:color="0000FF"/>
          </w:rPr>
          <w:t>delincuencia-organizada/</w:t>
        </w:r>
      </w:hyperlink>
      <w:r>
        <w:rPr>
          <w:color w:val="0000FF"/>
          <w:u w:val="single" w:color="0000FF"/>
        </w:rPr>
        <w:t>.</w:t>
      </w:r>
    </w:p>
    <w:p>
      <w:pPr>
        <w:pStyle w:val="BodyText"/>
        <w:spacing w:line="360" w:lineRule="auto" w:before="8"/>
        <w:ind w:left="684" w:right="118"/>
        <w:jc w:val="both"/>
      </w:pPr>
      <w:r>
        <w:rPr/>
        <w:t>ALCÁNTARA, Armando, “Políticas Educativas y Neoliberalismo en México: 1982- 2006”, [en línea], consulta 23-04-2011, disponible en: </w:t>
      </w:r>
      <w:hyperlink r:id="rId38">
        <w:r>
          <w:rPr>
            <w:color w:val="0000FF"/>
            <w:u w:val="single" w:color="0000FF"/>
          </w:rPr>
          <w:t>http://www.rieoei.org/rie48a07.pdf</w:t>
        </w:r>
      </w:hyperlink>
      <w:r>
        <w:rPr>
          <w:color w:val="0000FF"/>
          <w:u w:val="single" w:color="0000FF"/>
        </w:rPr>
        <w:t>.</w:t>
      </w:r>
    </w:p>
    <w:p>
      <w:pPr>
        <w:pStyle w:val="BodyText"/>
        <w:spacing w:line="360" w:lineRule="auto" w:before="2"/>
        <w:ind w:left="684" w:right="118"/>
        <w:jc w:val="both"/>
      </w:pPr>
      <w:r>
        <w:rPr/>
        <w:t>ARANDA Izaguerra, José, “Las relaciones de México con el Fondo Monetario Internacional”, Coordinación de publicaciones, Facultad de Economía, Carta de Políticas Públicas, [en línea], consulta 02-05-2012, disponible en: </w:t>
      </w:r>
      <w:hyperlink r:id="rId41">
        <w:r>
          <w:rPr/>
          <w:t>http://www.economia.unam.mx/publicaciones/carta/06.html.</w:t>
        </w:r>
      </w:hyperlink>
    </w:p>
    <w:p>
      <w:pPr>
        <w:pStyle w:val="BodyText"/>
        <w:spacing w:line="360" w:lineRule="auto" w:before="2"/>
        <w:ind w:left="684" w:right="120"/>
        <w:jc w:val="both"/>
      </w:pPr>
      <w:r>
        <w:rPr/>
        <w:t>ARIAS, Marta y VERA, José María, “Banco mundial y Fondo Monetario Internacional ¿Una ayuda para los países pobres?”, [en línea] consulta  05/06/2012, disponible en:</w:t>
      </w:r>
      <w:r>
        <w:rPr>
          <w:spacing w:val="-46"/>
        </w:rPr>
        <w:t> </w:t>
      </w:r>
      <w:hyperlink r:id="rId36">
        <w:r>
          <w:rPr>
            <w:color w:val="0000FF"/>
            <w:u w:val="single" w:color="0000FF"/>
          </w:rPr>
          <w:t>http://www.fespinal.com/espinal/llib/es112.pdf</w:t>
        </w:r>
      </w:hyperlink>
      <w:r>
        <w:rPr/>
        <w:t>.</w:t>
      </w:r>
    </w:p>
    <w:p>
      <w:pPr>
        <w:pStyle w:val="BodyText"/>
        <w:tabs>
          <w:tab w:pos="9190" w:val="left" w:leader="none"/>
        </w:tabs>
        <w:spacing w:line="360" w:lineRule="auto" w:before="5"/>
        <w:ind w:left="684" w:right="114"/>
        <w:jc w:val="both"/>
      </w:pPr>
      <w:r>
        <w:rPr/>
        <w:t>ARIEH Gerstein, Jorge, “El conflicto entre Honduras y el Salvador: Análisis de sus causas”, </w:t>
      </w:r>
      <w:r>
        <w:rPr>
          <w:i/>
        </w:rPr>
        <w:t>El Colegio de México</w:t>
      </w:r>
      <w:r>
        <w:rPr/>
        <w:t>, Julio de 1970, [en línea] consulta 24/07/2012 disponible</w:t>
        <w:tab/>
        <w:t>en:</w:t>
      </w:r>
    </w:p>
    <w:p>
      <w:pPr>
        <w:pStyle w:val="BodyText"/>
        <w:spacing w:line="362" w:lineRule="auto" w:before="2"/>
        <w:ind w:left="684" w:right="158"/>
        <w:jc w:val="both"/>
      </w:pPr>
      <w:r>
        <w:rPr>
          <w:color w:val="0000FF"/>
          <w:spacing w:val="-1"/>
          <w:u w:val="single" w:color="0000FF"/>
        </w:rPr>
        <w:t>http://codex.colmex.mx:8991/exlibris/aleph/a18_1/apache_media/1SGS3QERMRR </w:t>
      </w:r>
      <w:r>
        <w:rPr>
          <w:color w:val="0000FF"/>
          <w:u w:val="single" w:color="0000FF"/>
        </w:rPr>
        <w:t>SVXTXBY6BGQV33155PM.pdf</w:t>
      </w:r>
      <w:r>
        <w:rPr/>
        <w:t>.</w:t>
      </w:r>
    </w:p>
    <w:p>
      <w:pPr>
        <w:pStyle w:val="BodyText"/>
        <w:spacing w:line="360" w:lineRule="auto"/>
        <w:ind w:left="684" w:right="118"/>
      </w:pPr>
      <w:r>
        <w:rPr/>
        <w:t>BERNARDO, López Manuel, “La política económica de Carlos Salinas de Gortari de 1988 a 1994”, </w:t>
      </w:r>
      <w:r>
        <w:rPr>
          <w:i/>
        </w:rPr>
        <w:t>Monografías.com</w:t>
      </w:r>
      <w:r>
        <w:rPr/>
        <w:t>, [en línea], consulta 10/09/2012, disponible en: </w:t>
      </w:r>
      <w:hyperlink r:id="rId39">
        <w:r>
          <w:rPr>
            <w:color w:val="0000FF"/>
            <w:u w:val="single" w:color="0000FF"/>
          </w:rPr>
          <w:t>http://www.monografias.com/trabajos87/politica-economica-carlos-salinas-gortari-</w:t>
        </w:r>
      </w:hyperlink>
      <w:r>
        <w:rPr>
          <w:color w:val="0000FF"/>
          <w:u w:val="single" w:color="0000FF"/>
        </w:rPr>
        <w:t> </w:t>
      </w:r>
      <w:hyperlink r:id="rId39">
        <w:r>
          <w:rPr>
            <w:color w:val="0000FF"/>
            <w:u w:val="single" w:color="0000FF"/>
          </w:rPr>
          <w:t>1988-1994/politica-economica-carlos-salinas-gortari-1988-1994.shtml</w:t>
        </w:r>
      </w:hyperlink>
      <w:r>
        <w:rPr>
          <w:color w:val="0000FF"/>
          <w:u w:val="single" w:color="0000FF"/>
        </w:rPr>
        <w:t>.</w:t>
      </w:r>
    </w:p>
    <w:p>
      <w:pPr>
        <w:pStyle w:val="BodyText"/>
        <w:spacing w:line="360" w:lineRule="auto" w:before="2"/>
        <w:ind w:left="684" w:right="118"/>
        <w:jc w:val="both"/>
      </w:pPr>
      <w:r>
        <w:rPr/>
        <w:t>BIZBERG Ilán, “Una Democracia Vacía. Sociedad Civil, Movimientos Sociales y Democracia”, </w:t>
      </w:r>
      <w:r>
        <w:rPr>
          <w:i/>
        </w:rPr>
        <w:t>El Colegio de México</w:t>
      </w:r>
      <w:r>
        <w:rPr/>
        <w:t>, [en línea], consulta 24/09/2012, disponible en: </w:t>
      </w:r>
      <w:hyperlink r:id="rId30">
        <w:r>
          <w:rPr>
            <w:color w:val="0000FF"/>
            <w:u w:val="single" w:color="0000FF"/>
          </w:rPr>
          <w:t>http://cei.colmex.mx/PDFs/Prof%20Bizberg/Movimientos.pdf</w:t>
        </w:r>
      </w:hyperlink>
      <w:r>
        <w:rPr/>
        <w:t>.</w:t>
      </w:r>
    </w:p>
    <w:p>
      <w:pPr>
        <w:pStyle w:val="BodyText"/>
        <w:spacing w:line="360" w:lineRule="auto" w:before="2"/>
        <w:ind w:left="684" w:right="115"/>
        <w:jc w:val="both"/>
      </w:pPr>
      <w:r>
        <w:rPr/>
        <w:t>BUSTAMANTE Bohorquez, Borys, Aranguren Díaz, Fernando, </w:t>
      </w:r>
      <w:r>
        <w:rPr>
          <w:i/>
        </w:rPr>
        <w:t>et al. “</w:t>
      </w:r>
      <w:r>
        <w:rPr/>
        <w:t>Educación y televisión: Una convergencia creativa”, </w:t>
      </w:r>
      <w:r>
        <w:rPr>
          <w:i/>
        </w:rPr>
        <w:t>Comunicar</w:t>
      </w:r>
      <w:r>
        <w:rPr/>
        <w:t>, España, 2004, pp. 132-136, Red de Revistas Científicas de AMÉRICA Latina y el Caribe, [en línea], consulta 20/06/2012, disponible en: </w:t>
      </w:r>
      <w:hyperlink r:id="rId146">
        <w:r>
          <w:rPr>
            <w:color w:val="0000FF"/>
            <w:u w:val="single" w:color="0000FF"/>
          </w:rPr>
          <w:t>http://redalyc.uaemex.mx</w:t>
        </w:r>
      </w:hyperlink>
      <w:r>
        <w:rPr/>
        <w:t>.</w:t>
      </w:r>
    </w:p>
    <w:p>
      <w:pPr>
        <w:pStyle w:val="BodyText"/>
        <w:spacing w:line="360" w:lineRule="auto" w:before="6"/>
        <w:ind w:left="684" w:right="113"/>
        <w:jc w:val="both"/>
      </w:pPr>
      <w:r>
        <w:rPr/>
        <w:t>CALDERONE, Mónica, “Sobre Violencia Simbólica en Bourdieu”, artículo  publicado en “</w:t>
      </w:r>
      <w:r>
        <w:rPr>
          <w:i/>
        </w:rPr>
        <w:t>La Trama de la Comunicación</w:t>
      </w:r>
      <w:r>
        <w:rPr/>
        <w:t>” Vol. 9, Anuario del Departamento de Ciencias   de   la   Comunicación.   Facultad   de   Ciencia   Política   y </w:t>
      </w:r>
      <w:r>
        <w:rPr>
          <w:spacing w:val="29"/>
        </w:rPr>
        <w:t> </w:t>
      </w:r>
      <w:r>
        <w:rPr/>
        <w:t>Relaciones</w:t>
      </w:r>
    </w:p>
    <w:p>
      <w:pPr>
        <w:pStyle w:val="BodyText"/>
        <w:spacing w:before="2"/>
        <w:ind w:left="684"/>
        <w:jc w:val="both"/>
      </w:pPr>
      <w:r>
        <w:rPr/>
        <w:t>Internacionales,  Universidad  Nacional  de  Rosario.  Rosario.  Argentina.      UNR</w:t>
      </w:r>
    </w:p>
    <w:p>
      <w:pPr>
        <w:spacing w:after="0"/>
        <w:jc w:val="both"/>
        <w:sectPr>
          <w:pgSz w:w="12240" w:h="15840"/>
          <w:pgMar w:header="0" w:footer="878" w:top="520" w:bottom="1060" w:left="1300" w:right="1300"/>
        </w:sectPr>
      </w:pPr>
    </w:p>
    <w:p>
      <w:pPr>
        <w:pStyle w:val="Heading3"/>
      </w:pPr>
      <w:r>
        <w:rPr/>
        <w:pict>
          <v:line style="position:absolute;mso-position-horizontal-relative:page;mso-position-vertical-relative:paragraph;z-index:1100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57" w:lineRule="auto" w:before="70"/>
        <w:ind w:left="264" w:right="224"/>
        <w:jc w:val="both"/>
      </w:pPr>
      <w:r>
        <w:rPr/>
        <w:t>Editora, 2004. [en línea] consulta 28/10/2012, disponible en: </w:t>
      </w:r>
      <w:hyperlink r:id="rId113">
        <w:r>
          <w:rPr>
            <w:color w:val="0000FF"/>
            <w:u w:val="single" w:color="0000FF"/>
          </w:rPr>
          <w:t>http://rephip.unr.edu.ar/bitstream/handle/2133/487/Calderone%20-</w:t>
        </w:r>
      </w:hyperlink>
    </w:p>
    <w:p>
      <w:pPr>
        <w:pStyle w:val="BodyText"/>
        <w:tabs>
          <w:tab w:pos="4608" w:val="left" w:leader="none"/>
          <w:tab w:pos="8764" w:val="left" w:leader="none"/>
        </w:tabs>
        <w:spacing w:line="360" w:lineRule="auto" w:before="8"/>
        <w:ind w:left="264" w:right="222"/>
      </w:pPr>
      <w:hyperlink r:id="rId113">
        <w:r>
          <w:rPr>
            <w:color w:val="0000FF"/>
            <w:u w:val="single" w:color="0000FF"/>
          </w:rPr>
          <w:t>%20Violencia%20Simb%C3%B3lica%20en%20Bourdieu_A1a.pdf?sequence=1</w:t>
        </w:r>
      </w:hyperlink>
      <w:r>
        <w:rPr/>
        <w:t>. CARDONA Orozco Daniela, “Medios de comunicación”, [en línea] consulta 22/08/2012,</w:t>
        <w:tab/>
        <w:t>disponible</w:t>
        <w:tab/>
      </w:r>
      <w:r>
        <w:rPr>
          <w:spacing w:val="-1"/>
        </w:rPr>
        <w:t>en: </w:t>
      </w:r>
      <w:hyperlink r:id="rId80">
        <w:r>
          <w:rPr>
            <w:color w:val="0000FF"/>
            <w:u w:val="single" w:color="0000FF"/>
          </w:rPr>
          <w:t>http://tecnoinforaprendiendo.blogspot.mx/2012/09/medios-de-comunicacion.html</w:t>
        </w:r>
      </w:hyperlink>
      <w:r>
        <w:rPr/>
        <w:t>.</w:t>
      </w:r>
    </w:p>
    <w:p>
      <w:pPr>
        <w:pStyle w:val="BodyText"/>
        <w:spacing w:line="360" w:lineRule="auto" w:before="6"/>
        <w:ind w:left="264" w:right="214"/>
        <w:jc w:val="both"/>
      </w:pPr>
      <w:r>
        <w:rPr/>
        <w:t>CARDOSO Carballo, Juan Manuel, et al., “Globalización, medios de comunicación y la sociedad planetaria”, </w:t>
      </w:r>
      <w:r>
        <w:rPr>
          <w:i/>
        </w:rPr>
        <w:t>LATINA, Revista Latina de Comunicación social</w:t>
      </w:r>
      <w:r>
        <w:rPr/>
        <w:t>, 2001, La Laguna (Tenerife) Año 4, Núm. 38, [en línea], consulta: 03/08/2012, disponible en: </w:t>
      </w:r>
      <w:hyperlink r:id="rId13">
        <w:r>
          <w:rPr>
            <w:color w:val="0000FF"/>
            <w:u w:val="single" w:color="0000FF"/>
          </w:rPr>
          <w:t>http://redalyc.uaemex.mx/pdf/819/81943808.pdf</w:t>
        </w:r>
      </w:hyperlink>
      <w:r>
        <w:rPr/>
        <w:t>.</w:t>
      </w:r>
      <w:r>
        <w:rPr>
          <w:spacing w:val="33"/>
        </w:rPr>
        <w:t> </w:t>
      </w:r>
      <w:r>
        <w:rPr/>
        <w:t>ISSN-1138-5820.</w:t>
      </w:r>
    </w:p>
    <w:p>
      <w:pPr>
        <w:pStyle w:val="BodyText"/>
        <w:spacing w:line="360" w:lineRule="auto" w:before="6"/>
        <w:ind w:left="264" w:right="227"/>
        <w:jc w:val="both"/>
      </w:pPr>
      <w:r>
        <w:rPr/>
        <w:t>CASTRO, José Alberto, “En su centenario, Erich Fromm, en el diván de sus discípulos,” Revista Proceso, 1222 Cultura No. 29, [en línea] consulta 24/08/2012, disponible en: </w:t>
      </w:r>
      <w:hyperlink r:id="rId21">
        <w:r>
          <w:rPr>
            <w:color w:val="0000FF"/>
            <w:u w:val="single" w:color="0000FF"/>
          </w:rPr>
          <w:t>http://www.psiconet.org/fromm/fromm.htm</w:t>
        </w:r>
      </w:hyperlink>
      <w:r>
        <w:rPr/>
        <w:t>.</w:t>
      </w:r>
    </w:p>
    <w:p>
      <w:pPr>
        <w:pStyle w:val="BodyText"/>
        <w:spacing w:line="360" w:lineRule="auto" w:before="2"/>
        <w:ind w:left="264" w:right="225"/>
        <w:jc w:val="both"/>
      </w:pPr>
      <w:r>
        <w:rPr/>
        <w:t>CATEDRA.com. Comunicación y sociología de la cultura “Televisión y cultura de masas”, [en línea], consulta 06/09/2012, disponible en: </w:t>
      </w:r>
      <w:hyperlink r:id="rId86">
        <w:r>
          <w:rPr>
            <w:color w:val="0000FF"/>
            <w:u w:val="single" w:color="0000FF"/>
          </w:rPr>
          <w:t>http://www.catedras.fsoc.uba.ar/salvia/comunicacion/Adorno.pdf</w:t>
        </w:r>
      </w:hyperlink>
      <w:r>
        <w:rPr/>
        <w:t>.</w:t>
      </w:r>
    </w:p>
    <w:p>
      <w:pPr>
        <w:pStyle w:val="BodyText"/>
        <w:spacing w:line="357" w:lineRule="auto" w:before="6"/>
        <w:ind w:left="264" w:right="225"/>
        <w:jc w:val="both"/>
      </w:pPr>
      <w:r>
        <w:rPr/>
        <w:t>CATRACHO, Cell, “Historia de Celtel/Como surge Tigo en Honduras”, [en línea], consulta 13082012, disponible en:</w:t>
      </w:r>
    </w:p>
    <w:p>
      <w:pPr>
        <w:pStyle w:val="BodyText"/>
        <w:tabs>
          <w:tab w:pos="1240" w:val="left" w:leader="none"/>
          <w:tab w:pos="1751" w:val="left" w:leader="none"/>
          <w:tab w:pos="2899" w:val="left" w:leader="none"/>
          <w:tab w:pos="3474" w:val="left" w:leader="none"/>
          <w:tab w:pos="4309" w:val="left" w:leader="none"/>
          <w:tab w:pos="5497" w:val="left" w:leader="none"/>
          <w:tab w:pos="5929" w:val="left" w:leader="none"/>
          <w:tab w:pos="7445" w:val="left" w:leader="none"/>
          <w:tab w:pos="8768" w:val="left" w:leader="none"/>
        </w:tabs>
        <w:spacing w:line="360" w:lineRule="auto" w:before="9"/>
        <w:ind w:left="264" w:right="218"/>
      </w:pPr>
      <w:hyperlink r:id="rId58">
        <w:r>
          <w:rPr>
            <w:color w:val="0000FF"/>
            <w:u w:val="single" w:color="0000FF"/>
          </w:rPr>
          <w:t>http://catrachocell.com/2009/06/historia-de-celtelcomo-surge-tigo-en.html</w:t>
        </w:r>
      </w:hyperlink>
      <w:r>
        <w:rPr/>
        <w:t>. CNNExpansión.com “¿Cuantos pobres tiene México? </w:t>
      </w:r>
      <w:r>
        <w:rPr>
          <w:spacing w:val="-2"/>
        </w:rPr>
        <w:t>Más </w:t>
      </w:r>
      <w:r>
        <w:rPr/>
        <w:t>de 50 millones de pobres</w:t>
        <w:tab/>
        <w:t>en</w:t>
        <w:tab/>
        <w:t>México”,</w:t>
        <w:tab/>
        <w:t>[en</w:t>
        <w:tab/>
        <w:t>línea]</w:t>
        <w:tab/>
        <w:t>Consulta</w:t>
        <w:tab/>
        <w:t>el</w:t>
        <w:tab/>
        <w:t>12/05/2012,</w:t>
        <w:tab/>
        <w:t>disponible</w:t>
        <w:tab/>
      </w:r>
      <w:r>
        <w:rPr>
          <w:spacing w:val="-1"/>
        </w:rPr>
        <w:t>en: </w:t>
      </w:r>
      <w:hyperlink r:id="rId46">
        <w:r>
          <w:rPr>
            <w:color w:val="0000FF"/>
            <w:u w:val="single" w:color="0000FF"/>
          </w:rPr>
          <w:t>http://www.sitesmexico.com/notas/2009/julio/pobres-mexico-millones.htm</w:t>
        </w:r>
      </w:hyperlink>
      <w:r>
        <w:rPr/>
        <w:t>.</w:t>
      </w:r>
    </w:p>
    <w:p>
      <w:pPr>
        <w:pStyle w:val="BodyText"/>
        <w:spacing w:line="360" w:lineRule="auto" w:before="6"/>
        <w:ind w:left="264" w:right="217"/>
        <w:jc w:val="both"/>
      </w:pPr>
      <w:r>
        <w:rPr/>
        <w:t>CISNEROS Estupiñán, Mireya, “El Lenguaje de la Telenovela en la Conducta Lingüística de Televidentes Jóvenes: Un estudio de caso”, Universidad  Tecnológica de Pereira, Colombia, [en línea], consulta 24/03/2012, disponible en: </w:t>
      </w:r>
      <w:hyperlink r:id="rId135">
        <w:r>
          <w:rPr>
            <w:color w:val="0000FF"/>
            <w:u w:val="single" w:color="0000FF"/>
          </w:rPr>
          <w:t>http://www.perspectivasdelacomunicacion.cl/revista_2_2009/01texto.pdf</w:t>
        </w:r>
      </w:hyperlink>
      <w:r>
        <w:rPr>
          <w:color w:val="0000FF"/>
          <w:u w:val="single" w:color="0000FF"/>
        </w:rPr>
        <w:t>.</w:t>
      </w:r>
    </w:p>
    <w:p>
      <w:pPr>
        <w:tabs>
          <w:tab w:pos="4609" w:val="left" w:leader="none"/>
          <w:tab w:pos="8765" w:val="left" w:leader="none"/>
        </w:tabs>
        <w:spacing w:line="362" w:lineRule="auto" w:before="2"/>
        <w:ind w:left="264" w:right="219" w:firstLine="0"/>
        <w:jc w:val="both"/>
        <w:rPr>
          <w:sz w:val="24"/>
        </w:rPr>
      </w:pPr>
      <w:r>
        <w:rPr>
          <w:sz w:val="24"/>
        </w:rPr>
        <w:t>CHOMSKY, Noam, </w:t>
      </w:r>
      <w:r>
        <w:rPr>
          <w:i/>
          <w:sz w:val="24"/>
        </w:rPr>
        <w:t>El control de los medios de comunicación</w:t>
      </w:r>
      <w:r>
        <w:rPr>
          <w:sz w:val="24"/>
        </w:rPr>
        <w:t>, [en línea], consulta 22/11/2008,</w:t>
        <w:tab/>
        <w:t>disponible</w:t>
        <w:tab/>
        <w:t>en: </w:t>
      </w:r>
      <w:hyperlink r:id="rId111">
        <w:r>
          <w:rPr>
            <w:color w:val="0000FF"/>
            <w:sz w:val="24"/>
            <w:u w:val="single" w:color="0000FF"/>
          </w:rPr>
          <w:t>http://www.luisemiliorecabarren.cl/files/Chomsky,%20Noam%20-</w:t>
        </w:r>
      </w:hyperlink>
    </w:p>
    <w:p>
      <w:pPr>
        <w:pStyle w:val="BodyText"/>
        <w:spacing w:line="275" w:lineRule="exact"/>
        <w:ind w:left="264"/>
        <w:jc w:val="both"/>
      </w:pPr>
      <w:hyperlink r:id="rId111">
        <w:r>
          <w:rPr>
            <w:color w:val="0000FF"/>
            <w:u w:val="single" w:color="0000FF"/>
          </w:rPr>
          <w:t>%20El%20control%20de%20los%20medios%20de%20comunicación.pdf</w:t>
        </w:r>
      </w:hyperlink>
      <w:r>
        <w:rPr>
          <w:color w:val="0000FF"/>
          <w:u w:val="single" w:color="0000FF"/>
        </w:rPr>
        <w:t>.</w:t>
      </w:r>
    </w:p>
    <w:p>
      <w:pPr>
        <w:spacing w:after="0" w:line="275" w:lineRule="exact"/>
        <w:jc w:val="both"/>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103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18"/>
        </w:rPr>
      </w:pPr>
    </w:p>
    <w:p>
      <w:pPr>
        <w:pStyle w:val="BodyText"/>
        <w:spacing w:line="360" w:lineRule="auto" w:before="70"/>
        <w:ind w:left="684"/>
      </w:pPr>
      <w:r>
        <w:rPr/>
        <w:t>CHOMSKY, Noam, </w:t>
      </w:r>
      <w:r>
        <w:rPr>
          <w:i/>
        </w:rPr>
        <w:t>La democracia del espectador, </w:t>
      </w:r>
      <w:r>
        <w:rPr/>
        <w:t>[en línea], consulta 30/11/2008, disponible en: </w:t>
      </w:r>
      <w:hyperlink r:id="rId109">
        <w:r>
          <w:rPr>
            <w:color w:val="0000FF"/>
            <w:u w:val="single" w:color="0000FF"/>
          </w:rPr>
          <w:t>http://www.laeditorialvirtual.com.ar/pages/Chomsky/Chomsky_ManufacturandoCon</w:t>
        </w:r>
      </w:hyperlink>
      <w:r>
        <w:rPr>
          <w:color w:val="0000FF"/>
          <w:u w:val="single" w:color="0000FF"/>
        </w:rPr>
        <w:t> </w:t>
      </w:r>
      <w:hyperlink r:id="rId109">
        <w:r>
          <w:rPr>
            <w:color w:val="0000FF"/>
            <w:u w:val="single" w:color="0000FF"/>
          </w:rPr>
          <w:t>senso.htm</w:t>
        </w:r>
      </w:hyperlink>
      <w:r>
        <w:rPr>
          <w:color w:val="0000FF"/>
          <w:u w:val="single" w:color="0000FF"/>
        </w:rPr>
        <w:t>-</w:t>
      </w:r>
    </w:p>
    <w:p>
      <w:pPr>
        <w:pStyle w:val="BodyText"/>
        <w:spacing w:line="357" w:lineRule="auto" w:before="6"/>
        <w:ind w:left="684" w:right="116"/>
        <w:jc w:val="both"/>
      </w:pPr>
      <w:r>
        <w:rPr/>
        <w:t>CHOMSKY, Noam, El significado de Seattle, [en línea] consulta el 04/08/2012, disponible en: </w:t>
      </w:r>
      <w:hyperlink r:id="rId20">
        <w:r>
          <w:rPr>
            <w:color w:val="0000FF"/>
            <w:u w:val="single" w:color="0000FF"/>
          </w:rPr>
          <w:t>http://kamita.com/misc/nc/textos/seattle.htm</w:t>
        </w:r>
        <w:r>
          <w:rPr/>
          <w:t>.</w:t>
        </w:r>
      </w:hyperlink>
    </w:p>
    <w:p>
      <w:pPr>
        <w:pStyle w:val="BodyText"/>
        <w:tabs>
          <w:tab w:pos="3328" w:val="left" w:leader="none"/>
          <w:tab w:pos="6351" w:val="left" w:leader="none"/>
          <w:tab w:pos="9186" w:val="left" w:leader="none"/>
        </w:tabs>
        <w:spacing w:line="360" w:lineRule="auto" w:before="8"/>
        <w:ind w:left="684" w:right="118"/>
        <w:jc w:val="both"/>
      </w:pPr>
      <w:r>
        <w:rPr/>
        <w:t>COMITÉ POR LA LIBRE EXPRESIÓN, “Decreto Número 6” (1958) [en línea] consulta</w:t>
        <w:tab/>
        <w:t>24/09/2012,</w:t>
        <w:tab/>
        <w:t>disponible</w:t>
        <w:tab/>
        <w:t>en: </w:t>
      </w:r>
      <w:hyperlink r:id="rId149">
        <w:r>
          <w:rPr>
            <w:color w:val="0000FF"/>
            <w:u w:val="single" w:color="0000FF"/>
          </w:rPr>
          <w:t>http://legislaciones.item.org.uy/files/LEY%20DE%20EMISION%20DEL%20PENSA</w:t>
        </w:r>
      </w:hyperlink>
      <w:r>
        <w:rPr>
          <w:color w:val="0000FF"/>
          <w:u w:val="single" w:color="0000FF"/>
        </w:rPr>
        <w:t> </w:t>
      </w:r>
      <w:hyperlink r:id="rId149">
        <w:r>
          <w:rPr>
            <w:color w:val="0000FF"/>
            <w:u w:val="single" w:color="0000FF"/>
          </w:rPr>
          <w:t>MIENTO.pdf</w:t>
        </w:r>
      </w:hyperlink>
      <w:r>
        <w:rPr/>
        <w:t>.</w:t>
      </w:r>
    </w:p>
    <w:p>
      <w:pPr>
        <w:pStyle w:val="BodyText"/>
        <w:tabs>
          <w:tab w:pos="4204" w:val="left" w:leader="none"/>
          <w:tab w:pos="6791" w:val="left" w:leader="none"/>
          <w:tab w:pos="9187" w:val="left" w:leader="none"/>
        </w:tabs>
        <w:spacing w:line="360" w:lineRule="auto" w:before="1"/>
        <w:ind w:left="684" w:right="113"/>
        <w:jc w:val="both"/>
      </w:pPr>
      <w:r>
        <w:rPr/>
        <w:t>DE SOUSA, Santos Boaventura, “Río+20 y la Cumbre de los Pueblos”,  </w:t>
      </w:r>
      <w:r>
        <w:rPr>
          <w:i/>
        </w:rPr>
        <w:t>Carta </w:t>
      </w:r>
      <w:r>
        <w:rPr>
          <w:i/>
        </w:rPr>
        <w:t>Maior y Rebelión</w:t>
      </w:r>
      <w:r>
        <w:rPr/>
        <w:t>, 14-02-.2012, Traducido por Antoni Jesús Aguiló, [en línea] consulta</w:t>
        <w:tab/>
        <w:t>19/09/2012,</w:t>
        <w:tab/>
        <w:t>disponible</w:t>
        <w:tab/>
        <w:t>en: </w:t>
      </w:r>
      <w:hyperlink r:id="rId130">
        <w:r>
          <w:rPr>
            <w:color w:val="0000FF"/>
            <w:u w:val="single" w:color="0000FF"/>
          </w:rPr>
          <w:t>http://www.rebelion.org/noticia.php?id=144642</w:t>
        </w:r>
      </w:hyperlink>
      <w:r>
        <w:rPr/>
        <w:t>.</w:t>
      </w:r>
    </w:p>
    <w:p>
      <w:pPr>
        <w:pStyle w:val="BodyText"/>
        <w:spacing w:before="6"/>
        <w:ind w:left="684"/>
        <w:jc w:val="both"/>
      </w:pPr>
      <w:r>
        <w:rPr/>
        <w:t>DICCIONARIO WIKIPEDIA, </w:t>
      </w:r>
      <w:hyperlink r:id="rId150">
        <w:r>
          <w:rPr>
            <w:color w:val="0000FF"/>
            <w:u w:val="single" w:color="0000FF"/>
          </w:rPr>
          <w:t>http:wikipedia.org/wiki/indoctrinación</w:t>
        </w:r>
      </w:hyperlink>
      <w:r>
        <w:rPr>
          <w:color w:val="0000FF"/>
          <w:u w:val="single" w:color="0000FF"/>
        </w:rPr>
        <w:t>.</w:t>
      </w:r>
    </w:p>
    <w:p>
      <w:pPr>
        <w:pStyle w:val="BodyText"/>
        <w:spacing w:line="360" w:lineRule="auto" w:before="136"/>
        <w:ind w:left="684" w:right="121"/>
        <w:jc w:val="both"/>
      </w:pPr>
      <w:r>
        <w:rPr/>
        <w:t>DOYLE, Kate, “El preludio del desastre: José López Portillo y el colapso  económico de 1976”, 2004, [en línea], consulta 02/05/2009, disponible en: </w:t>
      </w:r>
      <w:hyperlink r:id="rId151">
        <w:r>
          <w:rPr>
            <w:color w:val="0000FF"/>
            <w:u w:val="single" w:color="0000FF"/>
          </w:rPr>
          <w:t>http://www.ircamericas.org/esp/1723</w:t>
        </w:r>
      </w:hyperlink>
      <w:r>
        <w:rPr>
          <w:color w:val="0000FF"/>
          <w:u w:val="single" w:color="0000FF"/>
        </w:rPr>
        <w:t>.</w:t>
      </w:r>
    </w:p>
    <w:p>
      <w:pPr>
        <w:pStyle w:val="BodyText"/>
        <w:spacing w:line="360" w:lineRule="auto" w:before="2"/>
        <w:ind w:left="684" w:right="114"/>
        <w:jc w:val="both"/>
      </w:pPr>
      <w:r>
        <w:rPr/>
        <w:t>DUSSEL, Enrique, “Mediocracia y Hermenéutica. Democracia- Opinión. Poder”, </w:t>
      </w:r>
      <w:r>
        <w:rPr>
          <w:i/>
        </w:rPr>
        <w:t>La </w:t>
      </w:r>
      <w:r>
        <w:rPr>
          <w:i/>
        </w:rPr>
        <w:t>jornada</w:t>
      </w:r>
      <w:r>
        <w:rPr/>
        <w:t>, 03/03/2006, México, D. F. [en línea], consulta 15/03/2009, disponible en: </w:t>
      </w:r>
      <w:hyperlink r:id="rId17">
        <w:r>
          <w:rPr>
            <w:color w:val="0000FF"/>
            <w:u w:val="single" w:color="0000FF"/>
          </w:rPr>
          <w:t>http://www.jornada.unam.mx/2006/03/30/index.php?section=opinion&amp;article=010a1</w:t>
        </w:r>
      </w:hyperlink>
      <w:r>
        <w:rPr>
          <w:color w:val="0000FF"/>
          <w:u w:val="single" w:color="0000FF"/>
        </w:rPr>
        <w:t> </w:t>
      </w:r>
      <w:hyperlink r:id="rId17">
        <w:r>
          <w:rPr>
            <w:color w:val="0000FF"/>
            <w:u w:val="single" w:color="0000FF"/>
          </w:rPr>
          <w:t>po</w:t>
        </w:r>
      </w:hyperlink>
      <w:r>
        <w:rPr>
          <w:color w:val="0000FF"/>
          <w:u w:val="single" w:color="0000FF"/>
        </w:rPr>
        <w:t>.</w:t>
      </w:r>
    </w:p>
    <w:p>
      <w:pPr>
        <w:pStyle w:val="BodyText"/>
        <w:spacing w:line="357" w:lineRule="auto" w:before="6"/>
        <w:ind w:left="684" w:right="120"/>
        <w:jc w:val="both"/>
      </w:pPr>
      <w:r>
        <w:rPr/>
        <w:t>ECO, Umberto, “Apocalípticos e integrados”, [en línea] consulta 23/04/2009, disponible en: </w:t>
      </w:r>
      <w:hyperlink r:id="rId152">
        <w:r>
          <w:rPr>
            <w:color w:val="0000FF"/>
            <w:u w:val="single" w:color="0000FF"/>
          </w:rPr>
          <w:t>http://www.enfocarte.com/7.31/eco.html</w:t>
        </w:r>
      </w:hyperlink>
      <w:r>
        <w:rPr/>
        <w:t>.</w:t>
      </w:r>
    </w:p>
    <w:p>
      <w:pPr>
        <w:pStyle w:val="BodyText"/>
        <w:spacing w:line="357" w:lineRule="auto" w:before="8"/>
        <w:ind w:left="684" w:right="117"/>
        <w:jc w:val="both"/>
      </w:pPr>
      <w:r>
        <w:rPr/>
        <w:t>EDUCAR CHILE, [en línea], consulta 29/09/2008, disponible en: </w:t>
      </w:r>
      <w:hyperlink r:id="rId153">
        <w:r>
          <w:rPr>
            <w:color w:val="0000FF"/>
            <w:u w:val="single" w:color="0000FF"/>
          </w:rPr>
          <w:t>http://www.oei.es/noticias/spip.php?article839</w:t>
        </w:r>
      </w:hyperlink>
      <w:r>
        <w:rPr>
          <w:color w:val="0000FF"/>
          <w:u w:val="single" w:color="0000FF"/>
        </w:rPr>
        <w:t>.</w:t>
      </w:r>
    </w:p>
    <w:p>
      <w:pPr>
        <w:pStyle w:val="BodyText"/>
        <w:tabs>
          <w:tab w:pos="9190" w:val="left" w:leader="none"/>
        </w:tabs>
        <w:spacing w:line="360" w:lineRule="auto" w:before="8"/>
        <w:ind w:left="684" w:right="116"/>
        <w:jc w:val="both"/>
      </w:pPr>
      <w:r>
        <w:rPr/>
        <w:t>EL PAIS, (09/08/1998) “El Batallón 3-16”, [en línea], consulta 10/10/2009, disponible</w:t>
        <w:tab/>
      </w:r>
      <w:r>
        <w:rPr>
          <w:spacing w:val="-1"/>
        </w:rPr>
        <w:t>en:</w:t>
      </w:r>
    </w:p>
    <w:p>
      <w:pPr>
        <w:pStyle w:val="BodyText"/>
        <w:spacing w:before="6"/>
        <w:ind w:left="684"/>
        <w:jc w:val="both"/>
      </w:pPr>
      <w:hyperlink r:id="rId56">
        <w:r>
          <w:rPr>
            <w:color w:val="0000FF"/>
            <w:u w:val="single" w:color="0000FF"/>
          </w:rPr>
          <w:t>http://elpais.com/diario/1998/08/09/internacional/902613613_850215.html</w:t>
        </w:r>
      </w:hyperlink>
      <w:r>
        <w:rPr/>
        <w:t>.</w:t>
      </w:r>
    </w:p>
    <w:p>
      <w:pPr>
        <w:pStyle w:val="BodyText"/>
        <w:spacing w:before="136"/>
        <w:ind w:left="684"/>
        <w:jc w:val="both"/>
      </w:pPr>
      <w:r>
        <w:rPr/>
        <w:t>EL SOL DE HIDALGO, OEM (Organización Editorial Mexicana) 10 de agosto de</w:t>
      </w:r>
    </w:p>
    <w:p>
      <w:pPr>
        <w:pStyle w:val="BodyText"/>
        <w:spacing w:line="410" w:lineRule="atLeast" w:before="6"/>
        <w:ind w:left="684" w:right="124"/>
        <w:jc w:val="both"/>
      </w:pPr>
      <w:r>
        <w:rPr/>
        <w:t>2008, [en línea], consulta 21/10/2012, disponible en: </w:t>
      </w:r>
      <w:hyperlink r:id="rId81">
        <w:r>
          <w:rPr/>
          <w:t>http://www.oem.com.mx/esto/notas/n807149.htm.</w:t>
        </w:r>
      </w:hyperlink>
    </w:p>
    <w:p>
      <w:pPr>
        <w:spacing w:after="0" w:line="410" w:lineRule="atLeast"/>
        <w:jc w:val="both"/>
        <w:sectPr>
          <w:pgSz w:w="12240" w:h="15840"/>
          <w:pgMar w:header="0" w:footer="878" w:top="520" w:bottom="1060" w:left="1300" w:right="1300"/>
        </w:sectPr>
      </w:pPr>
    </w:p>
    <w:p>
      <w:pPr>
        <w:pStyle w:val="Heading3"/>
      </w:pPr>
      <w:r>
        <w:rPr/>
        <w:pict>
          <v:line style="position:absolute;mso-position-horizontal-relative:page;mso-position-vertical-relative:paragraph;z-index:11056"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pStyle w:val="BodyText"/>
        <w:tabs>
          <w:tab w:pos="8770" w:val="left" w:leader="none"/>
        </w:tabs>
        <w:spacing w:line="362" w:lineRule="auto" w:before="70"/>
        <w:ind w:left="264" w:right="216"/>
        <w:jc w:val="both"/>
      </w:pPr>
      <w:r>
        <w:rPr/>
        <w:t>ESPINOZA, Miguel, “La libertad, una necesidad interiorizada”, </w:t>
      </w:r>
      <w:r>
        <w:rPr>
          <w:i/>
        </w:rPr>
        <w:t>Eikasia. Revista de </w:t>
      </w:r>
      <w:r>
        <w:rPr>
          <w:i/>
        </w:rPr>
        <w:t>Filosofía, </w:t>
      </w:r>
      <w:r>
        <w:rPr/>
        <w:t>año IV, 26 (julio 2009), 187-213, [en línea], consulta 14/08/2011, disponible</w:t>
        <w:tab/>
      </w:r>
      <w:r>
        <w:rPr>
          <w:spacing w:val="-1"/>
        </w:rPr>
        <w:t>en:</w:t>
      </w:r>
    </w:p>
    <w:p>
      <w:pPr>
        <w:pStyle w:val="BodyText"/>
        <w:tabs>
          <w:tab w:pos="1548" w:val="left" w:leader="none"/>
          <w:tab w:pos="2977" w:val="left" w:leader="none"/>
          <w:tab w:pos="4744" w:val="left" w:leader="none"/>
          <w:tab w:pos="6879" w:val="left" w:leader="none"/>
          <w:tab w:pos="8835" w:val="left" w:leader="none"/>
        </w:tabs>
        <w:spacing w:line="360" w:lineRule="auto"/>
        <w:ind w:left="264" w:right="217"/>
      </w:pPr>
      <w:hyperlink r:id="rId125">
        <w:r>
          <w:rPr>
            <w:color w:val="0000FF"/>
            <w:u w:val="single" w:color="0000FF"/>
          </w:rPr>
          <w:t>http://www.revistadefilosofia.orghttp://www.revistadefilosofia.com/27-11.pdf</w:t>
        </w:r>
      </w:hyperlink>
      <w:r>
        <w:rPr/>
        <w:t>. ESTEINOU Madrid, Javier, “Globalización, Medios de Comunicación y Cultura en México a principios del siglo XXI”, </w:t>
      </w:r>
      <w:r>
        <w:rPr>
          <w:i/>
        </w:rPr>
        <w:t>ÁMBITOS</w:t>
      </w:r>
      <w:r>
        <w:rPr/>
        <w:t>, Nº 5, 2º Semestre de 2000 [en línea] (pp.</w:t>
        <w:tab/>
        <w:t>7-49)</w:t>
        <w:tab/>
        <w:t>consulta</w:t>
        <w:tab/>
        <w:t>07/09/2012,</w:t>
        <w:tab/>
        <w:t>disponible</w:t>
        <w:tab/>
        <w:t>en</w:t>
      </w:r>
      <w:r>
        <w:rPr>
          <w:w w:val="99"/>
        </w:rPr>
        <w:t> </w:t>
      </w:r>
      <w:hyperlink r:id="rId61">
        <w:r>
          <w:rPr>
            <w:color w:val="0000FF"/>
            <w:u w:val="single" w:color="0000FF"/>
          </w:rPr>
          <w:t>http://grupo.us.es/grehcco/ambitos05/esteinou.pdf</w:t>
        </w:r>
        <w:r>
          <w:rPr>
            <w:color w:val="0000FF"/>
            <w:spacing w:val="-27"/>
            <w:u w:val="single" w:color="0000FF"/>
          </w:rPr>
          <w:t> </w:t>
        </w:r>
        <w:r>
          <w:rPr>
            <w:color w:val="0000FF"/>
            <w:u w:val="single" w:color="0000FF"/>
          </w:rPr>
          <w:t>.</w:t>
        </w:r>
      </w:hyperlink>
    </w:p>
    <w:p>
      <w:pPr>
        <w:pStyle w:val="BodyText"/>
        <w:spacing w:line="360" w:lineRule="auto" w:before="6"/>
        <w:ind w:left="264" w:right="218"/>
        <w:jc w:val="both"/>
      </w:pPr>
      <w:r>
        <w:rPr/>
        <w:t>FALCK, Mayra y Díaz Arrivillaga, Efraín, “Equidad y Pobreza Rural en Honduras. Realidad y Propuestas”, [en línea], consulta 24-04-2012, disponible en: </w:t>
      </w:r>
      <w:hyperlink r:id="rId53">
        <w:r>
          <w:rPr>
            <w:color w:val="0000FF"/>
            <w:u w:val="single" w:color="0000FF"/>
          </w:rPr>
          <w:t>http://www.mayra-falck.rds.hn/doc/enfoquedesarrollorural/equidad_pobreza.pdf</w:t>
        </w:r>
      </w:hyperlink>
      <w:r>
        <w:rPr/>
        <w:t>.</w:t>
      </w:r>
    </w:p>
    <w:p>
      <w:pPr>
        <w:pStyle w:val="BodyText"/>
        <w:tabs>
          <w:tab w:pos="1727" w:val="left" w:leader="none"/>
          <w:tab w:pos="2231" w:val="left" w:leader="none"/>
          <w:tab w:pos="3349" w:val="left" w:leader="none"/>
          <w:tab w:pos="3920" w:val="left" w:leader="none"/>
          <w:tab w:pos="4811" w:val="left" w:leader="none"/>
          <w:tab w:pos="5942" w:val="left" w:leader="none"/>
          <w:tab w:pos="7450" w:val="left" w:leader="none"/>
          <w:tab w:pos="8765" w:val="left" w:leader="none"/>
        </w:tabs>
        <w:spacing w:line="360" w:lineRule="auto" w:before="2"/>
        <w:ind w:left="264" w:right="221"/>
      </w:pPr>
      <w:r>
        <w:rPr/>
        <w:t>FASANO Mertens, Federico, “El campo minado de la información, libertad o despotismo</w:t>
        <w:tab/>
        <w:t>de</w:t>
        <w:tab/>
        <w:t>prensa”,</w:t>
        <w:tab/>
        <w:t>[en</w:t>
        <w:tab/>
        <w:t>línea],</w:t>
        <w:tab/>
        <w:t>consulta</w:t>
        <w:tab/>
        <w:t>10/11/2008,</w:t>
        <w:tab/>
        <w:t>disponible</w:t>
        <w:tab/>
      </w:r>
      <w:r>
        <w:rPr>
          <w:spacing w:val="-1"/>
        </w:rPr>
        <w:t>en: </w:t>
      </w:r>
      <w:hyperlink r:id="rId154">
        <w:r>
          <w:rPr>
            <w:color w:val="0000FF"/>
            <w:u w:val="single" w:color="0000FF"/>
          </w:rPr>
          <w:t>http://www.larepublica.com.uy/comunidad/280226-el-campo-minado-de-la-</w:t>
        </w:r>
      </w:hyperlink>
      <w:r>
        <w:rPr>
          <w:color w:val="0000FF"/>
          <w:u w:val="single" w:color="0000FF"/>
        </w:rPr>
        <w:t> </w:t>
      </w:r>
      <w:hyperlink r:id="rId154">
        <w:r>
          <w:rPr>
            <w:color w:val="0000FF"/>
            <w:u w:val="single" w:color="0000FF"/>
          </w:rPr>
          <w:t>iinformación-libertad-o-depotismo-de-prensa</w:t>
        </w:r>
        <w:r>
          <w:rPr/>
          <w:t>.</w:t>
        </w:r>
      </w:hyperlink>
    </w:p>
    <w:p>
      <w:pPr>
        <w:pStyle w:val="BodyText"/>
        <w:tabs>
          <w:tab w:pos="2067" w:val="left" w:leader="none"/>
          <w:tab w:pos="4111" w:val="left" w:leader="none"/>
          <w:tab w:pos="6534" w:val="left" w:leader="none"/>
          <w:tab w:pos="8770" w:val="left" w:leader="none"/>
        </w:tabs>
        <w:spacing w:line="360" w:lineRule="auto" w:before="2"/>
        <w:ind w:left="264" w:right="213"/>
        <w:jc w:val="both"/>
      </w:pPr>
      <w:r>
        <w:rPr/>
        <w:t>FERNÁNDEZ, J. Manuel, “La noción de violencia simbólica en la obra de Pierre Bourdieu: una aproximación crítica”, Universidad Complutense de Madrid, [en línea],</w:t>
        <w:tab/>
        <w:t>consulta</w:t>
        <w:tab/>
        <w:t>25/04/2009,</w:t>
        <w:tab/>
        <w:t>disponible</w:t>
        <w:tab/>
        <w:t>en: </w:t>
      </w:r>
      <w:hyperlink r:id="rId155">
        <w:r>
          <w:rPr>
            <w:color w:val="0000FF"/>
            <w:u w:val="single" w:color="0000FF"/>
          </w:rPr>
          <w:t>http://revistas.ucm.es/trs/02140314/articulos/CUTS0505110007A.PDF</w:t>
        </w:r>
      </w:hyperlink>
    </w:p>
    <w:p>
      <w:pPr>
        <w:pStyle w:val="BodyText"/>
        <w:tabs>
          <w:tab w:pos="4765" w:val="left" w:leader="none"/>
        </w:tabs>
        <w:spacing w:line="360" w:lineRule="auto" w:before="2"/>
        <w:ind w:left="264" w:right="214"/>
        <w:jc w:val="both"/>
      </w:pPr>
      <w:r>
        <w:rPr/>
        <w:t>FERRÉS I Prats, Joan, “Televisión subliminal. Socialización mediante comunicaciones inadvertidas”. Paidós: Barcelona, 1996. Reseña (Comentario realizado por Natalia Bernabéu Morón) [en línea] consulta 21/11/2008, disponible en:</w:t>
        <w:tab/>
      </w:r>
      <w:hyperlink r:id="rId76">
        <w:r>
          <w:rPr>
            <w:color w:val="0000FF"/>
            <w:spacing w:val="-1"/>
            <w:u w:val="single" w:color="0000FF"/>
          </w:rPr>
          <w:t>http://www.quadraquinta.org/referencias-</w:t>
        </w:r>
      </w:hyperlink>
      <w:r>
        <w:rPr>
          <w:color w:val="0000FF"/>
          <w:spacing w:val="-1"/>
          <w:u w:val="single" w:color="0000FF"/>
        </w:rPr>
        <w:t> </w:t>
      </w:r>
      <w:hyperlink r:id="rId76">
        <w:r>
          <w:rPr>
            <w:color w:val="0000FF"/>
            <w:u w:val="single" w:color="0000FF"/>
          </w:rPr>
          <w:t>bibliograficas/libroscomentados/television-subliminalhtml</w:t>
        </w:r>
      </w:hyperlink>
      <w:r>
        <w:rPr/>
        <w:t>.</w:t>
      </w:r>
    </w:p>
    <w:p>
      <w:pPr>
        <w:pStyle w:val="BodyText"/>
        <w:tabs>
          <w:tab w:pos="8770" w:val="left" w:leader="none"/>
        </w:tabs>
        <w:spacing w:line="357" w:lineRule="auto" w:before="6"/>
        <w:ind w:left="264" w:right="216" w:firstLine="67"/>
        <w:jc w:val="both"/>
      </w:pPr>
      <w:r>
        <w:rPr/>
        <w:t>FERRÉS I Prats, Joan, “Televisión y Educación”, [en línea], consulta 21/11/2008, disponible</w:t>
        <w:tab/>
      </w:r>
      <w:r>
        <w:rPr>
          <w:spacing w:val="-1"/>
        </w:rPr>
        <w:t>en:</w:t>
      </w:r>
    </w:p>
    <w:p>
      <w:pPr>
        <w:pStyle w:val="BodyText"/>
        <w:spacing w:line="357" w:lineRule="auto" w:before="8"/>
        <w:ind w:left="264" w:right="279"/>
        <w:jc w:val="both"/>
      </w:pPr>
      <w:hyperlink r:id="rId77">
        <w:r>
          <w:rPr>
            <w:color w:val="0000FF"/>
            <w:spacing w:val="-1"/>
            <w:u w:val="single" w:color="0000FF"/>
          </w:rPr>
          <w:t>http://www.quadernsdigitals.net/index,php?accionMenu=hemeroteca.VisualizaArtic</w:t>
        </w:r>
      </w:hyperlink>
      <w:r>
        <w:rPr>
          <w:color w:val="0000FF"/>
          <w:spacing w:val="-1"/>
          <w:u w:val="single" w:color="0000FF"/>
        </w:rPr>
        <w:t> </w:t>
      </w:r>
      <w:hyperlink r:id="rId77">
        <w:r>
          <w:rPr>
            <w:color w:val="0000FF"/>
            <w:u w:val="single" w:color="0000FF"/>
          </w:rPr>
          <w:t>uloIU.visualiza&amp;articulo_id=697.</w:t>
        </w:r>
      </w:hyperlink>
    </w:p>
    <w:p>
      <w:pPr>
        <w:pStyle w:val="BodyText"/>
        <w:spacing w:line="357" w:lineRule="auto" w:before="8"/>
        <w:ind w:left="264" w:right="220"/>
        <w:jc w:val="both"/>
      </w:pPr>
      <w:r>
        <w:rPr/>
        <w:t>FERRÉS, Joan, ROCA, Neus, “Creencias populares sobre los efectos de la televisión”,   Universidad   de   Pompeu   Fabra   y   Universidad   de    </w:t>
      </w:r>
      <w:r>
        <w:rPr>
          <w:spacing w:val="64"/>
        </w:rPr>
        <w:t> </w:t>
      </w:r>
      <w:r>
        <w:rPr/>
        <w:t>Barcelona,</w:t>
      </w:r>
    </w:p>
    <w:p>
      <w:pPr>
        <w:spacing w:after="0" w:line="357" w:lineRule="auto"/>
        <w:jc w:val="both"/>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108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18"/>
        </w:rPr>
      </w:pPr>
    </w:p>
    <w:p>
      <w:pPr>
        <w:pStyle w:val="BodyText"/>
        <w:spacing w:line="362" w:lineRule="auto" w:before="70"/>
        <w:ind w:left="684" w:right="125"/>
        <w:jc w:val="both"/>
      </w:pPr>
      <w:r>
        <w:rPr>
          <w:i/>
        </w:rPr>
        <w:t>Comunicación y cultura</w:t>
      </w:r>
      <w:r>
        <w:rPr/>
        <w:t>, pp. 25-42, [En línea] consulta 22 de marzo de 2010, disponible en: dialnet.unirioja.es/descarga/articulo/2901223.pdf.</w:t>
      </w:r>
    </w:p>
    <w:p>
      <w:pPr>
        <w:spacing w:line="362" w:lineRule="auto" w:before="0"/>
        <w:ind w:left="684" w:right="113" w:firstLine="0"/>
        <w:jc w:val="both"/>
        <w:rPr>
          <w:sz w:val="24"/>
        </w:rPr>
      </w:pPr>
      <w:r>
        <w:rPr>
          <w:sz w:val="24"/>
        </w:rPr>
        <w:t>FLORES Fonseca, Manuel, “La transición demográfica en Honduras”, p.11, </w:t>
      </w:r>
      <w:r>
        <w:rPr>
          <w:i/>
          <w:sz w:val="24"/>
        </w:rPr>
        <w:t>Fondo </w:t>
      </w:r>
      <w:r>
        <w:rPr>
          <w:i/>
          <w:sz w:val="24"/>
        </w:rPr>
        <w:t>de Población de las Naciones Unidas, </w:t>
      </w:r>
      <w:r>
        <w:rPr>
          <w:sz w:val="24"/>
        </w:rPr>
        <w:t>[en línea], consulta 24/08/2012, disponible en : </w:t>
      </w:r>
      <w:hyperlink r:id="rId92">
        <w:r>
          <w:rPr>
            <w:color w:val="0000FF"/>
            <w:sz w:val="24"/>
            <w:u w:val="single" w:color="0000FF"/>
          </w:rPr>
          <w:t>http://www.unfpa.un.hn/docs/transicion.pdf</w:t>
        </w:r>
      </w:hyperlink>
      <w:r>
        <w:rPr>
          <w:sz w:val="24"/>
        </w:rPr>
        <w:t>.</w:t>
      </w:r>
    </w:p>
    <w:p>
      <w:pPr>
        <w:pStyle w:val="BodyText"/>
        <w:tabs>
          <w:tab w:pos="5029" w:val="left" w:leader="none"/>
          <w:tab w:pos="9185" w:val="left" w:leader="none"/>
        </w:tabs>
        <w:spacing w:line="360" w:lineRule="auto"/>
        <w:ind w:left="684" w:right="119"/>
        <w:jc w:val="both"/>
      </w:pPr>
      <w:r>
        <w:rPr/>
        <w:t>GARCÍA De Bertolacci, Silvia, “Conciencia y libertad”, [en línea], consulta 02/03/2012,</w:t>
        <w:tab/>
        <w:t>disponible</w:t>
        <w:tab/>
        <w:t>en: </w:t>
      </w:r>
      <w:hyperlink r:id="rId156">
        <w:r>
          <w:rPr>
            <w:color w:val="0000FF"/>
            <w:u w:val="single" w:color="0000FF"/>
          </w:rPr>
          <w:t>http://cablemodem.fibertel.com.ar/sta/xxxi/files/Martes/Bertolacci_06.pdf</w:t>
        </w:r>
      </w:hyperlink>
    </w:p>
    <w:p>
      <w:pPr>
        <w:pStyle w:val="BodyText"/>
        <w:spacing w:line="360" w:lineRule="auto" w:before="6"/>
        <w:ind w:left="684" w:right="118"/>
        <w:jc w:val="both"/>
      </w:pPr>
      <w:r>
        <w:rPr/>
        <w:t>GÓMEZ MONT, Carmen, “Nuevas Tecnologías de Información en México (1980- 1991)”, [en línea], consulta 18/09/2012, disponible en: </w:t>
      </w:r>
      <w:hyperlink r:id="rId157">
        <w:r>
          <w:rPr>
            <w:color w:val="0000FF"/>
            <w:u w:val="single" w:color="0000FF"/>
          </w:rPr>
          <w:t>http://www.ccdoc.iteso.mx/cat.aspx?cmn=download&amp;ID=1086&amp;N=1</w:t>
        </w:r>
      </w:hyperlink>
      <w:r>
        <w:rPr>
          <w:color w:val="0000FF"/>
          <w:u w:val="single" w:color="0000FF"/>
        </w:rPr>
        <w:t>.</w:t>
      </w:r>
    </w:p>
    <w:p>
      <w:pPr>
        <w:pStyle w:val="BodyText"/>
        <w:tabs>
          <w:tab w:pos="2007" w:val="left" w:leader="none"/>
          <w:tab w:pos="3082" w:val="left" w:leader="none"/>
          <w:tab w:pos="3578" w:val="left" w:leader="none"/>
          <w:tab w:pos="4034" w:val="left" w:leader="none"/>
          <w:tab w:pos="4189" w:val="left" w:leader="none"/>
          <w:tab w:pos="5056" w:val="left" w:leader="none"/>
          <w:tab w:pos="5389" w:val="left" w:leader="none"/>
          <w:tab w:pos="5917" w:val="left" w:leader="none"/>
          <w:tab w:pos="6276" w:val="left" w:leader="none"/>
          <w:tab w:pos="6792" w:val="left" w:leader="none"/>
          <w:tab w:pos="7823" w:val="left" w:leader="none"/>
          <w:tab w:pos="9182" w:val="left" w:leader="none"/>
        </w:tabs>
        <w:spacing w:line="360" w:lineRule="auto" w:before="2"/>
        <w:ind w:left="684" w:right="116"/>
      </w:pPr>
      <w:r>
        <w:rPr/>
        <w:t>GROSFOGUEL, </w:t>
      </w:r>
      <w:r>
        <w:rPr>
          <w:spacing w:val="-2"/>
        </w:rPr>
        <w:t>Ramón, </w:t>
      </w:r>
      <w:r>
        <w:rPr/>
        <w:t>“La descolonización del conocimiento: diálogo crítico entre la visión descolonial de Frantz Fanon y la sociología descolonial de Boaventura de Sousa Santos” Departamento de Estudios Étnicos, Berkeley University,</w:t>
        <w:tab/>
        <w:t>Estados</w:t>
        <w:tab/>
        <w:t>Unidos</w:t>
        <w:tab/>
        <w:t>.Integrante</w:t>
        <w:tab/>
        <w:t>del</w:t>
        <w:tab/>
        <w:t>Grupo</w:t>
        <w:tab/>
        <w:t>Modernidad/Colonialidad, </w:t>
      </w:r>
      <w:hyperlink r:id="rId128">
        <w:r>
          <w:rPr/>
          <w:t>grosfogu@berkeley.edu,</w:t>
        </w:r>
      </w:hyperlink>
      <w:r>
        <w:rPr/>
        <w:tab/>
        <w:t>[en</w:t>
        <w:tab/>
        <w:tab/>
        <w:t>línea]</w:t>
        <w:tab/>
        <w:t>Consulta</w:t>
        <w:tab/>
        <w:t>12/06/2012,</w:t>
        <w:tab/>
        <w:t>disponible</w:t>
        <w:tab/>
        <w:t>en: </w:t>
      </w:r>
      <w:hyperlink r:id="rId129">
        <w:r>
          <w:rPr>
            <w:color w:val="0000FF"/>
            <w:u w:val="single" w:color="0000FF"/>
          </w:rPr>
          <w:t>http://www.boaventuradesousasantos.pt/media/RAMON%20GROSFOGUEL%20S</w:t>
        </w:r>
      </w:hyperlink>
      <w:r>
        <w:rPr>
          <w:color w:val="0000FF"/>
          <w:u w:val="single" w:color="0000FF"/>
        </w:rPr>
        <w:t> </w:t>
      </w:r>
      <w:hyperlink r:id="rId129">
        <w:r>
          <w:rPr>
            <w:color w:val="0000FF"/>
            <w:u w:val="single" w:color="0000FF"/>
          </w:rPr>
          <w:t>OBRE%20BOAVENTURA%20Y%20FANON.pdf</w:t>
        </w:r>
      </w:hyperlink>
      <w:r>
        <w:rPr/>
        <w:t>.</w:t>
      </w:r>
    </w:p>
    <w:p>
      <w:pPr>
        <w:pStyle w:val="BodyText"/>
        <w:spacing w:line="360" w:lineRule="auto" w:before="6"/>
        <w:ind w:left="684" w:right="116"/>
        <w:jc w:val="both"/>
      </w:pPr>
      <w:r>
        <w:rPr/>
        <w:t>GUEVARA Calderón Bayron José, “Medios de Comunicación social a nivel mundial y en Honduras”, </w:t>
      </w:r>
      <w:r>
        <w:rPr>
          <w:i/>
        </w:rPr>
        <w:t>Monografías.com</w:t>
      </w:r>
      <w:r>
        <w:rPr/>
        <w:t>, [en línea] consulta 24/02/2009, disponible en</w:t>
      </w:r>
      <w:r>
        <w:rPr>
          <w:spacing w:val="29"/>
        </w:rPr>
        <w:t> </w:t>
      </w:r>
      <w:hyperlink r:id="rId158">
        <w:r>
          <w:rPr>
            <w:color w:val="0000FF"/>
            <w:u w:val="single" w:color="0000FF"/>
          </w:rPr>
          <w:t>http://monografias.com/trabajos/revfran/revfran.shtml</w:t>
        </w:r>
      </w:hyperlink>
      <w:r>
        <w:rPr/>
        <w:t>.</w:t>
      </w:r>
    </w:p>
    <w:p>
      <w:pPr>
        <w:pStyle w:val="BodyText"/>
        <w:spacing w:line="362" w:lineRule="auto" w:before="2"/>
        <w:ind w:left="684" w:right="116"/>
        <w:jc w:val="both"/>
      </w:pPr>
      <w:r>
        <w:rPr/>
        <w:t>ITESCAM, “La libertad”, [en línea] consulta 25/07/2012, disponible en, </w:t>
      </w:r>
      <w:hyperlink r:id="rId16">
        <w:r>
          <w:rPr>
            <w:color w:val="0000FF"/>
            <w:u w:val="single" w:color="0000FF"/>
          </w:rPr>
          <w:t>www.itescam.edu.mx/principal/sylabus/fpdb/recursos/r41644.DOC</w:t>
        </w:r>
      </w:hyperlink>
      <w:r>
        <w:rPr/>
        <w:t>.</w:t>
      </w:r>
    </w:p>
    <w:p>
      <w:pPr>
        <w:pStyle w:val="BodyText"/>
        <w:spacing w:line="362" w:lineRule="auto"/>
        <w:ind w:left="684" w:right="128"/>
        <w:jc w:val="both"/>
      </w:pPr>
      <w:r>
        <w:rPr/>
        <w:t>INTELSAT, [en línea], consulta 03/09/2012, disponible en: </w:t>
      </w:r>
      <w:hyperlink r:id="rId68">
        <w:r>
          <w:rPr>
            <w:color w:val="0000FF"/>
            <w:u w:val="single" w:color="0000FF"/>
          </w:rPr>
          <w:t>http://www.upv.es/satelite/trabajos/pract_8/intelsat/intro.htm</w:t>
        </w:r>
      </w:hyperlink>
      <w:r>
        <w:rPr/>
        <w:t>.</w:t>
      </w:r>
    </w:p>
    <w:p>
      <w:pPr>
        <w:pStyle w:val="BodyText"/>
        <w:spacing w:line="360" w:lineRule="auto"/>
        <w:ind w:left="684" w:right="116"/>
        <w:jc w:val="both"/>
      </w:pPr>
      <w:r>
        <w:rPr/>
        <w:t>HERNÁNDEZ Contreras, Fernando, GARCÍA, Jesús Fernando, </w:t>
      </w:r>
      <w:r>
        <w:rPr>
          <w:i/>
        </w:rPr>
        <w:t>et. al.</w:t>
      </w:r>
      <w:r>
        <w:rPr/>
        <w:t>, “El impacto de la recesión mundial en la economía del gigante asiático”, Universidad  Autónoma de Tamaulipas, Facultad de Comercio, Administración y Ciencias Sociales, Nuevo Laredo, Tam., México, [en línea] consulta el 22-03-2012, disponible en:</w:t>
      </w:r>
      <w:r>
        <w:rPr>
          <w:spacing w:val="-36"/>
        </w:rPr>
        <w:t> </w:t>
      </w:r>
      <w:hyperlink r:id="rId45">
        <w:r>
          <w:rPr>
            <w:color w:val="0000FF"/>
            <w:u w:val="single" w:color="0000FF"/>
          </w:rPr>
          <w:t>http://www.eumed.net/rev/china/10/cgir.htm</w:t>
        </w:r>
      </w:hyperlink>
    </w:p>
    <w:p>
      <w:pPr>
        <w:pStyle w:val="BodyText"/>
        <w:spacing w:before="6"/>
        <w:ind w:left="684"/>
        <w:jc w:val="both"/>
      </w:pPr>
      <w:r>
        <w:rPr/>
        <w:t>INDEX-MUNDI,  “Honduras  Población”,  (2012)  [en  línea],  consulta  20/04/2012,</w:t>
      </w:r>
    </w:p>
    <w:p>
      <w:pPr>
        <w:pStyle w:val="BodyText"/>
        <w:spacing w:before="136"/>
        <w:ind w:left="684"/>
        <w:jc w:val="both"/>
      </w:pPr>
      <w:r>
        <w:rPr/>
        <w:t>disponible en: </w:t>
      </w:r>
      <w:hyperlink r:id="rId49">
        <w:r>
          <w:rPr>
            <w:color w:val="0000FF"/>
            <w:u w:val="single" w:color="0000FF"/>
          </w:rPr>
          <w:t>http://www.indexmundi.com/es/honduras/poblacion.html</w:t>
        </w:r>
      </w:hyperlink>
      <w:r>
        <w:rPr/>
        <w:t>.</w:t>
      </w:r>
    </w:p>
    <w:p>
      <w:pPr>
        <w:spacing w:after="0"/>
        <w:jc w:val="both"/>
        <w:sectPr>
          <w:pgSz w:w="12240" w:h="15840"/>
          <w:pgMar w:header="0" w:footer="878" w:top="520" w:bottom="1060" w:left="1300" w:right="1300"/>
        </w:sectPr>
      </w:pPr>
    </w:p>
    <w:p>
      <w:pPr>
        <w:pStyle w:val="Heading3"/>
      </w:pPr>
      <w:r>
        <w:rPr/>
        <w:pict>
          <v:line style="position:absolute;mso-position-horizontal-relative:page;mso-position-vertical-relative:paragraph;z-index:1110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2"/>
        <w:rPr>
          <w:rFonts w:ascii="Cambria"/>
          <w:b/>
          <w:sz w:val="26"/>
        </w:rPr>
      </w:pPr>
    </w:p>
    <w:p>
      <w:pPr>
        <w:pStyle w:val="BodyText"/>
        <w:spacing w:line="360" w:lineRule="auto" w:before="70"/>
        <w:ind w:left="264" w:right="218"/>
      </w:pPr>
      <w:r>
        <w:rPr/>
        <w:t>JANS, Sebastián, “Los Medios de comunicación y su Rol en el cambio cultural en los últimos treinta años en Chile”</w:t>
      </w:r>
      <w:r>
        <w:rPr>
          <w:i/>
        </w:rPr>
        <w:t>, </w:t>
      </w:r>
      <w:r>
        <w:rPr/>
        <w:t>[en línea], consulta 24/03/2011, disponible en: </w:t>
      </w:r>
      <w:hyperlink r:id="rId159">
        <w:r>
          <w:rPr>
            <w:color w:val="0000FF"/>
            <w:u w:val="single" w:color="0000FF"/>
          </w:rPr>
          <w:t>http://www.archivochile.com/Medios_de_Comunicacion/html/text_gen/comutextgen</w:t>
        </w:r>
      </w:hyperlink>
      <w:r>
        <w:rPr>
          <w:color w:val="0000FF"/>
          <w:u w:val="single" w:color="0000FF"/>
        </w:rPr>
        <w:t> </w:t>
      </w:r>
      <w:hyperlink r:id="rId159">
        <w:r>
          <w:rPr>
            <w:color w:val="0000FF"/>
            <w:u w:val="single" w:color="0000FF"/>
          </w:rPr>
          <w:t>0007.pdf</w:t>
        </w:r>
      </w:hyperlink>
    </w:p>
    <w:p>
      <w:pPr>
        <w:pStyle w:val="BodyText"/>
        <w:spacing w:line="360" w:lineRule="auto" w:before="6"/>
        <w:ind w:left="264" w:right="223"/>
        <w:jc w:val="both"/>
      </w:pPr>
      <w:r>
        <w:rPr/>
        <w:t>KHALIL, Pablo, “Ética e influencia de los medios de comunicación en la reproducción de valores Sociales”, </w:t>
      </w:r>
      <w:r>
        <w:rPr>
          <w:i/>
        </w:rPr>
        <w:t>Carta popular</w:t>
      </w:r>
      <w:r>
        <w:rPr/>
        <w:t>, 21 de diciembre de 2007, Políticas de información y comunicación en Paraguay, [en línea] consulta 19/10/2008, disponible en: </w:t>
      </w:r>
      <w:r>
        <w:rPr>
          <w:color w:val="0000FF"/>
          <w:u w:val="single" w:color="0000FF"/>
        </w:rPr>
        <w:t>http://tic.item.org.uy/?q=node/1870</w:t>
      </w:r>
      <w:r>
        <w:rPr/>
        <w:t>.</w:t>
      </w:r>
    </w:p>
    <w:p>
      <w:pPr>
        <w:pStyle w:val="BodyText"/>
        <w:tabs>
          <w:tab w:pos="2908" w:val="left" w:leader="none"/>
          <w:tab w:pos="5931" w:val="left" w:leader="none"/>
          <w:tab w:pos="8766" w:val="left" w:leader="none"/>
        </w:tabs>
        <w:spacing w:line="360" w:lineRule="auto" w:before="6"/>
        <w:ind w:left="264" w:right="216"/>
      </w:pPr>
      <w:r>
        <w:rPr/>
        <w:t>KRAUS, Arnoldo, “Catarsis / Sobre el poder curativo de la naturaleza y del arte, de Andrzej Szczeklik”, </w:t>
      </w:r>
      <w:r>
        <w:rPr>
          <w:i/>
        </w:rPr>
        <w:t>Letras Libres</w:t>
      </w:r>
      <w:r>
        <w:rPr/>
        <w:t>, No. 143, noviembre 2010, México, [en línea], consulta</w:t>
        <w:tab/>
        <w:t>22/02/2012,</w:t>
        <w:tab/>
        <w:t>disponible</w:t>
        <w:tab/>
        <w:t>en: </w:t>
      </w:r>
      <w:hyperlink r:id="rId144">
        <w:r>
          <w:rPr>
            <w:color w:val="0000FF"/>
            <w:u w:val="single" w:color="0000FF"/>
          </w:rPr>
          <w:t>http://www.letraslibres.com/revista/libros/catarsis-sobre-el-poder-curativo-de-la-</w:t>
        </w:r>
      </w:hyperlink>
      <w:r>
        <w:rPr>
          <w:color w:val="0000FF"/>
          <w:u w:val="single" w:color="0000FF"/>
        </w:rPr>
        <w:t> </w:t>
      </w:r>
      <w:hyperlink r:id="rId144">
        <w:r>
          <w:rPr>
            <w:color w:val="0000FF"/>
            <w:u w:val="single" w:color="0000FF"/>
          </w:rPr>
          <w:t>naturaleza-y-del-arte-de-andrzej-szczeklik</w:t>
        </w:r>
      </w:hyperlink>
      <w:r>
        <w:rPr/>
        <w:t>.</w:t>
      </w:r>
    </w:p>
    <w:p>
      <w:pPr>
        <w:pStyle w:val="BodyText"/>
        <w:tabs>
          <w:tab w:pos="4608" w:val="left" w:leader="none"/>
          <w:tab w:pos="8764" w:val="left" w:leader="none"/>
        </w:tabs>
        <w:spacing w:line="360" w:lineRule="auto" w:before="2"/>
        <w:ind w:left="264" w:right="220"/>
        <w:jc w:val="both"/>
      </w:pPr>
      <w:r>
        <w:rPr/>
        <w:t>LLEDÓ, J, A, (ed.) (1997) “El Arte de las Redes”, Madrid, Universidad de Huelva, (UHU), Sitio WEB: </w:t>
      </w:r>
      <w:r>
        <w:rPr>
          <w:i/>
        </w:rPr>
        <w:t>De la transculturación a la interculturalidad</w:t>
      </w:r>
      <w:r>
        <w:rPr/>
        <w:t>, [en línea] consulta 16/06/2012,</w:t>
        <w:tab/>
        <w:t>disponible</w:t>
        <w:tab/>
        <w:t>en: </w:t>
      </w:r>
      <w:hyperlink r:id="rId123">
        <w:r>
          <w:rPr>
            <w:color w:val="0000FF"/>
            <w:u w:val="single" w:color="0000FF"/>
          </w:rPr>
          <w:t>http://www.uhu.es/cine.educacion/articulos/transculturacion.htm</w:t>
        </w:r>
      </w:hyperlink>
      <w:r>
        <w:rPr/>
        <w:t>.</w:t>
      </w:r>
    </w:p>
    <w:p>
      <w:pPr>
        <w:pStyle w:val="BodyText"/>
        <w:tabs>
          <w:tab w:pos="2908" w:val="left" w:leader="none"/>
          <w:tab w:pos="5931" w:val="left" w:leader="none"/>
          <w:tab w:pos="8766" w:val="left" w:leader="none"/>
        </w:tabs>
        <w:spacing w:line="360" w:lineRule="auto" w:before="2"/>
        <w:ind w:left="264" w:right="220"/>
        <w:jc w:val="both"/>
      </w:pPr>
      <w:r>
        <w:rPr/>
        <w:t>LÓPEZ Gómez, Jesús Edgar, “El curriculum oculto en la publicidad por televisión para niños: enfoque teórico-metodológicos para el análisis del mensaje.”, [en línea] consulta</w:t>
        <w:tab/>
        <w:t>14/08/2012,</w:t>
        <w:tab/>
        <w:t>disponible</w:t>
        <w:tab/>
      </w:r>
      <w:r>
        <w:rPr>
          <w:spacing w:val="-1"/>
        </w:rPr>
        <w:t>en: </w:t>
      </w:r>
      <w:hyperlink r:id="rId12">
        <w:r>
          <w:rPr>
            <w:color w:val="0000FF"/>
            <w:spacing w:val="-1"/>
            <w:u w:val="single" w:color="0000FF"/>
          </w:rPr>
          <w:t>http://en.scientificcommons.org/jes%C3%BAs_edgar_l%C3%B3pez_g%C3%B3me</w:t>
        </w:r>
      </w:hyperlink>
      <w:r>
        <w:rPr>
          <w:color w:val="0000FF"/>
          <w:spacing w:val="-1"/>
          <w:u w:val="single" w:color="0000FF"/>
        </w:rPr>
        <w:t> </w:t>
      </w:r>
      <w:hyperlink r:id="rId12">
        <w:r>
          <w:rPr>
            <w:color w:val="0000FF"/>
            <w:spacing w:val="-3"/>
            <w:u w:val="single" w:color="0000FF"/>
          </w:rPr>
          <w:t>z</w:t>
        </w:r>
      </w:hyperlink>
      <w:r>
        <w:rPr>
          <w:spacing w:val="-3"/>
        </w:rPr>
        <w:t>.</w:t>
      </w:r>
    </w:p>
    <w:p>
      <w:pPr>
        <w:pStyle w:val="BodyText"/>
        <w:spacing w:line="360" w:lineRule="auto" w:before="6"/>
        <w:ind w:left="264" w:right="215"/>
        <w:jc w:val="both"/>
      </w:pPr>
      <w:r>
        <w:rPr/>
        <w:t>LOZANO, José Carlos, “Consumo y apropiación de cine y TV extranjeros por audiencias en América Latina”, [en línea], consulta 22/02/2012, disponible en: </w:t>
      </w:r>
      <w:hyperlink r:id="rId64">
        <w:r>
          <w:rPr>
            <w:color w:val="0000FF"/>
            <w:u w:val="single" w:color="0000FF"/>
          </w:rPr>
          <w:t>http://redalyc.uaemex.mx/pdf/158/15811864011.pdf</w:t>
        </w:r>
      </w:hyperlink>
      <w:r>
        <w:rPr/>
        <w:t>.</w:t>
      </w:r>
    </w:p>
    <w:p>
      <w:pPr>
        <w:pStyle w:val="BodyText"/>
        <w:spacing w:line="360" w:lineRule="auto" w:before="2"/>
        <w:ind w:left="264" w:right="220"/>
        <w:jc w:val="both"/>
      </w:pPr>
      <w:r>
        <w:rPr/>
        <w:t>MANCERA Carrero, Mónica Victoria, “Historia de la Opinión Pública desde las Perspectivas Políticas a las Perspectivas Mediáticas”, </w:t>
      </w:r>
      <w:r>
        <w:rPr>
          <w:i/>
        </w:rPr>
        <w:t>Pontificia Universidad </w:t>
      </w:r>
      <w:r>
        <w:rPr>
          <w:i/>
        </w:rPr>
        <w:t>Javeriana</w:t>
      </w:r>
      <w:r>
        <w:rPr/>
        <w:t>, Bogotá, 2007, p. 1, [en línea] consulta 11/09/2012, disponible en: </w:t>
      </w:r>
      <w:hyperlink r:id="rId108">
        <w:r>
          <w:rPr>
            <w:color w:val="0000FF"/>
            <w:u w:val="single" w:color="0000FF"/>
          </w:rPr>
          <w:t>http://www.javeriana.edu.co/biblos/tesis/politica/tesis72.pdf</w:t>
        </w:r>
      </w:hyperlink>
      <w:r>
        <w:rPr/>
        <w:t>.</w:t>
      </w:r>
    </w:p>
    <w:p>
      <w:pPr>
        <w:pStyle w:val="BodyText"/>
        <w:spacing w:line="362" w:lineRule="auto" w:before="2"/>
        <w:ind w:left="264" w:right="219"/>
        <w:jc w:val="both"/>
      </w:pPr>
      <w:r>
        <w:rPr/>
        <w:t>MARTÍNEZ-SALANOVA Sánchez, Enrique, “De la Transculturación a la Interculturalidad:  Cómo Presentan  los Medios la  Emigración,  el  Mestizaje  y</w:t>
      </w:r>
      <w:r>
        <w:rPr>
          <w:spacing w:val="63"/>
        </w:rPr>
        <w:t> </w:t>
      </w:r>
      <w:r>
        <w:rPr/>
        <w:t>las</w:t>
      </w:r>
    </w:p>
    <w:p>
      <w:pPr>
        <w:spacing w:after="0" w:line="362" w:lineRule="auto"/>
        <w:jc w:val="both"/>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1128"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18"/>
        </w:rPr>
      </w:pPr>
    </w:p>
    <w:p>
      <w:pPr>
        <w:pStyle w:val="BodyText"/>
        <w:spacing w:line="362" w:lineRule="auto" w:before="70"/>
        <w:ind w:left="684" w:right="118"/>
        <w:jc w:val="both"/>
      </w:pPr>
      <w:r>
        <w:rPr/>
        <w:t>Relaciones Interétnicas”, </w:t>
      </w:r>
      <w:r>
        <w:rPr>
          <w:i/>
        </w:rPr>
        <w:t>PORTULARIA</w:t>
      </w:r>
      <w:r>
        <w:rPr/>
        <w:t>, Vol. V, Nº 2-2005, [45-53], ISSN 1578- 0236. © Universidad de Huelva, [en línea], consulta 13/08/2012, disponible en: </w:t>
      </w:r>
      <w:hyperlink r:id="rId123">
        <w:r>
          <w:rPr>
            <w:color w:val="0000FF"/>
            <w:u w:val="single" w:color="0000FF"/>
          </w:rPr>
          <w:t>http://www.uhu.es/cine.educacion/articulos/transculturacion.htm</w:t>
        </w:r>
      </w:hyperlink>
      <w:r>
        <w:rPr/>
        <w:t>.</w:t>
      </w:r>
    </w:p>
    <w:p>
      <w:pPr>
        <w:spacing w:line="362" w:lineRule="auto" w:before="0"/>
        <w:ind w:left="684" w:right="118" w:firstLine="0"/>
        <w:jc w:val="both"/>
        <w:rPr>
          <w:sz w:val="24"/>
        </w:rPr>
      </w:pPr>
      <w:r>
        <w:rPr>
          <w:sz w:val="24"/>
        </w:rPr>
        <w:t>MARX, Carlos, </w:t>
      </w:r>
      <w:r>
        <w:rPr>
          <w:i/>
          <w:sz w:val="24"/>
        </w:rPr>
        <w:t>Prólogo a la contribución a crítica a la economía política, </w:t>
      </w:r>
      <w:r>
        <w:rPr>
          <w:sz w:val="24"/>
        </w:rPr>
        <w:t>[en línea] consulta 25/03/2012, disponible en </w:t>
      </w:r>
      <w:hyperlink r:id="rId101">
        <w:r>
          <w:rPr>
            <w:color w:val="0000FF"/>
            <w:sz w:val="24"/>
            <w:u w:val="single" w:color="0000FF"/>
          </w:rPr>
          <w:t>http://www.marxists.org/espanol/m-</w:t>
        </w:r>
      </w:hyperlink>
      <w:r>
        <w:rPr>
          <w:color w:val="0000FF"/>
          <w:sz w:val="24"/>
          <w:u w:val="single" w:color="0000FF"/>
        </w:rPr>
        <w:t> </w:t>
      </w:r>
      <w:hyperlink r:id="rId101">
        <w:r>
          <w:rPr>
            <w:color w:val="0000FF"/>
            <w:sz w:val="24"/>
            <w:u w:val="single" w:color="0000FF"/>
          </w:rPr>
          <w:t>e/1850s/criteconpol.htm</w:t>
        </w:r>
      </w:hyperlink>
      <w:r>
        <w:rPr>
          <w:sz w:val="24"/>
        </w:rPr>
        <w:t>.</w:t>
      </w:r>
    </w:p>
    <w:p>
      <w:pPr>
        <w:pStyle w:val="BodyText"/>
        <w:tabs>
          <w:tab w:pos="1863" w:val="left" w:leader="none"/>
          <w:tab w:pos="2455" w:val="left" w:leader="none"/>
          <w:tab w:pos="3385" w:val="left" w:leader="none"/>
          <w:tab w:pos="4044" w:val="left" w:leader="none"/>
          <w:tab w:pos="4964" w:val="left" w:leader="none"/>
          <w:tab w:pos="6183" w:val="left" w:leader="none"/>
          <w:tab w:pos="6491" w:val="left" w:leader="none"/>
          <w:tab w:pos="7778" w:val="left" w:leader="none"/>
          <w:tab w:pos="9190" w:val="left" w:leader="none"/>
        </w:tabs>
        <w:spacing w:line="360" w:lineRule="auto"/>
        <w:ind w:left="684" w:right="115"/>
      </w:pPr>
      <w:r>
        <w:rPr/>
        <w:t>MELGAR Ayala Rosa Leticia/ NAVAS Moz, Maugder Fabricio, </w:t>
      </w:r>
      <w:r>
        <w:rPr>
          <w:i/>
        </w:rPr>
        <w:t>“</w:t>
      </w:r>
      <w:r>
        <w:rPr/>
        <w:t>La televisión como medio  de  transformación  de  la  identidad  cultural</w:t>
        <w:tab/>
        <w:t>a  través  de </w:t>
      </w:r>
      <w:r>
        <w:rPr>
          <w:spacing w:val="12"/>
        </w:rPr>
        <w:t> </w:t>
      </w:r>
      <w:r>
        <w:rPr/>
        <w:t>la </w:t>
      </w:r>
      <w:r>
        <w:rPr>
          <w:spacing w:val="3"/>
        </w:rPr>
        <w:t> </w:t>
      </w:r>
      <w:r>
        <w:rPr/>
        <w:t>publicidad”,</w:t>
      </w:r>
      <w:r>
        <w:rPr>
          <w:w w:val="100"/>
        </w:rPr>
        <w:t> </w:t>
      </w:r>
      <w:r>
        <w:rPr/>
        <w:t>Octubre</w:t>
        <w:tab/>
        <w:t>de</w:t>
        <w:tab/>
        <w:t>2004,</w:t>
        <w:tab/>
        <w:t>[en</w:t>
        <w:tab/>
        <w:t>línea]</w:t>
        <w:tab/>
        <w:t>consulta</w:t>
        <w:tab/>
        <w:t>18/02/2009,</w:t>
        <w:tab/>
        <w:t>disponible</w:t>
        <w:tab/>
      </w:r>
      <w:r>
        <w:rPr>
          <w:spacing w:val="-1"/>
        </w:rPr>
        <w:t>en: </w:t>
      </w:r>
      <w:hyperlink r:id="rId62">
        <w:r>
          <w:rPr>
            <w:color w:val="0000FF"/>
            <w:u w:val="single" w:color="0000FF"/>
          </w:rPr>
          <w:t>http://es.scribd.com/doc/59135590/La-television-como-medio-de-transformacion-</w:t>
        </w:r>
      </w:hyperlink>
      <w:r>
        <w:rPr>
          <w:color w:val="0000FF"/>
          <w:u w:val="single" w:color="0000FF"/>
        </w:rPr>
        <w:t> </w:t>
      </w:r>
      <w:hyperlink r:id="rId62">
        <w:r>
          <w:rPr>
            <w:color w:val="0000FF"/>
            <w:u w:val="single" w:color="0000FF"/>
          </w:rPr>
          <w:t>de-la-identidad-cultural-a-traves-de-la-publicidad</w:t>
        </w:r>
      </w:hyperlink>
      <w:r>
        <w:rPr/>
        <w:t>.</w:t>
      </w:r>
    </w:p>
    <w:p>
      <w:pPr>
        <w:pStyle w:val="BodyText"/>
        <w:spacing w:line="360" w:lineRule="auto" w:before="2"/>
        <w:ind w:left="684" w:right="119"/>
        <w:jc w:val="both"/>
      </w:pPr>
      <w:r>
        <w:rPr/>
        <w:t>MEYER, Lorenzo, “La prolongada Transición Mexicana, ¿Del autoritarismo hacia dónde?” [en línea] consulta 12/04/2011, disponible en: </w:t>
      </w:r>
      <w:hyperlink r:id="rId35">
        <w:r>
          <w:rPr>
            <w:color w:val="0000FF"/>
            <w:u w:val="single" w:color="0000FF"/>
          </w:rPr>
          <w:t>http://www.cepc.es/rap/Publicaciones/Revistas/3/REPNE_074_353.pdf</w:t>
        </w:r>
      </w:hyperlink>
    </w:p>
    <w:p>
      <w:pPr>
        <w:pStyle w:val="BodyText"/>
        <w:tabs>
          <w:tab w:pos="3328" w:val="left" w:leader="none"/>
          <w:tab w:pos="6351" w:val="left" w:leader="none"/>
          <w:tab w:pos="9186" w:val="left" w:leader="none"/>
        </w:tabs>
        <w:spacing w:line="360" w:lineRule="auto" w:before="2"/>
        <w:ind w:left="684" w:right="120"/>
        <w:jc w:val="both"/>
      </w:pPr>
      <w:r>
        <w:rPr>
          <w:sz w:val="22"/>
        </w:rPr>
        <w:t>MORENO</w:t>
      </w:r>
      <w:r>
        <w:rPr/>
        <w:t>, Hugo César, “Bourdieu, Foucault y el poder”, </w:t>
      </w:r>
      <w:r>
        <w:rPr>
          <w:i/>
        </w:rPr>
        <w:t>IBEROFORUM</w:t>
      </w:r>
      <w:r>
        <w:rPr/>
        <w:t>, Vol. I, Núm. II, 2006, pp. 1-14, Universidad Iberoamericana, Cd. México, [en línea] consulta</w:t>
        <w:tab/>
        <w:t>24/08/2012,</w:t>
        <w:tab/>
        <w:t>disponible</w:t>
        <w:tab/>
      </w:r>
      <w:r>
        <w:rPr>
          <w:spacing w:val="-1"/>
        </w:rPr>
        <w:t>en: </w:t>
      </w:r>
      <w:hyperlink r:id="rId90">
        <w:r>
          <w:rPr>
            <w:color w:val="0000FF"/>
            <w:u w:val="single" w:color="0000FF"/>
          </w:rPr>
          <w:t>http://redalyc.uaemex.mx/src/inicio/ArtPdfRed.jsp?iCve=211015573008</w:t>
        </w:r>
      </w:hyperlink>
      <w:r>
        <w:rPr/>
        <w:t>.</w:t>
      </w:r>
    </w:p>
    <w:p>
      <w:pPr>
        <w:pStyle w:val="BodyText"/>
        <w:tabs>
          <w:tab w:pos="2856" w:val="left" w:leader="none"/>
          <w:tab w:pos="6115" w:val="left" w:leader="none"/>
          <w:tab w:pos="9186" w:val="left" w:leader="none"/>
        </w:tabs>
        <w:spacing w:line="360" w:lineRule="auto" w:before="6"/>
        <w:ind w:left="684" w:right="119"/>
        <w:jc w:val="both"/>
      </w:pPr>
      <w:r>
        <w:rPr/>
        <w:t>MORENO, Hugo -Cesar, “Bourdieu, Pierre. La reproducción. Elementos para una teoría del sistema de enseñanza”, </w:t>
      </w:r>
      <w:r>
        <w:rPr>
          <w:i/>
        </w:rPr>
        <w:t>Laia, </w:t>
      </w:r>
      <w:r>
        <w:rPr/>
        <w:t>Barcelona, 1977 p. 44., [en línea], consulta el</w:t>
        <w:tab/>
        <w:t>22/06/2012,</w:t>
        <w:tab/>
        <w:t>disponible</w:t>
        <w:tab/>
      </w:r>
      <w:r>
        <w:rPr>
          <w:spacing w:val="-1"/>
        </w:rPr>
        <w:t>en: </w:t>
      </w:r>
      <w:hyperlink r:id="rId88">
        <w:r>
          <w:rPr>
            <w:color w:val="0000FF"/>
            <w:u w:val="single" w:color="0000FF"/>
          </w:rPr>
          <w:t>http://www.uia.mx/actividades/publicaciones/iberoforum/2/pdf/hugo_moreno.pdf</w:t>
        </w:r>
      </w:hyperlink>
      <w:r>
        <w:rPr/>
        <w:t>.</w:t>
      </w:r>
    </w:p>
    <w:p>
      <w:pPr>
        <w:pStyle w:val="BodyText"/>
        <w:tabs>
          <w:tab w:pos="9254" w:val="left" w:leader="none"/>
        </w:tabs>
        <w:spacing w:line="362" w:lineRule="auto" w:before="1"/>
        <w:ind w:left="684" w:right="112"/>
        <w:jc w:val="both"/>
      </w:pPr>
      <w:r>
        <w:rPr/>
        <w:t>NOTIGEX, </w:t>
      </w:r>
      <w:r>
        <w:rPr>
          <w:i/>
        </w:rPr>
        <w:t>Noticias del Grupo extra</w:t>
      </w:r>
      <w:r>
        <w:rPr/>
        <w:t>, “Honduras tiene 7,5 millones de habitantes y sigue con alta tasa demográfica”, 11-07-2008, [en línea] consulta el 25-02.2009, disponible</w:t>
        <w:tab/>
        <w:t>en</w:t>
      </w:r>
    </w:p>
    <w:p>
      <w:pPr>
        <w:pStyle w:val="BodyText"/>
        <w:spacing w:line="362" w:lineRule="auto"/>
        <w:ind w:left="684" w:right="182"/>
        <w:jc w:val="both"/>
      </w:pPr>
      <w:hyperlink r:id="rId50">
        <w:r>
          <w:rPr>
            <w:color w:val="0000FF"/>
            <w:spacing w:val="-1"/>
            <w:u w:val="single" w:color="0000FF"/>
          </w:rPr>
          <w:t>http://www.diarioextra.com/notigex/show_news.php?subaction=showfull&amp;id=12158</w:t>
        </w:r>
      </w:hyperlink>
      <w:r>
        <w:rPr>
          <w:color w:val="0000FF"/>
          <w:spacing w:val="-1"/>
          <w:u w:val="single" w:color="0000FF"/>
        </w:rPr>
        <w:t> </w:t>
      </w:r>
      <w:hyperlink r:id="rId50">
        <w:r>
          <w:rPr>
            <w:color w:val="0000FF"/>
            <w:u w:val="single" w:color="0000FF"/>
          </w:rPr>
          <w:t>14783&amp;archive=1215852083&amp;template</w:t>
        </w:r>
      </w:hyperlink>
      <w:r>
        <w:rPr/>
        <w:t>=.</w:t>
      </w:r>
    </w:p>
    <w:p>
      <w:pPr>
        <w:pStyle w:val="BodyText"/>
        <w:tabs>
          <w:tab w:pos="5028" w:val="left" w:leader="none"/>
          <w:tab w:pos="9184" w:val="left" w:leader="none"/>
        </w:tabs>
        <w:spacing w:line="360" w:lineRule="auto"/>
        <w:ind w:left="684" w:right="122"/>
        <w:jc w:val="both"/>
      </w:pPr>
      <w:r>
        <w:rPr/>
        <w:t>NUMERALIA, Fundación Preciado, “Televisión en México”, [en línea] consulta 02/05/2012,</w:t>
        <w:tab/>
        <w:t>disponible</w:t>
        <w:tab/>
      </w:r>
      <w:r>
        <w:rPr>
          <w:spacing w:val="-1"/>
        </w:rPr>
        <w:t>en: </w:t>
      </w:r>
      <w:hyperlink r:id="rId23">
        <w:r>
          <w:rPr>
            <w:color w:val="0000FF"/>
            <w:u w:val="single" w:color="0000FF"/>
          </w:rPr>
          <w:t>http://www.fundacionpreciado.org.mx/biencomun/bc170/Numeralia.pdf</w:t>
        </w:r>
      </w:hyperlink>
      <w:r>
        <w:rPr/>
        <w:t>.</w:t>
      </w:r>
    </w:p>
    <w:p>
      <w:pPr>
        <w:pStyle w:val="BodyText"/>
        <w:spacing w:before="6"/>
        <w:ind w:left="684"/>
        <w:jc w:val="both"/>
      </w:pPr>
      <w:r>
        <w:rPr/>
        <w:t>NÚÑEZ De Prado Y CLAVELL, Sara y ZALDÍVAR Dávalos Miguel, “Educación y</w:t>
      </w:r>
    </w:p>
    <w:p>
      <w:pPr>
        <w:pStyle w:val="BodyText"/>
        <w:spacing w:before="132"/>
        <w:ind w:left="684"/>
        <w:jc w:val="both"/>
        <w:rPr>
          <w:i/>
        </w:rPr>
      </w:pPr>
      <w:r>
        <w:rPr/>
        <w:t>Medios  de  Comunicación  en  México:  Una  perspectiva  histórica”,      </w:t>
      </w:r>
      <w:r>
        <w:rPr>
          <w:i/>
        </w:rPr>
        <w:t>ÁMBITOS</w:t>
      </w:r>
    </w:p>
    <w:p>
      <w:pPr>
        <w:spacing w:after="0"/>
        <w:jc w:val="both"/>
        <w:sectPr>
          <w:pgSz w:w="12240" w:h="15840"/>
          <w:pgMar w:header="0" w:footer="878" w:top="520" w:bottom="1060" w:left="1300" w:right="1300"/>
        </w:sectPr>
      </w:pPr>
    </w:p>
    <w:p>
      <w:pPr>
        <w:pStyle w:val="Heading3"/>
      </w:pPr>
      <w:r>
        <w:rPr/>
        <w:pict>
          <v:line style="position:absolute;mso-position-horizontal-relative:page;mso-position-vertical-relative:paragraph;z-index:11152"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pStyle w:val="BodyText"/>
        <w:tabs>
          <w:tab w:pos="1988" w:val="left" w:leader="none"/>
          <w:tab w:pos="4060" w:val="left" w:leader="none"/>
          <w:tab w:pos="6507" w:val="left" w:leader="none"/>
          <w:tab w:pos="8767" w:val="left" w:leader="none"/>
        </w:tabs>
        <w:spacing w:line="360" w:lineRule="auto" w:before="70"/>
        <w:ind w:left="264" w:right="214"/>
        <w:jc w:val="both"/>
      </w:pPr>
      <w:r>
        <w:rPr>
          <w:i/>
        </w:rPr>
        <w:t>(Revista Andaluza de Comunicación)</w:t>
      </w:r>
      <w:r>
        <w:rPr/>
        <w:t>, [en línea], No. 13-14, Año 2005, (pp.287- 307),</w:t>
        <w:tab/>
        <w:t>consulta</w:t>
        <w:tab/>
        <w:t>03/09/2012,</w:t>
        <w:tab/>
        <w:t>disponible</w:t>
        <w:tab/>
        <w:t>en: </w:t>
      </w:r>
      <w:hyperlink r:id="rId31">
        <w:r>
          <w:rPr>
            <w:color w:val="0000FF"/>
            <w:u w:val="single" w:color="0000FF"/>
          </w:rPr>
          <w:t>http://redalyc.uaemex.mx/pdf/168/16801416.pdf</w:t>
        </w:r>
      </w:hyperlink>
      <w:r>
        <w:rPr/>
        <w:t>, ISSN (versión impresa): 1139- 1979.</w:t>
      </w:r>
    </w:p>
    <w:p>
      <w:pPr>
        <w:pStyle w:val="BodyText"/>
        <w:spacing w:line="360" w:lineRule="auto" w:before="6"/>
        <w:ind w:left="264" w:right="217"/>
        <w:jc w:val="both"/>
      </w:pPr>
      <w:r>
        <w:rPr/>
        <w:t>OLIVERA, Mauricio Nihil, “Honduras una sentencia de pobreza”, ONG Comparte, [en línea] consulta el 02/11/2008, disponible en: </w:t>
      </w:r>
      <w:hyperlink r:id="rId48">
        <w:r>
          <w:rPr>
            <w:color w:val="0000FF"/>
            <w:u w:val="single" w:color="0000FF"/>
          </w:rPr>
          <w:t>www.comparte.org/accion/Dossier%Honduras.pdf</w:t>
        </w:r>
      </w:hyperlink>
      <w:r>
        <w:rPr/>
        <w:t>.</w:t>
      </w:r>
    </w:p>
    <w:p>
      <w:pPr>
        <w:pStyle w:val="BodyText"/>
        <w:spacing w:line="360" w:lineRule="auto" w:before="2"/>
        <w:ind w:left="264" w:right="213"/>
        <w:jc w:val="both"/>
      </w:pPr>
      <w:r>
        <w:rPr/>
        <w:t>ORNELAS Delgado, Jaime, “La Economía Mexicana en el Gobierno de Vicente Fox, (2000-2006)”, </w:t>
      </w:r>
      <w:r>
        <w:rPr>
          <w:i/>
        </w:rPr>
        <w:t>Aportes</w:t>
      </w:r>
      <w:r>
        <w:rPr/>
        <w:t>, enero-abril año/Vol. XII, Núm 034, Benemérita Universidad Autónoma de Puebla, [en línea] consulta 25/05/2012 </w:t>
      </w:r>
      <w:hyperlink r:id="rId43">
        <w:r>
          <w:rPr>
            <w:color w:val="0000FF"/>
            <w:u w:val="single" w:color="0000FF"/>
          </w:rPr>
          <w:t>http://redalyc.uaemex.mx/pdf/376/37603408.pdf</w:t>
        </w:r>
      </w:hyperlink>
    </w:p>
    <w:p>
      <w:pPr>
        <w:spacing w:line="362" w:lineRule="auto" w:before="0"/>
        <w:ind w:left="264" w:right="214" w:firstLine="0"/>
        <w:jc w:val="both"/>
        <w:rPr>
          <w:sz w:val="24"/>
        </w:rPr>
      </w:pPr>
      <w:r>
        <w:rPr>
          <w:sz w:val="24"/>
        </w:rPr>
        <w:t>ORTOLANO, Mariel, </w:t>
      </w:r>
      <w:r>
        <w:rPr>
          <w:i/>
          <w:sz w:val="24"/>
        </w:rPr>
        <w:t>Los aportes de la escuela de Frankfurt, </w:t>
      </w:r>
      <w:r>
        <w:rPr>
          <w:sz w:val="24"/>
        </w:rPr>
        <w:t>[en línea] consulta 15/04/2012, disponible en: </w:t>
      </w:r>
      <w:hyperlink r:id="rId141">
        <w:r>
          <w:rPr>
            <w:color w:val="0000FF"/>
            <w:sz w:val="24"/>
            <w:u w:val="single" w:color="0000FF"/>
          </w:rPr>
          <w:t>http://cultura.wordpress.com/2012/08/11/los-aportes-</w:t>
        </w:r>
      </w:hyperlink>
      <w:r>
        <w:rPr>
          <w:color w:val="0000FF"/>
          <w:sz w:val="24"/>
          <w:u w:val="single" w:color="0000FF"/>
        </w:rPr>
        <w:t> </w:t>
      </w:r>
      <w:hyperlink r:id="rId141">
        <w:r>
          <w:rPr>
            <w:color w:val="0000FF"/>
            <w:sz w:val="24"/>
            <w:u w:val="single" w:color="0000FF"/>
          </w:rPr>
          <w:t>de-la-escuela-de-frankfurt/#more-41</w:t>
        </w:r>
      </w:hyperlink>
    </w:p>
    <w:p>
      <w:pPr>
        <w:pStyle w:val="BodyText"/>
        <w:spacing w:line="360" w:lineRule="auto" w:before="3"/>
        <w:ind w:left="264" w:right="216"/>
        <w:jc w:val="both"/>
      </w:pPr>
      <w:r>
        <w:rPr/>
        <w:t>OVIEDO, Jorge Luis, “La T.V. En honduras. La percepción de la programación de la televisión en Honduras”</w:t>
      </w:r>
      <w:r>
        <w:rPr>
          <w:i/>
        </w:rPr>
        <w:t>, </w:t>
      </w:r>
      <w:r>
        <w:rPr/>
        <w:t>(Encuesta), Cátedra, </w:t>
      </w:r>
      <w:r>
        <w:rPr>
          <w:i/>
        </w:rPr>
        <w:t>Espacio De Interacción </w:t>
      </w:r>
      <w:r>
        <w:rPr>
          <w:i/>
        </w:rPr>
        <w:t>Académica Con Estudiantes De La UNAH</w:t>
      </w:r>
      <w:r>
        <w:rPr/>
        <w:t>, [en línea] consulta 13/06/2012, disponible en: </w:t>
      </w:r>
      <w:hyperlink r:id="rId24">
        <w:r>
          <w:rPr>
            <w:color w:val="0000FF"/>
            <w:u w:val="single" w:color="0000FF"/>
          </w:rPr>
          <w:t>http://jorgeluis-catedra.blogspot.mx/2010/07/la-t-v-en-honduras-</w:t>
        </w:r>
      </w:hyperlink>
      <w:r>
        <w:rPr>
          <w:color w:val="0000FF"/>
          <w:u w:val="single" w:color="0000FF"/>
        </w:rPr>
        <w:t> </w:t>
      </w:r>
      <w:hyperlink r:id="rId24">
        <w:r>
          <w:rPr>
            <w:color w:val="0000FF"/>
            <w:u w:val="single" w:color="0000FF"/>
          </w:rPr>
          <w:t>encuesta.html#!/2010/07/la-t-v-en-honduras-encuesta.html</w:t>
        </w:r>
      </w:hyperlink>
    </w:p>
    <w:p>
      <w:pPr>
        <w:pStyle w:val="BodyText"/>
        <w:spacing w:line="360" w:lineRule="auto" w:before="2"/>
        <w:ind w:left="264" w:right="215"/>
        <w:jc w:val="both"/>
      </w:pPr>
      <w:r>
        <w:rPr/>
        <w:t>PÉREZ Yuste Antonio, “Zworykin y Farnsworth: Pioneros de la Televisión Electrónica”, Universidad Politécnica de Madrid, </w:t>
      </w:r>
      <w:r>
        <w:rPr>
          <w:i/>
        </w:rPr>
        <w:t>Antena de Telecomunicación </w:t>
      </w:r>
      <w:r>
        <w:rPr/>
        <w:t>/ Marzo 2007, pp. 63-66 [en línea], consulta 10/11/2012, disponible en: </w:t>
      </w:r>
      <w:hyperlink r:id="rId83">
        <w:r>
          <w:rPr>
            <w:color w:val="0000FF"/>
            <w:u w:val="single" w:color="0000FF"/>
          </w:rPr>
          <w:t>http://www.coitt.es/res/revistas/Antena167_12_Television.pdf</w:t>
        </w:r>
      </w:hyperlink>
      <w:r>
        <w:rPr/>
        <w:t>.</w:t>
      </w:r>
    </w:p>
    <w:p>
      <w:pPr>
        <w:pStyle w:val="BodyText"/>
        <w:tabs>
          <w:tab w:pos="1743" w:val="left" w:leader="none"/>
        </w:tabs>
        <w:spacing w:line="360" w:lineRule="auto" w:before="2"/>
        <w:ind w:left="264" w:right="218"/>
      </w:pPr>
      <w:r>
        <w:rPr/>
        <w:t>PORTAL DE FILOSOFÍA y Humanidades, “KANT, Emmanuel”, Torre De Babel Ediciones,</w:t>
        <w:tab/>
        <w:t>[en   línea]   consulta   el   16-08-2012,   disponible</w:t>
      </w:r>
      <w:r>
        <w:rPr>
          <w:spacing w:val="32"/>
        </w:rPr>
        <w:t> </w:t>
      </w:r>
      <w:r>
        <w:rPr/>
        <w:t>en </w:t>
      </w:r>
      <w:r>
        <w:rPr>
          <w:spacing w:val="47"/>
        </w:rPr>
        <w:t> </w:t>
      </w:r>
      <w:r>
        <w:rPr/>
        <w:t>http://www.e-</w:t>
      </w:r>
      <w:r>
        <w:rPr>
          <w:w w:val="99"/>
        </w:rPr>
        <w:t> </w:t>
      </w:r>
      <w:r>
        <w:rPr/>
        <w:t>torredebabel.com/Historia-de-la-filosofia/Filosofiamedievalymoderna/Kant/Kant- Libertad.htm..</w:t>
      </w:r>
    </w:p>
    <w:p>
      <w:pPr>
        <w:pStyle w:val="BodyText"/>
        <w:tabs>
          <w:tab w:pos="4557" w:val="left" w:leader="none"/>
          <w:tab w:pos="8766" w:val="left" w:leader="none"/>
        </w:tabs>
        <w:spacing w:line="360" w:lineRule="auto" w:before="2"/>
        <w:ind w:left="264" w:right="219"/>
        <w:jc w:val="both"/>
      </w:pPr>
      <w:r>
        <w:rPr/>
        <w:t>POZAS, Ricardo, “El Maximato: El Partido Del Hombre Fuerte, 1929-1934”, Estudios de Historia Moderna y contemporánea de México, [en línea], consulta 18/09/2012</w:t>
        <w:tab/>
        <w:t>Disponible</w:t>
        <w:tab/>
      </w:r>
      <w:r>
        <w:rPr>
          <w:spacing w:val="-1"/>
        </w:rPr>
        <w:t>en: </w:t>
      </w:r>
      <w:hyperlink r:id="rId27">
        <w:r>
          <w:rPr>
            <w:color w:val="0000FF"/>
            <w:u w:val="single" w:color="0000FF"/>
          </w:rPr>
          <w:t>http://www.historicas.unam.mx/moderna/ehmc/ehmc09/114.html</w:t>
        </w:r>
      </w:hyperlink>
      <w:r>
        <w:rPr/>
        <w:t>.</w:t>
      </w:r>
    </w:p>
    <w:p>
      <w:pPr>
        <w:spacing w:after="0" w:line="360" w:lineRule="auto"/>
        <w:jc w:val="both"/>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1176"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18"/>
        </w:rPr>
      </w:pPr>
    </w:p>
    <w:p>
      <w:pPr>
        <w:spacing w:line="362" w:lineRule="auto" w:before="70"/>
        <w:ind w:left="684" w:right="121" w:firstLine="0"/>
        <w:jc w:val="both"/>
        <w:rPr>
          <w:sz w:val="24"/>
        </w:rPr>
      </w:pPr>
      <w:r>
        <w:rPr>
          <w:sz w:val="24"/>
        </w:rPr>
        <w:t>RADIO MEXICANA, [en línea], * “Extractos del libro: </w:t>
      </w:r>
      <w:r>
        <w:rPr>
          <w:i/>
          <w:sz w:val="24"/>
        </w:rPr>
        <w:t>Industria de Radio y </w:t>
      </w:r>
      <w:r>
        <w:rPr>
          <w:i/>
          <w:sz w:val="24"/>
        </w:rPr>
        <w:t>Televisión. Memorias de su compromiso con México”</w:t>
      </w:r>
      <w:r>
        <w:rPr>
          <w:sz w:val="24"/>
        </w:rPr>
        <w:t>. CIRT, 2003 consulta 05/09/2012, disponible en: </w:t>
      </w:r>
      <w:hyperlink r:id="rId82">
        <w:r>
          <w:rPr>
            <w:color w:val="0000FF"/>
            <w:sz w:val="24"/>
            <w:u w:val="single" w:color="0000FF"/>
          </w:rPr>
          <w:t>http://www.radiomexicana.mx/historia.html</w:t>
        </w:r>
      </w:hyperlink>
      <w:r>
        <w:rPr>
          <w:sz w:val="24"/>
        </w:rPr>
        <w:t>.</w:t>
      </w:r>
    </w:p>
    <w:p>
      <w:pPr>
        <w:pStyle w:val="BodyText"/>
        <w:tabs>
          <w:tab w:pos="3544" w:val="left" w:leader="none"/>
          <w:tab w:pos="6463" w:val="left" w:leader="none"/>
          <w:tab w:pos="9190" w:val="left" w:leader="none"/>
        </w:tabs>
        <w:spacing w:line="360" w:lineRule="auto"/>
        <w:ind w:left="684" w:right="116"/>
      </w:pPr>
      <w:r>
        <w:rPr/>
        <w:t>RADIO, prensa y televisión, “Historia de la televisión de México”, [en línea], Consultada</w:t>
        <w:tab/>
        <w:t>25/10/2008,</w:t>
        <w:tab/>
        <w:t>disponible</w:t>
        <w:tab/>
      </w:r>
      <w:r>
        <w:rPr>
          <w:spacing w:val="-1"/>
        </w:rPr>
        <w:t>en: </w:t>
      </w:r>
      <w:hyperlink r:id="rId70">
        <w:r>
          <w:rPr>
            <w:color w:val="0000FF"/>
            <w:u w:val="single" w:color="0000FF"/>
          </w:rPr>
          <w:t>http://radioprensaytelevision.blogspot.mx/2011/05/cronologia-de-la-historia-de-la-</w:t>
        </w:r>
      </w:hyperlink>
      <w:r>
        <w:rPr>
          <w:color w:val="0000FF"/>
          <w:u w:val="single" w:color="0000FF"/>
        </w:rPr>
        <w:t> </w:t>
      </w:r>
      <w:hyperlink r:id="rId70">
        <w:r>
          <w:rPr>
            <w:color w:val="0000FF"/>
            <w:u w:val="single" w:color="0000FF"/>
          </w:rPr>
          <w:t>tv-en_1768.html</w:t>
        </w:r>
      </w:hyperlink>
      <w:r>
        <w:rPr/>
        <w:t>.</w:t>
      </w:r>
    </w:p>
    <w:p>
      <w:pPr>
        <w:tabs>
          <w:tab w:pos="1884" w:val="left" w:leader="none"/>
          <w:tab w:pos="3340" w:val="left" w:leader="none"/>
          <w:tab w:pos="5103" w:val="left" w:leader="none"/>
          <w:tab w:pos="7234" w:val="left" w:leader="none"/>
          <w:tab w:pos="9186" w:val="left" w:leader="none"/>
        </w:tabs>
        <w:spacing w:line="360" w:lineRule="auto" w:before="2"/>
        <w:ind w:left="684" w:right="119" w:firstLine="0"/>
        <w:jc w:val="both"/>
        <w:rPr>
          <w:sz w:val="24"/>
        </w:rPr>
      </w:pPr>
      <w:r>
        <w:rPr>
          <w:sz w:val="24"/>
        </w:rPr>
        <w:t>RAMONET, Ignacio, “La tiranía de la televisión. Connivencia entre los medios de comunicación y el poder”</w:t>
      </w:r>
      <w:r>
        <w:rPr>
          <w:i/>
          <w:sz w:val="24"/>
        </w:rPr>
        <w:t>, </w:t>
      </w:r>
      <w:r>
        <w:rPr>
          <w:sz w:val="24"/>
        </w:rPr>
        <w:t>Conferencia del Director de </w:t>
      </w:r>
      <w:r>
        <w:rPr>
          <w:i/>
          <w:sz w:val="24"/>
        </w:rPr>
        <w:t>Le Monde Diplomatique,   </w:t>
      </w:r>
      <w:r>
        <w:rPr>
          <w:i/>
          <w:sz w:val="24"/>
        </w:rPr>
        <w:t>[en</w:t>
        <w:tab/>
        <w:t>línea]</w:t>
        <w:tab/>
        <w:t>consulta</w:t>
        <w:tab/>
        <w:t>10/03/2012,</w:t>
        <w:tab/>
        <w:t>disponible</w:t>
        <w:tab/>
      </w:r>
      <w:r>
        <w:rPr>
          <w:i/>
          <w:spacing w:val="-1"/>
          <w:sz w:val="24"/>
        </w:rPr>
        <w:t>en: </w:t>
      </w:r>
      <w:hyperlink r:id="rId116">
        <w:r>
          <w:rPr>
            <w:color w:val="0000FF"/>
            <w:sz w:val="24"/>
            <w:u w:val="single" w:color="0000FF"/>
          </w:rPr>
          <w:t>http://www.nodo50.org/filosofem/IMG/pdf/tiraniaTV_Ramonet.pdf</w:t>
        </w:r>
      </w:hyperlink>
      <w:r>
        <w:rPr>
          <w:sz w:val="24"/>
        </w:rPr>
        <w:t>,</w:t>
      </w:r>
    </w:p>
    <w:p>
      <w:pPr>
        <w:pStyle w:val="BodyText"/>
        <w:tabs>
          <w:tab w:pos="5029" w:val="left" w:leader="none"/>
          <w:tab w:pos="9186" w:val="left" w:leader="none"/>
        </w:tabs>
        <w:spacing w:line="362" w:lineRule="auto"/>
        <w:ind w:left="684" w:right="119"/>
      </w:pPr>
      <w:r>
        <w:rPr/>
        <w:t>REVISTAS, </w:t>
      </w:r>
      <w:r>
        <w:rPr>
          <w:i/>
        </w:rPr>
        <w:t>El Heraldo de Tegucigalpa</w:t>
      </w:r>
      <w:r>
        <w:rPr/>
        <w:t>, “Cuidado con la TV”</w:t>
      </w:r>
      <w:r>
        <w:rPr>
          <w:i/>
        </w:rPr>
        <w:t>, </w:t>
      </w:r>
      <w:r>
        <w:rPr/>
        <w:t>[en línea] consulta 02/06/2012,</w:t>
        <w:tab/>
        <w:t>disponible</w:t>
        <w:tab/>
      </w:r>
      <w:r>
        <w:rPr>
          <w:spacing w:val="-1"/>
        </w:rPr>
        <w:t>en: </w:t>
      </w:r>
      <w:hyperlink r:id="rId137">
        <w:r>
          <w:rPr>
            <w:color w:val="0000FF"/>
            <w:u w:val="single" w:color="0000FF"/>
          </w:rPr>
          <w:t>http://eng.elheraldo.hn/Publicaciones/Revistas/Mia/Edicion-13-de-enero/Cuidado-</w:t>
        </w:r>
      </w:hyperlink>
      <w:r>
        <w:rPr>
          <w:color w:val="0000FF"/>
          <w:u w:val="single" w:color="0000FF"/>
        </w:rPr>
        <w:t> </w:t>
      </w:r>
      <w:hyperlink r:id="rId137">
        <w:r>
          <w:rPr>
            <w:color w:val="0000FF"/>
            <w:u w:val="single" w:color="0000FF"/>
          </w:rPr>
          <w:t>con-la-TV</w:t>
        </w:r>
      </w:hyperlink>
    </w:p>
    <w:p>
      <w:pPr>
        <w:pStyle w:val="BodyText"/>
        <w:tabs>
          <w:tab w:pos="1628" w:val="left" w:leader="none"/>
          <w:tab w:pos="2023" w:val="left" w:leader="none"/>
          <w:tab w:pos="2215" w:val="left" w:leader="none"/>
          <w:tab w:pos="3414" w:val="left" w:leader="none"/>
          <w:tab w:pos="3462" w:val="left" w:leader="none"/>
          <w:tab w:pos="4069" w:val="left" w:leader="none"/>
          <w:tab w:pos="4169" w:val="left" w:leader="none"/>
          <w:tab w:pos="4980" w:val="left" w:leader="none"/>
          <w:tab w:pos="5209" w:val="left" w:leader="none"/>
          <w:tab w:pos="5821" w:val="left" w:leader="none"/>
          <w:tab w:pos="6192" w:val="left" w:leader="none"/>
          <w:tab w:pos="7500" w:val="left" w:leader="none"/>
          <w:tab w:pos="7786" w:val="left" w:leader="none"/>
          <w:tab w:pos="8951" w:val="left" w:leader="none"/>
          <w:tab w:pos="9190" w:val="left" w:leader="none"/>
          <w:tab w:pos="9331" w:val="left" w:leader="none"/>
        </w:tabs>
        <w:spacing w:line="360" w:lineRule="auto"/>
        <w:ind w:left="684" w:right="116"/>
      </w:pPr>
      <w:r>
        <w:rPr/>
        <w:t>RODEZNO Cruz, Nelson Omar, (Abogado y Estudiante de Periodismo de la  UNAH) 10 de octubre de 2006 (CEST), </w:t>
      </w:r>
      <w:r>
        <w:rPr>
          <w:i/>
        </w:rPr>
        <w:t>YAHOO, Respuestas</w:t>
      </w:r>
      <w:r>
        <w:rPr/>
        <w:t>, “¿Sabes cuál es la historia de la Televisión de Honduras?” [en línea] consulta 12//09/2010, disponible en: </w:t>
      </w:r>
      <w:hyperlink r:id="rId63">
        <w:r>
          <w:rPr>
            <w:color w:val="0000FF"/>
            <w:u w:val="single" w:color="0000FF"/>
          </w:rPr>
          <w:t>http://es.answers.yahoo.com/question/index?qid=20070519150635AAWZVY5</w:t>
        </w:r>
      </w:hyperlink>
      <w:r>
        <w:rPr/>
        <w:t>. ROMERO</w:t>
        <w:tab/>
        <w:t>Rodríguez,</w:t>
        <w:tab/>
        <w:tab/>
        <w:t>Luis</w:t>
        <w:tab/>
        <w:tab/>
        <w:t>Miguel,</w:t>
        <w:tab/>
        <w:tab/>
        <w:t>“La</w:t>
        <w:tab/>
        <w:t>Manipulación</w:t>
        <w:tab/>
        <w:t>Informativa</w:t>
        <w:tab/>
        <w:t>y</w:t>
        <w:tab/>
        <w:tab/>
        <w:t>la Desinformación: La Anomia de los receptores Y el Fomento de las Víctimas Propiciatorias”, 2011, Universidad de Almería, Facultad de Humanidades, Almería, Reino</w:t>
        <w:tab/>
        <w:t>de</w:t>
        <w:tab/>
        <w:tab/>
        <w:t>España,</w:t>
        <w:tab/>
        <w:t>[en</w:t>
        <w:tab/>
        <w:t>línea]</w:t>
        <w:tab/>
        <w:t>consulta</w:t>
        <w:tab/>
        <w:t>04/08/2012,</w:t>
        <w:tab/>
        <w:tab/>
        <w:t>disponible</w:t>
        <w:tab/>
        <w:tab/>
      </w:r>
      <w:r>
        <w:rPr>
          <w:spacing w:val="-1"/>
        </w:rPr>
        <w:t>en: </w:t>
      </w:r>
      <w:hyperlink r:id="rId19">
        <w:r>
          <w:rPr>
            <w:color w:val="0000FF"/>
            <w:u w:val="single" w:color="0000FF"/>
          </w:rPr>
          <w:t>http://ucab.academia.edu/LuisMiguelRomeroRodr%C3%ADguez/Papers/1267515/</w:t>
        </w:r>
      </w:hyperlink>
      <w:r>
        <w:rPr>
          <w:color w:val="0000FF"/>
          <w:u w:val="single" w:color="0000FF"/>
        </w:rPr>
        <w:t> </w:t>
      </w:r>
      <w:hyperlink r:id="rId19">
        <w:r>
          <w:rPr>
            <w:color w:val="0000FF"/>
            <w:u w:val="single" w:color="0000FF"/>
          </w:rPr>
          <w:t>La_manipulacion_informativa_y_la_desinformacion_La_anomia_de_los_receptore</w:t>
        </w:r>
      </w:hyperlink>
      <w:r>
        <w:rPr>
          <w:color w:val="0000FF"/>
          <w:u w:val="single" w:color="0000FF"/>
        </w:rPr>
        <w:t> </w:t>
      </w:r>
      <w:hyperlink r:id="rId19">
        <w:r>
          <w:rPr>
            <w:color w:val="0000FF"/>
            <w:u w:val="single" w:color="0000FF"/>
          </w:rPr>
          <w:t>s_y_el_fomento_de_victimas_propiciatorias</w:t>
        </w:r>
      </w:hyperlink>
    </w:p>
    <w:p>
      <w:pPr>
        <w:pStyle w:val="BodyText"/>
        <w:spacing w:line="360" w:lineRule="auto" w:before="6"/>
        <w:ind w:left="684" w:right="123"/>
      </w:pPr>
      <w:r>
        <w:rPr/>
        <w:t>SÁNCHEZ RUIZ, Enrique E., "Hacia una cronología de la televisión mexicana. Materiales para estudio de los medios”, [en línea] consulta 12/09/2012, disponible en: </w:t>
      </w:r>
      <w:hyperlink r:id="rId28">
        <w:r>
          <w:rPr>
            <w:color w:val="0000FF"/>
            <w:u w:val="single" w:color="0000FF"/>
          </w:rPr>
          <w:t>http://dspace.universia.net/bitstream/2024/1192/1/CRONOLOGIA+DE+LA+TELEVI</w:t>
        </w:r>
      </w:hyperlink>
      <w:r>
        <w:rPr>
          <w:color w:val="0000FF"/>
          <w:u w:val="single" w:color="0000FF"/>
        </w:rPr>
        <w:t> </w:t>
      </w:r>
      <w:hyperlink r:id="rId28">
        <w:r>
          <w:rPr>
            <w:color w:val="0000FF"/>
            <w:u w:val="single" w:color="0000FF"/>
          </w:rPr>
          <w:t>SION+MEXICANA-1.pdf</w:t>
        </w:r>
      </w:hyperlink>
      <w:r>
        <w:rPr/>
        <w:t>.</w:t>
      </w:r>
    </w:p>
    <w:p>
      <w:pPr>
        <w:spacing w:line="274" w:lineRule="exact" w:before="0"/>
        <w:ind w:left="684" w:right="114" w:firstLine="0"/>
        <w:jc w:val="left"/>
        <w:rPr>
          <w:i/>
          <w:sz w:val="24"/>
        </w:rPr>
      </w:pPr>
      <w:r>
        <w:rPr>
          <w:sz w:val="24"/>
        </w:rPr>
        <w:t>SIERRA Fonseca, Rolando, “Honduras como interpretación”, </w:t>
      </w:r>
      <w:r>
        <w:rPr>
          <w:i/>
          <w:sz w:val="24"/>
        </w:rPr>
        <w:t>Colección cuadernos</w:t>
      </w:r>
    </w:p>
    <w:p>
      <w:pPr>
        <w:spacing w:after="0" w:line="274" w:lineRule="exact"/>
        <w:jc w:val="left"/>
        <w:rPr>
          <w:sz w:val="24"/>
        </w:rPr>
        <w:sectPr>
          <w:pgSz w:w="12240" w:h="15840"/>
          <w:pgMar w:header="0" w:footer="878" w:top="520" w:bottom="1060" w:left="1300" w:right="1300"/>
        </w:sectPr>
      </w:pPr>
    </w:p>
    <w:p>
      <w:pPr>
        <w:pStyle w:val="Heading3"/>
      </w:pPr>
      <w:r>
        <w:rPr/>
        <w:pict>
          <v:line style="position:absolute;mso-position-horizontal-relative:page;mso-position-vertical-relative:paragraph;z-index:11200"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pStyle w:val="BodyText"/>
        <w:spacing w:line="362" w:lineRule="auto" w:before="70"/>
        <w:ind w:left="264" w:right="213"/>
        <w:jc w:val="both"/>
      </w:pPr>
      <w:r>
        <w:rPr>
          <w:i/>
        </w:rPr>
        <w:t>de visión del país</w:t>
      </w:r>
      <w:r>
        <w:rPr/>
        <w:t>, 13, Honduras, 2003, [en línea] consulta el 02/05/2012, disponible en: </w:t>
      </w:r>
      <w:hyperlink r:id="rId47">
        <w:r>
          <w:rPr>
            <w:color w:val="0000FF"/>
            <w:u w:val="single" w:color="0000FF"/>
          </w:rPr>
          <w:t>http://www.undp.un.hn/publicaciones/colecciones/VP_13.pdf</w:t>
        </w:r>
      </w:hyperlink>
      <w:r>
        <w:rPr/>
        <w:t>. ISBN 99926-667-1-4</w:t>
      </w:r>
    </w:p>
    <w:p>
      <w:pPr>
        <w:pStyle w:val="BodyText"/>
        <w:spacing w:line="360" w:lineRule="auto"/>
        <w:ind w:left="264" w:right="214"/>
        <w:jc w:val="both"/>
      </w:pPr>
      <w:r>
        <w:rPr/>
        <w:t>STEINBERG Guzmán, Delia, “El maravilloso arte de ser uno mismo”, [en línea] consulta 25/06/2012, disponible en: </w:t>
      </w:r>
      <w:hyperlink r:id="rId127">
        <w:r>
          <w:rPr>
            <w:color w:val="0000FF"/>
            <w:u w:val="single" w:color="0000FF"/>
          </w:rPr>
          <w:t>http://www.acropolis.org.mx/lang/es/el-</w:t>
        </w:r>
      </w:hyperlink>
      <w:r>
        <w:rPr>
          <w:color w:val="0000FF"/>
          <w:u w:val="single" w:color="0000FF"/>
        </w:rPr>
        <w:t> </w:t>
      </w:r>
      <w:hyperlink r:id="rId127">
        <w:r>
          <w:rPr>
            <w:color w:val="0000FF"/>
            <w:u w:val="single" w:color="0000FF"/>
          </w:rPr>
          <w:t>maravilloso-arte-de-ser-uno-mismo/</w:t>
        </w:r>
      </w:hyperlink>
      <w:r>
        <w:rPr/>
        <w:t>.</w:t>
      </w:r>
    </w:p>
    <w:p>
      <w:pPr>
        <w:pStyle w:val="BodyText"/>
        <w:spacing w:line="357" w:lineRule="auto" w:before="6"/>
        <w:ind w:left="264" w:right="220"/>
        <w:jc w:val="both"/>
      </w:pPr>
      <w:r>
        <w:rPr/>
        <w:t>TEORÍA DE LA COMUNICACIÓN, [en línea] consulta 03/05/2009, disponible en: </w:t>
      </w:r>
      <w:hyperlink r:id="rId160">
        <w:r>
          <w:rPr>
            <w:color w:val="0000FF"/>
            <w:u w:val="single" w:color="0000FF"/>
          </w:rPr>
          <w:t>http://comunicacion.idoneo.com/index.php/Toer%C3%ADa_de_la_comunicaci%C3</w:t>
        </w:r>
      </w:hyperlink>
    </w:p>
    <w:p>
      <w:pPr>
        <w:pStyle w:val="BodyText"/>
        <w:spacing w:before="9"/>
        <w:ind w:left="264"/>
        <w:jc w:val="both"/>
      </w:pPr>
      <w:hyperlink r:id="rId160">
        <w:r>
          <w:rPr>
            <w:color w:val="0000FF"/>
            <w:u w:val="single" w:color="0000FF"/>
          </w:rPr>
          <w:t>%B3npsicologia.social</w:t>
        </w:r>
      </w:hyperlink>
      <w:r>
        <w:rPr/>
        <w:t>.</w:t>
      </w:r>
    </w:p>
    <w:p>
      <w:pPr>
        <w:pStyle w:val="BodyText"/>
        <w:tabs>
          <w:tab w:pos="8770" w:val="left" w:leader="none"/>
        </w:tabs>
        <w:spacing w:line="362" w:lineRule="auto" w:before="136"/>
        <w:ind w:left="264" w:right="215"/>
        <w:jc w:val="both"/>
      </w:pPr>
      <w:r>
        <w:rPr/>
        <w:t>TEUN A. Van Dijk, “Análisis del discurso”, [en línea] consulta 16/11/2010, disponible</w:t>
        <w:tab/>
      </w:r>
      <w:r>
        <w:rPr>
          <w:spacing w:val="-1"/>
        </w:rPr>
        <w:t>en:</w:t>
      </w:r>
    </w:p>
    <w:p>
      <w:pPr>
        <w:pStyle w:val="BodyText"/>
        <w:spacing w:line="362" w:lineRule="auto"/>
        <w:ind w:left="264" w:right="237"/>
        <w:jc w:val="both"/>
      </w:pPr>
      <w:hyperlink r:id="rId72">
        <w:r>
          <w:rPr>
            <w:color w:val="0000FF"/>
            <w:u w:val="single" w:color="0000FF"/>
          </w:rPr>
          <w:t>http://www.discursos.org/oldarticles/An%E1lisis%20del%20discurso%20ideol%F3g</w:t>
        </w:r>
      </w:hyperlink>
      <w:r>
        <w:rPr>
          <w:color w:val="0000FF"/>
          <w:u w:val="single" w:color="0000FF"/>
        </w:rPr>
        <w:t> </w:t>
      </w:r>
      <w:hyperlink r:id="rId72">
        <w:r>
          <w:rPr>
            <w:color w:val="0000FF"/>
            <w:u w:val="single" w:color="0000FF"/>
          </w:rPr>
          <w:t>ico.pdf</w:t>
        </w:r>
      </w:hyperlink>
      <w:r>
        <w:rPr/>
        <w:t>.</w:t>
      </w:r>
    </w:p>
    <w:p>
      <w:pPr>
        <w:pStyle w:val="BodyText"/>
        <w:tabs>
          <w:tab w:pos="4608" w:val="left" w:leader="none"/>
          <w:tab w:pos="8764" w:val="left" w:leader="none"/>
        </w:tabs>
        <w:spacing w:line="360" w:lineRule="auto"/>
        <w:ind w:left="264" w:right="219"/>
        <w:jc w:val="both"/>
      </w:pPr>
      <w:r>
        <w:rPr/>
        <w:t>TEUN, </w:t>
      </w:r>
      <w:r>
        <w:rPr>
          <w:spacing w:val="-3"/>
        </w:rPr>
        <w:t>A. </w:t>
      </w:r>
      <w:r>
        <w:rPr/>
        <w:t>Van Dijk, “Análisis del discurso ideológico”, Traducción de Ramón Alvarado, Versión 6 UAM-X, México, 1996, pp. 15-43, [en línea], consulta 15/02/2011,</w:t>
        <w:tab/>
        <w:t>disponible</w:t>
        <w:tab/>
        <w:t>en: </w:t>
      </w:r>
      <w:hyperlink r:id="rId98">
        <w:r>
          <w:rPr>
            <w:color w:val="0000FF"/>
            <w:u w:val="single" w:color="0000FF"/>
          </w:rPr>
          <w:t>http://segundaslenguaseinmigracion.com/L2ycomptext/Anlisisideolgico.pdf</w:t>
        </w:r>
      </w:hyperlink>
      <w:r>
        <w:rPr/>
        <w:t>.</w:t>
      </w:r>
    </w:p>
    <w:p>
      <w:pPr>
        <w:pStyle w:val="BodyText"/>
        <w:spacing w:line="360" w:lineRule="auto" w:before="2"/>
        <w:ind w:left="264" w:right="217"/>
        <w:jc w:val="both"/>
      </w:pPr>
      <w:r>
        <w:rPr/>
        <w:t>TEUN A. Van Dijk, “Algunas notas sobre la ideología, teoría del discurso”. Traducción: Georgina Trigos, Curso sobre: </w:t>
      </w:r>
      <w:r>
        <w:rPr>
          <w:i/>
        </w:rPr>
        <w:t>El estudio Interdisciplinario del  </w:t>
      </w:r>
      <w:r>
        <w:rPr>
          <w:i/>
        </w:rPr>
        <w:t>discurso</w:t>
      </w:r>
      <w:r>
        <w:rPr/>
        <w:t>, ofrecido en el Centro de Estudios Lingüísticos y Literarios del Colegio de México, [en línea] consulta 10/11/2012, disponible en: </w:t>
      </w:r>
      <w:hyperlink r:id="rId100">
        <w:r>
          <w:rPr>
            <w:color w:val="0000FF"/>
            <w:u w:val="single" w:color="0000FF"/>
          </w:rPr>
          <w:t>http://www.discursos.org/oldarticles/Algunas%20notas%20sobre%20la%20ideolog</w:t>
        </w:r>
      </w:hyperlink>
    </w:p>
    <w:p>
      <w:pPr>
        <w:pStyle w:val="BodyText"/>
        <w:spacing w:before="6"/>
        <w:ind w:left="264"/>
        <w:jc w:val="both"/>
      </w:pPr>
      <w:hyperlink r:id="rId100">
        <w:r>
          <w:rPr>
            <w:color w:val="0000FF"/>
            <w:u w:val="single" w:color="0000FF"/>
          </w:rPr>
          <w:t>%EDa%20y%20la%20teor%EDa%20del%20discurso.pdf</w:t>
        </w:r>
      </w:hyperlink>
      <w:r>
        <w:rPr/>
        <w:t>.</w:t>
      </w:r>
    </w:p>
    <w:p>
      <w:pPr>
        <w:pStyle w:val="BodyText"/>
        <w:spacing w:line="360" w:lineRule="auto" w:before="136"/>
        <w:ind w:left="264" w:right="216"/>
        <w:jc w:val="both"/>
      </w:pPr>
      <w:r>
        <w:rPr/>
        <w:t>TORRES Calderón, Manuel, “Golpe de Estado, Elecciones y ´Medios en una Democracia Fallida”, en Omar Rincón, Editor, ¿</w:t>
      </w:r>
      <w:r>
        <w:rPr>
          <w:i/>
        </w:rPr>
        <w:t>POR QUÉ NOS ODIAN TANTO? </w:t>
      </w:r>
      <w:r>
        <w:rPr/>
        <w:t>[Estado y medios de comunicación en América Latina] Centro de Competencia en Comunicación, para América Latina, Friedrich Ebert Stiftung, Bogotá, 2010, [en línea], consulta el 18/09/2012, disponible en: </w:t>
      </w:r>
      <w:hyperlink r:id="rId161">
        <w:r>
          <w:rPr/>
          <w:t>http://library.fes.de/pdf-</w:t>
        </w:r>
      </w:hyperlink>
      <w:r>
        <w:rPr/>
        <w:t> files/bueros/c3-comunicacion/07475.pdf., ISBN 978-958-8677-00-2, pp. 71-87</w:t>
      </w:r>
    </w:p>
    <w:p>
      <w:pPr>
        <w:spacing w:after="0" w:line="360" w:lineRule="auto"/>
        <w:jc w:val="both"/>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1224"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spacing w:before="4"/>
        <w:rPr>
          <w:rFonts w:ascii="Cambria"/>
          <w:sz w:val="18"/>
        </w:rPr>
      </w:pPr>
    </w:p>
    <w:p>
      <w:pPr>
        <w:pStyle w:val="BodyText"/>
        <w:tabs>
          <w:tab w:pos="3328" w:val="left" w:leader="none"/>
          <w:tab w:pos="6351" w:val="left" w:leader="none"/>
          <w:tab w:pos="9186" w:val="left" w:leader="none"/>
        </w:tabs>
        <w:spacing w:line="360" w:lineRule="auto" w:before="70"/>
        <w:ind w:left="684" w:right="120"/>
        <w:jc w:val="both"/>
      </w:pPr>
      <w:r>
        <w:rPr/>
        <w:t>TORRES N. Carlos A. “Ideología, educación y reproducción social”, [en línea] consulta</w:t>
        <w:tab/>
        <w:t>24/11/2008,</w:t>
        <w:tab/>
        <w:t>disponible</w:t>
        <w:tab/>
      </w:r>
      <w:r>
        <w:rPr>
          <w:spacing w:val="-1"/>
        </w:rPr>
        <w:t>en: </w:t>
      </w:r>
      <w:hyperlink r:id="rId112">
        <w:r>
          <w:rPr>
            <w:color w:val="0000FF"/>
            <w:u w:val="single" w:color="0000FF"/>
          </w:rPr>
          <w:t>http://www.anuies.mx/servicios/p_anuies/publicaciones/revsup/res032/txt3.htm</w:t>
        </w:r>
      </w:hyperlink>
      <w:r>
        <w:rPr/>
        <w:t>.</w:t>
      </w:r>
    </w:p>
    <w:p>
      <w:pPr>
        <w:pStyle w:val="BodyText"/>
        <w:tabs>
          <w:tab w:pos="9191" w:val="left" w:leader="none"/>
        </w:tabs>
        <w:spacing w:line="360" w:lineRule="auto" w:before="2"/>
        <w:ind w:left="684" w:right="115"/>
        <w:jc w:val="both"/>
      </w:pPr>
      <w:r>
        <w:rPr/>
        <w:t>TRABAJO DE INVESTIGACIÓN E. S. O. La influencia de la Televisión en Nuestra Sociedad: La Telebasura y el Tele-comercio. [en línea] consulta 11/11/2010, disponible</w:t>
        <w:tab/>
      </w:r>
      <w:r>
        <w:rPr>
          <w:spacing w:val="-1"/>
        </w:rPr>
        <w:t>en:</w:t>
      </w:r>
    </w:p>
    <w:p>
      <w:pPr>
        <w:pStyle w:val="BodyText"/>
        <w:spacing w:line="357" w:lineRule="auto" w:before="6"/>
        <w:ind w:left="684" w:right="209"/>
        <w:jc w:val="both"/>
      </w:pPr>
      <w:hyperlink r:id="rId162">
        <w:r>
          <w:rPr>
            <w:spacing w:val="-1"/>
          </w:rPr>
          <w:t>http://www.escolessas.com/escolessas/laie/recerca/eso/projectes/0405/television/t</w:t>
        </w:r>
      </w:hyperlink>
      <w:r>
        <w:rPr>
          <w:spacing w:val="-1"/>
        </w:rPr>
        <w:t> </w:t>
      </w:r>
      <w:r>
        <w:rPr/>
        <w:t>elevision.pdf</w:t>
      </w:r>
    </w:p>
    <w:p>
      <w:pPr>
        <w:pStyle w:val="BodyText"/>
        <w:spacing w:line="357" w:lineRule="auto" w:before="9"/>
        <w:ind w:left="684" w:right="149"/>
        <w:jc w:val="both"/>
      </w:pPr>
      <w:r>
        <w:rPr/>
        <w:t>TRIPOD.COM, “El Periodismo Moderno En México 1539-1917”, [en línea] consulta 14/09/2012, disponible en: </w:t>
      </w:r>
      <w:r>
        <w:rPr>
          <w:color w:val="0000FF"/>
          <w:u w:val="single" w:color="0000FF"/>
        </w:rPr>
        <w:t>http://historiaperiodismo.tripod.com/id3.htmlhttp:/</w:t>
      </w:r>
      <w:r>
        <w:rPr/>
        <w:t>.</w:t>
      </w:r>
    </w:p>
    <w:p>
      <w:pPr>
        <w:tabs>
          <w:tab w:pos="3365" w:val="left" w:leader="none"/>
          <w:tab w:pos="6373" w:val="left" w:leader="none"/>
          <w:tab w:pos="9189" w:val="left" w:leader="none"/>
        </w:tabs>
        <w:spacing w:line="360" w:lineRule="auto" w:before="4"/>
        <w:ind w:left="684" w:right="114" w:firstLine="0"/>
        <w:jc w:val="both"/>
        <w:rPr>
          <w:sz w:val="24"/>
        </w:rPr>
      </w:pPr>
      <w:r>
        <w:rPr>
          <w:sz w:val="24"/>
        </w:rPr>
        <w:t>UNESCO, </w:t>
      </w:r>
      <w:r>
        <w:rPr>
          <w:i/>
          <w:sz w:val="24"/>
        </w:rPr>
        <w:t>Informe Nacional Sobre el Desarrollo de la Educación</w:t>
      </w:r>
      <w:r>
        <w:rPr>
          <w:sz w:val="24"/>
        </w:rPr>
        <w:t>, “El Sistema Educativo Hondureño a fines del Siglo XX, una Visión de Conjunto”</w:t>
      </w:r>
      <w:r>
        <w:rPr>
          <w:i/>
          <w:sz w:val="24"/>
        </w:rPr>
        <w:t>, </w:t>
      </w:r>
      <w:r>
        <w:rPr>
          <w:sz w:val="24"/>
        </w:rPr>
        <w:t>[en línea] Consulta</w:t>
        <w:tab/>
        <w:t>22/04/2012,</w:t>
        <w:tab/>
        <w:t>disponible</w:t>
        <w:tab/>
        <w:t>en: </w:t>
      </w:r>
      <w:hyperlink r:id="rId57">
        <w:r>
          <w:rPr>
            <w:color w:val="0000FF"/>
            <w:sz w:val="24"/>
            <w:u w:val="single" w:color="0000FF"/>
          </w:rPr>
          <w:t>http://www.ibe.unesco.org/International/ICE/natrap/Honduras.pdf</w:t>
        </w:r>
      </w:hyperlink>
    </w:p>
    <w:p>
      <w:pPr>
        <w:tabs>
          <w:tab w:pos="2436" w:val="left" w:leader="none"/>
          <w:tab w:pos="4501" w:val="left" w:leader="none"/>
          <w:tab w:pos="6938" w:val="left" w:leader="none"/>
          <w:tab w:pos="9189" w:val="left" w:leader="none"/>
        </w:tabs>
        <w:spacing w:line="362" w:lineRule="auto" w:before="2"/>
        <w:ind w:left="684" w:right="116" w:firstLine="0"/>
        <w:jc w:val="both"/>
        <w:rPr>
          <w:sz w:val="24"/>
        </w:rPr>
      </w:pPr>
      <w:r>
        <w:rPr>
          <w:sz w:val="24"/>
        </w:rPr>
        <w:t>UNIVERSIDAD de Huelva, (UHU), </w:t>
      </w:r>
      <w:r>
        <w:rPr>
          <w:i/>
          <w:sz w:val="24"/>
        </w:rPr>
        <w:t>De la transculturación a la interculturalidad, </w:t>
      </w:r>
      <w:r>
        <w:rPr>
          <w:sz w:val="24"/>
        </w:rPr>
        <w:t>[en línea]</w:t>
        <w:tab/>
        <w:t>consulta</w:t>
        <w:tab/>
        <w:t>16/06/2012</w:t>
      </w:r>
      <w:r>
        <w:rPr>
          <w:i/>
          <w:sz w:val="24"/>
        </w:rPr>
        <w:t>,</w:t>
        <w:tab/>
      </w:r>
      <w:r>
        <w:rPr>
          <w:sz w:val="24"/>
        </w:rPr>
        <w:t>disponible</w:t>
        <w:tab/>
      </w:r>
      <w:r>
        <w:rPr>
          <w:spacing w:val="-1"/>
          <w:sz w:val="24"/>
        </w:rPr>
        <w:t>en: </w:t>
      </w:r>
      <w:hyperlink r:id="rId123">
        <w:r>
          <w:rPr>
            <w:color w:val="0000FF"/>
            <w:sz w:val="24"/>
            <w:u w:val="single" w:color="0000FF"/>
          </w:rPr>
          <w:t>http://www.uhu.es/cine.educacion/articulos/transculturacion.htm</w:t>
        </w:r>
      </w:hyperlink>
      <w:r>
        <w:rPr>
          <w:sz w:val="24"/>
        </w:rPr>
        <w:t>.</w:t>
      </w:r>
    </w:p>
    <w:p>
      <w:pPr>
        <w:pStyle w:val="BodyText"/>
        <w:tabs>
          <w:tab w:pos="3328" w:val="left" w:leader="none"/>
          <w:tab w:pos="6351" w:val="left" w:leader="none"/>
          <w:tab w:pos="9186" w:val="left" w:leader="none"/>
        </w:tabs>
        <w:spacing w:line="360" w:lineRule="auto"/>
        <w:ind w:left="684" w:right="118"/>
        <w:jc w:val="both"/>
      </w:pPr>
      <w:r>
        <w:rPr/>
        <w:t>UZÍN OLLEROS, Angelina, “El concepto de libertad en Erich Fromm”, [en línea], consulta</w:t>
        <w:tab/>
        <w:t>29/04/2009,</w:t>
        <w:tab/>
        <w:t>disponible</w:t>
        <w:tab/>
        <w:t>en: </w:t>
      </w:r>
      <w:hyperlink r:id="rId163">
        <w:r>
          <w:rPr>
            <w:color w:val="0000FF"/>
            <w:u w:val="single" w:color="0000FF"/>
          </w:rPr>
          <w:t>http://santosnegron.tripod.com/lasoledadylosestudios/id48.html</w:t>
        </w:r>
      </w:hyperlink>
      <w:r>
        <w:rPr/>
        <w:t>.</w:t>
      </w:r>
    </w:p>
    <w:p>
      <w:pPr>
        <w:pStyle w:val="BodyText"/>
        <w:spacing w:line="360" w:lineRule="auto" w:before="6"/>
        <w:ind w:left="684" w:right="118"/>
        <w:jc w:val="both"/>
      </w:pPr>
      <w:r>
        <w:rPr/>
        <w:t>WORDPRESS, “El pájaro madrugado”, 10 noviembre 2009, [en línea] consulta 09/09/2012. Disponible en: </w:t>
      </w:r>
      <w:hyperlink r:id="rId32">
        <w:r>
          <w:rPr>
            <w:color w:val="0000FF"/>
            <w:u w:val="single" w:color="0000FF"/>
          </w:rPr>
          <w:t>http://fenixestructura.wordpress.com/2009/10/22/el-</w:t>
        </w:r>
      </w:hyperlink>
      <w:r>
        <w:rPr>
          <w:color w:val="0000FF"/>
          <w:u w:val="single" w:color="0000FF"/>
        </w:rPr>
        <w:t> </w:t>
      </w:r>
      <w:hyperlink r:id="rId32">
        <w:r>
          <w:rPr>
            <w:color w:val="0000FF"/>
            <w:u w:val="single" w:color="0000FF"/>
          </w:rPr>
          <w:t>esperado-podcast-%c2%a1nuestro-primer-podcast/</w:t>
        </w:r>
      </w:hyperlink>
      <w:r>
        <w:rPr/>
        <w:t>.</w:t>
      </w:r>
    </w:p>
    <w:p>
      <w:pPr>
        <w:pStyle w:val="BodyText"/>
        <w:spacing w:before="2"/>
        <w:ind w:left="684"/>
        <w:jc w:val="both"/>
      </w:pPr>
      <w:r>
        <w:rPr/>
        <w:t>WORLD SUMMIT ON THE INFORMATION SOCIETY CIVIL SOCIETY </w:t>
      </w:r>
      <w:r>
        <w:rPr>
          <w:spacing w:val="58"/>
        </w:rPr>
        <w:t> </w:t>
      </w:r>
      <w:r>
        <w:rPr/>
        <w:t>MEETING</w:t>
      </w:r>
    </w:p>
    <w:p>
      <w:pPr>
        <w:pStyle w:val="BodyText"/>
        <w:spacing w:line="360" w:lineRule="auto" w:before="140"/>
        <w:ind w:left="684" w:right="118"/>
        <w:jc w:val="both"/>
      </w:pPr>
      <w:r>
        <w:rPr/>
        <w:t>POINT (WSIS), “Declaración de la sociedad civil en la Cumbre Mundial sobre la Sociedad de la Información”, 2003, [en línea] consulta el 04/09/2012, disponible en:</w:t>
      </w:r>
      <w:r>
        <w:rPr>
          <w:spacing w:val="-17"/>
        </w:rPr>
        <w:t> </w:t>
      </w:r>
      <w:hyperlink r:id="rId164">
        <w:r>
          <w:rPr>
            <w:color w:val="0000FF"/>
            <w:u w:val="single" w:color="0000FF"/>
          </w:rPr>
          <w:t>http://www.wsis-cs.org</w:t>
        </w:r>
      </w:hyperlink>
      <w:r>
        <w:rPr/>
        <w:t>.</w:t>
      </w:r>
    </w:p>
    <w:p>
      <w:pPr>
        <w:pStyle w:val="BodyText"/>
        <w:spacing w:line="360" w:lineRule="auto" w:before="2"/>
        <w:ind w:left="684" w:right="116"/>
        <w:jc w:val="both"/>
      </w:pPr>
      <w:r>
        <w:rPr/>
        <w:t>ZAMORA, Augusto, “Conflicto Honduras-Nicaragua: Claves necesarias”, Revista </w:t>
      </w:r>
      <w:r>
        <w:rPr>
          <w:i/>
        </w:rPr>
        <w:t>Envío</w:t>
      </w:r>
      <w:r>
        <w:rPr/>
        <w:t>, [en línea] Consulta 08/02/2011, disponible en: </w:t>
      </w:r>
      <w:hyperlink r:id="rId52">
        <w:r>
          <w:rPr>
            <w:color w:val="0000FF"/>
            <w:u w:val="single" w:color="0000FF"/>
          </w:rPr>
          <w:t>http://www.envio.org.ni/articulo/987</w:t>
        </w:r>
      </w:hyperlink>
      <w:r>
        <w:rPr/>
        <w:t>.</w:t>
      </w:r>
    </w:p>
    <w:p>
      <w:pPr>
        <w:pStyle w:val="BodyText"/>
        <w:spacing w:before="6"/>
        <w:ind w:left="684"/>
        <w:jc w:val="both"/>
      </w:pPr>
      <w:r>
        <w:rPr/>
        <w:t>ZARUR Osorio, Antonio E., Profesor  del  Departamento de Administración de    la</w:t>
      </w:r>
    </w:p>
    <w:p>
      <w:pPr>
        <w:pStyle w:val="BodyText"/>
        <w:spacing w:before="136"/>
        <w:ind w:left="684"/>
        <w:jc w:val="both"/>
      </w:pPr>
      <w:r>
        <w:rPr/>
        <w:t>UAM-A,  “La  televisión  estatal  en  la  era  del  neoliberalismo:  autosuficiencia  </w:t>
      </w:r>
      <w:r>
        <w:rPr>
          <w:spacing w:val="62"/>
        </w:rPr>
        <w:t> </w:t>
      </w:r>
      <w:r>
        <w:rPr/>
        <w:t>y</w:t>
      </w:r>
    </w:p>
    <w:p>
      <w:pPr>
        <w:spacing w:after="0"/>
        <w:jc w:val="both"/>
        <w:sectPr>
          <w:pgSz w:w="12240" w:h="15840"/>
          <w:pgMar w:header="0" w:footer="878" w:top="520" w:bottom="1060" w:left="1300" w:right="1300"/>
        </w:sectPr>
      </w:pPr>
    </w:p>
    <w:p>
      <w:pPr>
        <w:pStyle w:val="Heading3"/>
      </w:pPr>
      <w:r>
        <w:rPr/>
        <w:pict>
          <v:line style="position:absolute;mso-position-horizontal-relative:page;mso-position-vertical-relative:paragraph;z-index:11248"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spacing w:before="10"/>
        <w:rPr>
          <w:rFonts w:ascii="Cambria"/>
          <w:b/>
          <w:sz w:val="25"/>
        </w:rPr>
      </w:pPr>
    </w:p>
    <w:p>
      <w:pPr>
        <w:spacing w:line="360" w:lineRule="auto" w:before="70"/>
        <w:ind w:left="264" w:right="220" w:firstLine="0"/>
        <w:jc w:val="both"/>
        <w:rPr>
          <w:sz w:val="24"/>
        </w:rPr>
      </w:pPr>
      <w:r>
        <w:rPr>
          <w:sz w:val="24"/>
        </w:rPr>
        <w:t>privatización, 1982-1994*” </w:t>
      </w:r>
      <w:r>
        <w:rPr>
          <w:i/>
          <w:sz w:val="24"/>
        </w:rPr>
        <w:t>Revista: Gestión y Estrategia, Balance Sexenal y Retos </w:t>
      </w:r>
      <w:r>
        <w:rPr>
          <w:i/>
          <w:sz w:val="24"/>
        </w:rPr>
        <w:t>de la Empresa Privada</w:t>
      </w:r>
      <w:r>
        <w:rPr>
          <w:sz w:val="24"/>
        </w:rPr>
        <w:t>, Edición Internet, No. 13, UAM (Universidad Autónoma Metropolitana), [en línea] consulta 17/09/2012, disponible en: </w:t>
      </w:r>
      <w:hyperlink r:id="rId165">
        <w:r>
          <w:rPr>
            <w:color w:val="0000FF"/>
            <w:sz w:val="24"/>
            <w:u w:val="single" w:color="0000FF"/>
          </w:rPr>
          <w:t>http://www.azc.uam.mx/publicaciones/gestion/num6/indice.html</w:t>
        </w:r>
      </w:hyperlink>
      <w:r>
        <w:rPr>
          <w:sz w:val="24"/>
        </w:rPr>
        <w:t>.</w:t>
      </w:r>
    </w:p>
    <w:p>
      <w:pPr>
        <w:pStyle w:val="BodyText"/>
        <w:spacing w:before="6"/>
        <w:ind w:left="264"/>
        <w:jc w:val="both"/>
      </w:pPr>
      <w:r>
        <w:rPr>
          <w:w w:val="100"/>
        </w:rPr>
        <w:t>.</w:t>
      </w:r>
    </w:p>
    <w:p>
      <w:pPr>
        <w:spacing w:after="0"/>
        <w:jc w:val="both"/>
        <w:sectPr>
          <w:pgSz w:w="12240" w:h="15840"/>
          <w:pgMar w:header="0" w:footer="878" w:top="520" w:bottom="1060" w:left="1720" w:right="1200"/>
        </w:sectPr>
      </w:pPr>
    </w:p>
    <w:p>
      <w:pPr>
        <w:pStyle w:val="BodyText"/>
        <w:tabs>
          <w:tab w:pos="7214" w:val="left" w:leader="none"/>
        </w:tabs>
        <w:spacing w:before="36"/>
        <w:ind w:left="224"/>
        <w:rPr>
          <w:rFonts w:ascii="Cambria" w:hAnsi="Cambria"/>
        </w:rPr>
      </w:pPr>
      <w:r>
        <w:rPr/>
        <w:pict>
          <v:line style="position:absolute;mso-position-horizontal-relative:page;mso-position-vertical-relative:paragraph;z-index:11272"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2"/>
        <w:rPr>
          <w:rFonts w:ascii="Cambria"/>
          <w:sz w:val="23"/>
        </w:rPr>
      </w:pPr>
    </w:p>
    <w:p>
      <w:pPr>
        <w:pStyle w:val="Heading3"/>
        <w:spacing w:before="69"/>
        <w:ind w:left="1565" w:right="579"/>
        <w:jc w:val="center"/>
        <w:rPr>
          <w:rFonts w:ascii="Arial"/>
        </w:rPr>
      </w:pPr>
      <w:bookmarkStart w:name="_TOC_250000" w:id="24"/>
      <w:bookmarkEnd w:id="24"/>
      <w:r>
        <w:rPr>
          <w:rFonts w:ascii="Arial"/>
        </w:rPr>
        <w:t>ANEXO</w:t>
      </w:r>
    </w:p>
    <w:p>
      <w:pPr>
        <w:spacing w:after="0"/>
        <w:jc w:val="center"/>
        <w:rPr>
          <w:rFonts w:ascii="Arial"/>
        </w:rPr>
        <w:sectPr>
          <w:pgSz w:w="12240" w:h="15840"/>
          <w:pgMar w:header="0" w:footer="878" w:top="520" w:bottom="1060" w:left="1300" w:right="1720"/>
        </w:sectPr>
      </w:pPr>
    </w:p>
    <w:p>
      <w:pPr>
        <w:spacing w:before="36"/>
        <w:ind w:left="3662" w:right="0" w:firstLine="0"/>
        <w:jc w:val="left"/>
        <w:rPr>
          <w:rFonts w:ascii="Cambria" w:hAnsi="Cambria"/>
          <w:b/>
          <w:sz w:val="24"/>
        </w:rPr>
      </w:pPr>
      <w:r>
        <w:rPr/>
        <w:pict>
          <v:line style="position:absolute;mso-position-horizontal-relative:page;mso-position-vertical-relative:paragraph;z-index:11296" from="546.470032pt,2.397331pt" to="546.470032pt,30.622331pt" stroked="true" strokeweight=".60004pt" strokecolor="#000000">
            <w10:wrap type="none"/>
          </v:line>
        </w:pict>
      </w:r>
      <w:r>
        <w:rPr>
          <w:rFonts w:ascii="Cambria" w:hAnsi="Cambria"/>
          <w:b/>
          <w:w w:val="75"/>
          <w:sz w:val="24"/>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rPr>
          <w:rFonts w:ascii="Cambria"/>
          <w:b/>
          <w:sz w:val="20"/>
        </w:rPr>
      </w:pPr>
    </w:p>
    <w:p>
      <w:pPr>
        <w:spacing w:before="143"/>
        <w:ind w:left="2353" w:right="2309" w:firstLine="0"/>
        <w:jc w:val="center"/>
        <w:rPr>
          <w:rFonts w:ascii="Tunga" w:hAnsi="Tunga"/>
          <w:sz w:val="26"/>
        </w:rPr>
      </w:pPr>
      <w:r>
        <w:rPr>
          <w:rFonts w:ascii="Tunga" w:hAnsi="Tunga"/>
          <w:sz w:val="26"/>
        </w:rPr>
        <w:t>IMPACTO DE LA TELEVISIÓN EN LA LIBERTAD CUESTIONARIO</w:t>
      </w:r>
    </w:p>
    <w:p>
      <w:pPr>
        <w:tabs>
          <w:tab w:pos="9173" w:val="left" w:leader="none"/>
        </w:tabs>
        <w:spacing w:before="0"/>
        <w:ind w:left="5146" w:right="0" w:firstLine="0"/>
        <w:jc w:val="left"/>
        <w:rPr>
          <w:rFonts w:ascii="Tunga"/>
          <w:sz w:val="26"/>
        </w:rPr>
      </w:pPr>
      <w:r>
        <w:rPr>
          <w:rFonts w:ascii="Tunga"/>
          <w:sz w:val="26"/>
        </w:rPr>
        <w:t>Fecha: </w:t>
      </w:r>
      <w:r>
        <w:rPr>
          <w:rFonts w:ascii="Tunga"/>
          <w:sz w:val="26"/>
          <w:u w:val="single"/>
        </w:rPr>
        <w:t> </w:t>
        <w:tab/>
      </w:r>
    </w:p>
    <w:p>
      <w:pPr>
        <w:pStyle w:val="ListParagraph"/>
        <w:numPr>
          <w:ilvl w:val="0"/>
          <w:numId w:val="9"/>
        </w:numPr>
        <w:tabs>
          <w:tab w:pos="696" w:val="left" w:leader="none"/>
          <w:tab w:pos="697" w:val="left" w:leader="none"/>
          <w:tab w:pos="5275" w:val="left" w:leader="none"/>
        </w:tabs>
        <w:spacing w:line="240" w:lineRule="auto" w:before="0" w:after="0"/>
        <w:ind w:left="1117" w:right="0" w:hanging="853"/>
        <w:jc w:val="left"/>
        <w:rPr>
          <w:rFonts w:ascii="Tunga" w:hAnsi="Tunga"/>
          <w:sz w:val="26"/>
        </w:rPr>
      </w:pPr>
      <w:r>
        <w:rPr>
          <w:rFonts w:ascii="Tunga" w:hAnsi="Tunga"/>
          <w:sz w:val="26"/>
        </w:rPr>
        <w:t>¿Cuántos televisores hay en tu</w:t>
      </w:r>
      <w:r>
        <w:rPr>
          <w:rFonts w:ascii="Tunga" w:hAnsi="Tunga"/>
          <w:spacing w:val="-16"/>
          <w:sz w:val="26"/>
        </w:rPr>
        <w:t> </w:t>
      </w:r>
      <w:r>
        <w:rPr>
          <w:rFonts w:ascii="Tunga" w:hAnsi="Tunga"/>
          <w:sz w:val="26"/>
        </w:rPr>
        <w:t>domicilio?</w:t>
      </w:r>
      <w:r>
        <w:rPr>
          <w:rFonts w:ascii="Tunga" w:hAnsi="Tunga"/>
          <w:sz w:val="26"/>
          <w:u w:val="single"/>
        </w:rPr>
        <w:t> </w:t>
        <w:tab/>
      </w:r>
    </w:p>
    <w:p>
      <w:pPr>
        <w:pStyle w:val="ListParagraph"/>
        <w:numPr>
          <w:ilvl w:val="0"/>
          <w:numId w:val="9"/>
        </w:numPr>
        <w:tabs>
          <w:tab w:pos="696" w:val="left" w:leader="none"/>
          <w:tab w:pos="697" w:val="left" w:leader="none"/>
        </w:tabs>
        <w:spacing w:line="240" w:lineRule="auto" w:before="0" w:after="0"/>
        <w:ind w:left="697" w:right="0" w:hanging="433"/>
        <w:jc w:val="left"/>
        <w:rPr>
          <w:rFonts w:ascii="Tunga" w:hAnsi="Tunga"/>
          <w:sz w:val="26"/>
        </w:rPr>
      </w:pPr>
      <w:r>
        <w:rPr>
          <w:rFonts w:ascii="Tunga" w:hAnsi="Tunga"/>
          <w:sz w:val="26"/>
        </w:rPr>
        <w:t>¿Cuántas personas de tu familia ven televisión</w:t>
      </w:r>
      <w:r>
        <w:rPr>
          <w:rFonts w:ascii="Tunga" w:hAnsi="Tunga"/>
          <w:spacing w:val="-24"/>
          <w:sz w:val="26"/>
        </w:rPr>
        <w:t> </w:t>
      </w:r>
      <w:r>
        <w:rPr>
          <w:rFonts w:ascii="Tunga" w:hAnsi="Tunga"/>
          <w:sz w:val="26"/>
        </w:rPr>
        <w:t>abierta?</w:t>
      </w:r>
    </w:p>
    <w:p>
      <w:pPr>
        <w:pStyle w:val="ListParagraph"/>
        <w:numPr>
          <w:ilvl w:val="0"/>
          <w:numId w:val="9"/>
        </w:numPr>
        <w:tabs>
          <w:tab w:pos="696" w:val="left" w:leader="none"/>
          <w:tab w:pos="697" w:val="left" w:leader="none"/>
          <w:tab w:pos="6004" w:val="left" w:leader="none"/>
        </w:tabs>
        <w:spacing w:line="240" w:lineRule="auto" w:before="0" w:after="0"/>
        <w:ind w:left="697" w:right="0" w:hanging="433"/>
        <w:jc w:val="left"/>
        <w:rPr>
          <w:rFonts w:ascii="Tunga" w:hAnsi="Tunga"/>
          <w:sz w:val="26"/>
        </w:rPr>
      </w:pPr>
      <w:r>
        <w:rPr>
          <w:rFonts w:ascii="Tunga" w:hAnsi="Tunga"/>
          <w:sz w:val="26"/>
        </w:rPr>
        <w:t>¿Cuáles son los canales televisivos que</w:t>
      </w:r>
      <w:r>
        <w:rPr>
          <w:rFonts w:ascii="Tunga" w:hAnsi="Tunga"/>
          <w:spacing w:val="-27"/>
          <w:sz w:val="26"/>
        </w:rPr>
        <w:t> </w:t>
      </w:r>
      <w:r>
        <w:rPr>
          <w:rFonts w:ascii="Tunga" w:hAnsi="Tunga"/>
          <w:sz w:val="26"/>
        </w:rPr>
        <w:t>sintonizas?</w:t>
      </w:r>
      <w:r>
        <w:rPr>
          <w:rFonts w:ascii="Tunga" w:hAnsi="Tunga"/>
          <w:sz w:val="26"/>
          <w:u w:val="single"/>
        </w:rPr>
        <w:t> </w:t>
        <w:tab/>
      </w:r>
    </w:p>
    <w:p>
      <w:pPr>
        <w:pStyle w:val="ListParagraph"/>
        <w:numPr>
          <w:ilvl w:val="0"/>
          <w:numId w:val="9"/>
        </w:numPr>
        <w:tabs>
          <w:tab w:pos="696" w:val="left" w:leader="none"/>
          <w:tab w:pos="697" w:val="left" w:leader="none"/>
        </w:tabs>
        <w:spacing w:line="240" w:lineRule="auto" w:before="0" w:after="0"/>
        <w:ind w:left="697" w:right="0" w:hanging="433"/>
        <w:jc w:val="left"/>
        <w:rPr>
          <w:rFonts w:ascii="Tunga" w:hAnsi="Tunga"/>
          <w:sz w:val="26"/>
        </w:rPr>
      </w:pPr>
      <w:r>
        <w:rPr>
          <w:rFonts w:ascii="Tunga" w:hAnsi="Tunga"/>
          <w:sz w:val="26"/>
        </w:rPr>
        <w:t>¿Cuántas horas ves</w:t>
      </w:r>
      <w:r>
        <w:rPr>
          <w:rFonts w:ascii="Tunga" w:hAnsi="Tunga"/>
          <w:spacing w:val="-15"/>
          <w:sz w:val="26"/>
        </w:rPr>
        <w:t> </w:t>
      </w:r>
      <w:r>
        <w:rPr>
          <w:rFonts w:ascii="Tunga" w:hAnsi="Tunga"/>
          <w:sz w:val="26"/>
        </w:rPr>
        <w:t>televisión?</w:t>
      </w:r>
    </w:p>
    <w:p>
      <w:pPr>
        <w:pStyle w:val="ListParagraph"/>
        <w:numPr>
          <w:ilvl w:val="0"/>
          <w:numId w:val="9"/>
        </w:numPr>
        <w:tabs>
          <w:tab w:pos="696" w:val="left" w:leader="none"/>
          <w:tab w:pos="697" w:val="left" w:leader="none"/>
        </w:tabs>
        <w:spacing w:line="240" w:lineRule="auto" w:before="0" w:after="0"/>
        <w:ind w:left="697" w:right="0" w:hanging="433"/>
        <w:jc w:val="left"/>
        <w:rPr>
          <w:rFonts w:ascii="Tunga" w:hAnsi="Tunga"/>
          <w:sz w:val="26"/>
        </w:rPr>
      </w:pPr>
      <w:r>
        <w:rPr>
          <w:rFonts w:ascii="Tunga" w:hAnsi="Tunga"/>
          <w:sz w:val="26"/>
        </w:rPr>
        <w:t>¿Qué canales de televisión</w:t>
      </w:r>
      <w:r>
        <w:rPr>
          <w:rFonts w:ascii="Tunga" w:hAnsi="Tunga"/>
          <w:spacing w:val="-14"/>
          <w:sz w:val="26"/>
        </w:rPr>
        <w:t> </w:t>
      </w:r>
      <w:r>
        <w:rPr>
          <w:rFonts w:ascii="Tunga" w:hAnsi="Tunga"/>
          <w:sz w:val="26"/>
        </w:rPr>
        <w:t>prefieres?</w:t>
      </w:r>
    </w:p>
    <w:p>
      <w:pPr>
        <w:pStyle w:val="ListParagraph"/>
        <w:numPr>
          <w:ilvl w:val="0"/>
          <w:numId w:val="9"/>
        </w:numPr>
        <w:tabs>
          <w:tab w:pos="696" w:val="left" w:leader="none"/>
          <w:tab w:pos="697" w:val="left" w:leader="none"/>
        </w:tabs>
        <w:spacing w:line="240" w:lineRule="auto" w:before="0" w:after="0"/>
        <w:ind w:left="697" w:right="0" w:hanging="433"/>
        <w:jc w:val="left"/>
        <w:rPr>
          <w:rFonts w:ascii="Tunga" w:hAnsi="Tunga"/>
          <w:sz w:val="26"/>
        </w:rPr>
      </w:pPr>
      <w:r>
        <w:rPr>
          <w:rFonts w:ascii="Tunga" w:hAnsi="Tunga"/>
          <w:sz w:val="26"/>
        </w:rPr>
        <w:t>¿Para qué ves la</w:t>
      </w:r>
      <w:r>
        <w:rPr>
          <w:rFonts w:ascii="Tunga" w:hAnsi="Tunga"/>
          <w:spacing w:val="-14"/>
          <w:sz w:val="26"/>
        </w:rPr>
        <w:t> </w:t>
      </w:r>
      <w:r>
        <w:rPr>
          <w:rFonts w:ascii="Tunga" w:hAnsi="Tunga"/>
          <w:sz w:val="26"/>
        </w:rPr>
        <w:t>televisión?</w:t>
      </w:r>
    </w:p>
    <w:p>
      <w:pPr>
        <w:spacing w:before="0"/>
        <w:ind w:left="749" w:right="0" w:firstLine="0"/>
        <w:jc w:val="left"/>
        <w:rPr>
          <w:rFonts w:ascii="Tunga" w:hAnsi="Tunga"/>
          <w:sz w:val="26"/>
        </w:rPr>
      </w:pPr>
      <w:r>
        <w:rPr>
          <w:rFonts w:ascii="Tunga" w:hAnsi="Tunga"/>
          <w:sz w:val="26"/>
        </w:rPr>
        <w:t>A: Diversión  (  )  B: Información  (  )  C: Formación  (  )  D. Pasar el tiempo  (</w:t>
      </w:r>
      <w:r>
        <w:rPr>
          <w:rFonts w:ascii="Tunga" w:hAnsi="Tunga"/>
          <w:spacing w:val="52"/>
          <w:sz w:val="26"/>
        </w:rPr>
        <w:t> </w:t>
      </w:r>
      <w:r>
        <w:rPr>
          <w:rFonts w:ascii="Tunga" w:hAnsi="Tunga"/>
          <w:sz w:val="26"/>
        </w:rPr>
        <w:t>)</w:t>
      </w:r>
    </w:p>
    <w:p>
      <w:pPr>
        <w:pStyle w:val="ListParagraph"/>
        <w:numPr>
          <w:ilvl w:val="0"/>
          <w:numId w:val="9"/>
        </w:numPr>
        <w:tabs>
          <w:tab w:pos="696" w:val="left" w:leader="none"/>
          <w:tab w:pos="697" w:val="left" w:leader="none"/>
        </w:tabs>
        <w:spacing w:line="240" w:lineRule="auto" w:before="0" w:after="0"/>
        <w:ind w:left="697" w:right="0" w:hanging="433"/>
        <w:jc w:val="left"/>
        <w:rPr>
          <w:rFonts w:ascii="Tunga" w:hAnsi="Tunga"/>
          <w:sz w:val="26"/>
        </w:rPr>
      </w:pPr>
      <w:r>
        <w:rPr>
          <w:rFonts w:ascii="Tunga" w:hAnsi="Tunga"/>
          <w:sz w:val="26"/>
        </w:rPr>
        <w:t>¿Por qué ves</w:t>
      </w:r>
      <w:r>
        <w:rPr>
          <w:rFonts w:ascii="Tunga" w:hAnsi="Tunga"/>
          <w:spacing w:val="-12"/>
          <w:sz w:val="26"/>
        </w:rPr>
        <w:t> </w:t>
      </w:r>
      <w:r>
        <w:rPr>
          <w:rFonts w:ascii="Tunga" w:hAnsi="Tunga"/>
          <w:sz w:val="26"/>
        </w:rPr>
        <w:t>televisión?</w:t>
      </w:r>
    </w:p>
    <w:p>
      <w:pPr>
        <w:spacing w:before="0"/>
        <w:ind w:left="585" w:right="2532" w:firstLine="0"/>
        <w:jc w:val="both"/>
        <w:rPr>
          <w:rFonts w:ascii="Tunga"/>
          <w:sz w:val="26"/>
        </w:rPr>
      </w:pPr>
      <w:r>
        <w:rPr>
          <w:rFonts w:ascii="Tunga"/>
          <w:sz w:val="26"/>
        </w:rPr>
        <w:t>A: Por aburrimiento: Frecuentemente ( ) A veces (  )  Nunca (  ) B: Por necesidad: Frecuentemente (  )  A veces (  )  Nunca (  ) C: Por ocio: Frecuentemente (  )  A veces (  )  Nunca (</w:t>
      </w:r>
      <w:r>
        <w:rPr>
          <w:rFonts w:ascii="Tunga"/>
          <w:spacing w:val="61"/>
          <w:sz w:val="26"/>
        </w:rPr>
        <w:t> </w:t>
      </w:r>
      <w:r>
        <w:rPr>
          <w:rFonts w:ascii="Tunga"/>
          <w:sz w:val="26"/>
        </w:rPr>
        <w:t>)</w:t>
      </w:r>
    </w:p>
    <w:p>
      <w:pPr>
        <w:tabs>
          <w:tab w:pos="1680" w:val="left" w:leader="none"/>
          <w:tab w:pos="3224" w:val="left" w:leader="none"/>
        </w:tabs>
        <w:spacing w:before="0"/>
        <w:ind w:left="585" w:right="2363" w:firstLine="0"/>
        <w:jc w:val="left"/>
        <w:rPr>
          <w:rFonts w:ascii="Tunga" w:hAnsi="Tunga"/>
          <w:sz w:val="26"/>
        </w:rPr>
      </w:pPr>
      <w:r>
        <w:rPr>
          <w:rFonts w:ascii="Tunga" w:hAnsi="Tunga"/>
          <w:sz w:val="26"/>
        </w:rPr>
        <w:t>D: Por entretenimiento: frecuentemente ( ) A veces ( ) Nunca ( )  E:</w:t>
      </w:r>
      <w:r>
        <w:rPr>
          <w:rFonts w:ascii="Tunga" w:hAnsi="Tunga"/>
          <w:spacing w:val="-1"/>
          <w:sz w:val="26"/>
        </w:rPr>
        <w:t> </w:t>
      </w:r>
      <w:r>
        <w:rPr>
          <w:rFonts w:ascii="Tunga" w:hAnsi="Tunga"/>
          <w:sz w:val="26"/>
        </w:rPr>
        <w:t>Otros:</w:t>
        <w:tab/>
        <w:t>¿Cuáles?</w:t>
      </w:r>
      <w:r>
        <w:rPr>
          <w:rFonts w:ascii="Tunga" w:hAnsi="Tunga"/>
          <w:spacing w:val="-2"/>
          <w:sz w:val="26"/>
        </w:rPr>
        <w:t> </w:t>
      </w:r>
      <w:r>
        <w:rPr>
          <w:rFonts w:ascii="Tunga" w:hAnsi="Tunga"/>
          <w:sz w:val="26"/>
          <w:u w:val="single"/>
        </w:rPr>
        <w:t> </w:t>
        <w:tab/>
      </w:r>
    </w:p>
    <w:p>
      <w:pPr>
        <w:pStyle w:val="ListParagraph"/>
        <w:numPr>
          <w:ilvl w:val="0"/>
          <w:numId w:val="9"/>
        </w:numPr>
        <w:tabs>
          <w:tab w:pos="696" w:val="left" w:leader="none"/>
          <w:tab w:pos="697" w:val="left" w:leader="none"/>
        </w:tabs>
        <w:spacing w:line="240" w:lineRule="auto" w:before="0" w:after="0"/>
        <w:ind w:left="697" w:right="0" w:hanging="433"/>
        <w:jc w:val="left"/>
        <w:rPr>
          <w:rFonts w:ascii="Tunga" w:hAnsi="Tunga"/>
          <w:sz w:val="26"/>
        </w:rPr>
      </w:pPr>
      <w:r>
        <w:rPr>
          <w:rFonts w:ascii="Tunga" w:hAnsi="Tunga"/>
          <w:sz w:val="26"/>
        </w:rPr>
        <w:t>¿Cuáles son los programas que ves</w:t>
      </w:r>
      <w:r>
        <w:rPr>
          <w:rFonts w:ascii="Tunga" w:hAnsi="Tunga"/>
          <w:spacing w:val="-21"/>
          <w:sz w:val="26"/>
        </w:rPr>
        <w:t> </w:t>
      </w:r>
      <w:r>
        <w:rPr>
          <w:rFonts w:ascii="Tunga" w:hAnsi="Tunga"/>
          <w:sz w:val="26"/>
        </w:rPr>
        <w:t>cotidianamente?</w:t>
      </w:r>
    </w:p>
    <w:p>
      <w:pPr>
        <w:tabs>
          <w:tab w:pos="4408" w:val="left" w:leader="none"/>
          <w:tab w:pos="7778" w:val="left" w:leader="none"/>
        </w:tabs>
        <w:spacing w:before="0"/>
        <w:ind w:left="669" w:right="1470" w:firstLine="0"/>
        <w:jc w:val="left"/>
        <w:rPr>
          <w:rFonts w:ascii="Tunga" w:hAnsi="Tunga"/>
          <w:sz w:val="26"/>
        </w:rPr>
      </w:pPr>
      <w:r>
        <w:rPr>
          <w:rFonts w:ascii="Tunga" w:hAnsi="Tunga"/>
          <w:sz w:val="26"/>
        </w:rPr>
        <w:t>A: Noticieros (  )  B: Telenovelas</w:t>
      </w:r>
      <w:r>
        <w:rPr>
          <w:rFonts w:ascii="Tunga" w:hAnsi="Tunga"/>
          <w:spacing w:val="-13"/>
          <w:sz w:val="26"/>
        </w:rPr>
        <w:t> </w:t>
      </w:r>
      <w:r>
        <w:rPr>
          <w:rFonts w:ascii="Tunga" w:hAnsi="Tunga"/>
          <w:sz w:val="26"/>
        </w:rPr>
        <w:t>(</w:t>
      </w:r>
      <w:r>
        <w:rPr>
          <w:rFonts w:ascii="Tunga" w:hAnsi="Tunga"/>
          <w:spacing w:val="80"/>
          <w:sz w:val="26"/>
        </w:rPr>
        <w:t> </w:t>
      </w:r>
      <w:r>
        <w:rPr>
          <w:rFonts w:ascii="Tunga" w:hAnsi="Tunga"/>
          <w:sz w:val="26"/>
        </w:rPr>
        <w:t>)</w:t>
        <w:tab/>
        <w:t>C: Deportivos (  )  D:</w:t>
      </w:r>
      <w:r>
        <w:rPr>
          <w:rFonts w:ascii="Tunga" w:hAnsi="Tunga"/>
          <w:spacing w:val="-10"/>
          <w:sz w:val="26"/>
        </w:rPr>
        <w:t> </w:t>
      </w:r>
      <w:r>
        <w:rPr>
          <w:rFonts w:ascii="Tunga" w:hAnsi="Tunga"/>
          <w:sz w:val="26"/>
        </w:rPr>
        <w:t>Cómicos</w:t>
      </w:r>
      <w:r>
        <w:rPr>
          <w:rFonts w:ascii="Tunga" w:hAnsi="Tunga"/>
          <w:spacing w:val="79"/>
          <w:sz w:val="26"/>
        </w:rPr>
        <w:t> </w:t>
      </w:r>
      <w:r>
        <w:rPr>
          <w:rFonts w:ascii="Tunga" w:hAnsi="Tunga"/>
          <w:sz w:val="26"/>
        </w:rPr>
        <w:t>(</w:t>
        <w:tab/>
        <w:t>) E: Infantiles  (  )  F: Documentales  (  )  G: De debate político:  (</w:t>
      </w:r>
      <w:r>
        <w:rPr>
          <w:rFonts w:ascii="Tunga" w:hAnsi="Tunga"/>
          <w:spacing w:val="58"/>
          <w:sz w:val="26"/>
        </w:rPr>
        <w:t> </w:t>
      </w:r>
      <w:r>
        <w:rPr>
          <w:rFonts w:ascii="Tunga" w:hAnsi="Tunga"/>
          <w:sz w:val="26"/>
        </w:rPr>
        <w:t>)</w:t>
      </w:r>
    </w:p>
    <w:p>
      <w:pPr>
        <w:spacing w:before="0"/>
        <w:ind w:left="669" w:right="0" w:firstLine="0"/>
        <w:jc w:val="both"/>
        <w:rPr>
          <w:rFonts w:ascii="Tunga" w:hAnsi="Tunga"/>
          <w:sz w:val="26"/>
        </w:rPr>
      </w:pPr>
      <w:r>
        <w:rPr>
          <w:rFonts w:ascii="Tunga" w:hAnsi="Tunga"/>
          <w:sz w:val="26"/>
        </w:rPr>
        <w:t>H: Otros. ¿Cuáles? </w:t>
      </w:r>
      <w:r>
        <w:rPr>
          <w:rFonts w:ascii="Tunga" w:hAnsi="Tunga"/>
          <w:sz w:val="26"/>
          <w:u w:val="single"/>
        </w:rPr>
        <w:t>           </w:t>
      </w:r>
    </w:p>
    <w:p>
      <w:pPr>
        <w:pStyle w:val="ListParagraph"/>
        <w:numPr>
          <w:ilvl w:val="0"/>
          <w:numId w:val="9"/>
        </w:numPr>
        <w:tabs>
          <w:tab w:pos="696" w:val="left" w:leader="none"/>
          <w:tab w:pos="697" w:val="left" w:leader="none"/>
        </w:tabs>
        <w:spacing w:line="240" w:lineRule="auto" w:before="0" w:after="0"/>
        <w:ind w:left="697" w:right="0" w:hanging="433"/>
        <w:jc w:val="left"/>
        <w:rPr>
          <w:rFonts w:ascii="Tunga" w:hAnsi="Tunga"/>
          <w:sz w:val="26"/>
        </w:rPr>
      </w:pPr>
      <w:r>
        <w:rPr>
          <w:rFonts w:ascii="Tunga" w:hAnsi="Tunga"/>
          <w:sz w:val="26"/>
        </w:rPr>
        <w:t>¿Consideras que el contenido de la programación</w:t>
      </w:r>
      <w:r>
        <w:rPr>
          <w:rFonts w:ascii="Tunga" w:hAnsi="Tunga"/>
          <w:spacing w:val="-20"/>
          <w:sz w:val="26"/>
        </w:rPr>
        <w:t> </w:t>
      </w:r>
      <w:r>
        <w:rPr>
          <w:rFonts w:ascii="Tunga" w:hAnsi="Tunga"/>
          <w:sz w:val="26"/>
        </w:rPr>
        <w:t>es?:</w:t>
      </w:r>
    </w:p>
    <w:p>
      <w:pPr>
        <w:tabs>
          <w:tab w:pos="4638" w:val="left" w:leader="none"/>
        </w:tabs>
        <w:spacing w:before="0"/>
        <w:ind w:left="344" w:right="335" w:firstLine="0"/>
        <w:jc w:val="left"/>
        <w:rPr>
          <w:rFonts w:ascii="Tunga"/>
          <w:sz w:val="26"/>
        </w:rPr>
      </w:pPr>
      <w:r>
        <w:rPr>
          <w:rFonts w:ascii="Tunga"/>
          <w:sz w:val="26"/>
        </w:rPr>
        <w:t>A: Interesante: Siempre (  ) Casi Siempre ( ) Algunas veces ( ) Nunca ( ) Casi nunca ( )   B: Divertida: Siempre (  ) Casi siempre</w:t>
      </w:r>
      <w:r>
        <w:rPr>
          <w:rFonts w:ascii="Tunga"/>
          <w:spacing w:val="-12"/>
          <w:sz w:val="26"/>
        </w:rPr>
        <w:t> </w:t>
      </w:r>
      <w:r>
        <w:rPr>
          <w:rFonts w:ascii="Tunga"/>
          <w:sz w:val="26"/>
        </w:rPr>
        <w:t>( </w:t>
      </w:r>
      <w:r>
        <w:rPr>
          <w:rFonts w:ascii="Tunga"/>
          <w:spacing w:val="3"/>
          <w:sz w:val="26"/>
        </w:rPr>
        <w:t> </w:t>
      </w:r>
      <w:r>
        <w:rPr>
          <w:rFonts w:ascii="Tunga"/>
          <w:sz w:val="26"/>
        </w:rPr>
        <w:t>)</w:t>
        <w:tab/>
        <w:t>Algunas veces (  ) Nunca (  ) Casi nunca</w:t>
      </w:r>
      <w:r>
        <w:rPr>
          <w:rFonts w:ascii="Tunga"/>
          <w:spacing w:val="-13"/>
          <w:sz w:val="26"/>
        </w:rPr>
        <w:t> </w:t>
      </w:r>
      <w:r>
        <w:rPr>
          <w:rFonts w:ascii="Tunga"/>
          <w:sz w:val="26"/>
        </w:rPr>
        <w:t>(</w:t>
      </w:r>
      <w:r>
        <w:rPr>
          <w:rFonts w:ascii="Tunga"/>
          <w:spacing w:val="79"/>
          <w:sz w:val="26"/>
        </w:rPr>
        <w:t> </w:t>
      </w:r>
      <w:r>
        <w:rPr>
          <w:rFonts w:ascii="Tunga"/>
          <w:sz w:val="26"/>
        </w:rPr>
        <w:t>) C: Banal: Siempre (  ) Casi siempre (  ) Algunas veces (  ) Nunca (  ) Casi nunca (</w:t>
      </w:r>
      <w:r>
        <w:rPr>
          <w:rFonts w:ascii="Tunga"/>
          <w:spacing w:val="54"/>
          <w:sz w:val="26"/>
        </w:rPr>
        <w:t> </w:t>
      </w:r>
      <w:r>
        <w:rPr>
          <w:rFonts w:ascii="Tunga"/>
          <w:sz w:val="26"/>
        </w:rPr>
        <w:t>)</w:t>
      </w:r>
    </w:p>
    <w:p>
      <w:pPr>
        <w:spacing w:before="0"/>
        <w:ind w:left="344" w:right="431" w:firstLine="0"/>
        <w:jc w:val="left"/>
        <w:rPr>
          <w:rFonts w:ascii="Tunga"/>
          <w:sz w:val="26"/>
        </w:rPr>
      </w:pPr>
      <w:r>
        <w:rPr>
          <w:rFonts w:ascii="Tunga"/>
          <w:sz w:val="26"/>
        </w:rPr>
        <w:t>D. Estimulante: Siempre ( ) Casi Siempre ( ) Algunas veces ( ) Nunca ( ) Casi Nunca ( )   E: Amena: Siempre ( ) Casi siempre (  )  Algunas veces (  ) Nunca (  ) Casi Nunca (</w:t>
      </w:r>
      <w:r>
        <w:rPr>
          <w:rFonts w:ascii="Tunga"/>
          <w:spacing w:val="51"/>
          <w:sz w:val="26"/>
        </w:rPr>
        <w:t> </w:t>
      </w:r>
      <w:r>
        <w:rPr>
          <w:rFonts w:ascii="Tunga"/>
          <w:sz w:val="26"/>
        </w:rPr>
        <w:t>)</w:t>
      </w:r>
    </w:p>
    <w:p>
      <w:pPr>
        <w:pStyle w:val="ListParagraph"/>
        <w:numPr>
          <w:ilvl w:val="0"/>
          <w:numId w:val="9"/>
        </w:numPr>
        <w:tabs>
          <w:tab w:pos="697" w:val="left" w:leader="none"/>
        </w:tabs>
        <w:spacing w:line="240" w:lineRule="auto" w:before="0" w:after="0"/>
        <w:ind w:left="697" w:right="0" w:hanging="433"/>
        <w:jc w:val="left"/>
        <w:rPr>
          <w:rFonts w:ascii="Tunga" w:hAnsi="Tunga"/>
          <w:sz w:val="26"/>
        </w:rPr>
      </w:pPr>
      <w:r>
        <w:rPr>
          <w:rFonts w:ascii="Tunga" w:hAnsi="Tunga"/>
          <w:sz w:val="26"/>
        </w:rPr>
        <w:t>¿Algún programa de televisión influye en tu manera de</w:t>
      </w:r>
      <w:r>
        <w:rPr>
          <w:rFonts w:ascii="Tunga" w:hAnsi="Tunga"/>
          <w:spacing w:val="-25"/>
          <w:sz w:val="26"/>
        </w:rPr>
        <w:t> </w:t>
      </w:r>
      <w:r>
        <w:rPr>
          <w:rFonts w:ascii="Tunga" w:hAnsi="Tunga"/>
          <w:sz w:val="26"/>
        </w:rPr>
        <w:t>pensar?</w:t>
      </w:r>
    </w:p>
    <w:p>
      <w:pPr>
        <w:spacing w:before="0"/>
        <w:ind w:left="669" w:right="0" w:firstLine="0"/>
        <w:jc w:val="both"/>
        <w:rPr>
          <w:rFonts w:ascii="Tunga"/>
          <w:sz w:val="26"/>
        </w:rPr>
      </w:pPr>
      <w:r>
        <w:rPr>
          <w:rFonts w:ascii="Tunga"/>
          <w:sz w:val="26"/>
        </w:rPr>
        <w:t>A: Frecuentemente (  ) B: Alguna veces  (  ) C: Casi nunca  (  )  D: Nunca  (</w:t>
      </w:r>
      <w:r>
        <w:rPr>
          <w:rFonts w:ascii="Tunga"/>
          <w:spacing w:val="52"/>
          <w:sz w:val="26"/>
        </w:rPr>
        <w:t> </w:t>
      </w:r>
      <w:r>
        <w:rPr>
          <w:rFonts w:ascii="Tunga"/>
          <w:sz w:val="26"/>
        </w:rPr>
        <w:t>)</w:t>
      </w:r>
    </w:p>
    <w:p>
      <w:pPr>
        <w:spacing w:after="0"/>
        <w:jc w:val="both"/>
        <w:rPr>
          <w:rFonts w:ascii="Tunga"/>
          <w:sz w:val="26"/>
        </w:rPr>
        <w:sectPr>
          <w:pgSz w:w="12240" w:h="15840"/>
          <w:pgMar w:header="0" w:footer="878" w:top="520" w:bottom="1060" w:left="1720" w:right="1200"/>
        </w:sectPr>
      </w:pPr>
    </w:p>
    <w:p>
      <w:pPr>
        <w:pStyle w:val="BodyText"/>
        <w:tabs>
          <w:tab w:pos="7214" w:val="left" w:leader="none"/>
        </w:tabs>
        <w:spacing w:before="36"/>
        <w:ind w:left="224" w:right="114"/>
        <w:rPr>
          <w:rFonts w:ascii="Cambria" w:hAnsi="Cambria"/>
        </w:rPr>
      </w:pPr>
      <w:r>
        <w:rPr/>
        <w:pict>
          <v:line style="position:absolute;mso-position-horizontal-relative:page;mso-position-vertical-relative:paragraph;z-index:11320" from="70.824997pt,2.397331pt" to="70.824997pt,30.622331pt" stroked="true" strokeweight=".4pt" strokecolor="#000000">
            <w10:wrap type="none"/>
          </v:line>
        </w:pict>
      </w:r>
      <w:r>
        <w:rPr>
          <w:rFonts w:ascii="Cambria" w:hAnsi="Cambria"/>
          <w:w w:val="65"/>
        </w:rPr>
        <w:t>Universidad Autónoma del Estado</w:t>
      </w:r>
      <w:r>
        <w:rPr>
          <w:rFonts w:ascii="Cambria" w:hAnsi="Cambria"/>
          <w:spacing w:val="3"/>
          <w:w w:val="65"/>
        </w:rPr>
        <w:t> </w:t>
      </w:r>
      <w:r>
        <w:rPr>
          <w:rFonts w:ascii="Cambria" w:hAnsi="Cambria"/>
          <w:w w:val="65"/>
        </w:rPr>
        <w:t>de México</w:t>
        <w:tab/>
        <w:t>Facultad de</w:t>
      </w:r>
      <w:r>
        <w:rPr>
          <w:rFonts w:ascii="Cambria" w:hAnsi="Cambria"/>
          <w:spacing w:val="-25"/>
          <w:w w:val="65"/>
        </w:rPr>
        <w:t> </w:t>
      </w:r>
      <w:r>
        <w:rPr>
          <w:rFonts w:ascii="Cambria" w:hAnsi="Cambria"/>
          <w:w w:val="65"/>
        </w:rPr>
        <w:t>Humanidades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3"/>
        <w:rPr>
          <w:rFonts w:ascii="Cambria"/>
          <w:sz w:val="26"/>
        </w:rPr>
      </w:pPr>
    </w:p>
    <w:p>
      <w:pPr>
        <w:pStyle w:val="ListParagraph"/>
        <w:numPr>
          <w:ilvl w:val="0"/>
          <w:numId w:val="9"/>
        </w:numPr>
        <w:tabs>
          <w:tab w:pos="1116" w:val="left" w:leader="none"/>
          <w:tab w:pos="1117" w:val="left" w:leader="none"/>
        </w:tabs>
        <w:spacing w:line="429" w:lineRule="exact" w:before="0" w:after="0"/>
        <w:ind w:left="1117" w:right="0" w:hanging="433"/>
        <w:jc w:val="left"/>
        <w:rPr>
          <w:rFonts w:ascii="Tunga" w:hAnsi="Tunga"/>
          <w:sz w:val="26"/>
        </w:rPr>
      </w:pPr>
      <w:r>
        <w:rPr>
          <w:rFonts w:ascii="Tunga" w:hAnsi="Tunga"/>
          <w:sz w:val="26"/>
        </w:rPr>
        <w:t>Consideras qué la programación televisiva presenta acciones que te gustaría</w:t>
      </w:r>
      <w:r>
        <w:rPr>
          <w:rFonts w:ascii="Tunga" w:hAnsi="Tunga"/>
          <w:spacing w:val="-32"/>
          <w:sz w:val="26"/>
        </w:rPr>
        <w:t> </w:t>
      </w:r>
      <w:r>
        <w:rPr>
          <w:rFonts w:ascii="Tunga" w:hAnsi="Tunga"/>
          <w:sz w:val="26"/>
        </w:rPr>
        <w:t>imitar.</w:t>
      </w:r>
    </w:p>
    <w:p>
      <w:pPr>
        <w:spacing w:before="0"/>
        <w:ind w:left="1089" w:right="893" w:hanging="84"/>
        <w:jc w:val="left"/>
        <w:rPr>
          <w:rFonts w:ascii="Tunga"/>
          <w:sz w:val="26"/>
        </w:rPr>
      </w:pPr>
      <w:r>
        <w:rPr>
          <w:rFonts w:ascii="Tunga"/>
          <w:sz w:val="26"/>
        </w:rPr>
        <w:t>Siempre ( ) Casi siempre ( ) Algunas veces ( ) Nunca (  )  Casi nunca (  ) Siempre  (  )  Casi siempre (  ) Algunas Veces (  )  Nunca (  )  Casi nunca  (</w:t>
      </w:r>
      <w:r>
        <w:rPr>
          <w:rFonts w:ascii="Tunga"/>
          <w:spacing w:val="50"/>
          <w:sz w:val="26"/>
        </w:rPr>
        <w:t> </w:t>
      </w:r>
      <w:r>
        <w:rPr>
          <w:rFonts w:ascii="Tunga"/>
          <w:sz w:val="26"/>
        </w:rPr>
        <w:t>)</w:t>
      </w:r>
    </w:p>
    <w:p>
      <w:pPr>
        <w:pStyle w:val="ListParagraph"/>
        <w:numPr>
          <w:ilvl w:val="0"/>
          <w:numId w:val="9"/>
        </w:numPr>
        <w:tabs>
          <w:tab w:pos="1117" w:val="left" w:leader="none"/>
        </w:tabs>
        <w:spacing w:line="240" w:lineRule="auto" w:before="0" w:after="0"/>
        <w:ind w:left="1117" w:right="119" w:hanging="433"/>
        <w:jc w:val="left"/>
        <w:rPr>
          <w:rFonts w:ascii="Tunga" w:hAnsi="Tunga"/>
          <w:sz w:val="26"/>
        </w:rPr>
      </w:pPr>
      <w:r>
        <w:rPr>
          <w:rFonts w:ascii="Tunga" w:hAnsi="Tunga"/>
          <w:sz w:val="26"/>
        </w:rPr>
        <w:t>¿La programación televisiva influye en tu manera de pensar por la información que te proporciona?</w:t>
      </w:r>
    </w:p>
    <w:p>
      <w:pPr>
        <w:spacing w:before="0"/>
        <w:ind w:left="1089" w:right="114" w:firstLine="0"/>
        <w:jc w:val="left"/>
        <w:rPr>
          <w:rFonts w:ascii="Tunga"/>
          <w:sz w:val="26"/>
        </w:rPr>
      </w:pPr>
      <w:r>
        <w:rPr>
          <w:rFonts w:ascii="Tunga"/>
          <w:sz w:val="26"/>
        </w:rPr>
        <w:t>Siempre (  ) Casi Siempre (  ) Algunas Veces (  ) Nunca (  )  Casi Nunca (</w:t>
      </w:r>
      <w:r>
        <w:rPr>
          <w:rFonts w:ascii="Tunga"/>
          <w:spacing w:val="55"/>
          <w:sz w:val="26"/>
        </w:rPr>
        <w:t> </w:t>
      </w:r>
      <w:r>
        <w:rPr>
          <w:rFonts w:ascii="Tunga"/>
          <w:sz w:val="26"/>
        </w:rPr>
        <w:t>)</w:t>
      </w:r>
    </w:p>
    <w:p>
      <w:pPr>
        <w:pStyle w:val="ListParagraph"/>
        <w:numPr>
          <w:ilvl w:val="0"/>
          <w:numId w:val="9"/>
        </w:numPr>
        <w:tabs>
          <w:tab w:pos="1157" w:val="left" w:leader="none"/>
        </w:tabs>
        <w:spacing w:line="240" w:lineRule="auto" w:before="0" w:after="0"/>
        <w:ind w:left="1157" w:right="0" w:hanging="341"/>
        <w:jc w:val="left"/>
        <w:rPr>
          <w:rFonts w:ascii="Tunga" w:hAnsi="Tunga"/>
          <w:sz w:val="26"/>
        </w:rPr>
      </w:pPr>
      <w:r>
        <w:rPr>
          <w:rFonts w:ascii="Tunga" w:hAnsi="Tunga"/>
          <w:sz w:val="26"/>
        </w:rPr>
        <w:t>¿Los programas  televisivos te hacen actuar de manera</w:t>
      </w:r>
      <w:r>
        <w:rPr>
          <w:rFonts w:ascii="Tunga" w:hAnsi="Tunga"/>
          <w:spacing w:val="-23"/>
          <w:sz w:val="26"/>
        </w:rPr>
        <w:t> </w:t>
      </w:r>
      <w:r>
        <w:rPr>
          <w:rFonts w:ascii="Tunga" w:hAnsi="Tunga"/>
          <w:sz w:val="26"/>
        </w:rPr>
        <w:t>diferente?</w:t>
      </w:r>
    </w:p>
    <w:p>
      <w:pPr>
        <w:spacing w:before="0"/>
        <w:ind w:left="1089" w:right="114" w:firstLine="0"/>
        <w:jc w:val="left"/>
        <w:rPr>
          <w:rFonts w:ascii="Tunga"/>
          <w:sz w:val="26"/>
        </w:rPr>
      </w:pPr>
      <w:r>
        <w:rPr>
          <w:rFonts w:ascii="Tunga"/>
          <w:sz w:val="26"/>
        </w:rPr>
        <w:t>Siempre (  ) Casi Siempre (  ) Algunas Veces (  ) Nunca (  )  Casi Nunca (</w:t>
      </w:r>
      <w:r>
        <w:rPr>
          <w:rFonts w:ascii="Tunga"/>
          <w:spacing w:val="55"/>
          <w:sz w:val="26"/>
        </w:rPr>
        <w:t> </w:t>
      </w:r>
      <w:r>
        <w:rPr>
          <w:rFonts w:ascii="Tunga"/>
          <w:sz w:val="26"/>
        </w:rPr>
        <w:t>)</w:t>
      </w:r>
    </w:p>
    <w:p>
      <w:pPr>
        <w:pStyle w:val="ListParagraph"/>
        <w:numPr>
          <w:ilvl w:val="0"/>
          <w:numId w:val="9"/>
        </w:numPr>
        <w:tabs>
          <w:tab w:pos="1177" w:val="left" w:leader="none"/>
        </w:tabs>
        <w:spacing w:line="240" w:lineRule="auto" w:before="0" w:after="0"/>
        <w:ind w:left="1177" w:right="0" w:hanging="361"/>
        <w:jc w:val="left"/>
        <w:rPr>
          <w:rFonts w:ascii="Tunga" w:hAnsi="Tunga"/>
          <w:sz w:val="26"/>
        </w:rPr>
      </w:pPr>
      <w:r>
        <w:rPr>
          <w:rFonts w:ascii="Tunga" w:hAnsi="Tunga"/>
          <w:sz w:val="26"/>
        </w:rPr>
        <w:t>¿La televisión te orienta para realizar algunas de tus</w:t>
      </w:r>
      <w:r>
        <w:rPr>
          <w:rFonts w:ascii="Tunga" w:hAnsi="Tunga"/>
          <w:spacing w:val="-29"/>
          <w:sz w:val="26"/>
        </w:rPr>
        <w:t> </w:t>
      </w:r>
      <w:r>
        <w:rPr>
          <w:rFonts w:ascii="Tunga" w:hAnsi="Tunga"/>
          <w:sz w:val="26"/>
        </w:rPr>
        <w:t>actividades?</w:t>
      </w:r>
    </w:p>
    <w:p>
      <w:pPr>
        <w:spacing w:before="0"/>
        <w:ind w:left="1089" w:right="114" w:firstLine="0"/>
        <w:jc w:val="left"/>
        <w:rPr>
          <w:rFonts w:ascii="Tunga"/>
          <w:sz w:val="26"/>
        </w:rPr>
      </w:pPr>
      <w:r>
        <w:rPr>
          <w:rFonts w:ascii="Tunga"/>
          <w:sz w:val="26"/>
        </w:rPr>
        <w:t>Siempre (  ) Casi Siempre (  ) Algunas Veces (  ) Nunca (  )  Casi Nunca (</w:t>
      </w:r>
      <w:r>
        <w:rPr>
          <w:rFonts w:ascii="Tunga"/>
          <w:spacing w:val="58"/>
          <w:sz w:val="26"/>
        </w:rPr>
        <w:t> </w:t>
      </w:r>
      <w:r>
        <w:rPr>
          <w:rFonts w:ascii="Tunga"/>
          <w:sz w:val="26"/>
        </w:rPr>
        <w:t>)</w:t>
      </w:r>
    </w:p>
    <w:p>
      <w:pPr>
        <w:pStyle w:val="ListParagraph"/>
        <w:numPr>
          <w:ilvl w:val="0"/>
          <w:numId w:val="9"/>
        </w:numPr>
        <w:tabs>
          <w:tab w:pos="1021" w:val="left" w:leader="none"/>
        </w:tabs>
        <w:spacing w:line="240" w:lineRule="auto" w:before="0" w:after="0"/>
        <w:ind w:left="684" w:right="115" w:firstLine="0"/>
        <w:jc w:val="left"/>
        <w:rPr>
          <w:rFonts w:ascii="Tunga" w:hAnsi="Tunga"/>
          <w:sz w:val="24"/>
        </w:rPr>
      </w:pPr>
      <w:r>
        <w:rPr>
          <w:rFonts w:ascii="Tunga" w:hAnsi="Tunga"/>
          <w:sz w:val="26"/>
        </w:rPr>
        <w:t>¿Como televidente encuentras en la programación alternativas qué te ofrezcan información sobre posibilidades  diferentes  de vivir o</w:t>
      </w:r>
      <w:r>
        <w:rPr>
          <w:rFonts w:ascii="Tunga" w:hAnsi="Tunga"/>
          <w:spacing w:val="-22"/>
          <w:sz w:val="26"/>
        </w:rPr>
        <w:t> </w:t>
      </w:r>
      <w:r>
        <w:rPr>
          <w:rFonts w:ascii="Tunga" w:hAnsi="Tunga"/>
          <w:sz w:val="26"/>
        </w:rPr>
        <w:t>divertirte?.</w:t>
      </w:r>
    </w:p>
    <w:p>
      <w:pPr>
        <w:spacing w:before="0"/>
        <w:ind w:left="1169" w:right="114" w:firstLine="0"/>
        <w:jc w:val="left"/>
        <w:rPr>
          <w:rFonts w:ascii="Tunga"/>
          <w:sz w:val="26"/>
        </w:rPr>
      </w:pPr>
      <w:r>
        <w:rPr>
          <w:rFonts w:ascii="Tunga"/>
          <w:sz w:val="26"/>
        </w:rPr>
        <w:t>Siempre (  ) Casi Siempre (  ) Algunas Veces (  ) Nunca (  )  Casi Nunca (</w:t>
      </w:r>
      <w:r>
        <w:rPr>
          <w:rFonts w:ascii="Tunga"/>
          <w:spacing w:val="56"/>
          <w:sz w:val="26"/>
        </w:rPr>
        <w:t> </w:t>
      </w:r>
      <w:r>
        <w:rPr>
          <w:rFonts w:ascii="Tunga"/>
          <w:sz w:val="26"/>
        </w:rPr>
        <w:t>)</w:t>
      </w:r>
    </w:p>
    <w:p>
      <w:pPr>
        <w:pStyle w:val="ListParagraph"/>
        <w:numPr>
          <w:ilvl w:val="0"/>
          <w:numId w:val="9"/>
        </w:numPr>
        <w:tabs>
          <w:tab w:pos="1045" w:val="left" w:leader="none"/>
        </w:tabs>
        <w:spacing w:line="240" w:lineRule="auto" w:before="0" w:after="0"/>
        <w:ind w:left="1045" w:right="124" w:hanging="361"/>
        <w:jc w:val="left"/>
        <w:rPr>
          <w:rFonts w:ascii="Tunga" w:hAnsi="Tunga"/>
          <w:sz w:val="26"/>
        </w:rPr>
      </w:pPr>
      <w:r>
        <w:rPr>
          <w:rFonts w:ascii="Tunga" w:hAnsi="Tunga"/>
          <w:sz w:val="26"/>
        </w:rPr>
        <w:t>¿Si hubiera otra forma de recreación o diversión disponible la utilizarías en lugar de la televisión?</w:t>
      </w:r>
    </w:p>
    <w:p>
      <w:pPr>
        <w:tabs>
          <w:tab w:pos="1756" w:val="left" w:leader="none"/>
          <w:tab w:pos="2460" w:val="left" w:leader="none"/>
          <w:tab w:pos="2964" w:val="left" w:leader="none"/>
          <w:tab w:pos="3668" w:val="left" w:leader="none"/>
          <w:tab w:pos="5339" w:val="left" w:leader="none"/>
        </w:tabs>
        <w:spacing w:before="0"/>
        <w:ind w:left="1333" w:right="114" w:firstLine="0"/>
        <w:jc w:val="left"/>
        <w:rPr>
          <w:rFonts w:ascii="Tunga"/>
          <w:sz w:val="26"/>
        </w:rPr>
      </w:pPr>
      <w:r>
        <w:rPr>
          <w:rFonts w:ascii="Tunga"/>
          <w:sz w:val="26"/>
        </w:rPr>
        <w:t>Si</w:t>
        <w:tab/>
        <w:t>(  )</w:t>
        <w:tab/>
        <w:t>No</w:t>
        <w:tab/>
        <w:t>(  )</w:t>
        <w:tab/>
        <w:t>No me</w:t>
      </w:r>
      <w:r>
        <w:rPr>
          <w:rFonts w:ascii="Tunga"/>
          <w:spacing w:val="-3"/>
          <w:sz w:val="26"/>
        </w:rPr>
        <w:t> </w:t>
      </w:r>
      <w:r>
        <w:rPr>
          <w:rFonts w:ascii="Tunga"/>
          <w:sz w:val="26"/>
        </w:rPr>
        <w:t>interesa</w:t>
        <w:tab/>
        <w:t>(  )</w:t>
      </w:r>
    </w:p>
    <w:p>
      <w:pPr>
        <w:pStyle w:val="ListParagraph"/>
        <w:numPr>
          <w:ilvl w:val="0"/>
          <w:numId w:val="9"/>
        </w:numPr>
        <w:tabs>
          <w:tab w:pos="1009" w:val="left" w:leader="none"/>
        </w:tabs>
        <w:spacing w:line="240" w:lineRule="auto" w:before="0" w:after="0"/>
        <w:ind w:left="1009" w:right="0" w:hanging="325"/>
        <w:jc w:val="left"/>
        <w:rPr>
          <w:rFonts w:ascii="Tunga" w:hAnsi="Tunga"/>
          <w:sz w:val="26"/>
        </w:rPr>
      </w:pPr>
      <w:r>
        <w:rPr>
          <w:rFonts w:ascii="Tunga" w:hAnsi="Tunga"/>
          <w:sz w:val="26"/>
        </w:rPr>
        <w:t>¿Consideras que la televisión te impide realizar otras</w:t>
      </w:r>
      <w:r>
        <w:rPr>
          <w:rFonts w:ascii="Tunga" w:hAnsi="Tunga"/>
          <w:spacing w:val="-23"/>
          <w:sz w:val="26"/>
        </w:rPr>
        <w:t> </w:t>
      </w:r>
      <w:r>
        <w:rPr>
          <w:rFonts w:ascii="Tunga" w:hAnsi="Tunga"/>
          <w:sz w:val="26"/>
        </w:rPr>
        <w:t>actividades?</w:t>
      </w:r>
    </w:p>
    <w:p>
      <w:pPr>
        <w:spacing w:before="0"/>
        <w:ind w:left="1169" w:right="114" w:firstLine="0"/>
        <w:jc w:val="left"/>
        <w:rPr>
          <w:rFonts w:ascii="Tunga"/>
          <w:sz w:val="26"/>
        </w:rPr>
      </w:pPr>
      <w:r>
        <w:rPr>
          <w:rFonts w:ascii="Tunga"/>
          <w:sz w:val="26"/>
        </w:rPr>
        <w:t>Siempre (  ) Casi Siempre (  ) Algunas Veces (  ) Nunca (  )  Casi Nunca (</w:t>
      </w:r>
      <w:r>
        <w:rPr>
          <w:rFonts w:ascii="Tunga"/>
          <w:spacing w:val="52"/>
          <w:sz w:val="26"/>
        </w:rPr>
        <w:t> </w:t>
      </w:r>
      <w:r>
        <w:rPr>
          <w:rFonts w:ascii="Tunga"/>
          <w:sz w:val="26"/>
        </w:rPr>
        <w:t>)</w:t>
      </w:r>
    </w:p>
    <w:p>
      <w:pPr>
        <w:pStyle w:val="ListParagraph"/>
        <w:numPr>
          <w:ilvl w:val="0"/>
          <w:numId w:val="9"/>
        </w:numPr>
        <w:tabs>
          <w:tab w:pos="1029" w:val="left" w:leader="none"/>
          <w:tab w:pos="1836" w:val="left" w:leader="none"/>
          <w:tab w:pos="2380" w:val="left" w:leader="none"/>
        </w:tabs>
        <w:spacing w:line="240" w:lineRule="auto" w:before="0" w:after="0"/>
        <w:ind w:left="1333" w:right="365" w:hanging="649"/>
        <w:jc w:val="left"/>
        <w:rPr>
          <w:rFonts w:ascii="Tunga" w:hAnsi="Tunga"/>
          <w:sz w:val="26"/>
        </w:rPr>
      </w:pPr>
      <w:r>
        <w:rPr>
          <w:rFonts w:ascii="Tunga" w:hAnsi="Tunga"/>
          <w:sz w:val="26"/>
        </w:rPr>
        <w:t>¿Consideras que si dejaras de ver televisión actuarías y pensarías de manera</w:t>
      </w:r>
      <w:r>
        <w:rPr>
          <w:rFonts w:ascii="Tunga" w:hAnsi="Tunga"/>
          <w:spacing w:val="-34"/>
          <w:sz w:val="26"/>
        </w:rPr>
        <w:t> </w:t>
      </w:r>
      <w:r>
        <w:rPr>
          <w:rFonts w:ascii="Tunga" w:hAnsi="Tunga"/>
          <w:sz w:val="26"/>
        </w:rPr>
        <w:t>diferente? Si</w:t>
        <w:tab/>
        <w:t>(  )</w:t>
        <w:tab/>
        <w:t>¿Por</w:t>
      </w:r>
      <w:r>
        <w:rPr>
          <w:rFonts w:ascii="Tunga" w:hAnsi="Tunga"/>
          <w:spacing w:val="-3"/>
          <w:sz w:val="26"/>
        </w:rPr>
        <w:t> </w:t>
      </w:r>
      <w:r>
        <w:rPr>
          <w:rFonts w:ascii="Tunga" w:hAnsi="Tunga"/>
          <w:sz w:val="26"/>
        </w:rPr>
        <w:t>qué?</w:t>
      </w:r>
    </w:p>
    <w:p>
      <w:pPr>
        <w:tabs>
          <w:tab w:pos="1832" w:val="left" w:leader="none"/>
          <w:tab w:pos="2376" w:val="left" w:leader="none"/>
        </w:tabs>
        <w:spacing w:before="0"/>
        <w:ind w:left="1333" w:right="114" w:firstLine="0"/>
        <w:jc w:val="left"/>
        <w:rPr>
          <w:rFonts w:ascii="Tunga" w:hAnsi="Tunga"/>
          <w:sz w:val="26"/>
        </w:rPr>
      </w:pPr>
      <w:r>
        <w:rPr>
          <w:rFonts w:ascii="Tunga" w:hAnsi="Tunga"/>
          <w:sz w:val="26"/>
        </w:rPr>
        <w:t>No</w:t>
        <w:tab/>
        <w:t>(  )</w:t>
        <w:tab/>
        <w:t>¿Por</w:t>
      </w:r>
      <w:r>
        <w:rPr>
          <w:rFonts w:ascii="Tunga" w:hAnsi="Tunga"/>
          <w:spacing w:val="-2"/>
          <w:sz w:val="26"/>
        </w:rPr>
        <w:t> </w:t>
      </w:r>
      <w:r>
        <w:rPr>
          <w:rFonts w:ascii="Tunga" w:hAnsi="Tunga"/>
          <w:sz w:val="26"/>
        </w:rPr>
        <w:t>qué?</w:t>
      </w:r>
    </w:p>
    <w:p>
      <w:pPr>
        <w:pStyle w:val="BodyText"/>
        <w:rPr>
          <w:rFonts w:ascii="Tunga"/>
          <w:sz w:val="26"/>
        </w:rPr>
      </w:pPr>
    </w:p>
    <w:p>
      <w:pPr>
        <w:pStyle w:val="BodyText"/>
        <w:rPr>
          <w:rFonts w:ascii="Tunga"/>
          <w:sz w:val="26"/>
        </w:rPr>
      </w:pPr>
    </w:p>
    <w:p>
      <w:pPr>
        <w:pStyle w:val="BodyText"/>
        <w:rPr>
          <w:rFonts w:ascii="Tunga"/>
          <w:sz w:val="26"/>
        </w:rPr>
      </w:pPr>
    </w:p>
    <w:p>
      <w:pPr>
        <w:spacing w:before="0"/>
        <w:ind w:left="3549" w:right="114" w:firstLine="0"/>
        <w:jc w:val="left"/>
        <w:rPr>
          <w:rFonts w:ascii="Tunga"/>
          <w:sz w:val="26"/>
        </w:rPr>
      </w:pPr>
      <w:r>
        <w:rPr>
          <w:rFonts w:ascii="Tunga"/>
          <w:sz w:val="26"/>
        </w:rPr>
        <w:t>GRACIAS POR SU AMABILIDAD</w:t>
      </w:r>
    </w:p>
    <w:p>
      <w:pPr>
        <w:spacing w:after="0"/>
        <w:jc w:val="left"/>
        <w:rPr>
          <w:rFonts w:ascii="Tunga"/>
          <w:sz w:val="26"/>
        </w:rPr>
        <w:sectPr>
          <w:pgSz w:w="12240" w:h="15840"/>
          <w:pgMar w:header="0" w:footer="878" w:top="520" w:bottom="1060" w:left="1300" w:right="1300"/>
        </w:sectPr>
      </w:pPr>
    </w:p>
    <w:p>
      <w:pPr>
        <w:pStyle w:val="Heading3"/>
      </w:pPr>
      <w:r>
        <w:rPr/>
        <w:pict>
          <v:line style="position:absolute;mso-position-horizontal-relative:page;mso-position-vertical-relative:paragraph;z-index:11344" from="546.470032pt,2.397331pt" to="546.470032pt,30.622331pt" stroked="true" strokeweight=".60004pt" strokecolor="#000000">
            <w10:wrap type="none"/>
          </v:line>
        </w:pict>
      </w:r>
      <w:r>
        <w:rPr>
          <w:w w:val="75"/>
        </w:rPr>
        <w:t>El condicionamiento de la libertad ante la influencia de la televisión</w:t>
      </w:r>
    </w:p>
    <w:p>
      <w:pPr>
        <w:pStyle w:val="BodyText"/>
        <w:rPr>
          <w:rFonts w:ascii="Cambria"/>
          <w:b/>
          <w:sz w:val="20"/>
        </w:rPr>
      </w:pPr>
    </w:p>
    <w:p>
      <w:pPr>
        <w:pStyle w:val="BodyText"/>
        <w:rPr>
          <w:rFonts w:ascii="Cambria"/>
          <w:b/>
          <w:sz w:val="20"/>
        </w:rPr>
      </w:pPr>
    </w:p>
    <w:p>
      <w:pPr>
        <w:pStyle w:val="BodyText"/>
        <w:rPr>
          <w:rFonts w:ascii="Cambria"/>
          <w:b/>
          <w:sz w:val="20"/>
        </w:rPr>
      </w:pPr>
    </w:p>
    <w:p>
      <w:pPr>
        <w:spacing w:line="389" w:lineRule="exact" w:before="139"/>
        <w:ind w:left="496" w:right="0" w:firstLine="0"/>
        <w:jc w:val="left"/>
        <w:rPr>
          <w:rFonts w:ascii="Tunga" w:hAnsi="Tunga"/>
          <w:sz w:val="22"/>
        </w:rPr>
      </w:pPr>
      <w:r>
        <w:rPr>
          <w:rFonts w:ascii="Tunga" w:hAnsi="Tunga"/>
          <w:sz w:val="22"/>
        </w:rPr>
        <w:t>ENTREVISTA PARA CONOCER LA OPINION SOBRE LA PROGRAMACIÓN DE LA T. V. Y LA LIBERTAD</w:t>
      </w:r>
    </w:p>
    <w:p>
      <w:pPr>
        <w:tabs>
          <w:tab w:pos="9160" w:val="left" w:leader="none"/>
        </w:tabs>
        <w:spacing w:line="242" w:lineRule="auto" w:before="0"/>
        <w:ind w:left="6755" w:right="156" w:hanging="77"/>
        <w:jc w:val="right"/>
        <w:rPr>
          <w:rFonts w:ascii="Tunga"/>
          <w:sz w:val="22"/>
        </w:rPr>
      </w:pPr>
      <w:r>
        <w:rPr>
          <w:rFonts w:ascii="Tunga"/>
          <w:spacing w:val="-1"/>
          <w:sz w:val="22"/>
        </w:rPr>
        <w:t>Fecha</w:t>
      </w:r>
      <w:r>
        <w:rPr>
          <w:rFonts w:ascii="Tunga"/>
          <w:spacing w:val="-1"/>
          <w:sz w:val="22"/>
          <w:u w:val="single"/>
        </w:rPr>
        <w:tab/>
      </w:r>
      <w:r>
        <w:rPr>
          <w:rFonts w:ascii="Tunga"/>
          <w:sz w:val="22"/>
        </w:rPr>
        <w:t> Edad</w:t>
      </w:r>
      <w:r>
        <w:rPr>
          <w:rFonts w:ascii="Tunga"/>
          <w:sz w:val="22"/>
          <w:u w:val="single"/>
        </w:rPr>
        <w:t> </w:t>
        <w:tab/>
      </w:r>
    </w:p>
    <w:p>
      <w:pPr>
        <w:pStyle w:val="ListParagraph"/>
        <w:numPr>
          <w:ilvl w:val="0"/>
          <w:numId w:val="10"/>
        </w:numPr>
        <w:tabs>
          <w:tab w:pos="972" w:val="left" w:leader="none"/>
          <w:tab w:pos="973" w:val="left" w:leader="none"/>
        </w:tabs>
        <w:spacing w:line="267" w:lineRule="exact" w:before="0" w:after="0"/>
        <w:ind w:left="264" w:right="0" w:firstLine="0"/>
        <w:jc w:val="both"/>
        <w:rPr>
          <w:rFonts w:ascii="Calibri" w:hAnsi="Calibri"/>
          <w:sz w:val="22"/>
        </w:rPr>
      </w:pPr>
      <w:r>
        <w:rPr>
          <w:rFonts w:ascii="Calibri" w:hAnsi="Calibri"/>
          <w:spacing w:val="-7"/>
          <w:sz w:val="22"/>
        </w:rPr>
        <w:t>¿Ves </w:t>
      </w:r>
      <w:r>
        <w:rPr>
          <w:rFonts w:ascii="Calibri" w:hAnsi="Calibri"/>
          <w:sz w:val="22"/>
        </w:rPr>
        <w:t>los canales de  televisión</w:t>
      </w:r>
      <w:r>
        <w:rPr>
          <w:rFonts w:ascii="Calibri" w:hAnsi="Calibri"/>
          <w:spacing w:val="-9"/>
          <w:sz w:val="22"/>
        </w:rPr>
        <w:t> </w:t>
      </w:r>
      <w:r>
        <w:rPr>
          <w:rFonts w:ascii="Calibri" w:hAnsi="Calibri"/>
          <w:sz w:val="22"/>
        </w:rPr>
        <w:t>abierta?</w:t>
      </w:r>
    </w:p>
    <w:p>
      <w:pPr>
        <w:pStyle w:val="BodyText"/>
        <w:spacing w:before="11"/>
        <w:rPr>
          <w:rFonts w:ascii="Calibri"/>
          <w:sz w:val="21"/>
        </w:rPr>
      </w:pPr>
    </w:p>
    <w:p>
      <w:pPr>
        <w:pStyle w:val="ListParagraph"/>
        <w:numPr>
          <w:ilvl w:val="0"/>
          <w:numId w:val="10"/>
        </w:numPr>
        <w:tabs>
          <w:tab w:pos="972" w:val="left" w:leader="none"/>
          <w:tab w:pos="973" w:val="left" w:leader="none"/>
        </w:tabs>
        <w:spacing w:line="240" w:lineRule="auto" w:before="0" w:after="0"/>
        <w:ind w:left="973" w:right="0" w:hanging="709"/>
        <w:jc w:val="both"/>
        <w:rPr>
          <w:rFonts w:ascii="Calibri" w:hAnsi="Calibri"/>
          <w:sz w:val="22"/>
        </w:rPr>
      </w:pPr>
      <w:r>
        <w:rPr>
          <w:rFonts w:ascii="Calibri" w:hAnsi="Calibri"/>
          <w:sz w:val="22"/>
        </w:rPr>
        <w:t>¿Por</w:t>
      </w:r>
      <w:r>
        <w:rPr>
          <w:rFonts w:ascii="Calibri" w:hAnsi="Calibri"/>
          <w:spacing w:val="-9"/>
          <w:sz w:val="22"/>
        </w:rPr>
        <w:t> </w:t>
      </w:r>
      <w:r>
        <w:rPr>
          <w:rFonts w:ascii="Calibri" w:hAnsi="Calibri"/>
          <w:sz w:val="22"/>
        </w:rPr>
        <w:t>qué</w:t>
      </w:r>
      <w:r>
        <w:rPr>
          <w:rFonts w:ascii="Calibri" w:hAnsi="Calibri"/>
          <w:spacing w:val="-10"/>
          <w:sz w:val="22"/>
        </w:rPr>
        <w:t> </w:t>
      </w:r>
      <w:r>
        <w:rPr>
          <w:rFonts w:ascii="Calibri" w:hAnsi="Calibri"/>
          <w:sz w:val="22"/>
        </w:rPr>
        <w:t>ves</w:t>
      </w:r>
      <w:r>
        <w:rPr>
          <w:rFonts w:ascii="Calibri" w:hAnsi="Calibri"/>
          <w:spacing w:val="-6"/>
          <w:sz w:val="22"/>
        </w:rPr>
        <w:t> </w:t>
      </w:r>
      <w:r>
        <w:rPr>
          <w:rFonts w:ascii="Calibri" w:hAnsi="Calibri"/>
          <w:sz w:val="22"/>
        </w:rPr>
        <w:t>la</w:t>
      </w:r>
      <w:r>
        <w:rPr>
          <w:rFonts w:ascii="Calibri" w:hAnsi="Calibri"/>
          <w:spacing w:val="-10"/>
          <w:sz w:val="22"/>
        </w:rPr>
        <w:t> </w:t>
      </w:r>
      <w:r>
        <w:rPr>
          <w:rFonts w:ascii="Calibri" w:hAnsi="Calibri"/>
          <w:sz w:val="22"/>
        </w:rPr>
        <w:t>programación</w:t>
      </w:r>
      <w:r>
        <w:rPr>
          <w:rFonts w:ascii="Calibri" w:hAnsi="Calibri"/>
          <w:spacing w:val="-5"/>
          <w:sz w:val="22"/>
        </w:rPr>
        <w:t> </w:t>
      </w:r>
      <w:r>
        <w:rPr>
          <w:rFonts w:ascii="Calibri" w:hAnsi="Calibri"/>
          <w:sz w:val="22"/>
        </w:rPr>
        <w:t>televisiva?</w:t>
      </w:r>
    </w:p>
    <w:p>
      <w:pPr>
        <w:pStyle w:val="BodyText"/>
        <w:spacing w:before="11"/>
        <w:rPr>
          <w:rFonts w:ascii="Calibri"/>
          <w:sz w:val="21"/>
        </w:rPr>
      </w:pPr>
    </w:p>
    <w:p>
      <w:pPr>
        <w:pStyle w:val="ListParagraph"/>
        <w:numPr>
          <w:ilvl w:val="0"/>
          <w:numId w:val="10"/>
        </w:numPr>
        <w:tabs>
          <w:tab w:pos="972" w:val="left" w:leader="none"/>
          <w:tab w:pos="973" w:val="left" w:leader="none"/>
        </w:tabs>
        <w:spacing w:line="240" w:lineRule="auto" w:before="0" w:after="0"/>
        <w:ind w:left="973" w:right="0" w:hanging="709"/>
        <w:jc w:val="both"/>
        <w:rPr>
          <w:rFonts w:ascii="Calibri" w:hAnsi="Calibri"/>
          <w:sz w:val="22"/>
        </w:rPr>
      </w:pPr>
      <w:r>
        <w:rPr>
          <w:rFonts w:ascii="Calibri" w:hAnsi="Calibri"/>
          <w:sz w:val="22"/>
        </w:rPr>
        <w:t>¿Cuántas horas dedicas a </w:t>
      </w:r>
      <w:r>
        <w:rPr>
          <w:rFonts w:ascii="Calibri" w:hAnsi="Calibri"/>
          <w:spacing w:val="-2"/>
          <w:sz w:val="22"/>
        </w:rPr>
        <w:t>ver </w:t>
      </w:r>
      <w:r>
        <w:rPr>
          <w:rFonts w:ascii="Calibri" w:hAnsi="Calibri"/>
          <w:sz w:val="22"/>
        </w:rPr>
        <w:t>la </w:t>
      </w:r>
      <w:r>
        <w:rPr>
          <w:rFonts w:ascii="Calibri" w:hAnsi="Calibri"/>
          <w:spacing w:val="-10"/>
          <w:sz w:val="22"/>
        </w:rPr>
        <w:t>T.</w:t>
      </w:r>
      <w:r>
        <w:rPr>
          <w:rFonts w:ascii="Calibri" w:hAnsi="Calibri"/>
          <w:spacing w:val="-22"/>
          <w:sz w:val="22"/>
        </w:rPr>
        <w:t> </w:t>
      </w:r>
      <w:r>
        <w:rPr>
          <w:rFonts w:ascii="Calibri" w:hAnsi="Calibri"/>
          <w:spacing w:val="-7"/>
          <w:sz w:val="22"/>
        </w:rPr>
        <w:t>V.?</w:t>
      </w:r>
    </w:p>
    <w:p>
      <w:pPr>
        <w:pStyle w:val="BodyText"/>
        <w:spacing w:before="2"/>
        <w:rPr>
          <w:rFonts w:ascii="Calibri"/>
          <w:sz w:val="22"/>
        </w:rPr>
      </w:pPr>
    </w:p>
    <w:p>
      <w:pPr>
        <w:pStyle w:val="ListParagraph"/>
        <w:numPr>
          <w:ilvl w:val="0"/>
          <w:numId w:val="10"/>
        </w:numPr>
        <w:tabs>
          <w:tab w:pos="972" w:val="left" w:leader="none"/>
          <w:tab w:pos="973" w:val="left" w:leader="none"/>
        </w:tabs>
        <w:spacing w:line="240" w:lineRule="auto" w:before="1" w:after="0"/>
        <w:ind w:left="973" w:right="0" w:hanging="709"/>
        <w:jc w:val="both"/>
        <w:rPr>
          <w:rFonts w:ascii="Calibri" w:hAnsi="Calibri"/>
          <w:sz w:val="22"/>
        </w:rPr>
      </w:pPr>
      <w:r>
        <w:rPr>
          <w:rFonts w:ascii="Calibri" w:hAnsi="Calibri"/>
          <w:sz w:val="22"/>
        </w:rPr>
        <w:t>¿Consideras que los programas de la </w:t>
      </w:r>
      <w:r>
        <w:rPr>
          <w:rFonts w:ascii="Calibri" w:hAnsi="Calibri"/>
          <w:spacing w:val="-10"/>
          <w:sz w:val="22"/>
        </w:rPr>
        <w:t>T. </w:t>
      </w:r>
      <w:r>
        <w:rPr>
          <w:rFonts w:ascii="Calibri" w:hAnsi="Calibri"/>
          <w:spacing w:val="-13"/>
          <w:sz w:val="22"/>
        </w:rPr>
        <w:t>V. </w:t>
      </w:r>
      <w:r>
        <w:rPr>
          <w:rFonts w:ascii="Calibri" w:hAnsi="Calibri"/>
          <w:sz w:val="22"/>
        </w:rPr>
        <w:t>son adecuados para la mayoría de la</w:t>
      </w:r>
      <w:r>
        <w:rPr>
          <w:rFonts w:ascii="Calibri" w:hAnsi="Calibri"/>
          <w:spacing w:val="-31"/>
          <w:sz w:val="22"/>
        </w:rPr>
        <w:t> </w:t>
      </w:r>
      <w:r>
        <w:rPr>
          <w:rFonts w:ascii="Calibri" w:hAnsi="Calibri"/>
          <w:sz w:val="22"/>
        </w:rPr>
        <w:t>población?</w:t>
      </w:r>
    </w:p>
    <w:p>
      <w:pPr>
        <w:pStyle w:val="BodyText"/>
        <w:spacing w:before="11"/>
        <w:rPr>
          <w:rFonts w:ascii="Calibri"/>
          <w:sz w:val="21"/>
        </w:rPr>
      </w:pPr>
    </w:p>
    <w:p>
      <w:pPr>
        <w:pStyle w:val="ListParagraph"/>
        <w:numPr>
          <w:ilvl w:val="0"/>
          <w:numId w:val="10"/>
        </w:numPr>
        <w:tabs>
          <w:tab w:pos="972" w:val="left" w:leader="none"/>
          <w:tab w:pos="973" w:val="left" w:leader="none"/>
        </w:tabs>
        <w:spacing w:line="240" w:lineRule="auto" w:before="0" w:after="0"/>
        <w:ind w:left="973" w:right="0" w:hanging="709"/>
        <w:jc w:val="both"/>
        <w:rPr>
          <w:rFonts w:ascii="Calibri" w:hAnsi="Calibri"/>
          <w:sz w:val="22"/>
        </w:rPr>
      </w:pPr>
      <w:r>
        <w:rPr>
          <w:rFonts w:ascii="Calibri" w:hAnsi="Calibri"/>
          <w:sz w:val="22"/>
        </w:rPr>
        <w:t>¿Los programas de </w:t>
      </w:r>
      <w:r>
        <w:rPr>
          <w:rFonts w:ascii="Calibri" w:hAnsi="Calibri"/>
          <w:spacing w:val="-10"/>
          <w:sz w:val="22"/>
        </w:rPr>
        <w:t>T. </w:t>
      </w:r>
      <w:r>
        <w:rPr>
          <w:rFonts w:ascii="Calibri" w:hAnsi="Calibri"/>
          <w:spacing w:val="-13"/>
          <w:sz w:val="22"/>
        </w:rPr>
        <w:t>V. </w:t>
      </w:r>
      <w:r>
        <w:rPr>
          <w:rFonts w:ascii="Calibri" w:hAnsi="Calibri"/>
          <w:sz w:val="22"/>
        </w:rPr>
        <w:t>que miras cambian tu manera de</w:t>
      </w:r>
      <w:r>
        <w:rPr>
          <w:rFonts w:ascii="Calibri" w:hAnsi="Calibri"/>
          <w:spacing w:val="-18"/>
          <w:sz w:val="22"/>
        </w:rPr>
        <w:t> </w:t>
      </w:r>
      <w:r>
        <w:rPr>
          <w:rFonts w:ascii="Calibri" w:hAnsi="Calibri"/>
          <w:sz w:val="22"/>
        </w:rPr>
        <w:t>pensar?</w:t>
      </w:r>
    </w:p>
    <w:p>
      <w:pPr>
        <w:pStyle w:val="BodyText"/>
        <w:spacing w:before="11"/>
        <w:rPr>
          <w:rFonts w:ascii="Calibri"/>
          <w:sz w:val="21"/>
        </w:rPr>
      </w:pPr>
    </w:p>
    <w:p>
      <w:pPr>
        <w:pStyle w:val="ListParagraph"/>
        <w:numPr>
          <w:ilvl w:val="0"/>
          <w:numId w:val="10"/>
        </w:numPr>
        <w:tabs>
          <w:tab w:pos="972" w:val="left" w:leader="none"/>
          <w:tab w:pos="973" w:val="left" w:leader="none"/>
        </w:tabs>
        <w:spacing w:line="482" w:lineRule="auto" w:before="0" w:after="0"/>
        <w:ind w:left="264" w:right="215" w:firstLine="0"/>
        <w:jc w:val="left"/>
        <w:rPr>
          <w:rFonts w:ascii="Calibri" w:hAnsi="Calibri"/>
          <w:sz w:val="22"/>
        </w:rPr>
      </w:pPr>
      <w:r>
        <w:rPr>
          <w:rFonts w:ascii="Calibri" w:hAnsi="Calibri"/>
          <w:sz w:val="22"/>
        </w:rPr>
        <w:t>¿La información que recibes de la </w:t>
      </w:r>
      <w:r>
        <w:rPr>
          <w:rFonts w:ascii="Calibri" w:hAnsi="Calibri"/>
          <w:spacing w:val="-10"/>
          <w:sz w:val="22"/>
        </w:rPr>
        <w:t>T. </w:t>
      </w:r>
      <w:r>
        <w:rPr>
          <w:rFonts w:ascii="Calibri" w:hAnsi="Calibri"/>
          <w:spacing w:val="-13"/>
          <w:sz w:val="22"/>
        </w:rPr>
        <w:t>V. </w:t>
      </w:r>
      <w:r>
        <w:rPr>
          <w:rFonts w:ascii="Calibri" w:hAnsi="Calibri"/>
          <w:sz w:val="22"/>
        </w:rPr>
        <w:t>te hace actuar de manera diferente? Por ejemplo pensar en lo que debes </w:t>
      </w:r>
      <w:r>
        <w:rPr>
          <w:rFonts w:ascii="Calibri" w:hAnsi="Calibri"/>
          <w:spacing w:val="-5"/>
          <w:sz w:val="22"/>
        </w:rPr>
        <w:t>tener, </w:t>
      </w:r>
      <w:r>
        <w:rPr>
          <w:rFonts w:ascii="Calibri" w:hAnsi="Calibri"/>
          <w:sz w:val="22"/>
        </w:rPr>
        <w:t>cómo </w:t>
      </w:r>
      <w:r>
        <w:rPr>
          <w:rFonts w:ascii="Calibri" w:hAnsi="Calibri"/>
          <w:spacing w:val="-4"/>
          <w:sz w:val="22"/>
        </w:rPr>
        <w:t>vestir, </w:t>
      </w:r>
      <w:r>
        <w:rPr>
          <w:rFonts w:ascii="Calibri" w:hAnsi="Calibri"/>
          <w:sz w:val="22"/>
        </w:rPr>
        <w:t>cómo </w:t>
      </w:r>
      <w:r>
        <w:rPr>
          <w:rFonts w:ascii="Calibri" w:hAnsi="Calibri"/>
          <w:spacing w:val="-4"/>
          <w:sz w:val="22"/>
        </w:rPr>
        <w:t>hablar,</w:t>
      </w:r>
      <w:r>
        <w:rPr>
          <w:rFonts w:ascii="Calibri" w:hAnsi="Calibri"/>
          <w:spacing w:val="-3"/>
          <w:sz w:val="22"/>
        </w:rPr>
        <w:t> </w:t>
      </w:r>
      <w:r>
        <w:rPr>
          <w:rFonts w:ascii="Calibri" w:hAnsi="Calibri"/>
          <w:sz w:val="22"/>
        </w:rPr>
        <w:t>etc.</w:t>
      </w:r>
    </w:p>
    <w:p>
      <w:pPr>
        <w:pStyle w:val="ListParagraph"/>
        <w:numPr>
          <w:ilvl w:val="0"/>
          <w:numId w:val="10"/>
        </w:numPr>
        <w:tabs>
          <w:tab w:pos="972" w:val="left" w:leader="none"/>
          <w:tab w:pos="973" w:val="left" w:leader="none"/>
        </w:tabs>
        <w:spacing w:line="480" w:lineRule="auto" w:before="0" w:after="0"/>
        <w:ind w:left="264" w:right="225" w:firstLine="0"/>
        <w:jc w:val="left"/>
        <w:rPr>
          <w:rFonts w:ascii="Calibri" w:hAnsi="Calibri"/>
          <w:sz w:val="22"/>
        </w:rPr>
      </w:pPr>
      <w:r>
        <w:rPr>
          <w:rFonts w:ascii="Calibri" w:hAnsi="Calibri"/>
          <w:sz w:val="22"/>
        </w:rPr>
        <w:t>¿La información que brinda la programación de la </w:t>
      </w:r>
      <w:r>
        <w:rPr>
          <w:rFonts w:ascii="Calibri" w:hAnsi="Calibri"/>
          <w:spacing w:val="-10"/>
          <w:sz w:val="22"/>
        </w:rPr>
        <w:t>T. </w:t>
      </w:r>
      <w:r>
        <w:rPr>
          <w:rFonts w:ascii="Calibri" w:hAnsi="Calibri"/>
          <w:sz w:val="22"/>
        </w:rPr>
        <w:t>V en sus diferentes programas, puede influir en los proyectos de vida de las</w:t>
      </w:r>
      <w:r>
        <w:rPr>
          <w:rFonts w:ascii="Calibri" w:hAnsi="Calibri"/>
          <w:spacing w:val="-29"/>
          <w:sz w:val="22"/>
        </w:rPr>
        <w:t> </w:t>
      </w:r>
      <w:r>
        <w:rPr>
          <w:rFonts w:ascii="Calibri" w:hAnsi="Calibri"/>
          <w:sz w:val="22"/>
        </w:rPr>
        <w:t>personas?</w:t>
      </w:r>
    </w:p>
    <w:p>
      <w:pPr>
        <w:pStyle w:val="ListParagraph"/>
        <w:numPr>
          <w:ilvl w:val="0"/>
          <w:numId w:val="10"/>
        </w:numPr>
        <w:tabs>
          <w:tab w:pos="972" w:val="left" w:leader="none"/>
          <w:tab w:pos="973" w:val="left" w:leader="none"/>
        </w:tabs>
        <w:spacing w:line="482" w:lineRule="auto" w:before="0" w:after="0"/>
        <w:ind w:left="264" w:right="221" w:firstLine="0"/>
        <w:jc w:val="left"/>
        <w:rPr>
          <w:rFonts w:ascii="Calibri" w:hAnsi="Calibri"/>
          <w:sz w:val="22"/>
        </w:rPr>
      </w:pPr>
      <w:r>
        <w:rPr>
          <w:rFonts w:ascii="Calibri" w:hAnsi="Calibri"/>
          <w:sz w:val="22"/>
        </w:rPr>
        <w:t>¿Los noticieros que informan sobre cuestiones negativas de la sociedad (delincuencia, criminalidad) </w:t>
      </w:r>
      <w:r>
        <w:rPr>
          <w:rFonts w:ascii="Calibri" w:hAnsi="Calibri"/>
          <w:spacing w:val="-3"/>
          <w:sz w:val="22"/>
        </w:rPr>
        <w:t>te </w:t>
      </w:r>
      <w:r>
        <w:rPr>
          <w:rFonts w:ascii="Calibri" w:hAnsi="Calibri"/>
          <w:sz w:val="22"/>
        </w:rPr>
        <w:t>hacen cambiar tus hábitos de</w:t>
      </w:r>
      <w:r>
        <w:rPr>
          <w:rFonts w:ascii="Calibri" w:hAnsi="Calibri"/>
          <w:spacing w:val="-14"/>
          <w:sz w:val="22"/>
        </w:rPr>
        <w:t> </w:t>
      </w:r>
      <w:r>
        <w:rPr>
          <w:rFonts w:ascii="Calibri" w:hAnsi="Calibri"/>
          <w:sz w:val="22"/>
        </w:rPr>
        <w:t>vida?</w:t>
      </w:r>
    </w:p>
    <w:p>
      <w:pPr>
        <w:pStyle w:val="ListParagraph"/>
        <w:numPr>
          <w:ilvl w:val="0"/>
          <w:numId w:val="10"/>
        </w:numPr>
        <w:tabs>
          <w:tab w:pos="972" w:val="left" w:leader="none"/>
          <w:tab w:pos="973" w:val="left" w:leader="none"/>
        </w:tabs>
        <w:spacing w:line="265" w:lineRule="exact" w:before="0" w:after="0"/>
        <w:ind w:left="973" w:right="0" w:hanging="709"/>
        <w:jc w:val="both"/>
        <w:rPr>
          <w:rFonts w:ascii="Calibri" w:hAnsi="Calibri"/>
          <w:sz w:val="22"/>
        </w:rPr>
      </w:pPr>
      <w:r>
        <w:rPr>
          <w:rFonts w:ascii="Calibri" w:hAnsi="Calibri"/>
          <w:sz w:val="22"/>
        </w:rPr>
        <w:t>¿Crees</w:t>
      </w:r>
      <w:r>
        <w:rPr>
          <w:rFonts w:ascii="Calibri" w:hAnsi="Calibri"/>
          <w:spacing w:val="-4"/>
          <w:sz w:val="22"/>
        </w:rPr>
        <w:t> </w:t>
      </w:r>
      <w:r>
        <w:rPr>
          <w:rFonts w:ascii="Calibri" w:hAnsi="Calibri"/>
          <w:sz w:val="22"/>
        </w:rPr>
        <w:t>que</w:t>
      </w:r>
      <w:r>
        <w:rPr>
          <w:rFonts w:ascii="Calibri" w:hAnsi="Calibri"/>
          <w:spacing w:val="-4"/>
          <w:sz w:val="22"/>
        </w:rPr>
        <w:t> </w:t>
      </w:r>
      <w:r>
        <w:rPr>
          <w:rFonts w:ascii="Calibri" w:hAnsi="Calibri"/>
          <w:sz w:val="22"/>
        </w:rPr>
        <w:t>la</w:t>
      </w:r>
      <w:r>
        <w:rPr>
          <w:rFonts w:ascii="Calibri" w:hAnsi="Calibri"/>
          <w:spacing w:val="-8"/>
          <w:sz w:val="22"/>
        </w:rPr>
        <w:t> </w:t>
      </w:r>
      <w:r>
        <w:rPr>
          <w:rFonts w:ascii="Calibri" w:hAnsi="Calibri"/>
          <w:sz w:val="22"/>
        </w:rPr>
        <w:t>Televisión</w:t>
      </w:r>
      <w:r>
        <w:rPr>
          <w:rFonts w:ascii="Calibri" w:hAnsi="Calibri"/>
          <w:spacing w:val="-6"/>
          <w:sz w:val="22"/>
        </w:rPr>
        <w:t> </w:t>
      </w:r>
      <w:r>
        <w:rPr>
          <w:rFonts w:ascii="Calibri" w:hAnsi="Calibri"/>
          <w:sz w:val="22"/>
        </w:rPr>
        <w:t>tiene</w:t>
      </w:r>
      <w:r>
        <w:rPr>
          <w:rFonts w:ascii="Calibri" w:hAnsi="Calibri"/>
          <w:spacing w:val="-7"/>
          <w:sz w:val="22"/>
        </w:rPr>
        <w:t> </w:t>
      </w:r>
      <w:r>
        <w:rPr>
          <w:rFonts w:ascii="Calibri" w:hAnsi="Calibri"/>
          <w:sz w:val="22"/>
        </w:rPr>
        <w:t>por</w:t>
      </w:r>
      <w:r>
        <w:rPr>
          <w:rFonts w:ascii="Calibri" w:hAnsi="Calibri"/>
          <w:spacing w:val="-6"/>
          <w:sz w:val="22"/>
        </w:rPr>
        <w:t> </w:t>
      </w:r>
      <w:r>
        <w:rPr>
          <w:rFonts w:ascii="Calibri" w:hAnsi="Calibri"/>
          <w:sz w:val="22"/>
        </w:rPr>
        <w:t>objetivo</w:t>
      </w:r>
      <w:r>
        <w:rPr>
          <w:rFonts w:ascii="Calibri" w:hAnsi="Calibri"/>
          <w:spacing w:val="-6"/>
          <w:sz w:val="22"/>
        </w:rPr>
        <w:t> </w:t>
      </w:r>
      <w:r>
        <w:rPr>
          <w:rFonts w:ascii="Calibri" w:hAnsi="Calibri"/>
          <w:sz w:val="22"/>
        </w:rPr>
        <w:t>decir</w:t>
      </w:r>
      <w:r>
        <w:rPr>
          <w:rFonts w:ascii="Calibri" w:hAnsi="Calibri"/>
          <w:spacing w:val="-7"/>
          <w:sz w:val="22"/>
        </w:rPr>
        <w:t> </w:t>
      </w:r>
      <w:r>
        <w:rPr>
          <w:rFonts w:ascii="Calibri" w:hAnsi="Calibri"/>
          <w:sz w:val="22"/>
        </w:rPr>
        <w:t>la</w:t>
      </w:r>
      <w:r>
        <w:rPr>
          <w:rFonts w:ascii="Calibri" w:hAnsi="Calibri"/>
          <w:spacing w:val="-8"/>
          <w:sz w:val="22"/>
        </w:rPr>
        <w:t> </w:t>
      </w:r>
      <w:r>
        <w:rPr>
          <w:rFonts w:ascii="Calibri" w:hAnsi="Calibri"/>
          <w:sz w:val="22"/>
        </w:rPr>
        <w:t>verdad?</w:t>
      </w:r>
    </w:p>
    <w:p>
      <w:pPr>
        <w:pStyle w:val="BodyText"/>
        <w:spacing w:before="11"/>
        <w:rPr>
          <w:rFonts w:ascii="Calibri"/>
          <w:sz w:val="21"/>
        </w:rPr>
      </w:pPr>
    </w:p>
    <w:p>
      <w:pPr>
        <w:pStyle w:val="ListParagraph"/>
        <w:numPr>
          <w:ilvl w:val="0"/>
          <w:numId w:val="10"/>
        </w:numPr>
        <w:tabs>
          <w:tab w:pos="973" w:val="left" w:leader="none"/>
        </w:tabs>
        <w:spacing w:line="240" w:lineRule="auto" w:before="0" w:after="0"/>
        <w:ind w:left="973" w:right="0" w:hanging="709"/>
        <w:jc w:val="both"/>
        <w:rPr>
          <w:rFonts w:ascii="Calibri" w:hAnsi="Calibri"/>
          <w:sz w:val="22"/>
        </w:rPr>
      </w:pPr>
      <w:r>
        <w:rPr>
          <w:rFonts w:ascii="Calibri" w:hAnsi="Calibri"/>
          <w:sz w:val="22"/>
        </w:rPr>
        <w:t>¿Utilizas</w:t>
      </w:r>
      <w:r>
        <w:rPr>
          <w:rFonts w:ascii="Calibri" w:hAnsi="Calibri"/>
          <w:spacing w:val="-3"/>
          <w:sz w:val="22"/>
        </w:rPr>
        <w:t> </w:t>
      </w:r>
      <w:r>
        <w:rPr>
          <w:rFonts w:ascii="Calibri" w:hAnsi="Calibri"/>
          <w:sz w:val="22"/>
        </w:rPr>
        <w:t>la</w:t>
      </w:r>
      <w:r>
        <w:rPr>
          <w:rFonts w:ascii="Calibri" w:hAnsi="Calibri"/>
          <w:spacing w:val="-7"/>
          <w:sz w:val="22"/>
        </w:rPr>
        <w:t> </w:t>
      </w:r>
      <w:r>
        <w:rPr>
          <w:rFonts w:ascii="Calibri" w:hAnsi="Calibri"/>
          <w:sz w:val="22"/>
        </w:rPr>
        <w:t>información</w:t>
      </w:r>
      <w:r>
        <w:rPr>
          <w:rFonts w:ascii="Calibri" w:hAnsi="Calibri"/>
          <w:spacing w:val="-5"/>
          <w:sz w:val="22"/>
        </w:rPr>
        <w:t> </w:t>
      </w:r>
      <w:r>
        <w:rPr>
          <w:rFonts w:ascii="Calibri" w:hAnsi="Calibri"/>
          <w:sz w:val="22"/>
        </w:rPr>
        <w:t>recibida</w:t>
      </w:r>
      <w:r>
        <w:rPr>
          <w:rFonts w:ascii="Calibri" w:hAnsi="Calibri"/>
          <w:spacing w:val="-6"/>
          <w:sz w:val="22"/>
        </w:rPr>
        <w:t> </w:t>
      </w:r>
      <w:r>
        <w:rPr>
          <w:rFonts w:ascii="Calibri" w:hAnsi="Calibri"/>
          <w:sz w:val="22"/>
        </w:rPr>
        <w:t>de</w:t>
      </w:r>
      <w:r>
        <w:rPr>
          <w:rFonts w:ascii="Calibri" w:hAnsi="Calibri"/>
          <w:spacing w:val="-3"/>
          <w:sz w:val="22"/>
        </w:rPr>
        <w:t> </w:t>
      </w:r>
      <w:r>
        <w:rPr>
          <w:rFonts w:ascii="Calibri" w:hAnsi="Calibri"/>
          <w:sz w:val="22"/>
        </w:rPr>
        <w:t>los</w:t>
      </w:r>
      <w:r>
        <w:rPr>
          <w:rFonts w:ascii="Calibri" w:hAnsi="Calibri"/>
          <w:spacing w:val="-3"/>
          <w:sz w:val="22"/>
        </w:rPr>
        <w:t> </w:t>
      </w:r>
      <w:r>
        <w:rPr>
          <w:rFonts w:ascii="Calibri" w:hAnsi="Calibri"/>
          <w:sz w:val="22"/>
        </w:rPr>
        <w:t>mensajes</w:t>
      </w:r>
      <w:r>
        <w:rPr>
          <w:rFonts w:ascii="Calibri" w:hAnsi="Calibri"/>
          <w:spacing w:val="-3"/>
          <w:sz w:val="22"/>
        </w:rPr>
        <w:t> </w:t>
      </w:r>
      <w:r>
        <w:rPr>
          <w:rFonts w:ascii="Calibri" w:hAnsi="Calibri"/>
          <w:sz w:val="22"/>
        </w:rPr>
        <w:t>de</w:t>
      </w:r>
      <w:r>
        <w:rPr>
          <w:rFonts w:ascii="Calibri" w:hAnsi="Calibri"/>
          <w:spacing w:val="-6"/>
          <w:sz w:val="22"/>
        </w:rPr>
        <w:t> </w:t>
      </w:r>
      <w:r>
        <w:rPr>
          <w:rFonts w:ascii="Calibri" w:hAnsi="Calibri"/>
          <w:sz w:val="22"/>
        </w:rPr>
        <w:t>la</w:t>
      </w:r>
      <w:r>
        <w:rPr>
          <w:rFonts w:ascii="Calibri" w:hAnsi="Calibri"/>
          <w:spacing w:val="-3"/>
          <w:sz w:val="22"/>
        </w:rPr>
        <w:t> </w:t>
      </w:r>
      <w:r>
        <w:rPr>
          <w:rFonts w:ascii="Calibri" w:hAnsi="Calibri"/>
          <w:spacing w:val="-10"/>
          <w:sz w:val="22"/>
        </w:rPr>
        <w:t>T.</w:t>
      </w:r>
      <w:r>
        <w:rPr>
          <w:rFonts w:ascii="Calibri" w:hAnsi="Calibri"/>
          <w:spacing w:val="-5"/>
          <w:sz w:val="22"/>
        </w:rPr>
        <w:t> </w:t>
      </w:r>
      <w:r>
        <w:rPr>
          <w:rFonts w:ascii="Calibri" w:hAnsi="Calibri"/>
          <w:spacing w:val="-13"/>
          <w:sz w:val="22"/>
        </w:rPr>
        <w:t>V.</w:t>
      </w:r>
      <w:r>
        <w:rPr>
          <w:rFonts w:ascii="Calibri" w:hAnsi="Calibri"/>
          <w:spacing w:val="-5"/>
          <w:sz w:val="22"/>
        </w:rPr>
        <w:t> </w:t>
      </w:r>
      <w:r>
        <w:rPr>
          <w:rFonts w:ascii="Calibri" w:hAnsi="Calibri"/>
          <w:sz w:val="22"/>
        </w:rPr>
        <w:t>como</w:t>
      </w:r>
      <w:r>
        <w:rPr>
          <w:rFonts w:ascii="Calibri" w:hAnsi="Calibri"/>
          <w:spacing w:val="-1"/>
          <w:sz w:val="22"/>
        </w:rPr>
        <w:t> </w:t>
      </w:r>
      <w:r>
        <w:rPr>
          <w:rFonts w:ascii="Calibri" w:hAnsi="Calibri"/>
          <w:sz w:val="22"/>
        </w:rPr>
        <w:t>tema</w:t>
      </w:r>
      <w:r>
        <w:rPr>
          <w:rFonts w:ascii="Calibri" w:hAnsi="Calibri"/>
          <w:spacing w:val="-6"/>
          <w:sz w:val="22"/>
        </w:rPr>
        <w:t> </w:t>
      </w:r>
      <w:r>
        <w:rPr>
          <w:rFonts w:ascii="Calibri" w:hAnsi="Calibri"/>
          <w:sz w:val="22"/>
        </w:rPr>
        <w:t>de</w:t>
      </w:r>
      <w:r>
        <w:rPr>
          <w:rFonts w:ascii="Calibri" w:hAnsi="Calibri"/>
          <w:spacing w:val="-7"/>
          <w:sz w:val="22"/>
        </w:rPr>
        <w:t> </w:t>
      </w:r>
      <w:r>
        <w:rPr>
          <w:rFonts w:ascii="Calibri" w:hAnsi="Calibri"/>
          <w:sz w:val="22"/>
        </w:rPr>
        <w:t>conversación?</w:t>
      </w:r>
    </w:p>
    <w:p>
      <w:pPr>
        <w:pStyle w:val="BodyText"/>
        <w:spacing w:before="2"/>
        <w:rPr>
          <w:rFonts w:ascii="Calibri"/>
          <w:sz w:val="22"/>
        </w:rPr>
      </w:pPr>
    </w:p>
    <w:p>
      <w:pPr>
        <w:pStyle w:val="ListParagraph"/>
        <w:numPr>
          <w:ilvl w:val="0"/>
          <w:numId w:val="10"/>
        </w:numPr>
        <w:tabs>
          <w:tab w:pos="972" w:val="left" w:leader="none"/>
          <w:tab w:pos="973" w:val="left" w:leader="none"/>
        </w:tabs>
        <w:spacing w:line="480" w:lineRule="auto" w:before="1" w:after="0"/>
        <w:ind w:left="264" w:right="226" w:firstLine="0"/>
        <w:jc w:val="left"/>
        <w:rPr>
          <w:rFonts w:ascii="Calibri" w:hAnsi="Calibri"/>
          <w:sz w:val="22"/>
        </w:rPr>
      </w:pPr>
      <w:r>
        <w:rPr>
          <w:rFonts w:ascii="Calibri" w:hAnsi="Calibri"/>
          <w:sz w:val="22"/>
        </w:rPr>
        <w:t>¿Crees que la </w:t>
      </w:r>
      <w:r>
        <w:rPr>
          <w:rFonts w:ascii="Calibri" w:hAnsi="Calibri"/>
          <w:spacing w:val="-10"/>
          <w:sz w:val="22"/>
        </w:rPr>
        <w:t>T. </w:t>
      </w:r>
      <w:r>
        <w:rPr>
          <w:rFonts w:ascii="Calibri" w:hAnsi="Calibri"/>
          <w:spacing w:val="-13"/>
          <w:sz w:val="22"/>
        </w:rPr>
        <w:t>V. </w:t>
      </w:r>
      <w:r>
        <w:rPr>
          <w:rFonts w:ascii="Calibri" w:hAnsi="Calibri"/>
          <w:sz w:val="22"/>
        </w:rPr>
        <w:t>ha cambiado las costumbres de las personas, al presentar información sobre</w:t>
      </w:r>
      <w:r>
        <w:rPr>
          <w:rFonts w:ascii="Calibri" w:hAnsi="Calibri"/>
          <w:spacing w:val="-11"/>
          <w:sz w:val="22"/>
        </w:rPr>
        <w:t> </w:t>
      </w:r>
      <w:r>
        <w:rPr>
          <w:rFonts w:ascii="Calibri" w:hAnsi="Calibri"/>
          <w:sz w:val="22"/>
        </w:rPr>
        <w:t>diferentes</w:t>
      </w:r>
      <w:r>
        <w:rPr>
          <w:rFonts w:ascii="Calibri" w:hAnsi="Calibri"/>
          <w:spacing w:val="-6"/>
          <w:sz w:val="22"/>
        </w:rPr>
        <w:t> </w:t>
      </w:r>
      <w:r>
        <w:rPr>
          <w:rFonts w:ascii="Calibri" w:hAnsi="Calibri"/>
          <w:sz w:val="22"/>
        </w:rPr>
        <w:t>culturas,</w:t>
      </w:r>
      <w:r>
        <w:rPr>
          <w:rFonts w:ascii="Calibri" w:hAnsi="Calibri"/>
          <w:spacing w:val="-9"/>
          <w:sz w:val="22"/>
        </w:rPr>
        <w:t> </w:t>
      </w:r>
      <w:r>
        <w:rPr>
          <w:rFonts w:ascii="Calibri" w:hAnsi="Calibri"/>
          <w:sz w:val="22"/>
        </w:rPr>
        <w:t>o</w:t>
      </w:r>
      <w:r>
        <w:rPr>
          <w:rFonts w:ascii="Calibri" w:hAnsi="Calibri"/>
          <w:spacing w:val="-10"/>
          <w:sz w:val="22"/>
        </w:rPr>
        <w:t> </w:t>
      </w:r>
      <w:r>
        <w:rPr>
          <w:rFonts w:ascii="Calibri" w:hAnsi="Calibri"/>
          <w:sz w:val="22"/>
        </w:rPr>
        <w:t>diferentes</w:t>
      </w:r>
      <w:r>
        <w:rPr>
          <w:rFonts w:ascii="Calibri" w:hAnsi="Calibri"/>
          <w:spacing w:val="-8"/>
          <w:sz w:val="22"/>
        </w:rPr>
        <w:t> </w:t>
      </w:r>
      <w:r>
        <w:rPr>
          <w:rFonts w:ascii="Calibri" w:hAnsi="Calibri"/>
          <w:sz w:val="22"/>
        </w:rPr>
        <w:t>estilos</w:t>
      </w:r>
      <w:r>
        <w:rPr>
          <w:rFonts w:ascii="Calibri" w:hAnsi="Calibri"/>
          <w:spacing w:val="-8"/>
          <w:sz w:val="22"/>
        </w:rPr>
        <w:t> </w:t>
      </w:r>
      <w:r>
        <w:rPr>
          <w:rFonts w:ascii="Calibri" w:hAnsi="Calibri"/>
          <w:sz w:val="22"/>
        </w:rPr>
        <w:t>de</w:t>
      </w:r>
      <w:r>
        <w:rPr>
          <w:rFonts w:ascii="Calibri" w:hAnsi="Calibri"/>
          <w:spacing w:val="-11"/>
          <w:sz w:val="22"/>
        </w:rPr>
        <w:t> </w:t>
      </w:r>
      <w:r>
        <w:rPr>
          <w:rFonts w:ascii="Calibri" w:hAnsi="Calibri"/>
          <w:sz w:val="22"/>
        </w:rPr>
        <w:t>vida?</w:t>
      </w:r>
    </w:p>
    <w:p>
      <w:pPr>
        <w:pStyle w:val="ListParagraph"/>
        <w:numPr>
          <w:ilvl w:val="0"/>
          <w:numId w:val="10"/>
        </w:numPr>
        <w:tabs>
          <w:tab w:pos="973" w:val="left" w:leader="none"/>
        </w:tabs>
        <w:spacing w:line="480" w:lineRule="auto" w:before="0" w:after="0"/>
        <w:ind w:left="264" w:right="224" w:firstLine="0"/>
        <w:jc w:val="both"/>
        <w:rPr>
          <w:rFonts w:ascii="Calibri" w:hAnsi="Calibri"/>
          <w:sz w:val="22"/>
        </w:rPr>
      </w:pPr>
      <w:r>
        <w:rPr>
          <w:rFonts w:ascii="Calibri" w:hAnsi="Calibri"/>
          <w:sz w:val="22"/>
        </w:rPr>
        <w:t>¿Piensas que la programación de la televisión al ofrecer una visión de cómo se puede vivir influye en la libertad de las personas que </w:t>
      </w:r>
      <w:r>
        <w:rPr>
          <w:rFonts w:ascii="Calibri" w:hAnsi="Calibri"/>
          <w:spacing w:val="-3"/>
          <w:sz w:val="22"/>
        </w:rPr>
        <w:t>tratan </w:t>
      </w:r>
      <w:r>
        <w:rPr>
          <w:rFonts w:ascii="Calibri" w:hAnsi="Calibri"/>
          <w:sz w:val="22"/>
        </w:rPr>
        <w:t>de imitar los ejemplos de vida que ésta propone por ejemplo en las </w:t>
      </w:r>
      <w:r>
        <w:rPr>
          <w:rFonts w:ascii="Calibri" w:hAnsi="Calibri"/>
          <w:spacing w:val="-3"/>
          <w:sz w:val="22"/>
        </w:rPr>
        <w:t>Telenovelas, </w:t>
      </w:r>
      <w:r>
        <w:rPr>
          <w:rFonts w:ascii="Calibri" w:hAnsi="Calibri"/>
          <w:sz w:val="22"/>
        </w:rPr>
        <w:t>en los comerciales o en los</w:t>
      </w:r>
      <w:r>
        <w:rPr>
          <w:rFonts w:ascii="Calibri" w:hAnsi="Calibri"/>
          <w:spacing w:val="-19"/>
          <w:sz w:val="22"/>
        </w:rPr>
        <w:t> </w:t>
      </w:r>
      <w:r>
        <w:rPr>
          <w:rFonts w:ascii="Calibri" w:hAnsi="Calibri"/>
          <w:sz w:val="22"/>
        </w:rPr>
        <w:t>noticieros?</w:t>
      </w:r>
    </w:p>
    <w:p>
      <w:pPr>
        <w:pStyle w:val="BodyText"/>
        <w:rPr>
          <w:rFonts w:ascii="Calibri"/>
          <w:sz w:val="22"/>
        </w:rPr>
      </w:pPr>
    </w:p>
    <w:p>
      <w:pPr>
        <w:pStyle w:val="BodyText"/>
        <w:spacing w:before="10"/>
        <w:rPr>
          <w:rFonts w:ascii="Calibri"/>
          <w:sz w:val="25"/>
        </w:rPr>
      </w:pPr>
    </w:p>
    <w:p>
      <w:pPr>
        <w:pStyle w:val="BodyText"/>
        <w:ind w:left="2353" w:right="2308"/>
        <w:jc w:val="center"/>
        <w:rPr>
          <w:rFonts w:ascii="Calibri"/>
        </w:rPr>
      </w:pPr>
      <w:r>
        <w:rPr>
          <w:rFonts w:ascii="Calibri"/>
        </w:rPr>
        <w:t>GRACIAS</w:t>
      </w:r>
    </w:p>
    <w:sectPr>
      <w:pgSz w:w="12240" w:h="15840"/>
      <w:pgMar w:header="0" w:footer="878" w:top="520" w:bottom="1060" w:left="172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ndara">
    <w:altName w:val="Candara"/>
    <w:charset w:val="0"/>
    <w:family w:val="swiss"/>
    <w:pitch w:val="variable"/>
  </w:font>
  <w:font w:name="Georgia">
    <w:altName w:val="Georgia"/>
    <w:charset w:val="0"/>
    <w:family w:val="roman"/>
    <w:pitch w:val="variable"/>
  </w:font>
  <w:font w:name="Courier New">
    <w:altName w:val="Courier New"/>
    <w:charset w:val="0"/>
    <w:family w:val="modern"/>
    <w:pitch w:val="fixed"/>
  </w:font>
  <w:font w:name="Cambria">
    <w:altName w:val="Cambria"/>
    <w:charset w:val="0"/>
    <w:family w:val="roman"/>
    <w:pitch w:val="variable"/>
  </w:font>
  <w:font w:name="Trebuchet MS">
    <w:altName w:val="Trebuchet MS"/>
    <w:charset w:val="0"/>
    <w:family w:val="swiss"/>
    <w:pitch w:val="variable"/>
  </w:font>
  <w:font w:name="Tunga">
    <w:altName w:val="Tung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100006pt;margin-top:731.125pt;width:9.65pt;height:13pt;mso-position-horizontal-relative:page;mso-position-vertical-relative:page;z-index:-1401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2.100006pt;margin-top:737.118896pt;width:16pt;height:14pt;mso-position-horizontal-relative:page;mso-position-vertical-relative:page;z-index:-13986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64</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7.224998pt;margin-top:722.875pt;width:34.5pt;height:13.35pt;mso-position-horizontal-relative:page;mso-position-vertical-relative:page;z-index:-139840" type="#_x0000_t202" filled="false" stroked="false">
          <v:textbox inset="0,0,0,0">
            <w:txbxContent>
              <w:p>
                <w:pPr>
                  <w:spacing w:line="250" w:lineRule="exact" w:before="0"/>
                  <w:ind w:left="40" w:right="0" w:firstLine="0"/>
                  <w:jc w:val="left"/>
                  <w:rPr>
                    <w:rFonts w:ascii="Calibri" w:hAnsi="Calibri"/>
                    <w:i/>
                    <w:sz w:val="18"/>
                  </w:rPr>
                </w:pPr>
                <w:r>
                  <w:rPr/>
                  <w:fldChar w:fldCharType="begin"/>
                </w:r>
                <w:r>
                  <w:rPr>
                    <w:rFonts w:ascii="Calibri" w:hAnsi="Calibri"/>
                    <w:position w:val="9"/>
                    <w:sz w:val="12"/>
                  </w:rPr>
                  <w:instrText> PAGE </w:instrText>
                </w:r>
                <w:r>
                  <w:rPr/>
                  <w:fldChar w:fldCharType="separate"/>
                </w:r>
                <w:r>
                  <w:rPr/>
                  <w:t>145</w:t>
                </w:r>
                <w:r>
                  <w:rPr/>
                  <w:fldChar w:fldCharType="end"/>
                </w:r>
                <w:r>
                  <w:rPr>
                    <w:rFonts w:ascii="Calibri" w:hAnsi="Calibri"/>
                    <w:position w:val="9"/>
                    <w:sz w:val="12"/>
                  </w:rPr>
                  <w:t> </w:t>
                </w:r>
                <w:r>
                  <w:rPr>
                    <w:rFonts w:ascii="Calibri" w:hAnsi="Calibri"/>
                    <w:i/>
                    <w:sz w:val="18"/>
                  </w:rPr>
                  <w:t>Ídem.</w:t>
                </w:r>
              </w:p>
            </w:txbxContent>
          </v:textbox>
          <w10:wrap type="none"/>
        </v:shape>
      </w:pict>
    </w:r>
    <w:r>
      <w:rPr/>
      <w:pict>
        <v:shape style="position:absolute;margin-left:313.100006pt;margin-top:737.118896pt;width:14pt;height:14pt;mso-position-horizontal-relative:page;mso-position-vertical-relative:page;z-index:-139816" type="#_x0000_t202" filled="false" stroked="false">
          <v:textbox inset="0,0,0,0">
            <w:txbxContent>
              <w:p>
                <w:pPr>
                  <w:pStyle w:val="BodyText"/>
                  <w:spacing w:line="265" w:lineRule="exact"/>
                  <w:ind w:left="20"/>
                  <w:rPr>
                    <w:rFonts w:ascii="Times New Roman"/>
                  </w:rPr>
                </w:pPr>
                <w:r>
                  <w:rPr>
                    <w:rFonts w:ascii="Times New Roman"/>
                  </w:rPr>
                  <w:t>76</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7.224998pt;margin-top:722.875pt;width:34.5pt;height:13.35pt;mso-position-horizontal-relative:page;mso-position-vertical-relative:page;z-index:-139792" type="#_x0000_t202" filled="false" stroked="false">
          <v:textbox inset="0,0,0,0">
            <w:txbxContent>
              <w:p>
                <w:pPr>
                  <w:spacing w:line="250" w:lineRule="exact" w:before="0"/>
                  <w:ind w:left="40" w:right="0" w:firstLine="0"/>
                  <w:jc w:val="left"/>
                  <w:rPr>
                    <w:rFonts w:ascii="Calibri" w:hAnsi="Calibri"/>
                    <w:i/>
                    <w:sz w:val="18"/>
                  </w:rPr>
                </w:pPr>
                <w:r>
                  <w:rPr/>
                  <w:fldChar w:fldCharType="begin"/>
                </w:r>
                <w:r>
                  <w:rPr>
                    <w:rFonts w:ascii="Calibri" w:hAnsi="Calibri"/>
                    <w:position w:val="9"/>
                    <w:sz w:val="12"/>
                  </w:rPr>
                  <w:instrText> PAGE </w:instrText>
                </w:r>
                <w:r>
                  <w:rPr/>
                  <w:fldChar w:fldCharType="separate"/>
                </w:r>
                <w:r>
                  <w:rPr/>
                  <w:t>146</w:t>
                </w:r>
                <w:r>
                  <w:rPr/>
                  <w:fldChar w:fldCharType="end"/>
                </w:r>
                <w:r>
                  <w:rPr>
                    <w:rFonts w:ascii="Calibri" w:hAnsi="Calibri"/>
                    <w:position w:val="9"/>
                    <w:sz w:val="12"/>
                  </w:rPr>
                  <w:t> </w:t>
                </w:r>
                <w:r>
                  <w:rPr>
                    <w:rFonts w:ascii="Calibri" w:hAnsi="Calibri"/>
                    <w:i/>
                    <w:sz w:val="18"/>
                  </w:rPr>
                  <w:t>Ídem.</w:t>
                </w:r>
              </w:p>
            </w:txbxContent>
          </v:textbox>
          <w10:wrap type="none"/>
        </v:shape>
      </w:pict>
    </w:r>
    <w:r>
      <w:rPr/>
      <w:pict>
        <v:shape style="position:absolute;margin-left:313.100006pt;margin-top:737.118896pt;width:14pt;height:14pt;mso-position-horizontal-relative:page;mso-position-vertical-relative:page;z-index:-139768" type="#_x0000_t202" filled="false" stroked="false">
          <v:textbox inset="0,0,0,0">
            <w:txbxContent>
              <w:p>
                <w:pPr>
                  <w:pStyle w:val="BodyText"/>
                  <w:spacing w:line="265" w:lineRule="exact"/>
                  <w:ind w:left="20"/>
                  <w:rPr>
                    <w:rFonts w:ascii="Times New Roman"/>
                  </w:rPr>
                </w:pPr>
                <w:r>
                  <w:rPr>
                    <w:rFonts w:ascii="Times New Roman"/>
                  </w:rPr>
                  <w:t>77</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24998pt;margin-top:722.875pt;width:33.5pt;height:13.35pt;mso-position-horizontal-relative:page;mso-position-vertical-relative:page;z-index:-139744" type="#_x0000_t202" filled="false" stroked="false">
          <v:textbox inset="0,0,0,0">
            <w:txbxContent>
              <w:p>
                <w:pPr>
                  <w:spacing w:line="250" w:lineRule="exact" w:before="0"/>
                  <w:ind w:left="20" w:right="0" w:firstLine="0"/>
                  <w:jc w:val="left"/>
                  <w:rPr>
                    <w:rFonts w:ascii="Calibri" w:hAnsi="Calibri"/>
                    <w:i/>
                    <w:sz w:val="18"/>
                  </w:rPr>
                </w:pPr>
                <w:r>
                  <w:rPr>
                    <w:rFonts w:ascii="Calibri" w:hAnsi="Calibri"/>
                    <w:position w:val="9"/>
                    <w:sz w:val="12"/>
                  </w:rPr>
                  <w:t>149 </w:t>
                </w:r>
                <w:r>
                  <w:rPr>
                    <w:rFonts w:ascii="Calibri" w:hAnsi="Calibri"/>
                    <w:i/>
                    <w:sz w:val="18"/>
                  </w:rPr>
                  <w:t>Ídem.</w:t>
                </w:r>
              </w:p>
            </w:txbxContent>
          </v:textbox>
          <w10:wrap type="none"/>
        </v:shape>
      </w:pict>
    </w:r>
    <w:r>
      <w:rPr/>
      <w:pict>
        <v:shape style="position:absolute;margin-left:313.100006pt;margin-top:737.118896pt;width:14pt;height:14pt;mso-position-horizontal-relative:page;mso-position-vertical-relative:page;z-index:-139720" type="#_x0000_t202" filled="false" stroked="false">
          <v:textbox inset="0,0,0,0">
            <w:txbxContent>
              <w:p>
                <w:pPr>
                  <w:pStyle w:val="BodyText"/>
                  <w:spacing w:line="265" w:lineRule="exact"/>
                  <w:ind w:left="20"/>
                  <w:rPr>
                    <w:rFonts w:ascii="Times New Roman"/>
                  </w:rPr>
                </w:pPr>
                <w:r>
                  <w:rPr>
                    <w:rFonts w:ascii="Times New Roman"/>
                  </w:rPr>
                  <w:t>78</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2.100006pt;margin-top:737.118896pt;width:16pt;height:14pt;mso-position-horizontal-relative:page;mso-position-vertical-relative:page;z-index:-13969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79</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672" from="99.224998pt,707.674988pt" to="243.274998pt,707.674988pt" stroked="true" strokeweight=".60004pt" strokecolor="#000000">
          <w10:wrap type="none"/>
        </v:line>
      </w:pict>
    </w:r>
    <w:r>
      <w:rPr/>
      <w:pict>
        <v:shape style="position:absolute;margin-left:313.100006pt;margin-top:737.118896pt;width:14pt;height:14pt;mso-position-horizontal-relative:page;mso-position-vertical-relative:page;z-index:-139648" type="#_x0000_t202" filled="false" stroked="false">
          <v:textbox inset="0,0,0,0">
            <w:txbxContent>
              <w:p>
                <w:pPr>
                  <w:pStyle w:val="BodyText"/>
                  <w:spacing w:line="265" w:lineRule="exact"/>
                  <w:ind w:left="20"/>
                  <w:rPr>
                    <w:rFonts w:ascii="Times New Roman"/>
                  </w:rPr>
                </w:pPr>
                <w:r>
                  <w:rPr>
                    <w:rFonts w:ascii="Times New Roman"/>
                  </w:rPr>
                  <w:t>82</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624" from="99.224998pt,707.674988pt" to="243.274998pt,707.674988pt" stroked="true" strokeweight=".60004pt" strokecolor="#000000">
          <w10:wrap type="none"/>
        </v:line>
      </w:pict>
    </w:r>
    <w:r>
      <w:rPr/>
      <w:pict>
        <v:shape style="position:absolute;margin-left:98.224998pt;margin-top:711.513123pt;width:444.1pt;height:39.65pt;mso-position-horizontal-relative:page;mso-position-vertical-relative:page;z-index:-139600" type="#_x0000_t202" filled="false" stroked="false">
          <v:textbox inset="0,0,0,0">
            <w:txbxContent>
              <w:p>
                <w:pPr>
                  <w:spacing w:before="6"/>
                  <w:ind w:left="20" w:right="0" w:firstLine="0"/>
                  <w:jc w:val="left"/>
                  <w:rPr>
                    <w:rFonts w:ascii="Calibri" w:hAnsi="Calibri"/>
                    <w:sz w:val="18"/>
                  </w:rPr>
                </w:pPr>
                <w:r>
                  <w:rPr>
                    <w:position w:val="9"/>
                    <w:sz w:val="12"/>
                  </w:rPr>
                  <w:t>160 </w:t>
                </w:r>
                <w:r>
                  <w:rPr>
                    <w:rFonts w:ascii="Calibri" w:hAnsi="Calibri"/>
                    <w:sz w:val="18"/>
                  </w:rPr>
                  <w:t>WOJTYLA, Karol, “La potencialidad de los medios de información”, en: Popper, Condry, </w:t>
                </w:r>
                <w:r>
                  <w:rPr>
                    <w:rFonts w:ascii="Calibri" w:hAnsi="Calibri"/>
                    <w:i/>
                    <w:sz w:val="18"/>
                  </w:rPr>
                  <w:t>et. al</w:t>
                </w:r>
                <w:r>
                  <w:rPr>
                    <w:rFonts w:ascii="Calibri" w:hAnsi="Calibri"/>
                    <w:sz w:val="18"/>
                  </w:rPr>
                  <w:t>., </w:t>
                </w:r>
                <w:r>
                  <w:rPr>
                    <w:rFonts w:ascii="Calibri" w:hAnsi="Calibri"/>
                    <w:i/>
                    <w:sz w:val="18"/>
                  </w:rPr>
                  <w:t>La televisión es mala </w:t>
                </w:r>
                <w:r>
                  <w:rPr>
                    <w:rFonts w:ascii="Calibri" w:hAnsi="Calibri"/>
                    <w:i/>
                    <w:sz w:val="18"/>
                  </w:rPr>
                  <w:t>maestra</w:t>
                </w:r>
                <w:r>
                  <w:rPr>
                    <w:rFonts w:ascii="Calibri" w:hAnsi="Calibri"/>
                    <w:sz w:val="18"/>
                  </w:rPr>
                  <w:t>, Fondo de Cultura Económica, México, 2006, p. 52</w:t>
                </w:r>
              </w:p>
              <w:p>
                <w:pPr>
                  <w:pStyle w:val="BodyText"/>
                  <w:spacing w:before="23"/>
                  <w:ind w:left="4299" w:right="4303"/>
                  <w:jc w:val="center"/>
                  <w:rPr>
                    <w:rFonts w:ascii="Times New Roman"/>
                  </w:rPr>
                </w:pPr>
                <w:r>
                  <w:rPr>
                    <w:rFonts w:ascii="Times New Roman"/>
                  </w:rPr>
                  <w:t>83</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576" from="99.224998pt,707.674988pt" to="243.274998pt,707.674988pt" stroked="true" strokeweight=".60004pt" strokecolor="#000000">
          <w10:wrap type="none"/>
        </v:line>
      </w:pict>
    </w:r>
    <w:r>
      <w:rPr/>
      <w:pict>
        <v:shape style="position:absolute;margin-left:98.224998pt;margin-top:725.224976pt;width:78.1pt;height:11pt;mso-position-horizontal-relative:page;mso-position-vertical-relative:page;z-index:-139552" type="#_x0000_t202" filled="false" stroked="false">
          <v:textbox inset="0,0,0,0">
            <w:txbxContent>
              <w:p>
                <w:pPr>
                  <w:spacing w:line="203" w:lineRule="exact" w:before="0"/>
                  <w:ind w:left="20" w:right="-2" w:firstLine="0"/>
                  <w:jc w:val="left"/>
                  <w:rPr>
                    <w:rFonts w:ascii="Calibri" w:hAnsi="Calibri"/>
                    <w:i/>
                    <w:sz w:val="18"/>
                  </w:rPr>
                </w:pPr>
                <w:r>
                  <w:rPr>
                    <w:rFonts w:ascii="Calibri" w:hAnsi="Calibri"/>
                    <w:sz w:val="18"/>
                  </w:rPr>
                  <w:t>NUMERALIA, </w:t>
                </w:r>
                <w:r>
                  <w:rPr>
                    <w:rFonts w:ascii="Calibri" w:hAnsi="Calibri"/>
                    <w:i/>
                    <w:sz w:val="18"/>
                  </w:rPr>
                  <w:t>Óp. Cit.</w:t>
                </w:r>
              </w:p>
            </w:txbxContent>
          </v:textbox>
          <w10:wrap type="none"/>
        </v:shape>
      </w:pict>
    </w:r>
    <w:r>
      <w:rPr/>
      <w:pict>
        <v:shape style="position:absolute;margin-left:312.100006pt;margin-top:737.118896pt;width:16pt;height:14pt;mso-position-horizontal-relative:page;mso-position-vertical-relative:page;z-index:-13952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84</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2.100006pt;margin-top:737.118896pt;width:16pt;height:14pt;mso-position-horizontal-relative:page;mso-position-vertical-relative:page;z-index:-13950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85</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2.100006pt;margin-top:737.118896pt;width:16pt;height:14pt;mso-position-horizontal-relative:page;mso-position-vertical-relative:page;z-index:-13948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93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6.700012pt;margin-top:731.125pt;width:18.6pt;height:13pt;mso-position-horizontal-relative:page;mso-position-vertical-relative:page;z-index:-1401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100006pt;margin-top:737.118896pt;width:20pt;height:14pt;mso-position-horizontal-relative:page;mso-position-vertical-relative:page;z-index:-139456"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943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100006pt;margin-top:737.118896pt;width:20pt;height:14pt;mso-position-horizontal-relative:page;mso-position-vertical-relative:page;z-index:-139408" type="#_x0000_t202" filled="false" stroked="false">
          <v:textbox inset="0,0,0,0">
            <w:txbxContent>
              <w:p>
                <w:pPr>
                  <w:pStyle w:val="BodyText"/>
                  <w:spacing w:line="265" w:lineRule="exact"/>
                  <w:ind w:left="20"/>
                  <w:rPr>
                    <w:rFonts w:ascii="Times New Roman"/>
                  </w:rPr>
                </w:pPr>
                <w:r>
                  <w:rPr>
                    <w:rFonts w:ascii="Times New Roman"/>
                  </w:rPr>
                  <w:t>105</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384" from="99.224998pt,685.679993pt" to="243.274998pt,685.679993pt" stroked="true" strokeweight=".60004pt" strokecolor="#000000">
          <w10:wrap type="none"/>
        </v:line>
      </w:pict>
    </w:r>
    <w:r>
      <w:rPr/>
      <w:pict>
        <v:shape style="position:absolute;margin-left:310.100006pt;margin-top:737.118896pt;width:20pt;height:14pt;mso-position-horizontal-relative:page;mso-position-vertical-relative:page;z-index:-139360" type="#_x0000_t202" filled="false" stroked="false">
          <v:textbox inset="0,0,0,0">
            <w:txbxContent>
              <w:p>
                <w:pPr>
                  <w:pStyle w:val="BodyText"/>
                  <w:spacing w:line="265" w:lineRule="exact"/>
                  <w:ind w:left="20"/>
                  <w:rPr>
                    <w:rFonts w:ascii="Times New Roman"/>
                  </w:rPr>
                </w:pPr>
                <w:r>
                  <w:rPr>
                    <w:rFonts w:ascii="Times New Roman"/>
                  </w:rPr>
                  <w:t>106</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933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107</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312" from="99.224998pt,707.674988pt" to="243.274998pt,707.674988pt" stroked="true" strokeweight=".60004pt" strokecolor="#000000">
          <w10:wrap type="none"/>
        </v:line>
      </w:pict>
    </w:r>
    <w:r>
      <w:rPr/>
      <w:pict>
        <v:shape style="position:absolute;margin-left:98.224998pt;margin-top:711.875pt;width:346.3pt;height:39.25pt;mso-position-horizontal-relative:page;mso-position-vertical-relative:page;z-index:-139288" type="#_x0000_t202" filled="false" stroked="false">
          <v:textbox inset="0,0,0,0">
            <w:txbxContent>
              <w:p>
                <w:pPr>
                  <w:spacing w:line="234" w:lineRule="exact" w:before="0"/>
                  <w:ind w:left="20" w:right="0" w:firstLine="0"/>
                  <w:jc w:val="left"/>
                  <w:rPr>
                    <w:rFonts w:ascii="Calibri" w:hAnsi="Calibri"/>
                    <w:sz w:val="18"/>
                  </w:rPr>
                </w:pPr>
                <w:r>
                  <w:rPr>
                    <w:rFonts w:ascii="Calibri" w:hAnsi="Calibri"/>
                    <w:position w:val="9"/>
                    <w:sz w:val="12"/>
                  </w:rPr>
                  <w:t>207  </w:t>
                </w:r>
                <w:r>
                  <w:rPr>
                    <w:rFonts w:ascii="Calibri" w:hAnsi="Calibri"/>
                    <w:sz w:val="18"/>
                  </w:rPr>
                  <w:t>ALTHUSSER, L, </w:t>
                </w:r>
                <w:r>
                  <w:rPr>
                    <w:rFonts w:ascii="Calibri" w:hAnsi="Calibri"/>
                    <w:i/>
                    <w:sz w:val="18"/>
                  </w:rPr>
                  <w:t>Ideología y Aparatos Ideológicos del Estado</w:t>
                </w:r>
                <w:r>
                  <w:rPr>
                    <w:rFonts w:ascii="Calibri" w:hAnsi="Calibri"/>
                    <w:sz w:val="18"/>
                  </w:rPr>
                  <w:t>, Quinto Sol, México, 1994, p. 47</w:t>
                </w:r>
              </w:p>
              <w:p>
                <w:pPr>
                  <w:spacing w:line="236" w:lineRule="exact" w:before="0"/>
                  <w:ind w:left="20" w:right="0" w:firstLine="0"/>
                  <w:jc w:val="left"/>
                  <w:rPr>
                    <w:rFonts w:ascii="Calibri" w:hAnsi="Calibri"/>
                    <w:sz w:val="18"/>
                  </w:rPr>
                </w:pPr>
                <w:r>
                  <w:rPr>
                    <w:rFonts w:ascii="Calibri" w:hAnsi="Calibri"/>
                    <w:position w:val="9"/>
                    <w:sz w:val="12"/>
                  </w:rPr>
                  <w:t>208   </w:t>
                </w:r>
                <w:r>
                  <w:rPr>
                    <w:rFonts w:ascii="Calibri" w:hAnsi="Calibri"/>
                    <w:i/>
                    <w:sz w:val="18"/>
                  </w:rPr>
                  <w:t>Ibíd</w:t>
                </w:r>
                <w:r>
                  <w:rPr>
                    <w:rFonts w:ascii="Calibri" w:hAnsi="Calibri"/>
                    <w:sz w:val="18"/>
                  </w:rPr>
                  <w:t>.  p. 52</w:t>
                </w:r>
              </w:p>
              <w:p>
                <w:pPr>
                  <w:pStyle w:val="BodyText"/>
                  <w:spacing w:before="23"/>
                  <w:ind w:left="4257"/>
                  <w:rPr>
                    <w:rFonts w:ascii="Times New Roman"/>
                  </w:rPr>
                </w:pPr>
                <w:r>
                  <w:rPr/>
                  <w:fldChar w:fldCharType="begin"/>
                </w:r>
                <w:r>
                  <w:rPr>
                    <w:rFonts w:ascii="Times New Roman"/>
                  </w:rPr>
                  <w:instrText> PAGE </w:instrText>
                </w:r>
                <w:r>
                  <w:rPr/>
                  <w:fldChar w:fldCharType="separate"/>
                </w:r>
                <w:r>
                  <w:rPr/>
                  <w:t>115</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264" from="99.224998pt,707.674988pt" to="243.274998pt,707.674988pt" stroked="true" strokeweight=".60004pt" strokecolor="#000000">
          <w10:wrap type="none"/>
        </v:line>
      </w:pict>
    </w:r>
    <w:r>
      <w:rPr/>
      <w:pict>
        <v:shape style="position:absolute;margin-left:98.224998pt;margin-top:711.875pt;width:338.6pt;height:39.25pt;mso-position-horizontal-relative:page;mso-position-vertical-relative:page;z-index:-139240" type="#_x0000_t202" filled="false" stroked="false">
          <v:textbox inset="0,0,0,0">
            <w:txbxContent>
              <w:p>
                <w:pPr>
                  <w:spacing w:line="234" w:lineRule="exact" w:before="0"/>
                  <w:ind w:left="20" w:right="0" w:firstLine="0"/>
                  <w:jc w:val="left"/>
                  <w:rPr>
                    <w:rFonts w:ascii="Calibri" w:hAnsi="Calibri"/>
                    <w:sz w:val="18"/>
                  </w:rPr>
                </w:pPr>
                <w:r>
                  <w:rPr>
                    <w:rFonts w:ascii="Calibri" w:hAnsi="Calibri"/>
                    <w:position w:val="9"/>
                    <w:sz w:val="12"/>
                  </w:rPr>
                  <w:t>209 </w:t>
                </w:r>
                <w:r>
                  <w:rPr>
                    <w:rFonts w:ascii="Calibri" w:hAnsi="Calibri"/>
                    <w:sz w:val="18"/>
                  </w:rPr>
                  <w:t>HABERMAS, Jurgën, </w:t>
                </w:r>
                <w:r>
                  <w:rPr>
                    <w:rFonts w:ascii="Calibri" w:hAnsi="Calibri"/>
                    <w:i/>
                    <w:sz w:val="18"/>
                  </w:rPr>
                  <w:t>Ciencia y tecnología como “ideología”</w:t>
                </w:r>
                <w:r>
                  <w:rPr>
                    <w:rFonts w:ascii="Calibri" w:hAnsi="Calibri"/>
                    <w:sz w:val="18"/>
                  </w:rPr>
                  <w:t>, Tecnos, Madrid, 1994, p. 108.</w:t>
                </w:r>
              </w:p>
              <w:p>
                <w:pPr>
                  <w:spacing w:line="236" w:lineRule="exact" w:before="0"/>
                  <w:ind w:left="20" w:right="0" w:firstLine="0"/>
                  <w:jc w:val="left"/>
                  <w:rPr>
                    <w:rFonts w:ascii="Calibri" w:hAnsi="Calibri"/>
                    <w:sz w:val="18"/>
                  </w:rPr>
                </w:pPr>
                <w:r>
                  <w:rPr>
                    <w:rFonts w:ascii="Calibri" w:hAnsi="Calibri"/>
                    <w:position w:val="9"/>
                    <w:sz w:val="12"/>
                  </w:rPr>
                  <w:t>210 </w:t>
                </w:r>
                <w:r>
                  <w:rPr>
                    <w:rFonts w:ascii="Calibri" w:hAnsi="Calibri"/>
                    <w:sz w:val="18"/>
                  </w:rPr>
                  <w:t>EAGLERTON, Terry, </w:t>
                </w:r>
                <w:r>
                  <w:rPr>
                    <w:rFonts w:ascii="Calibri" w:hAnsi="Calibri"/>
                    <w:i/>
                    <w:sz w:val="18"/>
                  </w:rPr>
                  <w:t>Ideología. Una introducción, </w:t>
                </w:r>
                <w:r>
                  <w:rPr>
                    <w:rFonts w:ascii="Calibri" w:hAnsi="Calibri"/>
                    <w:sz w:val="18"/>
                  </w:rPr>
                  <w:t>Paidós Surcos 9, Barcelona, 2005, p. 31.</w:t>
                </w:r>
              </w:p>
              <w:p>
                <w:pPr>
                  <w:pStyle w:val="BodyText"/>
                  <w:spacing w:before="23"/>
                  <w:ind w:left="4257"/>
                  <w:rPr>
                    <w:rFonts w:ascii="Times New Roman"/>
                  </w:rPr>
                </w:pPr>
                <w:r>
                  <w:rPr>
                    <w:rFonts w:ascii="Times New Roman"/>
                  </w:rPr>
                  <w:t>116</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24998pt;margin-top:722.875pt;width:51.3pt;height:13.35pt;mso-position-horizontal-relative:page;mso-position-vertical-relative:page;z-index:-139216" type="#_x0000_t202" filled="false" stroked="false">
          <v:textbox inset="0,0,0,0">
            <w:txbxContent>
              <w:p>
                <w:pPr>
                  <w:spacing w:line="250" w:lineRule="exact" w:before="0"/>
                  <w:ind w:left="20" w:right="0" w:firstLine="0"/>
                  <w:jc w:val="left"/>
                  <w:rPr>
                    <w:rFonts w:ascii="Calibri" w:hAnsi="Calibri"/>
                    <w:sz w:val="18"/>
                  </w:rPr>
                </w:pPr>
                <w:r>
                  <w:rPr>
                    <w:rFonts w:ascii="Calibri" w:hAnsi="Calibri"/>
                    <w:position w:val="9"/>
                    <w:sz w:val="12"/>
                  </w:rPr>
                  <w:t>211 </w:t>
                </w:r>
                <w:r>
                  <w:rPr>
                    <w:rFonts w:ascii="Calibri" w:hAnsi="Calibri"/>
                    <w:i/>
                    <w:sz w:val="18"/>
                  </w:rPr>
                  <w:t>Ibíd</w:t>
                </w:r>
                <w:r>
                  <w:rPr>
                    <w:rFonts w:ascii="Calibri" w:hAnsi="Calibri"/>
                    <w:sz w:val="18"/>
                  </w:rPr>
                  <w:t>., p 36.</w:t>
                </w:r>
              </w:p>
            </w:txbxContent>
          </v:textbox>
          <w10:wrap type="none"/>
        </v:shape>
      </w:pict>
    </w:r>
    <w:r>
      <w:rPr/>
      <w:pict>
        <v:shape style="position:absolute;margin-left:310.100006pt;margin-top:737.118896pt;width:20pt;height:14pt;mso-position-horizontal-relative:page;mso-position-vertical-relative:page;z-index:-139192" type="#_x0000_t202" filled="false" stroked="false">
          <v:textbox inset="0,0,0,0">
            <w:txbxContent>
              <w:p>
                <w:pPr>
                  <w:pStyle w:val="BodyText"/>
                  <w:spacing w:line="265" w:lineRule="exact"/>
                  <w:ind w:left="20"/>
                  <w:rPr>
                    <w:rFonts w:ascii="Times New Roman"/>
                  </w:rPr>
                </w:pPr>
                <w:r>
                  <w:rPr>
                    <w:rFonts w:ascii="Times New Roman"/>
                  </w:rPr>
                  <w:t>117</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24998pt;margin-top:722.513123pt;width:12.2pt;height:8pt;mso-position-horizontal-relative:page;mso-position-vertical-relative:page;z-index:-139168" type="#_x0000_t202" filled="false" stroked="false">
          <v:textbox inset="0,0,0,0">
            <w:txbxContent>
              <w:p>
                <w:pPr>
                  <w:spacing w:before="4"/>
                  <w:ind w:left="20" w:right="0" w:firstLine="0"/>
                  <w:jc w:val="left"/>
                  <w:rPr>
                    <w:sz w:val="12"/>
                  </w:rPr>
                </w:pPr>
                <w:r>
                  <w:rPr>
                    <w:sz w:val="12"/>
                  </w:rPr>
                  <w:t>215</w:t>
                </w:r>
              </w:p>
            </w:txbxContent>
          </v:textbox>
          <w10:wrap type="none"/>
        </v:shape>
      </w:pict>
    </w:r>
    <w:r>
      <w:rPr/>
      <w:pict>
        <v:shape style="position:absolute;margin-left:113.650002pt;margin-top:725.224976pt;width:293pt;height:25.9pt;mso-position-horizontal-relative:page;mso-position-vertical-relative:page;z-index:-139144" type="#_x0000_t202" filled="false" stroked="false">
          <v:textbox inset="0,0,0,0">
            <w:txbxContent>
              <w:p>
                <w:pPr>
                  <w:spacing w:line="203" w:lineRule="exact" w:before="0"/>
                  <w:ind w:left="20" w:right="-8" w:firstLine="0"/>
                  <w:jc w:val="left"/>
                  <w:rPr>
                    <w:rFonts w:ascii="Calibri" w:hAnsi="Calibri"/>
                    <w:sz w:val="18"/>
                  </w:rPr>
                </w:pPr>
                <w:r>
                  <w:rPr>
                    <w:rFonts w:ascii="Calibri" w:hAnsi="Calibri"/>
                    <w:sz w:val="18"/>
                  </w:rPr>
                  <w:t>FROMM, Erich, </w:t>
                </w:r>
                <w:r>
                  <w:rPr>
                    <w:rFonts w:ascii="Calibri" w:hAnsi="Calibri"/>
                    <w:i/>
                    <w:sz w:val="18"/>
                  </w:rPr>
                  <w:t>Ética y psicoanálisis</w:t>
                </w:r>
                <w:r>
                  <w:rPr>
                    <w:rFonts w:ascii="Calibri" w:hAnsi="Calibri"/>
                    <w:sz w:val="18"/>
                  </w:rPr>
                  <w:t>, Fondo de Cultura Económica, México, 2004</w:t>
                </w:r>
              </w:p>
              <w:p>
                <w:pPr>
                  <w:pStyle w:val="BodyText"/>
                  <w:spacing w:before="23"/>
                  <w:ind w:right="1548"/>
                  <w:jc w:val="right"/>
                  <w:rPr>
                    <w:rFonts w:ascii="Times New Roman"/>
                  </w:rPr>
                </w:pPr>
                <w:r>
                  <w:rPr>
                    <w:rFonts w:ascii="Times New Roman"/>
                  </w:rPr>
                  <w:t>118</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912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119</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700012pt;margin-top:731.125pt;width:12.7pt;height:13pt;mso-position-horizontal-relative:page;mso-position-vertical-relative:page;z-index:-1400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096" from="99.224998pt,718.674988pt" to="243.274998pt,718.674988pt" stroked="true" strokeweight=".60004pt" strokecolor="#000000">
          <w10:wrap type="none"/>
        </v:line>
      </w:pict>
    </w:r>
    <w:r>
      <w:rPr/>
      <w:pict>
        <v:shape style="position:absolute;margin-left:98.224998pt;margin-top:722.875pt;width:139pt;height:13.35pt;mso-position-horizontal-relative:page;mso-position-vertical-relative:page;z-index:-139072" type="#_x0000_t202" filled="false" stroked="false">
          <v:textbox inset="0,0,0,0">
            <w:txbxContent>
              <w:p>
                <w:pPr>
                  <w:spacing w:line="250" w:lineRule="exact" w:before="0"/>
                  <w:ind w:left="20" w:right="-4" w:firstLine="0"/>
                  <w:jc w:val="left"/>
                  <w:rPr>
                    <w:rFonts w:ascii="Calibri" w:hAnsi="Calibri"/>
                    <w:sz w:val="18"/>
                  </w:rPr>
                </w:pPr>
                <w:r>
                  <w:rPr>
                    <w:rFonts w:ascii="Calibri" w:hAnsi="Calibri"/>
                    <w:position w:val="9"/>
                    <w:sz w:val="12"/>
                  </w:rPr>
                  <w:t>236   </w:t>
                </w:r>
                <w:r>
                  <w:rPr>
                    <w:rFonts w:ascii="Calibri" w:hAnsi="Calibri"/>
                    <w:sz w:val="18"/>
                  </w:rPr>
                  <w:t>LUHMANN, Niklas, </w:t>
                </w:r>
                <w:r>
                  <w:rPr>
                    <w:rFonts w:ascii="Calibri" w:hAnsi="Calibri"/>
                    <w:i/>
                    <w:sz w:val="18"/>
                  </w:rPr>
                  <w:t>Óp. Cit.</w:t>
                </w:r>
                <w:r>
                  <w:rPr>
                    <w:rFonts w:ascii="Calibri" w:hAnsi="Calibri"/>
                    <w:sz w:val="18"/>
                  </w:rPr>
                  <w:t>, p. 100</w:t>
                </w:r>
              </w:p>
            </w:txbxContent>
          </v:textbox>
          <w10:wrap type="none"/>
        </v:shape>
      </w:pict>
    </w:r>
    <w:r>
      <w:rPr/>
      <w:pict>
        <v:shape style="position:absolute;margin-left:309.100006pt;margin-top:737.118896pt;width:22pt;height:14pt;mso-position-horizontal-relative:page;mso-position-vertical-relative:page;z-index:-13904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129</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902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130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000" from="99.224998pt,718.674988pt" to="243.274998pt,718.674988pt" stroked="true" strokeweight=".60004pt" strokecolor="#000000">
          <w10:wrap type="none"/>
        </v:line>
      </w:pict>
    </w:r>
    <w:r>
      <w:rPr/>
      <w:pict>
        <v:shape style="position:absolute;margin-left:98.224998pt;margin-top:722.875pt;width:306.05pt;height:28.25pt;mso-position-horizontal-relative:page;mso-position-vertical-relative:page;z-index:-138976" type="#_x0000_t202" filled="false" stroked="false">
          <v:textbox inset="0,0,0,0">
            <w:txbxContent>
              <w:p>
                <w:pPr>
                  <w:spacing w:line="250" w:lineRule="exact" w:before="0"/>
                  <w:ind w:left="20" w:right="0" w:firstLine="0"/>
                  <w:jc w:val="left"/>
                  <w:rPr>
                    <w:rFonts w:ascii="Calibri" w:hAnsi="Calibri"/>
                    <w:sz w:val="18"/>
                  </w:rPr>
                </w:pPr>
                <w:r>
                  <w:rPr>
                    <w:rFonts w:ascii="Calibri" w:hAnsi="Calibri"/>
                    <w:position w:val="9"/>
                    <w:sz w:val="12"/>
                  </w:rPr>
                  <w:t>245 </w:t>
                </w:r>
                <w:r>
                  <w:rPr>
                    <w:rFonts w:ascii="Calibri" w:hAnsi="Calibri"/>
                    <w:sz w:val="18"/>
                  </w:rPr>
                  <w:t>BUENO, Gustavo, </w:t>
                </w:r>
                <w:r>
                  <w:rPr>
                    <w:rFonts w:ascii="Calibri" w:hAnsi="Calibri"/>
                    <w:i/>
                    <w:sz w:val="18"/>
                  </w:rPr>
                  <w:t>Televisión: Apariencia y verdad</w:t>
                </w:r>
                <w:r>
                  <w:rPr>
                    <w:rFonts w:ascii="Calibri" w:hAnsi="Calibri"/>
                    <w:sz w:val="18"/>
                  </w:rPr>
                  <w:t>, Gedisa, Barcelona, 2000, p. 18</w:t>
                </w:r>
              </w:p>
              <w:p>
                <w:pPr>
                  <w:pStyle w:val="BodyText"/>
                  <w:spacing w:before="23"/>
                  <w:ind w:right="1501"/>
                  <w:jc w:val="right"/>
                  <w:rPr>
                    <w:rFonts w:ascii="Times New Roman"/>
                  </w:rPr>
                </w:pPr>
                <w:r>
                  <w:rPr/>
                  <w:fldChar w:fldCharType="begin"/>
                </w:r>
                <w:r>
                  <w:rPr>
                    <w:rFonts w:ascii="Times New Roman"/>
                  </w:rPr>
                  <w:instrText> PAGE </w:instrText>
                </w:r>
                <w:r>
                  <w:rPr/>
                  <w:fldChar w:fldCharType="separate"/>
                </w:r>
                <w:r>
                  <w:rPr/>
                  <w:t>133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24998pt;margin-top:722.875pt;width:369.3pt;height:28.25pt;mso-position-horizontal-relative:page;mso-position-vertical-relative:page;z-index:-138952" type="#_x0000_t202" filled="false" stroked="false">
          <v:textbox inset="0,0,0,0">
            <w:txbxContent>
              <w:p>
                <w:pPr>
                  <w:spacing w:line="250" w:lineRule="exact" w:before="0"/>
                  <w:ind w:left="20" w:right="0" w:firstLine="0"/>
                  <w:jc w:val="left"/>
                  <w:rPr>
                    <w:rFonts w:ascii="Calibri" w:hAnsi="Calibri"/>
                    <w:sz w:val="18"/>
                  </w:rPr>
                </w:pPr>
                <w:r>
                  <w:rPr>
                    <w:rFonts w:ascii="Calibri" w:hAnsi="Calibri"/>
                    <w:position w:val="9"/>
                    <w:sz w:val="12"/>
                  </w:rPr>
                  <w:t>247  </w:t>
                </w:r>
                <w:r>
                  <w:rPr>
                    <w:rFonts w:ascii="Calibri" w:hAnsi="Calibri"/>
                    <w:i/>
                    <w:sz w:val="18"/>
                  </w:rPr>
                  <w:t>PRIETO Castillo, Daniel, Retórica y manipulación masiva, Ediciones Coyoacán, México, 1994. </w:t>
                </w:r>
                <w:r>
                  <w:rPr>
                    <w:rFonts w:ascii="Calibri" w:hAnsi="Calibri"/>
                    <w:sz w:val="18"/>
                  </w:rPr>
                  <w:t>p. 50</w:t>
                </w:r>
              </w:p>
              <w:p>
                <w:pPr>
                  <w:pStyle w:val="BodyText"/>
                  <w:spacing w:before="23"/>
                  <w:ind w:left="4237" w:right="2748"/>
                  <w:jc w:val="center"/>
                  <w:rPr>
                    <w:rFonts w:ascii="Times New Roman"/>
                  </w:rPr>
                </w:pPr>
                <w:r>
                  <w:rPr>
                    <w:rFonts w:ascii="Times New Roman"/>
                  </w:rPr>
                  <w:t>134</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892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135</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890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141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888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157</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856" from="99.224998pt,696.674988pt" to="243.274998pt,696.674988pt" stroked="true" strokeweight=".60004pt" strokecolor="#000000">
          <w10:wrap type="none"/>
        </v:line>
      </w:pict>
    </w:r>
    <w:r>
      <w:rPr/>
      <w:pict>
        <v:shape style="position:absolute;margin-left:98.224998pt;margin-top:722.513123pt;width:35.3pt;height:13.75pt;mso-position-horizontal-relative:page;mso-position-vertical-relative:page;z-index:-138832" type="#_x0000_t202" filled="false" stroked="false">
          <v:textbox inset="0,0,0,0">
            <w:txbxContent>
              <w:p>
                <w:pPr>
                  <w:spacing w:before="6"/>
                  <w:ind w:left="20" w:right="0" w:firstLine="0"/>
                  <w:jc w:val="left"/>
                  <w:rPr>
                    <w:rFonts w:ascii="Calibri" w:hAnsi="Calibri"/>
                    <w:i/>
                    <w:sz w:val="18"/>
                  </w:rPr>
                </w:pPr>
                <w:r>
                  <w:rPr>
                    <w:position w:val="9"/>
                    <w:sz w:val="12"/>
                  </w:rPr>
                  <w:t>297 </w:t>
                </w:r>
                <w:r>
                  <w:rPr>
                    <w:rFonts w:ascii="Calibri" w:hAnsi="Calibri"/>
                    <w:i/>
                    <w:sz w:val="18"/>
                  </w:rPr>
                  <w:t>Ídem.</w:t>
                </w:r>
              </w:p>
            </w:txbxContent>
          </v:textbox>
          <w10:wrap type="none"/>
        </v:shape>
      </w:pict>
    </w:r>
    <w:r>
      <w:rPr/>
      <w:pict>
        <v:shape style="position:absolute;margin-left:309.100006pt;margin-top:737.118896pt;width:22pt;height:14pt;mso-position-horizontal-relative:page;mso-position-vertical-relative:page;z-index:-13880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158</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7.224998pt;margin-top:722.875pt;width:58.85pt;height:13.35pt;mso-position-horizontal-relative:page;mso-position-vertical-relative:page;z-index:-138784" type="#_x0000_t202" filled="false" stroked="false">
          <v:textbox inset="0,0,0,0">
            <w:txbxContent>
              <w:p>
                <w:pPr>
                  <w:spacing w:line="250" w:lineRule="exact" w:before="0"/>
                  <w:ind w:left="40" w:right="-5" w:firstLine="0"/>
                  <w:jc w:val="left"/>
                  <w:rPr>
                    <w:rFonts w:ascii="Calibri" w:hAnsi="Calibri"/>
                    <w:sz w:val="18"/>
                  </w:rPr>
                </w:pPr>
                <w:r>
                  <w:rPr/>
                  <w:fldChar w:fldCharType="begin"/>
                </w:r>
                <w:r>
                  <w:rPr>
                    <w:rFonts w:ascii="Calibri" w:hAnsi="Calibri"/>
                    <w:position w:val="9"/>
                    <w:sz w:val="12"/>
                  </w:rPr>
                  <w:instrText> PAGE </w:instrText>
                </w:r>
                <w:r>
                  <w:rPr/>
                  <w:fldChar w:fldCharType="separate"/>
                </w:r>
                <w:r>
                  <w:rPr/>
                  <w:t>2</w:t>
                </w:r>
                <w:r>
                  <w:rPr/>
                  <w:fldChar w:fldCharType="end"/>
                </w:r>
                <w:r>
                  <w:rPr>
                    <w:rFonts w:ascii="Calibri" w:hAnsi="Calibri"/>
                    <w:position w:val="9"/>
                    <w:sz w:val="12"/>
                  </w:rPr>
                  <w:t>99   </w:t>
                </w:r>
                <w:r>
                  <w:rPr>
                    <w:rFonts w:ascii="Calibri" w:hAnsi="Calibri"/>
                    <w:i/>
                    <w:sz w:val="18"/>
                  </w:rPr>
                  <w:t>Ibíd</w:t>
                </w:r>
                <w:r>
                  <w:rPr>
                    <w:rFonts w:ascii="Calibri" w:hAnsi="Calibri"/>
                    <w:sz w:val="18"/>
                  </w:rPr>
                  <w:t>. p. 179.</w:t>
                </w:r>
              </w:p>
            </w:txbxContent>
          </v:textbox>
          <w10:wrap type="none"/>
        </v:shape>
      </w:pict>
    </w:r>
    <w:r>
      <w:rPr/>
      <w:pict>
        <v:shape style="position:absolute;margin-left:310.100006pt;margin-top:737.118896pt;width:20pt;height:14pt;mso-position-horizontal-relative:page;mso-position-vertical-relative:page;z-index:-138760" type="#_x0000_t202" filled="false" stroked="false">
          <v:textbox inset="0,0,0,0">
            <w:txbxContent>
              <w:p>
                <w:pPr>
                  <w:pStyle w:val="BodyText"/>
                  <w:spacing w:line="265" w:lineRule="exact"/>
                  <w:ind w:left="20"/>
                  <w:rPr>
                    <w:rFonts w:ascii="Times New Roman"/>
                  </w:rPr>
                </w:pPr>
                <w:r>
                  <w:rPr>
                    <w:rFonts w:ascii="Times New Roman"/>
                  </w:rPr>
                  <w:t>159</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7.224998pt;margin-top:722.875pt;width:60.85pt;height:13.35pt;mso-position-horizontal-relative:page;mso-position-vertical-relative:page;z-index:-138736" type="#_x0000_t202" filled="false" stroked="false">
          <v:textbox inset="0,0,0,0">
            <w:txbxContent>
              <w:p>
                <w:pPr>
                  <w:spacing w:line="250" w:lineRule="exact" w:before="0"/>
                  <w:ind w:left="40" w:right="0" w:firstLine="0"/>
                  <w:jc w:val="left"/>
                  <w:rPr>
                    <w:rFonts w:ascii="Calibri" w:hAnsi="Calibri"/>
                    <w:sz w:val="18"/>
                  </w:rPr>
                </w:pPr>
                <w:r>
                  <w:rPr/>
                  <w:fldChar w:fldCharType="begin"/>
                </w:r>
                <w:r>
                  <w:rPr>
                    <w:rFonts w:ascii="Calibri" w:hAnsi="Calibri"/>
                    <w:position w:val="9"/>
                    <w:sz w:val="12"/>
                  </w:rPr>
                  <w:instrText> PAGE </w:instrText>
                </w:r>
                <w:r>
                  <w:rPr/>
                  <w:fldChar w:fldCharType="separate"/>
                </w:r>
                <w:r>
                  <w:rPr/>
                  <w:t>3</w:t>
                </w:r>
                <w:r>
                  <w:rPr/>
                  <w:fldChar w:fldCharType="end"/>
                </w:r>
                <w:r>
                  <w:rPr>
                    <w:rFonts w:ascii="Calibri" w:hAnsi="Calibri"/>
                    <w:position w:val="9"/>
                    <w:sz w:val="12"/>
                  </w:rPr>
                  <w:t>00   </w:t>
                </w:r>
                <w:r>
                  <w:rPr>
                    <w:rFonts w:ascii="Calibri" w:hAnsi="Calibri"/>
                    <w:i/>
                    <w:sz w:val="18"/>
                  </w:rPr>
                  <w:t>Ibíd</w:t>
                </w:r>
                <w:r>
                  <w:rPr>
                    <w:rFonts w:ascii="Calibri" w:hAnsi="Calibri"/>
                    <w:sz w:val="18"/>
                  </w:rPr>
                  <w:t>. p. 180.</w:t>
                </w:r>
              </w:p>
            </w:txbxContent>
          </v:textbox>
          <w10:wrap type="none"/>
        </v:shape>
      </w:pict>
    </w:r>
    <w:r>
      <w:rPr/>
      <w:pict>
        <v:shape style="position:absolute;margin-left:310.100006pt;margin-top:737.118896pt;width:20pt;height:14pt;mso-position-horizontal-relative:page;mso-position-vertical-relative:page;z-index:-138712" type="#_x0000_t202" filled="false" stroked="false">
          <v:textbox inset="0,0,0,0">
            <w:txbxContent>
              <w:p>
                <w:pPr>
                  <w:pStyle w:val="BodyText"/>
                  <w:spacing w:line="265" w:lineRule="exact"/>
                  <w:ind w:left="20"/>
                  <w:rPr>
                    <w:rFonts w:ascii="Times New Roman"/>
                  </w:rPr>
                </w:pPr>
                <w:r>
                  <w:rPr>
                    <w:rFonts w:ascii="Times New Roman"/>
                  </w:rPr>
                  <w:t>160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2.100006pt;margin-top:737.118896pt;width:16pt;height:14pt;mso-position-horizontal-relative:page;mso-position-vertical-relative:page;z-index:-14005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868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162</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866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173</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864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186</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616" from="99.224998pt,707.674988pt" to="243.274998pt,707.674988pt" stroked="true" strokeweight=".60004pt" strokecolor="#000000">
          <w10:wrap type="none"/>
        </v:line>
      </w:pict>
    </w:r>
    <w:r>
      <w:rPr/>
      <w:pict>
        <v:shape style="position:absolute;margin-left:310.100006pt;margin-top:737.118896pt;width:20pt;height:14pt;mso-position-horizontal-relative:page;mso-position-vertical-relative:page;z-index:-138592" type="#_x0000_t202" filled="false" stroked="false">
          <v:textbox inset="0,0,0,0">
            <w:txbxContent>
              <w:p>
                <w:pPr>
                  <w:pStyle w:val="BodyText"/>
                  <w:spacing w:line="265" w:lineRule="exact"/>
                  <w:ind w:left="20"/>
                  <w:rPr>
                    <w:rFonts w:ascii="Times New Roman"/>
                  </w:rPr>
                </w:pPr>
                <w:r>
                  <w:rPr>
                    <w:rFonts w:ascii="Times New Roman"/>
                  </w:rPr>
                  <w:t>190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100006pt;margin-top:737.118896pt;width:20pt;height:14pt;mso-position-horizontal-relative:page;mso-position-vertical-relative:page;z-index:-138568" type="#_x0000_t202" filled="false" stroked="false">
          <v:textbox inset="0,0,0,0">
            <w:txbxContent>
              <w:p>
                <w:pPr>
                  <w:pStyle w:val="BodyText"/>
                  <w:spacing w:line="265" w:lineRule="exact"/>
                  <w:ind w:left="20"/>
                  <w:rPr>
                    <w:rFonts w:ascii="Times New Roman"/>
                  </w:rPr>
                </w:pPr>
                <w:r>
                  <w:rPr>
                    <w:rFonts w:ascii="Times New Roman"/>
                  </w:rPr>
                  <w:t>191</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544" from="99.224998pt,674.679993pt" to="243.274998pt,674.679993pt" stroked="true" strokeweight=".60004pt" strokecolor="#000000">
          <w10:wrap type="none"/>
        </v:line>
      </w:pict>
    </w:r>
    <w:r>
      <w:rPr/>
      <w:pict>
        <v:shape style="position:absolute;margin-left:98.224998pt;margin-top:725.224976pt;width:334.7pt;height:25.9pt;mso-position-horizontal-relative:page;mso-position-vertical-relative:page;z-index:-138520" type="#_x0000_t202" filled="false" stroked="false">
          <v:textbox inset="0,0,0,0">
            <w:txbxContent>
              <w:p>
                <w:pPr>
                  <w:spacing w:line="203" w:lineRule="exact" w:before="0"/>
                  <w:ind w:left="20" w:right="-1" w:firstLine="0"/>
                  <w:jc w:val="left"/>
                  <w:rPr>
                    <w:rFonts w:ascii="Calibri" w:hAnsi="Calibri"/>
                    <w:sz w:val="18"/>
                  </w:rPr>
                </w:pPr>
                <w:r>
                  <w:rPr>
                    <w:rFonts w:ascii="Calibri" w:hAnsi="Calibri"/>
                    <w:sz w:val="18"/>
                  </w:rPr>
                  <w:t>como la obesidad, la diabetes y algunas enfermedades cardiovasculares en niños y adultos.</w:t>
                </w:r>
              </w:p>
              <w:p>
                <w:pPr>
                  <w:pStyle w:val="BodyText"/>
                  <w:spacing w:before="23"/>
                  <w:ind w:left="4257" w:right="-1"/>
                  <w:rPr>
                    <w:rFonts w:ascii="Times New Roman"/>
                  </w:rPr>
                </w:pPr>
                <w:r>
                  <w:rPr/>
                  <w:fldChar w:fldCharType="begin"/>
                </w:r>
                <w:r>
                  <w:rPr>
                    <w:rFonts w:ascii="Times New Roman"/>
                  </w:rPr>
                  <w:instrText> PAGE </w:instrText>
                </w:r>
                <w:r>
                  <w:rPr/>
                  <w:fldChar w:fldCharType="separate"/>
                </w:r>
                <w:r>
                  <w:rPr/>
                  <w:t>192</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849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193</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847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198</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100006pt;margin-top:737.118896pt;width:20pt;height:14pt;mso-position-horizontal-relative:page;mso-position-vertical-relative:page;z-index:-138448" type="#_x0000_t202" filled="false" stroked="false">
          <v:textbox inset="0,0,0,0">
            <w:txbxContent>
              <w:p>
                <w:pPr>
                  <w:pStyle w:val="BodyText"/>
                  <w:spacing w:line="265" w:lineRule="exact"/>
                  <w:ind w:left="20"/>
                  <w:rPr>
                    <w:rFonts w:ascii="Times New Roman"/>
                  </w:rPr>
                </w:pPr>
                <w:r>
                  <w:rPr>
                    <w:rFonts w:ascii="Times New Roman"/>
                  </w:rPr>
                  <w:t>200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424" from="99.224998pt,707.674988pt" to="243.274998pt,707.674988pt" stroked="true" strokeweight=".60004pt" strokecolor="#000000">
          <w10:wrap type="none"/>
        </v:line>
      </w:pict>
    </w:r>
    <w:r>
      <w:rPr/>
      <w:pict>
        <v:shape style="position:absolute;margin-left:310.100006pt;margin-top:737.118896pt;width:20pt;height:14pt;mso-position-horizontal-relative:page;mso-position-vertical-relative:page;z-index:-138400" type="#_x0000_t202" filled="false" stroked="false">
          <v:textbox inset="0,0,0,0">
            <w:txbxContent>
              <w:p>
                <w:pPr>
                  <w:pStyle w:val="BodyText"/>
                  <w:spacing w:line="265" w:lineRule="exact"/>
                  <w:ind w:left="20"/>
                  <w:rPr>
                    <w:rFonts w:ascii="Times New Roman"/>
                  </w:rPr>
                </w:pPr>
                <w:r>
                  <w:rPr>
                    <w:rFonts w:ascii="Times New Roman"/>
                  </w:rPr>
                  <w:t>201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2.100006pt;margin-top:737.118896pt;width:16pt;height:14pt;mso-position-horizontal-relative:page;mso-position-vertical-relative:page;z-index:-14003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29</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837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202</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835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206</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328" from="99.224998pt,696.674988pt" to="243.274998pt,696.674988pt" stroked="true" strokeweight=".60004pt" strokecolor="#000000">
          <w10:wrap type="none"/>
        </v:line>
      </w:pict>
    </w:r>
    <w:r>
      <w:rPr/>
      <w:pict>
        <v:shape style="position:absolute;margin-left:98.224998pt;margin-top:700.875pt;width:55.5pt;height:35.35pt;mso-position-horizontal-relative:page;mso-position-vertical-relative:page;z-index:-138304" type="#_x0000_t202" filled="false" stroked="false">
          <v:textbox inset="0,0,0,0">
            <w:txbxContent>
              <w:p>
                <w:pPr>
                  <w:spacing w:line="234" w:lineRule="exact" w:before="0"/>
                  <w:ind w:left="20" w:right="-6" w:firstLine="0"/>
                  <w:jc w:val="left"/>
                  <w:rPr>
                    <w:rFonts w:ascii="Calibri" w:hAnsi="Calibri"/>
                    <w:i/>
                    <w:sz w:val="18"/>
                  </w:rPr>
                </w:pPr>
                <w:r>
                  <w:rPr>
                    <w:rFonts w:ascii="Calibri" w:hAnsi="Calibri"/>
                    <w:position w:val="9"/>
                    <w:sz w:val="12"/>
                  </w:rPr>
                  <w:t>386  </w:t>
                </w:r>
                <w:r>
                  <w:rPr>
                    <w:rFonts w:ascii="Calibri" w:hAnsi="Calibri"/>
                    <w:i/>
                    <w:sz w:val="18"/>
                  </w:rPr>
                  <w:t>Ídem.</w:t>
                </w:r>
              </w:p>
              <w:p>
                <w:pPr>
                  <w:spacing w:line="220" w:lineRule="exact" w:before="0"/>
                  <w:ind w:left="20" w:right="-6" w:firstLine="0"/>
                  <w:jc w:val="left"/>
                  <w:rPr>
                    <w:rFonts w:ascii="Calibri" w:hAnsi="Calibri"/>
                    <w:sz w:val="18"/>
                  </w:rPr>
                </w:pPr>
                <w:r>
                  <w:rPr>
                    <w:rFonts w:ascii="Calibri" w:hAnsi="Calibri"/>
                    <w:position w:val="9"/>
                    <w:sz w:val="12"/>
                  </w:rPr>
                  <w:t>387   </w:t>
                </w:r>
                <w:r>
                  <w:rPr>
                    <w:rFonts w:ascii="Calibri" w:hAnsi="Calibri"/>
                    <w:i/>
                    <w:sz w:val="18"/>
                  </w:rPr>
                  <w:t>Ibíd., </w:t>
                </w:r>
                <w:r>
                  <w:rPr>
                    <w:rFonts w:ascii="Calibri" w:hAnsi="Calibri"/>
                    <w:sz w:val="18"/>
                  </w:rPr>
                  <w:t>p. 76.</w:t>
                </w:r>
              </w:p>
              <w:p>
                <w:pPr>
                  <w:spacing w:line="236" w:lineRule="exact" w:before="0"/>
                  <w:ind w:left="20" w:right="-6" w:firstLine="0"/>
                  <w:jc w:val="left"/>
                  <w:rPr>
                    <w:rFonts w:ascii="Calibri" w:hAnsi="Calibri"/>
                    <w:sz w:val="18"/>
                  </w:rPr>
                </w:pPr>
                <w:r>
                  <w:rPr>
                    <w:rFonts w:ascii="Calibri" w:hAnsi="Calibri"/>
                    <w:position w:val="9"/>
                    <w:sz w:val="12"/>
                  </w:rPr>
                  <w:t>388  </w:t>
                </w:r>
                <w:r>
                  <w:rPr>
                    <w:rFonts w:ascii="Calibri" w:hAnsi="Calibri"/>
                    <w:i/>
                    <w:sz w:val="18"/>
                  </w:rPr>
                  <w:t>Ídem</w:t>
                </w:r>
                <w:r>
                  <w:rPr>
                    <w:rFonts w:ascii="Calibri" w:hAnsi="Calibri"/>
                    <w:sz w:val="18"/>
                  </w:rPr>
                  <w:t>.</w:t>
                </w:r>
              </w:p>
            </w:txbxContent>
          </v:textbox>
          <w10:wrap type="none"/>
        </v:shape>
      </w:pict>
    </w:r>
    <w:r>
      <w:rPr/>
      <w:pict>
        <v:shape style="position:absolute;margin-left:309.100006pt;margin-top:737.118896pt;width:22pt;height:14pt;mso-position-horizontal-relative:page;mso-position-vertical-relative:page;z-index:-13828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210</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100006pt;margin-top:737.118896pt;width:22pt;height:14pt;mso-position-horizontal-relative:page;mso-position-vertical-relative:page;z-index:-13825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008" from="99.224998pt,714.875pt" to="243.274998pt,714.875pt" stroked="true" strokeweight=".599980pt" strokecolor="#000000">
          <w10:wrap type="none"/>
        </v:line>
      </w:pict>
    </w:r>
    <w:r>
      <w:rPr/>
      <w:pict>
        <v:shape style="position:absolute;margin-left:313.100006pt;margin-top:737.118896pt;width:14pt;height:14pt;mso-position-horizontal-relative:page;mso-position-vertical-relative:page;z-index:-139984" type="#_x0000_t202" filled="false" stroked="false">
          <v:textbox inset="0,0,0,0">
            <w:txbxContent>
              <w:p>
                <w:pPr>
                  <w:pStyle w:val="BodyText"/>
                  <w:spacing w:line="265" w:lineRule="exact"/>
                  <w:ind w:left="20"/>
                  <w:rPr>
                    <w:rFonts w:ascii="Times New Roman"/>
                  </w:rPr>
                </w:pPr>
                <w:r>
                  <w:rPr>
                    <w:rFonts w:ascii="Times New Roman"/>
                  </w:rPr>
                  <w:t>40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2.100006pt;margin-top:737.118896pt;width:16pt;height:14pt;mso-position-horizontal-relative:page;mso-position-vertical-relative:page;z-index:-13996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9936" from="99.224998pt,674.679993pt" to="243.274998pt,674.679993pt" stroked="true" strokeweight=".60004pt" strokecolor="#000000">
          <w10:wrap type="none"/>
        </v:line>
      </w:pict>
    </w:r>
    <w:r>
      <w:rPr/>
      <w:pict>
        <v:shape style="position:absolute;margin-left:312.100006pt;margin-top:737.118896pt;width:16pt;height:14pt;mso-position-horizontal-relative:page;mso-position-vertical-relative:page;z-index:-13991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49</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2.100006pt;margin-top:737.118896pt;width:16pt;height:14pt;mso-position-horizontal-relative:page;mso-position-vertical-relative:page;z-index:-13988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51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decimal"/>
      <w:lvlText w:val="%1."/>
      <w:lvlJc w:val="left"/>
      <w:pPr>
        <w:ind w:left="869" w:hanging="268"/>
        <w:jc w:val="right"/>
      </w:pPr>
      <w:rPr>
        <w:rFonts w:hint="default" w:ascii="Arial" w:hAnsi="Arial" w:eastAsia="Arial" w:cs="Arial"/>
        <w:b/>
        <w:bCs/>
        <w:spacing w:val="-2"/>
        <w:w w:val="99"/>
        <w:sz w:val="24"/>
        <w:szCs w:val="24"/>
      </w:rPr>
    </w:lvl>
    <w:lvl w:ilvl="1">
      <w:start w:val="1"/>
      <w:numFmt w:val="lowerLetter"/>
      <w:lvlText w:val="%2."/>
      <w:lvlJc w:val="left"/>
      <w:pPr>
        <w:ind w:left="951" w:hanging="268"/>
        <w:jc w:val="right"/>
      </w:pPr>
      <w:rPr>
        <w:rFonts w:hint="default" w:ascii="Arial" w:hAnsi="Arial" w:eastAsia="Arial" w:cs="Arial"/>
        <w:b/>
        <w:bCs/>
        <w:spacing w:val="-2"/>
        <w:w w:val="99"/>
        <w:sz w:val="24"/>
        <w:szCs w:val="24"/>
      </w:rPr>
    </w:lvl>
    <w:lvl w:ilvl="2">
      <w:start w:val="1"/>
      <w:numFmt w:val="bullet"/>
      <w:lvlText w:val="•"/>
      <w:lvlJc w:val="left"/>
      <w:pPr>
        <w:ind w:left="960" w:hanging="268"/>
      </w:pPr>
      <w:rPr>
        <w:rFonts w:hint="default"/>
      </w:rPr>
    </w:lvl>
    <w:lvl w:ilvl="3">
      <w:start w:val="1"/>
      <w:numFmt w:val="bullet"/>
      <w:lvlText w:val="•"/>
      <w:lvlJc w:val="left"/>
      <w:pPr>
        <w:ind w:left="1992" w:hanging="268"/>
      </w:pPr>
      <w:rPr>
        <w:rFonts w:hint="default"/>
      </w:rPr>
    </w:lvl>
    <w:lvl w:ilvl="4">
      <w:start w:val="1"/>
      <w:numFmt w:val="bullet"/>
      <w:lvlText w:val="•"/>
      <w:lvlJc w:val="left"/>
      <w:pPr>
        <w:ind w:left="3025" w:hanging="268"/>
      </w:pPr>
      <w:rPr>
        <w:rFonts w:hint="default"/>
      </w:rPr>
    </w:lvl>
    <w:lvl w:ilvl="5">
      <w:start w:val="1"/>
      <w:numFmt w:val="bullet"/>
      <w:lvlText w:val="•"/>
      <w:lvlJc w:val="left"/>
      <w:pPr>
        <w:ind w:left="4057" w:hanging="268"/>
      </w:pPr>
      <w:rPr>
        <w:rFonts w:hint="default"/>
      </w:rPr>
    </w:lvl>
    <w:lvl w:ilvl="6">
      <w:start w:val="1"/>
      <w:numFmt w:val="bullet"/>
      <w:lvlText w:val="•"/>
      <w:lvlJc w:val="left"/>
      <w:pPr>
        <w:ind w:left="5090" w:hanging="268"/>
      </w:pPr>
      <w:rPr>
        <w:rFonts w:hint="default"/>
      </w:rPr>
    </w:lvl>
    <w:lvl w:ilvl="7">
      <w:start w:val="1"/>
      <w:numFmt w:val="bullet"/>
      <w:lvlText w:val="•"/>
      <w:lvlJc w:val="left"/>
      <w:pPr>
        <w:ind w:left="6122" w:hanging="268"/>
      </w:pPr>
      <w:rPr>
        <w:rFonts w:hint="default"/>
      </w:rPr>
    </w:lvl>
    <w:lvl w:ilvl="8">
      <w:start w:val="1"/>
      <w:numFmt w:val="bullet"/>
      <w:lvlText w:val="•"/>
      <w:lvlJc w:val="left"/>
      <w:pPr>
        <w:ind w:left="7155" w:hanging="268"/>
      </w:pPr>
      <w:rPr>
        <w:rFonts w:hint="default"/>
      </w:rPr>
    </w:lvl>
  </w:abstractNum>
  <w:abstractNum w:abstractNumId="2">
    <w:multiLevelType w:val="hybridMultilevel"/>
    <w:lvl w:ilvl="0">
      <w:start w:val="1"/>
      <w:numFmt w:val="decimal"/>
      <w:lvlText w:val="%1."/>
      <w:lvlJc w:val="left"/>
      <w:pPr>
        <w:ind w:left="2496" w:hanging="268"/>
        <w:jc w:val="right"/>
      </w:pPr>
      <w:rPr>
        <w:rFonts w:hint="default" w:ascii="Arial" w:hAnsi="Arial" w:eastAsia="Arial" w:cs="Arial"/>
        <w:b/>
        <w:bCs/>
        <w:spacing w:val="-2"/>
        <w:w w:val="99"/>
        <w:sz w:val="24"/>
        <w:szCs w:val="24"/>
      </w:rPr>
    </w:lvl>
    <w:lvl w:ilvl="1">
      <w:start w:val="1"/>
      <w:numFmt w:val="lowerLetter"/>
      <w:lvlText w:val="%2."/>
      <w:lvlJc w:val="left"/>
      <w:pPr>
        <w:ind w:left="1019" w:hanging="336"/>
        <w:jc w:val="right"/>
      </w:pPr>
      <w:rPr>
        <w:rFonts w:hint="default" w:ascii="Arial" w:hAnsi="Arial" w:eastAsia="Arial" w:cs="Arial"/>
        <w:b/>
        <w:bCs/>
        <w:spacing w:val="-5"/>
        <w:w w:val="99"/>
        <w:sz w:val="24"/>
        <w:szCs w:val="24"/>
      </w:rPr>
    </w:lvl>
    <w:lvl w:ilvl="2">
      <w:start w:val="1"/>
      <w:numFmt w:val="decimal"/>
      <w:lvlText w:val="%3."/>
      <w:lvlJc w:val="left"/>
      <w:pPr>
        <w:ind w:left="985" w:hanging="360"/>
        <w:jc w:val="right"/>
      </w:pPr>
      <w:rPr>
        <w:rFonts w:hint="default" w:ascii="Arial" w:hAnsi="Arial" w:eastAsia="Arial" w:cs="Arial"/>
        <w:b/>
        <w:bCs/>
        <w:spacing w:val="-2"/>
        <w:w w:val="99"/>
        <w:sz w:val="24"/>
        <w:szCs w:val="24"/>
      </w:rPr>
    </w:lvl>
    <w:lvl w:ilvl="3">
      <w:start w:val="1"/>
      <w:numFmt w:val="lowerLetter"/>
      <w:lvlText w:val="%4."/>
      <w:lvlJc w:val="left"/>
      <w:pPr>
        <w:ind w:left="951" w:hanging="268"/>
        <w:jc w:val="left"/>
      </w:pPr>
      <w:rPr>
        <w:rFonts w:hint="default" w:ascii="Arial" w:hAnsi="Arial" w:eastAsia="Arial" w:cs="Arial"/>
        <w:b/>
        <w:bCs/>
        <w:spacing w:val="-2"/>
        <w:w w:val="99"/>
        <w:sz w:val="24"/>
        <w:szCs w:val="24"/>
      </w:rPr>
    </w:lvl>
    <w:lvl w:ilvl="4">
      <w:start w:val="1"/>
      <w:numFmt w:val="bullet"/>
      <w:lvlText w:val="•"/>
      <w:lvlJc w:val="left"/>
      <w:pPr>
        <w:ind w:left="2500" w:hanging="268"/>
      </w:pPr>
      <w:rPr>
        <w:rFonts w:hint="default"/>
      </w:rPr>
    </w:lvl>
    <w:lvl w:ilvl="5">
      <w:start w:val="1"/>
      <w:numFmt w:val="bullet"/>
      <w:lvlText w:val="•"/>
      <w:lvlJc w:val="left"/>
      <w:pPr>
        <w:ind w:left="3620" w:hanging="268"/>
      </w:pPr>
      <w:rPr>
        <w:rFonts w:hint="default"/>
      </w:rPr>
    </w:lvl>
    <w:lvl w:ilvl="6">
      <w:start w:val="1"/>
      <w:numFmt w:val="bullet"/>
      <w:lvlText w:val="•"/>
      <w:lvlJc w:val="left"/>
      <w:pPr>
        <w:ind w:left="4740" w:hanging="268"/>
      </w:pPr>
      <w:rPr>
        <w:rFonts w:hint="default"/>
      </w:rPr>
    </w:lvl>
    <w:lvl w:ilvl="7">
      <w:start w:val="1"/>
      <w:numFmt w:val="bullet"/>
      <w:lvlText w:val="•"/>
      <w:lvlJc w:val="left"/>
      <w:pPr>
        <w:ind w:left="5860" w:hanging="268"/>
      </w:pPr>
      <w:rPr>
        <w:rFonts w:hint="default"/>
      </w:rPr>
    </w:lvl>
    <w:lvl w:ilvl="8">
      <w:start w:val="1"/>
      <w:numFmt w:val="bullet"/>
      <w:lvlText w:val="•"/>
      <w:lvlJc w:val="left"/>
      <w:pPr>
        <w:ind w:left="6980" w:hanging="268"/>
      </w:pPr>
      <w:rPr>
        <w:rFonts w:hint="default"/>
      </w:rPr>
    </w:lvl>
  </w:abstractNum>
  <w:abstractNum w:abstractNumId="9">
    <w:multiLevelType w:val="hybridMultilevel"/>
    <w:lvl w:ilvl="0">
      <w:start w:val="1"/>
      <w:numFmt w:val="decimal"/>
      <w:lvlText w:val="%1."/>
      <w:lvlJc w:val="left"/>
      <w:pPr>
        <w:ind w:left="264" w:hanging="709"/>
        <w:jc w:val="left"/>
      </w:pPr>
      <w:rPr>
        <w:rFonts w:hint="default" w:ascii="Calibri" w:hAnsi="Calibri" w:eastAsia="Calibri" w:cs="Calibri"/>
        <w:w w:val="99"/>
        <w:sz w:val="22"/>
        <w:szCs w:val="22"/>
      </w:rPr>
    </w:lvl>
    <w:lvl w:ilvl="1">
      <w:start w:val="1"/>
      <w:numFmt w:val="bullet"/>
      <w:lvlText w:val="•"/>
      <w:lvlJc w:val="left"/>
      <w:pPr>
        <w:ind w:left="1166" w:hanging="709"/>
      </w:pPr>
      <w:rPr>
        <w:rFonts w:hint="default"/>
      </w:rPr>
    </w:lvl>
    <w:lvl w:ilvl="2">
      <w:start w:val="1"/>
      <w:numFmt w:val="bullet"/>
      <w:lvlText w:val="•"/>
      <w:lvlJc w:val="left"/>
      <w:pPr>
        <w:ind w:left="2072" w:hanging="709"/>
      </w:pPr>
      <w:rPr>
        <w:rFonts w:hint="default"/>
      </w:rPr>
    </w:lvl>
    <w:lvl w:ilvl="3">
      <w:start w:val="1"/>
      <w:numFmt w:val="bullet"/>
      <w:lvlText w:val="•"/>
      <w:lvlJc w:val="left"/>
      <w:pPr>
        <w:ind w:left="2978" w:hanging="709"/>
      </w:pPr>
      <w:rPr>
        <w:rFonts w:hint="default"/>
      </w:rPr>
    </w:lvl>
    <w:lvl w:ilvl="4">
      <w:start w:val="1"/>
      <w:numFmt w:val="bullet"/>
      <w:lvlText w:val="•"/>
      <w:lvlJc w:val="left"/>
      <w:pPr>
        <w:ind w:left="3884" w:hanging="709"/>
      </w:pPr>
      <w:rPr>
        <w:rFonts w:hint="default"/>
      </w:rPr>
    </w:lvl>
    <w:lvl w:ilvl="5">
      <w:start w:val="1"/>
      <w:numFmt w:val="bullet"/>
      <w:lvlText w:val="•"/>
      <w:lvlJc w:val="left"/>
      <w:pPr>
        <w:ind w:left="4790" w:hanging="709"/>
      </w:pPr>
      <w:rPr>
        <w:rFonts w:hint="default"/>
      </w:rPr>
    </w:lvl>
    <w:lvl w:ilvl="6">
      <w:start w:val="1"/>
      <w:numFmt w:val="bullet"/>
      <w:lvlText w:val="•"/>
      <w:lvlJc w:val="left"/>
      <w:pPr>
        <w:ind w:left="5696" w:hanging="709"/>
      </w:pPr>
      <w:rPr>
        <w:rFonts w:hint="default"/>
      </w:rPr>
    </w:lvl>
    <w:lvl w:ilvl="7">
      <w:start w:val="1"/>
      <w:numFmt w:val="bullet"/>
      <w:lvlText w:val="•"/>
      <w:lvlJc w:val="left"/>
      <w:pPr>
        <w:ind w:left="6602" w:hanging="709"/>
      </w:pPr>
      <w:rPr>
        <w:rFonts w:hint="default"/>
      </w:rPr>
    </w:lvl>
    <w:lvl w:ilvl="8">
      <w:start w:val="1"/>
      <w:numFmt w:val="bullet"/>
      <w:lvlText w:val="•"/>
      <w:lvlJc w:val="left"/>
      <w:pPr>
        <w:ind w:left="7508" w:hanging="709"/>
      </w:pPr>
      <w:rPr>
        <w:rFonts w:hint="default"/>
      </w:rPr>
    </w:lvl>
  </w:abstractNum>
  <w:abstractNum w:abstractNumId="8">
    <w:multiLevelType w:val="hybridMultilevel"/>
    <w:lvl w:ilvl="0">
      <w:start w:val="1"/>
      <w:numFmt w:val="decimal"/>
      <w:lvlText w:val="%1."/>
      <w:lvlJc w:val="left"/>
      <w:pPr>
        <w:ind w:left="1117" w:hanging="433"/>
        <w:jc w:val="right"/>
      </w:pPr>
      <w:rPr>
        <w:rFonts w:hint="default"/>
        <w:spacing w:val="-3"/>
        <w:w w:val="100"/>
      </w:rPr>
    </w:lvl>
    <w:lvl w:ilvl="1">
      <w:start w:val="1"/>
      <w:numFmt w:val="bullet"/>
      <w:lvlText w:val="•"/>
      <w:lvlJc w:val="left"/>
      <w:pPr>
        <w:ind w:left="1940" w:hanging="433"/>
      </w:pPr>
      <w:rPr>
        <w:rFonts w:hint="default"/>
      </w:rPr>
    </w:lvl>
    <w:lvl w:ilvl="2">
      <w:start w:val="1"/>
      <w:numFmt w:val="bullet"/>
      <w:lvlText w:val="•"/>
      <w:lvlJc w:val="left"/>
      <w:pPr>
        <w:ind w:left="2760" w:hanging="433"/>
      </w:pPr>
      <w:rPr>
        <w:rFonts w:hint="default"/>
      </w:rPr>
    </w:lvl>
    <w:lvl w:ilvl="3">
      <w:start w:val="1"/>
      <w:numFmt w:val="bullet"/>
      <w:lvlText w:val="•"/>
      <w:lvlJc w:val="left"/>
      <w:pPr>
        <w:ind w:left="3580" w:hanging="433"/>
      </w:pPr>
      <w:rPr>
        <w:rFonts w:hint="default"/>
      </w:rPr>
    </w:lvl>
    <w:lvl w:ilvl="4">
      <w:start w:val="1"/>
      <w:numFmt w:val="bullet"/>
      <w:lvlText w:val="•"/>
      <w:lvlJc w:val="left"/>
      <w:pPr>
        <w:ind w:left="4400" w:hanging="433"/>
      </w:pPr>
      <w:rPr>
        <w:rFonts w:hint="default"/>
      </w:rPr>
    </w:lvl>
    <w:lvl w:ilvl="5">
      <w:start w:val="1"/>
      <w:numFmt w:val="bullet"/>
      <w:lvlText w:val="•"/>
      <w:lvlJc w:val="left"/>
      <w:pPr>
        <w:ind w:left="5220" w:hanging="433"/>
      </w:pPr>
      <w:rPr>
        <w:rFonts w:hint="default"/>
      </w:rPr>
    </w:lvl>
    <w:lvl w:ilvl="6">
      <w:start w:val="1"/>
      <w:numFmt w:val="bullet"/>
      <w:lvlText w:val="•"/>
      <w:lvlJc w:val="left"/>
      <w:pPr>
        <w:ind w:left="6040" w:hanging="433"/>
      </w:pPr>
      <w:rPr>
        <w:rFonts w:hint="default"/>
      </w:rPr>
    </w:lvl>
    <w:lvl w:ilvl="7">
      <w:start w:val="1"/>
      <w:numFmt w:val="bullet"/>
      <w:lvlText w:val="•"/>
      <w:lvlJc w:val="left"/>
      <w:pPr>
        <w:ind w:left="6860" w:hanging="433"/>
      </w:pPr>
      <w:rPr>
        <w:rFonts w:hint="default"/>
      </w:rPr>
    </w:lvl>
    <w:lvl w:ilvl="8">
      <w:start w:val="1"/>
      <w:numFmt w:val="bullet"/>
      <w:lvlText w:val="•"/>
      <w:lvlJc w:val="left"/>
      <w:pPr>
        <w:ind w:left="7680" w:hanging="433"/>
      </w:pPr>
      <w:rPr>
        <w:rFonts w:hint="default"/>
      </w:rPr>
    </w:lvl>
  </w:abstractNum>
  <w:abstractNum w:abstractNumId="6">
    <w:multiLevelType w:val="hybridMultilevel"/>
    <w:lvl w:ilvl="0">
      <w:start w:val="1"/>
      <w:numFmt w:val="decimal"/>
      <w:lvlText w:val="%1."/>
      <w:lvlJc w:val="left"/>
      <w:pPr>
        <w:ind w:left="697" w:hanging="433"/>
        <w:jc w:val="right"/>
      </w:pPr>
      <w:rPr>
        <w:rFonts w:hint="default" w:ascii="Arial" w:hAnsi="Arial" w:eastAsia="Arial" w:cs="Arial"/>
        <w:spacing w:val="-13"/>
        <w:w w:val="99"/>
        <w:sz w:val="20"/>
        <w:szCs w:val="20"/>
      </w:rPr>
    </w:lvl>
    <w:lvl w:ilvl="1">
      <w:start w:val="1"/>
      <w:numFmt w:val="bullet"/>
      <w:lvlText w:val="•"/>
      <w:lvlJc w:val="left"/>
      <w:pPr>
        <w:ind w:left="1562" w:hanging="433"/>
      </w:pPr>
      <w:rPr>
        <w:rFonts w:hint="default"/>
      </w:rPr>
    </w:lvl>
    <w:lvl w:ilvl="2">
      <w:start w:val="1"/>
      <w:numFmt w:val="bullet"/>
      <w:lvlText w:val="•"/>
      <w:lvlJc w:val="left"/>
      <w:pPr>
        <w:ind w:left="2424" w:hanging="433"/>
      </w:pPr>
      <w:rPr>
        <w:rFonts w:hint="default"/>
      </w:rPr>
    </w:lvl>
    <w:lvl w:ilvl="3">
      <w:start w:val="1"/>
      <w:numFmt w:val="bullet"/>
      <w:lvlText w:val="•"/>
      <w:lvlJc w:val="left"/>
      <w:pPr>
        <w:ind w:left="3286" w:hanging="433"/>
      </w:pPr>
      <w:rPr>
        <w:rFonts w:hint="default"/>
      </w:rPr>
    </w:lvl>
    <w:lvl w:ilvl="4">
      <w:start w:val="1"/>
      <w:numFmt w:val="bullet"/>
      <w:lvlText w:val="•"/>
      <w:lvlJc w:val="left"/>
      <w:pPr>
        <w:ind w:left="4148" w:hanging="433"/>
      </w:pPr>
      <w:rPr>
        <w:rFonts w:hint="default"/>
      </w:rPr>
    </w:lvl>
    <w:lvl w:ilvl="5">
      <w:start w:val="1"/>
      <w:numFmt w:val="bullet"/>
      <w:lvlText w:val="•"/>
      <w:lvlJc w:val="left"/>
      <w:pPr>
        <w:ind w:left="5010" w:hanging="433"/>
      </w:pPr>
      <w:rPr>
        <w:rFonts w:hint="default"/>
      </w:rPr>
    </w:lvl>
    <w:lvl w:ilvl="6">
      <w:start w:val="1"/>
      <w:numFmt w:val="bullet"/>
      <w:lvlText w:val="•"/>
      <w:lvlJc w:val="left"/>
      <w:pPr>
        <w:ind w:left="5872" w:hanging="433"/>
      </w:pPr>
      <w:rPr>
        <w:rFonts w:hint="default"/>
      </w:rPr>
    </w:lvl>
    <w:lvl w:ilvl="7">
      <w:start w:val="1"/>
      <w:numFmt w:val="bullet"/>
      <w:lvlText w:val="•"/>
      <w:lvlJc w:val="left"/>
      <w:pPr>
        <w:ind w:left="6734" w:hanging="433"/>
      </w:pPr>
      <w:rPr>
        <w:rFonts w:hint="default"/>
      </w:rPr>
    </w:lvl>
    <w:lvl w:ilvl="8">
      <w:start w:val="1"/>
      <w:numFmt w:val="bullet"/>
      <w:lvlText w:val="•"/>
      <w:lvlJc w:val="left"/>
      <w:pPr>
        <w:ind w:left="7596" w:hanging="433"/>
      </w:pPr>
      <w:rPr>
        <w:rFonts w:hint="default"/>
      </w:rPr>
    </w:lvl>
  </w:abstractNum>
  <w:abstractNum w:abstractNumId="5">
    <w:multiLevelType w:val="hybridMultilevel"/>
    <w:lvl w:ilvl="0">
      <w:start w:val="137"/>
      <w:numFmt w:val="decimal"/>
      <w:lvlText w:val="%1."/>
      <w:lvlJc w:val="left"/>
      <w:pPr>
        <w:ind w:left="264" w:hanging="322"/>
        <w:jc w:val="left"/>
      </w:pPr>
      <w:rPr>
        <w:rFonts w:hint="default"/>
        <w:spacing w:val="-2"/>
        <w:u w:val="single" w:color="0000FF"/>
      </w:rPr>
    </w:lvl>
    <w:lvl w:ilvl="1">
      <w:start w:val="4"/>
      <w:numFmt w:val="decimal"/>
      <w:lvlText w:val="%2."/>
      <w:lvlJc w:val="left"/>
      <w:pPr>
        <w:ind w:left="880" w:hanging="268"/>
        <w:jc w:val="right"/>
      </w:pPr>
      <w:rPr>
        <w:rFonts w:hint="default" w:ascii="Arial" w:hAnsi="Arial" w:eastAsia="Arial" w:cs="Arial"/>
        <w:b/>
        <w:bCs/>
        <w:spacing w:val="-2"/>
        <w:w w:val="99"/>
        <w:sz w:val="24"/>
        <w:szCs w:val="24"/>
      </w:rPr>
    </w:lvl>
    <w:lvl w:ilvl="2">
      <w:start w:val="1"/>
      <w:numFmt w:val="lowerLetter"/>
      <w:lvlText w:val="%3."/>
      <w:lvlJc w:val="left"/>
      <w:pPr>
        <w:ind w:left="951" w:hanging="268"/>
        <w:jc w:val="left"/>
      </w:pPr>
      <w:rPr>
        <w:rFonts w:hint="default" w:ascii="Arial" w:hAnsi="Arial" w:eastAsia="Arial" w:cs="Arial"/>
        <w:b/>
        <w:bCs/>
        <w:spacing w:val="-2"/>
        <w:w w:val="99"/>
        <w:sz w:val="24"/>
        <w:szCs w:val="24"/>
      </w:rPr>
    </w:lvl>
    <w:lvl w:ilvl="3">
      <w:start w:val="1"/>
      <w:numFmt w:val="bullet"/>
      <w:lvlText w:val="•"/>
      <w:lvlJc w:val="left"/>
      <w:pPr>
        <w:ind w:left="960" w:hanging="268"/>
      </w:pPr>
      <w:rPr>
        <w:rFonts w:hint="default"/>
      </w:rPr>
    </w:lvl>
    <w:lvl w:ilvl="4">
      <w:start w:val="1"/>
      <w:numFmt w:val="bullet"/>
      <w:lvlText w:val="•"/>
      <w:lvlJc w:val="left"/>
      <w:pPr>
        <w:ind w:left="2140" w:hanging="268"/>
      </w:pPr>
      <w:rPr>
        <w:rFonts w:hint="default"/>
      </w:rPr>
    </w:lvl>
    <w:lvl w:ilvl="5">
      <w:start w:val="1"/>
      <w:numFmt w:val="bullet"/>
      <w:lvlText w:val="•"/>
      <w:lvlJc w:val="left"/>
      <w:pPr>
        <w:ind w:left="3320" w:hanging="268"/>
      </w:pPr>
      <w:rPr>
        <w:rFonts w:hint="default"/>
      </w:rPr>
    </w:lvl>
    <w:lvl w:ilvl="6">
      <w:start w:val="1"/>
      <w:numFmt w:val="bullet"/>
      <w:lvlText w:val="•"/>
      <w:lvlJc w:val="left"/>
      <w:pPr>
        <w:ind w:left="4500" w:hanging="268"/>
      </w:pPr>
      <w:rPr>
        <w:rFonts w:hint="default"/>
      </w:rPr>
    </w:lvl>
    <w:lvl w:ilvl="7">
      <w:start w:val="1"/>
      <w:numFmt w:val="bullet"/>
      <w:lvlText w:val="•"/>
      <w:lvlJc w:val="left"/>
      <w:pPr>
        <w:ind w:left="5680" w:hanging="268"/>
      </w:pPr>
      <w:rPr>
        <w:rFonts w:hint="default"/>
      </w:rPr>
    </w:lvl>
    <w:lvl w:ilvl="8">
      <w:start w:val="1"/>
      <w:numFmt w:val="bullet"/>
      <w:lvlText w:val="•"/>
      <w:lvlJc w:val="left"/>
      <w:pPr>
        <w:ind w:left="6860" w:hanging="268"/>
      </w:pPr>
      <w:rPr>
        <w:rFonts w:hint="default"/>
      </w:rPr>
    </w:lvl>
  </w:abstractNum>
  <w:abstractNum w:abstractNumId="4">
    <w:multiLevelType w:val="hybridMultilevel"/>
    <w:lvl w:ilvl="0">
      <w:start w:val="1"/>
      <w:numFmt w:val="bullet"/>
      <w:lvlText w:val="–"/>
      <w:lvlJc w:val="left"/>
      <w:pPr>
        <w:ind w:left="973" w:hanging="196"/>
      </w:pPr>
      <w:rPr>
        <w:rFonts w:hint="default" w:ascii="Arial" w:hAnsi="Arial" w:eastAsia="Arial" w:cs="Arial"/>
        <w:w w:val="99"/>
        <w:sz w:val="22"/>
        <w:szCs w:val="22"/>
      </w:rPr>
    </w:lvl>
    <w:lvl w:ilvl="1">
      <w:start w:val="1"/>
      <w:numFmt w:val="bullet"/>
      <w:lvlText w:val="•"/>
      <w:lvlJc w:val="left"/>
      <w:pPr>
        <w:ind w:left="1814" w:hanging="196"/>
      </w:pPr>
      <w:rPr>
        <w:rFonts w:hint="default"/>
      </w:rPr>
    </w:lvl>
    <w:lvl w:ilvl="2">
      <w:start w:val="1"/>
      <w:numFmt w:val="bullet"/>
      <w:lvlText w:val="•"/>
      <w:lvlJc w:val="left"/>
      <w:pPr>
        <w:ind w:left="2648" w:hanging="196"/>
      </w:pPr>
      <w:rPr>
        <w:rFonts w:hint="default"/>
      </w:rPr>
    </w:lvl>
    <w:lvl w:ilvl="3">
      <w:start w:val="1"/>
      <w:numFmt w:val="bullet"/>
      <w:lvlText w:val="•"/>
      <w:lvlJc w:val="left"/>
      <w:pPr>
        <w:ind w:left="3482" w:hanging="196"/>
      </w:pPr>
      <w:rPr>
        <w:rFonts w:hint="default"/>
      </w:rPr>
    </w:lvl>
    <w:lvl w:ilvl="4">
      <w:start w:val="1"/>
      <w:numFmt w:val="bullet"/>
      <w:lvlText w:val="•"/>
      <w:lvlJc w:val="left"/>
      <w:pPr>
        <w:ind w:left="4316" w:hanging="196"/>
      </w:pPr>
      <w:rPr>
        <w:rFonts w:hint="default"/>
      </w:rPr>
    </w:lvl>
    <w:lvl w:ilvl="5">
      <w:start w:val="1"/>
      <w:numFmt w:val="bullet"/>
      <w:lvlText w:val="•"/>
      <w:lvlJc w:val="left"/>
      <w:pPr>
        <w:ind w:left="5150" w:hanging="196"/>
      </w:pPr>
      <w:rPr>
        <w:rFonts w:hint="default"/>
      </w:rPr>
    </w:lvl>
    <w:lvl w:ilvl="6">
      <w:start w:val="1"/>
      <w:numFmt w:val="bullet"/>
      <w:lvlText w:val="•"/>
      <w:lvlJc w:val="left"/>
      <w:pPr>
        <w:ind w:left="5984" w:hanging="196"/>
      </w:pPr>
      <w:rPr>
        <w:rFonts w:hint="default"/>
      </w:rPr>
    </w:lvl>
    <w:lvl w:ilvl="7">
      <w:start w:val="1"/>
      <w:numFmt w:val="bullet"/>
      <w:lvlText w:val="•"/>
      <w:lvlJc w:val="left"/>
      <w:pPr>
        <w:ind w:left="6818" w:hanging="196"/>
      </w:pPr>
      <w:rPr>
        <w:rFonts w:hint="default"/>
      </w:rPr>
    </w:lvl>
    <w:lvl w:ilvl="8">
      <w:start w:val="1"/>
      <w:numFmt w:val="bullet"/>
      <w:lvlText w:val="•"/>
      <w:lvlJc w:val="left"/>
      <w:pPr>
        <w:ind w:left="7652" w:hanging="196"/>
      </w:pPr>
      <w:rPr>
        <w:rFonts w:hint="default"/>
      </w:rPr>
    </w:lvl>
  </w:abstractNum>
  <w:abstractNum w:abstractNumId="3">
    <w:multiLevelType w:val="hybridMultilevel"/>
    <w:lvl w:ilvl="0">
      <w:start w:val="1"/>
      <w:numFmt w:val="lowerLetter"/>
      <w:lvlText w:val="%1."/>
      <w:lvlJc w:val="left"/>
      <w:pPr>
        <w:ind w:left="264" w:hanging="340"/>
        <w:jc w:val="right"/>
      </w:pPr>
      <w:rPr>
        <w:rFonts w:hint="default" w:ascii="Arial" w:hAnsi="Arial" w:eastAsia="Arial" w:cs="Arial"/>
        <w:b/>
        <w:bCs/>
        <w:spacing w:val="-10"/>
        <w:w w:val="99"/>
        <w:sz w:val="24"/>
        <w:szCs w:val="24"/>
      </w:rPr>
    </w:lvl>
    <w:lvl w:ilvl="1">
      <w:start w:val="1"/>
      <w:numFmt w:val="bullet"/>
      <w:lvlText w:val="•"/>
      <w:lvlJc w:val="left"/>
      <w:pPr>
        <w:ind w:left="860" w:hanging="340"/>
      </w:pPr>
      <w:rPr>
        <w:rFonts w:hint="default"/>
      </w:rPr>
    </w:lvl>
    <w:lvl w:ilvl="2">
      <w:start w:val="1"/>
      <w:numFmt w:val="bullet"/>
      <w:lvlText w:val="•"/>
      <w:lvlJc w:val="left"/>
      <w:pPr>
        <w:ind w:left="1788" w:hanging="340"/>
      </w:pPr>
      <w:rPr>
        <w:rFonts w:hint="default"/>
      </w:rPr>
    </w:lvl>
    <w:lvl w:ilvl="3">
      <w:start w:val="1"/>
      <w:numFmt w:val="bullet"/>
      <w:lvlText w:val="•"/>
      <w:lvlJc w:val="left"/>
      <w:pPr>
        <w:ind w:left="2717" w:hanging="340"/>
      </w:pPr>
      <w:rPr>
        <w:rFonts w:hint="default"/>
      </w:rPr>
    </w:lvl>
    <w:lvl w:ilvl="4">
      <w:start w:val="1"/>
      <w:numFmt w:val="bullet"/>
      <w:lvlText w:val="•"/>
      <w:lvlJc w:val="left"/>
      <w:pPr>
        <w:ind w:left="3646" w:hanging="340"/>
      </w:pPr>
      <w:rPr>
        <w:rFonts w:hint="default"/>
      </w:rPr>
    </w:lvl>
    <w:lvl w:ilvl="5">
      <w:start w:val="1"/>
      <w:numFmt w:val="bullet"/>
      <w:lvlText w:val="•"/>
      <w:lvlJc w:val="left"/>
      <w:pPr>
        <w:ind w:left="4575" w:hanging="340"/>
      </w:pPr>
      <w:rPr>
        <w:rFonts w:hint="default"/>
      </w:rPr>
    </w:lvl>
    <w:lvl w:ilvl="6">
      <w:start w:val="1"/>
      <w:numFmt w:val="bullet"/>
      <w:lvlText w:val="•"/>
      <w:lvlJc w:val="left"/>
      <w:pPr>
        <w:ind w:left="5504" w:hanging="340"/>
      </w:pPr>
      <w:rPr>
        <w:rFonts w:hint="default"/>
      </w:rPr>
    </w:lvl>
    <w:lvl w:ilvl="7">
      <w:start w:val="1"/>
      <w:numFmt w:val="bullet"/>
      <w:lvlText w:val="•"/>
      <w:lvlJc w:val="left"/>
      <w:pPr>
        <w:ind w:left="6433" w:hanging="340"/>
      </w:pPr>
      <w:rPr>
        <w:rFonts w:hint="default"/>
      </w:rPr>
    </w:lvl>
    <w:lvl w:ilvl="8">
      <w:start w:val="1"/>
      <w:numFmt w:val="bullet"/>
      <w:lvlText w:val="•"/>
      <w:lvlJc w:val="left"/>
      <w:pPr>
        <w:ind w:left="7362" w:hanging="340"/>
      </w:pPr>
      <w:rPr>
        <w:rFonts w:hint="default"/>
      </w:rPr>
    </w:lvl>
  </w:abstractNum>
  <w:abstractNum w:abstractNumId="1">
    <w:multiLevelType w:val="hybridMultilevel"/>
    <w:lvl w:ilvl="0">
      <w:start w:val="4"/>
      <w:numFmt w:val="decimal"/>
      <w:lvlText w:val="%1."/>
      <w:lvlJc w:val="left"/>
      <w:pPr>
        <w:ind w:left="367" w:hanging="268"/>
        <w:jc w:val="left"/>
      </w:pPr>
      <w:rPr>
        <w:rFonts w:hint="default" w:ascii="Arial" w:hAnsi="Arial" w:eastAsia="Arial" w:cs="Arial"/>
        <w:spacing w:val="-2"/>
        <w:w w:val="99"/>
        <w:sz w:val="24"/>
        <w:szCs w:val="24"/>
      </w:rPr>
    </w:lvl>
    <w:lvl w:ilvl="1">
      <w:start w:val="1"/>
      <w:numFmt w:val="lowerLetter"/>
      <w:lvlText w:val="%2."/>
      <w:lvlJc w:val="left"/>
      <w:pPr>
        <w:ind w:left="367" w:hanging="268"/>
        <w:jc w:val="left"/>
      </w:pPr>
      <w:rPr>
        <w:rFonts w:hint="default" w:ascii="Arial" w:hAnsi="Arial" w:eastAsia="Arial" w:cs="Arial"/>
        <w:spacing w:val="-2"/>
        <w:w w:val="99"/>
        <w:sz w:val="24"/>
        <w:szCs w:val="24"/>
      </w:rPr>
    </w:lvl>
    <w:lvl w:ilvl="2">
      <w:start w:val="1"/>
      <w:numFmt w:val="decimal"/>
      <w:lvlText w:val="%3."/>
      <w:lvlJc w:val="left"/>
      <w:pPr>
        <w:ind w:left="367" w:hanging="268"/>
        <w:jc w:val="left"/>
      </w:pPr>
      <w:rPr>
        <w:rFonts w:hint="default" w:ascii="Arial" w:hAnsi="Arial" w:eastAsia="Arial" w:cs="Arial"/>
        <w:spacing w:val="-2"/>
        <w:w w:val="99"/>
        <w:sz w:val="24"/>
        <w:szCs w:val="24"/>
      </w:rPr>
    </w:lvl>
    <w:lvl w:ilvl="3">
      <w:start w:val="1"/>
      <w:numFmt w:val="lowerLetter"/>
      <w:lvlText w:val="%4."/>
      <w:lvlJc w:val="left"/>
      <w:pPr>
        <w:ind w:left="367" w:hanging="268"/>
        <w:jc w:val="left"/>
      </w:pPr>
      <w:rPr>
        <w:rFonts w:hint="default" w:ascii="Arial" w:hAnsi="Arial" w:eastAsia="Arial" w:cs="Arial"/>
        <w:spacing w:val="-2"/>
        <w:w w:val="99"/>
        <w:sz w:val="24"/>
        <w:szCs w:val="24"/>
      </w:rPr>
    </w:lvl>
    <w:lvl w:ilvl="4">
      <w:start w:val="1"/>
      <w:numFmt w:val="bullet"/>
      <w:lvlText w:val="•"/>
      <w:lvlJc w:val="left"/>
      <w:pPr>
        <w:ind w:left="3872" w:hanging="268"/>
      </w:pPr>
      <w:rPr>
        <w:rFonts w:hint="default"/>
      </w:rPr>
    </w:lvl>
    <w:lvl w:ilvl="5">
      <w:start w:val="1"/>
      <w:numFmt w:val="bullet"/>
      <w:lvlText w:val="•"/>
      <w:lvlJc w:val="left"/>
      <w:pPr>
        <w:ind w:left="4750" w:hanging="268"/>
      </w:pPr>
      <w:rPr>
        <w:rFonts w:hint="default"/>
      </w:rPr>
    </w:lvl>
    <w:lvl w:ilvl="6">
      <w:start w:val="1"/>
      <w:numFmt w:val="bullet"/>
      <w:lvlText w:val="•"/>
      <w:lvlJc w:val="left"/>
      <w:pPr>
        <w:ind w:left="5628" w:hanging="268"/>
      </w:pPr>
      <w:rPr>
        <w:rFonts w:hint="default"/>
      </w:rPr>
    </w:lvl>
    <w:lvl w:ilvl="7">
      <w:start w:val="1"/>
      <w:numFmt w:val="bullet"/>
      <w:lvlText w:val="•"/>
      <w:lvlJc w:val="left"/>
      <w:pPr>
        <w:ind w:left="6506" w:hanging="268"/>
      </w:pPr>
      <w:rPr>
        <w:rFonts w:hint="default"/>
      </w:rPr>
    </w:lvl>
    <w:lvl w:ilvl="8">
      <w:start w:val="1"/>
      <w:numFmt w:val="bullet"/>
      <w:lvlText w:val="•"/>
      <w:lvlJc w:val="left"/>
      <w:pPr>
        <w:ind w:left="7384" w:hanging="268"/>
      </w:pPr>
      <w:rPr>
        <w:rFonts w:hint="default"/>
      </w:rPr>
    </w:lvl>
  </w:abstractNum>
  <w:abstractNum w:abstractNumId="0">
    <w:multiLevelType w:val="hybridMultilevel"/>
    <w:lvl w:ilvl="0">
      <w:start w:val="2"/>
      <w:numFmt w:val="lowerLetter"/>
      <w:lvlText w:val="%1."/>
      <w:lvlJc w:val="left"/>
      <w:pPr>
        <w:ind w:left="367" w:hanging="268"/>
        <w:jc w:val="left"/>
      </w:pPr>
      <w:rPr>
        <w:rFonts w:hint="default" w:ascii="Arial" w:hAnsi="Arial" w:eastAsia="Arial" w:cs="Arial"/>
        <w:spacing w:val="-2"/>
        <w:w w:val="99"/>
        <w:sz w:val="24"/>
        <w:szCs w:val="24"/>
      </w:rPr>
    </w:lvl>
    <w:lvl w:ilvl="1">
      <w:start w:val="1"/>
      <w:numFmt w:val="bullet"/>
      <w:lvlText w:val="•"/>
      <w:lvlJc w:val="left"/>
      <w:pPr>
        <w:ind w:left="1238" w:hanging="268"/>
      </w:pPr>
      <w:rPr>
        <w:rFonts w:hint="default"/>
      </w:rPr>
    </w:lvl>
    <w:lvl w:ilvl="2">
      <w:start w:val="1"/>
      <w:numFmt w:val="bullet"/>
      <w:lvlText w:val="•"/>
      <w:lvlJc w:val="left"/>
      <w:pPr>
        <w:ind w:left="2116" w:hanging="268"/>
      </w:pPr>
      <w:rPr>
        <w:rFonts w:hint="default"/>
      </w:rPr>
    </w:lvl>
    <w:lvl w:ilvl="3">
      <w:start w:val="1"/>
      <w:numFmt w:val="bullet"/>
      <w:lvlText w:val="•"/>
      <w:lvlJc w:val="left"/>
      <w:pPr>
        <w:ind w:left="2994" w:hanging="268"/>
      </w:pPr>
      <w:rPr>
        <w:rFonts w:hint="default"/>
      </w:rPr>
    </w:lvl>
    <w:lvl w:ilvl="4">
      <w:start w:val="1"/>
      <w:numFmt w:val="bullet"/>
      <w:lvlText w:val="•"/>
      <w:lvlJc w:val="left"/>
      <w:pPr>
        <w:ind w:left="3872" w:hanging="268"/>
      </w:pPr>
      <w:rPr>
        <w:rFonts w:hint="default"/>
      </w:rPr>
    </w:lvl>
    <w:lvl w:ilvl="5">
      <w:start w:val="1"/>
      <w:numFmt w:val="bullet"/>
      <w:lvlText w:val="•"/>
      <w:lvlJc w:val="left"/>
      <w:pPr>
        <w:ind w:left="4750" w:hanging="268"/>
      </w:pPr>
      <w:rPr>
        <w:rFonts w:hint="default"/>
      </w:rPr>
    </w:lvl>
    <w:lvl w:ilvl="6">
      <w:start w:val="1"/>
      <w:numFmt w:val="bullet"/>
      <w:lvlText w:val="•"/>
      <w:lvlJc w:val="left"/>
      <w:pPr>
        <w:ind w:left="5628" w:hanging="268"/>
      </w:pPr>
      <w:rPr>
        <w:rFonts w:hint="default"/>
      </w:rPr>
    </w:lvl>
    <w:lvl w:ilvl="7">
      <w:start w:val="1"/>
      <w:numFmt w:val="bullet"/>
      <w:lvlText w:val="•"/>
      <w:lvlJc w:val="left"/>
      <w:pPr>
        <w:ind w:left="6506" w:hanging="268"/>
      </w:pPr>
      <w:rPr>
        <w:rFonts w:hint="default"/>
      </w:rPr>
    </w:lvl>
    <w:lvl w:ilvl="8">
      <w:start w:val="1"/>
      <w:numFmt w:val="bullet"/>
      <w:lvlText w:val="•"/>
      <w:lvlJc w:val="left"/>
      <w:pPr>
        <w:ind w:left="7384" w:hanging="268"/>
      </w:pPr>
      <w:rPr>
        <w:rFonts w:hint="default"/>
      </w:rPr>
    </w:lvl>
  </w:abstractNum>
  <w:num w:numId="8">
    <w:abstractNumId w:val="7"/>
  </w:num>
  <w:num w:numId="3">
    <w:abstractNumId w:val="2"/>
  </w:num>
  <w:num w:numId="10">
    <w:abstractNumId w:val="9"/>
  </w:num>
  <w:num w:numId="9">
    <w:abstractNumId w:val="8"/>
  </w:num>
  <w:num w:numId="7">
    <w:abstractNumId w:val="6"/>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0"/>
      <w:ind w:left="367" w:hanging="267"/>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4"/>
      <w:ind w:left="1199" w:right="579"/>
      <w:jc w:val="center"/>
      <w:outlineLvl w:val="1"/>
    </w:pPr>
    <w:rPr>
      <w:rFonts w:ascii="Arial" w:hAnsi="Arial" w:eastAsia="Arial" w:cs="Arial"/>
      <w:b/>
      <w:bCs/>
      <w:sz w:val="28"/>
      <w:szCs w:val="28"/>
    </w:rPr>
  </w:style>
  <w:style w:styleId="Heading2" w:type="paragraph">
    <w:name w:val="Heading 2"/>
    <w:basedOn w:val="Normal"/>
    <w:uiPriority w:val="1"/>
    <w:qFormat/>
    <w:pPr>
      <w:ind w:left="697"/>
      <w:outlineLvl w:val="2"/>
    </w:pPr>
    <w:rPr>
      <w:rFonts w:ascii="Tunga" w:hAnsi="Tunga" w:eastAsia="Tunga" w:cs="Tunga"/>
      <w:sz w:val="26"/>
      <w:szCs w:val="26"/>
    </w:rPr>
  </w:style>
  <w:style w:styleId="Heading3" w:type="paragraph">
    <w:name w:val="Heading 3"/>
    <w:basedOn w:val="Normal"/>
    <w:uiPriority w:val="1"/>
    <w:qFormat/>
    <w:pPr>
      <w:spacing w:before="36"/>
      <w:ind w:left="3662"/>
      <w:outlineLvl w:val="3"/>
    </w:pPr>
    <w:rPr>
      <w:rFonts w:ascii="Cambria" w:hAnsi="Cambria" w:eastAsia="Cambria" w:cs="Cambria"/>
      <w:b/>
      <w:bCs/>
      <w:sz w:val="24"/>
      <w:szCs w:val="24"/>
    </w:rPr>
  </w:style>
  <w:style w:styleId="ListParagraph" w:type="paragraph">
    <w:name w:val="List Paragraph"/>
    <w:basedOn w:val="Normal"/>
    <w:uiPriority w:val="1"/>
    <w:qFormat/>
    <w:pPr>
      <w:ind w:left="367" w:hanging="267"/>
    </w:pPr>
    <w:rPr>
      <w:rFonts w:ascii="Arial" w:hAnsi="Arial" w:eastAsia="Arial" w:cs="Arial"/>
    </w:rPr>
  </w:style>
  <w:style w:styleId="TableParagraph" w:type="paragraph">
    <w:name w:val="Table Paragraph"/>
    <w:basedOn w:val="Normal"/>
    <w:uiPriority w:val="1"/>
    <w:qFormat/>
    <w:pPr>
      <w:spacing w:before="57"/>
      <w:ind w:left="3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image" Target="media/image3.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hyperlink" Target="http://en.scientificcommons.org/jes%C3%BAs_edgar_l%C3%B3pez_g%C3%B3mez" TargetMode="External"/><Relationship Id="rId13" Type="http://schemas.openxmlformats.org/officeDocument/2006/relationships/hyperlink" Target="http://redalyc.uaemex.mx/pdf/819/81943808.pdf" TargetMode="External"/><Relationship Id="rId14" Type="http://schemas.openxmlformats.org/officeDocument/2006/relationships/hyperlink" Target="http://www.e-torredebabel.com/Historia-de-la-filosofia/Filosofiamedievalymoderna/Kant/Kant-Libertad.htm" TargetMode="External"/><Relationship Id="rId15" Type="http://schemas.openxmlformats.org/officeDocument/2006/relationships/hyperlink" Target="http://www.inventati.org/ingobernables/textos/anarquistas/chomsky-control.pdf" TargetMode="External"/><Relationship Id="rId16" Type="http://schemas.openxmlformats.org/officeDocument/2006/relationships/hyperlink" Target="http://www.itescam.edu.mx/principal/sylabus/fpdb/recursos/r41644.DOC" TargetMode="External"/><Relationship Id="rId17" Type="http://schemas.openxmlformats.org/officeDocument/2006/relationships/hyperlink" Target="http://www.jornada.unam.mx/2006/03/30/index.php?section=opinion&amp;amp;article=010a1po" TargetMode="External"/><Relationship Id="rId18" Type="http://schemas.openxmlformats.org/officeDocument/2006/relationships/hyperlink" Target="http://books.google.com.mx/books?id=GQMH7v0KnZwC&amp;amp;printsec=frontcover&amp;amp;hl=es%23v%3Donepage&amp;amp;q&amp;amp;f=false" TargetMode="External"/><Relationship Id="rId19" Type="http://schemas.openxmlformats.org/officeDocument/2006/relationships/hyperlink" Target="http://ucab.academia.edu/LuisMiguelRomeroRodr%C3%ADguez/Papers/1267515/La_manipulacion_informativa_y_la_desinformacion_La_anomia_de_los_receptores_y_el_fomento_de_victimas_propiciatorias" TargetMode="External"/><Relationship Id="rId20" Type="http://schemas.openxmlformats.org/officeDocument/2006/relationships/hyperlink" Target="http://kamita.com/misc/nc/textos/seattle.htm" TargetMode="External"/><Relationship Id="rId21" Type="http://schemas.openxmlformats.org/officeDocument/2006/relationships/hyperlink" Target="http://www.psiconet.org/fromm/fromm.htm" TargetMode="External"/><Relationship Id="rId22" Type="http://schemas.openxmlformats.org/officeDocument/2006/relationships/hyperlink" Target="http://es.wikipedia.org/wiki/Lobby" TargetMode="External"/><Relationship Id="rId23" Type="http://schemas.openxmlformats.org/officeDocument/2006/relationships/hyperlink" Target="http://www.fundacionpreciado.org.mx/biencomun/bc170/Numeralia.pdf" TargetMode="External"/><Relationship Id="rId24" Type="http://schemas.openxmlformats.org/officeDocument/2006/relationships/hyperlink" Target="http://jorgeluis-catedra.blogspot.mx/2010/07/la-t-v-en-honduras-encuesta.html%23!/2010/07/la-t-v-en-honduras-encuesta.html" TargetMode="External"/><Relationship Id="rId25" Type="http://schemas.openxmlformats.org/officeDocument/2006/relationships/hyperlink" Target="http://revistabimensualup.files.wordpress.com/2007/09/d2-historiadelastelecomunicacionesenmxicooriginal1.pdf" TargetMode="External"/><Relationship Id="rId26" Type="http://schemas.openxmlformats.org/officeDocument/2006/relationships/footer" Target="footer5.xml"/><Relationship Id="rId27" Type="http://schemas.openxmlformats.org/officeDocument/2006/relationships/hyperlink" Target="http://www.historicas.unam.mx/moderna/ehmc/ehmc09/114.html" TargetMode="External"/><Relationship Id="rId28" Type="http://schemas.openxmlformats.org/officeDocument/2006/relationships/hyperlink" Target="http://dspace.universia.net/bitstream/2024/1192/1/CRONOLOGIA%2BDE%2BLA%2BTELEVISION%2BMEXICANA-1.pdf" TargetMode="External"/><Relationship Id="rId29" Type="http://schemas.openxmlformats.org/officeDocument/2006/relationships/hyperlink" Target="mailto:ilan@colmex.mx" TargetMode="External"/><Relationship Id="rId30" Type="http://schemas.openxmlformats.org/officeDocument/2006/relationships/hyperlink" Target="http://cei.colmex.mx/PDFs/Prof%20Bizberg/Movimientos.pdf" TargetMode="External"/><Relationship Id="rId31" Type="http://schemas.openxmlformats.org/officeDocument/2006/relationships/hyperlink" Target="http://redalyc.uaemex.mx/pdf/168/16801416.pdf" TargetMode="External"/><Relationship Id="rId32" Type="http://schemas.openxmlformats.org/officeDocument/2006/relationships/hyperlink" Target="http://fenixestructura.wordpress.com/2009/10/22/el-esperado-podcast-%c2%a1nuestro-primer-podcast/" TargetMode="External"/><Relationship Id="rId33" Type="http://schemas.openxmlformats.org/officeDocument/2006/relationships/footer" Target="footer6.xml"/><Relationship Id="rId34" Type="http://schemas.openxmlformats.org/officeDocument/2006/relationships/footer" Target="footer7.xml"/><Relationship Id="rId35" Type="http://schemas.openxmlformats.org/officeDocument/2006/relationships/hyperlink" Target="http://www.cepc.es/rap/Publicaciones/Revistas/3/REPNE_074_353.pdf" TargetMode="External"/><Relationship Id="rId36" Type="http://schemas.openxmlformats.org/officeDocument/2006/relationships/hyperlink" Target="http://www.fespinal.com/espinal/llib/es112.pdf" TargetMode="External"/><Relationship Id="rId37" Type="http://schemas.openxmlformats.org/officeDocument/2006/relationships/hyperlink" Target="http://es.wikipedia.org/wiki/Imevisi%C3%B3n" TargetMode="External"/><Relationship Id="rId38" Type="http://schemas.openxmlformats.org/officeDocument/2006/relationships/hyperlink" Target="http://www.rieoei.org/rie48a07.pdf" TargetMode="External"/><Relationship Id="rId39" Type="http://schemas.openxmlformats.org/officeDocument/2006/relationships/hyperlink" Target="http://www.monografias.com/trabajos87/politica-economica-carlos-salinas-gortari-1988-1994/politica-economica-carlos-salinas-gortari-1988-1994.shtml" TargetMode="External"/><Relationship Id="rId40" Type="http://schemas.openxmlformats.org/officeDocument/2006/relationships/hyperlink" Target="http://www.eumed.net/cursecon/ecolat/mx/2005/rgj.htm" TargetMode="External"/><Relationship Id="rId41" Type="http://schemas.openxmlformats.org/officeDocument/2006/relationships/hyperlink" Target="http://www.economia.unam.mx/publicaciones/carta/06.html" TargetMode="External"/><Relationship Id="rId42" Type="http://schemas.openxmlformats.org/officeDocument/2006/relationships/footer" Target="footer8.xml"/><Relationship Id="rId43" Type="http://schemas.openxmlformats.org/officeDocument/2006/relationships/hyperlink" Target="http://redalyc.uaemex.mx/pdf/376/37603408.pdf" TargetMode="External"/><Relationship Id="rId44" Type="http://schemas.openxmlformats.org/officeDocument/2006/relationships/footer" Target="footer9.xml"/><Relationship Id="rId45" Type="http://schemas.openxmlformats.org/officeDocument/2006/relationships/hyperlink" Target="http://www.eumed.net/rev/china/10/cgir.htm" TargetMode="External"/><Relationship Id="rId46" Type="http://schemas.openxmlformats.org/officeDocument/2006/relationships/hyperlink" Target="http://www.sitesmexico.com/notas/2009/julio/pobres-mexico-millones.htm" TargetMode="External"/><Relationship Id="rId47" Type="http://schemas.openxmlformats.org/officeDocument/2006/relationships/hyperlink" Target="http://www.undp.un.hn/publicaciones/colecciones/VP_13.pdf" TargetMode="External"/><Relationship Id="rId48" Type="http://schemas.openxmlformats.org/officeDocument/2006/relationships/hyperlink" Target="http://www.comparte.org/accion/Dossier%25Honduras.pdf" TargetMode="External"/><Relationship Id="rId49" Type="http://schemas.openxmlformats.org/officeDocument/2006/relationships/hyperlink" Target="http://www.indexmundi.com/es/honduras/poblacion.html" TargetMode="External"/><Relationship Id="rId50" Type="http://schemas.openxmlformats.org/officeDocument/2006/relationships/hyperlink" Target="http://www.diarioextra.com/notigex/show_news.php?subaction=showfull&amp;amp;id=1215814783&amp;amp;archive=1215852083&amp;amp;template" TargetMode="External"/><Relationship Id="rId51" Type="http://schemas.openxmlformats.org/officeDocument/2006/relationships/hyperlink" Target="http://www.envio.org.ni/articulo/2653" TargetMode="External"/><Relationship Id="rId52" Type="http://schemas.openxmlformats.org/officeDocument/2006/relationships/hyperlink" Target="http://www.envio.org.ni/articulo/987" TargetMode="External"/><Relationship Id="rId53" Type="http://schemas.openxmlformats.org/officeDocument/2006/relationships/hyperlink" Target="http://www.mayra-falck.rds.hn/doc/enfoquedesarrollorural/equidad_pobreza.pdf" TargetMode="External"/><Relationship Id="rId54" Type="http://schemas.openxmlformats.org/officeDocument/2006/relationships/hyperlink" Target="http://www.maec.es/es/MenuPpal/Paises/ArbolPaises/Honduras/Monografia/Documents/Honduras.pdf" TargetMode="External"/><Relationship Id="rId55" Type="http://schemas.openxmlformats.org/officeDocument/2006/relationships/footer" Target="footer10.xml"/><Relationship Id="rId56" Type="http://schemas.openxmlformats.org/officeDocument/2006/relationships/hyperlink" Target="http://elpais.com/diario/1998/08/09/internacional/902613613_850215.html" TargetMode="External"/><Relationship Id="rId57" Type="http://schemas.openxmlformats.org/officeDocument/2006/relationships/hyperlink" Target="http://www.ibe.unesco.org/International/ICE/natrap/Honduras.pdf" TargetMode="External"/><Relationship Id="rId58" Type="http://schemas.openxmlformats.org/officeDocument/2006/relationships/hyperlink" Target="http://catrachocell.com/2009/06/historia-de-celtelcomo-surge-tigo-en.html" TargetMode="External"/><Relationship Id="rId59" Type="http://schemas.openxmlformats.org/officeDocument/2006/relationships/hyperlink" Target="http://www.cidob.org/es/documentacion/biografias_lideres_politicos/america_central_y_caribe/honduras/manuel_zelaya_rosales" TargetMode="External"/><Relationship Id="rId60" Type="http://schemas.openxmlformats.org/officeDocument/2006/relationships/hyperlink" Target="http://library.fes.de/pdf-files/bueros/c3-comunicacion/07475.pdf" TargetMode="External"/><Relationship Id="rId61" Type="http://schemas.openxmlformats.org/officeDocument/2006/relationships/hyperlink" Target="http://grupo.us.es/grehcco/ambitos05/esteinou.pdf" TargetMode="External"/><Relationship Id="rId62" Type="http://schemas.openxmlformats.org/officeDocument/2006/relationships/hyperlink" Target="http://es.scribd.com/doc/59135590/La-television-como-medio-de-transformacion-de-la-identidad-cultural-a-traves-de-la-publicidad" TargetMode="External"/><Relationship Id="rId63" Type="http://schemas.openxmlformats.org/officeDocument/2006/relationships/hyperlink" Target="http://es.answers.yahoo.com/question/index?qid=20070519150635AAWZVY5" TargetMode="External"/><Relationship Id="rId64" Type="http://schemas.openxmlformats.org/officeDocument/2006/relationships/hyperlink" Target="http://redalyc.uaemex.mx/pdf/158/15811864011.pdf" TargetMode="External"/><Relationship Id="rId65" Type="http://schemas.openxmlformats.org/officeDocument/2006/relationships/footer" Target="footer11.xml"/><Relationship Id="rId66" Type="http://schemas.openxmlformats.org/officeDocument/2006/relationships/footer" Target="footer12.xml"/><Relationship Id="rId67" Type="http://schemas.openxmlformats.org/officeDocument/2006/relationships/footer" Target="footer13.xml"/><Relationship Id="rId68" Type="http://schemas.openxmlformats.org/officeDocument/2006/relationships/hyperlink" Target="http://www.upv.es/satelite/trabajos/pract_8/intelsat/intro.htm" TargetMode="External"/><Relationship Id="rId69" Type="http://schemas.openxmlformats.org/officeDocument/2006/relationships/footer" Target="footer14.xml"/><Relationship Id="rId70" Type="http://schemas.openxmlformats.org/officeDocument/2006/relationships/hyperlink" Target="http://radioprensaytelevision.blogspot.mx/2011/05/cronologia-de-la-historia-de-la-tv-en_1768.html" TargetMode="External"/><Relationship Id="rId71" Type="http://schemas.openxmlformats.org/officeDocument/2006/relationships/footer" Target="footer15.xml"/><Relationship Id="rId72" Type="http://schemas.openxmlformats.org/officeDocument/2006/relationships/hyperlink" Target="http://www.discursos.org/oldarticles/An%E1lisis%20del%20discurso%20ideol%F3gico.pdf" TargetMode="External"/><Relationship Id="rId73" Type="http://schemas.openxmlformats.org/officeDocument/2006/relationships/footer" Target="footer16.xml"/><Relationship Id="rId74" Type="http://schemas.openxmlformats.org/officeDocument/2006/relationships/footer" Target="footer17.xml"/><Relationship Id="rId75" Type="http://schemas.openxmlformats.org/officeDocument/2006/relationships/footer" Target="footer18.xml"/><Relationship Id="rId76" Type="http://schemas.openxmlformats.org/officeDocument/2006/relationships/hyperlink" Target="http://www.quadraquinta.org/referencias-bibliograficas/libroscomentados/television-subliminalhtml" TargetMode="External"/><Relationship Id="rId77" Type="http://schemas.openxmlformats.org/officeDocument/2006/relationships/hyperlink" Target="http://www.quadernsdigitals.net/index%2Cphp?accionMenu=hemeroteca.VisualizaArticuloIU.visualiza&amp;amp;articulo_id=697" TargetMode="External"/><Relationship Id="rId78" Type="http://schemas.openxmlformats.org/officeDocument/2006/relationships/footer" Target="footer19.xml"/><Relationship Id="rId79" Type="http://schemas.openxmlformats.org/officeDocument/2006/relationships/hyperlink" Target="http://www.monografias.com/trabajos17/medios-comunicacion-social/medios-comunicacion-social.shtml" TargetMode="External"/><Relationship Id="rId80" Type="http://schemas.openxmlformats.org/officeDocument/2006/relationships/hyperlink" Target="http://tecnoinforaprendiendo.blogspot.mx/2012/09/medios-de-comunicacion.html" TargetMode="External"/><Relationship Id="rId81" Type="http://schemas.openxmlformats.org/officeDocument/2006/relationships/hyperlink" Target="http://www.oem.com.mx/esto/notas/n807149.htm" TargetMode="External"/><Relationship Id="rId82" Type="http://schemas.openxmlformats.org/officeDocument/2006/relationships/hyperlink" Target="http://www.radiomexicana.mx/historia.html" TargetMode="External"/><Relationship Id="rId83" Type="http://schemas.openxmlformats.org/officeDocument/2006/relationships/hyperlink" Target="http://www.coitt.es/res/revistas/Antena167_12_Television.pdf" TargetMode="External"/><Relationship Id="rId84" Type="http://schemas.openxmlformats.org/officeDocument/2006/relationships/footer" Target="footer20.xml"/><Relationship Id="rId85" Type="http://schemas.openxmlformats.org/officeDocument/2006/relationships/footer" Target="footer21.xml"/><Relationship Id="rId86" Type="http://schemas.openxmlformats.org/officeDocument/2006/relationships/hyperlink" Target="http://www.catedras.fsoc.uba.ar/salvia/comunicacion/Adorno.pdf" TargetMode="External"/><Relationship Id="rId87" Type="http://schemas.openxmlformats.org/officeDocument/2006/relationships/footer" Target="footer22.xml"/><Relationship Id="rId88" Type="http://schemas.openxmlformats.org/officeDocument/2006/relationships/hyperlink" Target="http://www.uia.mx/actividades/publicaciones/iberoforum/2/pdf/hugo_moreno.pdf" TargetMode="External"/><Relationship Id="rId89" Type="http://schemas.openxmlformats.org/officeDocument/2006/relationships/footer" Target="footer23.xml"/><Relationship Id="rId90" Type="http://schemas.openxmlformats.org/officeDocument/2006/relationships/hyperlink" Target="http://redalyc.uaemex.mx/src/inicio/ArtPdfRed.jsp?iCve=211015573008" TargetMode="External"/><Relationship Id="rId91" Type="http://schemas.openxmlformats.org/officeDocument/2006/relationships/footer" Target="footer24.xml"/><Relationship Id="rId92" Type="http://schemas.openxmlformats.org/officeDocument/2006/relationships/hyperlink" Target="http://www.unfpa.un.hn/docs/transicion.pdf" TargetMode="External"/><Relationship Id="rId93" Type="http://schemas.openxmlformats.org/officeDocument/2006/relationships/hyperlink" Target="http://www.publicaciones.cucsh.udg.mx/pperiod/comsoc/pdf/21_1994/97-137.pdf" TargetMode="External"/><Relationship Id="rId94" Type="http://schemas.openxmlformats.org/officeDocument/2006/relationships/footer" Target="footer25.xml"/><Relationship Id="rId95" Type="http://schemas.openxmlformats.org/officeDocument/2006/relationships/footer" Target="footer26.xml"/><Relationship Id="rId96" Type="http://schemas.openxmlformats.org/officeDocument/2006/relationships/footer" Target="footer27.xml"/><Relationship Id="rId97" Type="http://schemas.openxmlformats.org/officeDocument/2006/relationships/footer" Target="footer28.xml"/><Relationship Id="rId98" Type="http://schemas.openxmlformats.org/officeDocument/2006/relationships/hyperlink" Target="http://segundaslenguaseinmigracion.com/L2ycomptext/Anlisisideolgico.pdf" TargetMode="External"/><Relationship Id="rId99" Type="http://schemas.openxmlformats.org/officeDocument/2006/relationships/footer" Target="footer29.xml"/><Relationship Id="rId100" Type="http://schemas.openxmlformats.org/officeDocument/2006/relationships/hyperlink" Target="http://www.discursos.org/oldarticles/Algunas%20notas%20sobre%20la%20ideolog%EDa%20y%20la%20teor%EDa%20del%20discurso.pdf" TargetMode="External"/><Relationship Id="rId101" Type="http://schemas.openxmlformats.org/officeDocument/2006/relationships/hyperlink" Target="http://www.marxists.org/espanol/m-e/1850s/criteconpol.htm" TargetMode="External"/><Relationship Id="rId102" Type="http://schemas.openxmlformats.org/officeDocument/2006/relationships/footer" Target="footer30.xml"/><Relationship Id="rId103" Type="http://schemas.openxmlformats.org/officeDocument/2006/relationships/footer" Target="footer31.xml"/><Relationship Id="rId104" Type="http://schemas.openxmlformats.org/officeDocument/2006/relationships/footer" Target="footer32.xml"/><Relationship Id="rId105" Type="http://schemas.openxmlformats.org/officeDocument/2006/relationships/footer" Target="footer33.xml"/><Relationship Id="rId106" Type="http://schemas.openxmlformats.org/officeDocument/2006/relationships/footer" Target="footer34.xml"/><Relationship Id="rId107" Type="http://schemas.openxmlformats.org/officeDocument/2006/relationships/footer" Target="footer35.xml"/><Relationship Id="rId108" Type="http://schemas.openxmlformats.org/officeDocument/2006/relationships/hyperlink" Target="http://www.javeriana.edu.co/biblos/tesis/politica/tesis72.pdf" TargetMode="External"/><Relationship Id="rId109" Type="http://schemas.openxmlformats.org/officeDocument/2006/relationships/hyperlink" Target="http://www.laeditorialvirtual.com.ar/pages/Chomsky/Chomsky_ManufacturandoConsenso.htm" TargetMode="External"/><Relationship Id="rId110" Type="http://schemas.openxmlformats.org/officeDocument/2006/relationships/hyperlink" Target="http://www.itu.int/wsis/index-es.html" TargetMode="External"/><Relationship Id="rId111" Type="http://schemas.openxmlformats.org/officeDocument/2006/relationships/hyperlink" Target="http://www.luisemiliorecabarren.cl/files/Chomsky%2C%20Noam%20-%20El%20control%20de%20los%20medios%20de%20comunicaci%C3%83%C2%B3n.pdf" TargetMode="External"/><Relationship Id="rId112" Type="http://schemas.openxmlformats.org/officeDocument/2006/relationships/hyperlink" Target="http://www.anuies.mx/servicios/p_anuies/publicaciones/revsup/res032/txt3.htm" TargetMode="External"/><Relationship Id="rId113" Type="http://schemas.openxmlformats.org/officeDocument/2006/relationships/hyperlink" Target="http://rephip.unr.edu.ar/bitstream/handle/2133/487/Calderone%20-%20Violencia%20Simb%C3%B3lica%20en%20Bourdieu_A1a.pdf?sequence=1" TargetMode="External"/><Relationship Id="rId114" Type="http://schemas.openxmlformats.org/officeDocument/2006/relationships/hyperlink" Target="http://es.wikipedia.org/wiki/indoctrinacionl" TargetMode="External"/><Relationship Id="rId115" Type="http://schemas.openxmlformats.org/officeDocument/2006/relationships/hyperlink" Target="http://www.jornada.unam.mx/2006/03/30/index.php?section=opinion&amp;amp;article=010a1pol" TargetMode="External"/><Relationship Id="rId116" Type="http://schemas.openxmlformats.org/officeDocument/2006/relationships/hyperlink" Target="http://www.nodo50.org/filosofem/IMG/pdf/tiraniaTV_Ramonet.pdf" TargetMode="External"/><Relationship Id="rId117" Type="http://schemas.openxmlformats.org/officeDocument/2006/relationships/hyperlink" Target="http://comunicacion.idoneos.com/index.php/336369" TargetMode="External"/><Relationship Id="rId118" Type="http://schemas.openxmlformats.org/officeDocument/2006/relationships/footer" Target="footer36.xml"/><Relationship Id="rId119" Type="http://schemas.openxmlformats.org/officeDocument/2006/relationships/footer" Target="footer37.xml"/><Relationship Id="rId120" Type="http://schemas.openxmlformats.org/officeDocument/2006/relationships/footer" Target="footer38.xml"/><Relationship Id="rId121" Type="http://schemas.openxmlformats.org/officeDocument/2006/relationships/footer" Target="footer39.xml"/><Relationship Id="rId122" Type="http://schemas.openxmlformats.org/officeDocument/2006/relationships/footer" Target="footer40.xml"/><Relationship Id="rId123" Type="http://schemas.openxmlformats.org/officeDocument/2006/relationships/hyperlink" Target="http://www.uhu.es/cine.educacion/articulos/transculturacion.htm" TargetMode="External"/><Relationship Id="rId124" Type="http://schemas.openxmlformats.org/officeDocument/2006/relationships/footer" Target="footer41.xml"/><Relationship Id="rId125" Type="http://schemas.openxmlformats.org/officeDocument/2006/relationships/hyperlink" Target="http://www.revistadefilosofia.orghttp/www.revistadefilosofia.com/27-11.pdf" TargetMode="External"/><Relationship Id="rId126" Type="http://schemas.openxmlformats.org/officeDocument/2006/relationships/hyperlink" Target="http://biblioteca.itam.mx/estudios/estudio/letras44/notas3/sec_9.html" TargetMode="External"/><Relationship Id="rId127" Type="http://schemas.openxmlformats.org/officeDocument/2006/relationships/hyperlink" Target="http://www.acropolis.org.mx/lang/es/el-maravilloso-arte-de-ser-uno-mismo/" TargetMode="External"/><Relationship Id="rId128" Type="http://schemas.openxmlformats.org/officeDocument/2006/relationships/hyperlink" Target="mailto:grosfogu@berkeley.edu" TargetMode="External"/><Relationship Id="rId129" Type="http://schemas.openxmlformats.org/officeDocument/2006/relationships/hyperlink" Target="http://www.boaventuradesousasantos.pt/media/RAMON%20GROSFOGUEL%20SOBRE%20BOAVENTURA%20Y%20FANON.pdf" TargetMode="External"/><Relationship Id="rId130" Type="http://schemas.openxmlformats.org/officeDocument/2006/relationships/hyperlink" Target="http://www.rebelion.org/noticia.php?id=144642" TargetMode="External"/><Relationship Id="rId131" Type="http://schemas.openxmlformats.org/officeDocument/2006/relationships/footer" Target="footer42.xml"/><Relationship Id="rId132" Type="http://schemas.openxmlformats.org/officeDocument/2006/relationships/footer" Target="footer43.xml"/><Relationship Id="rId133" Type="http://schemas.openxmlformats.org/officeDocument/2006/relationships/hyperlink" Target="http://www.animalpolitico.com/2012/04/entre-30-y-50-mil-ninos-atrapados-por-la-delincuencia-organizada/" TargetMode="External"/><Relationship Id="rId134" Type="http://schemas.openxmlformats.org/officeDocument/2006/relationships/footer" Target="footer44.xml"/><Relationship Id="rId135" Type="http://schemas.openxmlformats.org/officeDocument/2006/relationships/hyperlink" Target="http://www.perspectivasdelacomunicacion.cl/revista_2_2009/01texto.pdf" TargetMode="External"/><Relationship Id="rId136" Type="http://schemas.openxmlformats.org/officeDocument/2006/relationships/footer" Target="footer45.xml"/><Relationship Id="rId137" Type="http://schemas.openxmlformats.org/officeDocument/2006/relationships/hyperlink" Target="http://eng.elheraldo.hn/Publicaciones/Revistas/Mia/Edicion-13-de-enero/Cuidado-con-la-TV" TargetMode="External"/><Relationship Id="rId138" Type="http://schemas.openxmlformats.org/officeDocument/2006/relationships/footer" Target="footer46.xml"/><Relationship Id="rId139" Type="http://schemas.openxmlformats.org/officeDocument/2006/relationships/footer" Target="footer47.xml"/><Relationship Id="rId140" Type="http://schemas.openxmlformats.org/officeDocument/2006/relationships/footer" Target="footer48.xml"/><Relationship Id="rId141" Type="http://schemas.openxmlformats.org/officeDocument/2006/relationships/hyperlink" Target="http://cultura.wordpress.com/2012/08/11/los-aportes-de-la-escuela-de-frankfurt/#more-41" TargetMode="External"/><Relationship Id="rId142" Type="http://schemas.openxmlformats.org/officeDocument/2006/relationships/footer" Target="footer49.xml"/><Relationship Id="rId143" Type="http://schemas.openxmlformats.org/officeDocument/2006/relationships/footer" Target="footer50.xml"/><Relationship Id="rId144" Type="http://schemas.openxmlformats.org/officeDocument/2006/relationships/hyperlink" Target="http://www.letraslibres.com/revista/libros/catarsis-sobre-el-poder-curativo-de-la-naturaleza-y-del-arte-de-andrzej-szczeklik" TargetMode="External"/><Relationship Id="rId145" Type="http://schemas.openxmlformats.org/officeDocument/2006/relationships/footer" Target="footer51.xml"/><Relationship Id="rId146" Type="http://schemas.openxmlformats.org/officeDocument/2006/relationships/hyperlink" Target="http://redalyc.uaemex.mx/" TargetMode="External"/><Relationship Id="rId147" Type="http://schemas.openxmlformats.org/officeDocument/2006/relationships/footer" Target="footer52.xml"/><Relationship Id="rId148" Type="http://schemas.openxmlformats.org/officeDocument/2006/relationships/footer" Target="footer53.xml"/><Relationship Id="rId149" Type="http://schemas.openxmlformats.org/officeDocument/2006/relationships/hyperlink" Target="http://legislaciones.item.org.uy/files/LEY%20DE%20EMISION%20DEL%20PENSAMIENTO.pdf" TargetMode="External"/><Relationship Id="rId150" Type="http://schemas.openxmlformats.org/officeDocument/2006/relationships/hyperlink" Target="http://wikipedia.org/wiki/indoctrinaci%C3%83%C2%B3n" TargetMode="External"/><Relationship Id="rId151" Type="http://schemas.openxmlformats.org/officeDocument/2006/relationships/hyperlink" Target="http://www.ircamericas.org/esp/1723" TargetMode="External"/><Relationship Id="rId152" Type="http://schemas.openxmlformats.org/officeDocument/2006/relationships/hyperlink" Target="http://www.enfocarte.com/7.31/eco.html" TargetMode="External"/><Relationship Id="rId153" Type="http://schemas.openxmlformats.org/officeDocument/2006/relationships/hyperlink" Target="http://www.oei.es/noticias/spip.php?article839" TargetMode="External"/><Relationship Id="rId154" Type="http://schemas.openxmlformats.org/officeDocument/2006/relationships/hyperlink" Target="http://www.larepublica.com.uy/comunidad/280226-el-campo-minado-de-la-iinformaci%C3%83%C2%B3n-libertad-o-depotismo-de-prensa" TargetMode="External"/><Relationship Id="rId155" Type="http://schemas.openxmlformats.org/officeDocument/2006/relationships/hyperlink" Target="http://revistas.ucm.es/trs/02140314/articulos/CUTS0505110007A.PDF" TargetMode="External"/><Relationship Id="rId156" Type="http://schemas.openxmlformats.org/officeDocument/2006/relationships/hyperlink" Target="http://cablemodem.fibertel.com.ar/sta/xxxi/files/Martes/Bertolacci_06.pdf" TargetMode="External"/><Relationship Id="rId157" Type="http://schemas.openxmlformats.org/officeDocument/2006/relationships/hyperlink" Target="http://www.ccdoc.iteso.mx/cat.aspx?cmn=download&amp;amp;ID=1086&amp;amp;N=1" TargetMode="External"/><Relationship Id="rId158" Type="http://schemas.openxmlformats.org/officeDocument/2006/relationships/hyperlink" Target="http://monografias.com/trabajos/revfran/revfran.shtml" TargetMode="External"/><Relationship Id="rId159" Type="http://schemas.openxmlformats.org/officeDocument/2006/relationships/hyperlink" Target="http://www.archivochile.com/Medios_de_Comunicacion/html/text_gen/comutextgen0007.pdf" TargetMode="External"/><Relationship Id="rId160" Type="http://schemas.openxmlformats.org/officeDocument/2006/relationships/hyperlink" Target="http://comunicacion.idoneo.com/index.php/Toer%C3%ADa_de_la_comunicaci%C3%B3npsicologia.social" TargetMode="External"/><Relationship Id="rId161" Type="http://schemas.openxmlformats.org/officeDocument/2006/relationships/hyperlink" Target="http://library.fes.de/pdf-" TargetMode="External"/><Relationship Id="rId162" Type="http://schemas.openxmlformats.org/officeDocument/2006/relationships/hyperlink" Target="http://www.escolessas.com/escolessas/laie/recerca/eso/projectes/0405/television/t" TargetMode="External"/><Relationship Id="rId163" Type="http://schemas.openxmlformats.org/officeDocument/2006/relationships/hyperlink" Target="http://santosnegron.tripod.com/lasoledadylosestudios/id48.html" TargetMode="External"/><Relationship Id="rId164" Type="http://schemas.openxmlformats.org/officeDocument/2006/relationships/hyperlink" Target="http://www.wsis-cs.org/" TargetMode="External"/><Relationship Id="rId165" Type="http://schemas.openxmlformats.org/officeDocument/2006/relationships/hyperlink" Target="http://www.azc.uam.mx/publicaciones/gestion/num6/indice.html" TargetMode="External"/><Relationship Id="rId16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itle>El condicionamiento de la libertad ante la influencia de la televisión</dc:title>
  <dcterms:created xsi:type="dcterms:W3CDTF">2017-05-22T21:12:15Z</dcterms:created>
  <dcterms:modified xsi:type="dcterms:W3CDTF">2017-05-22T21:12:15Z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2012-11-08T00:00:00Z</vt:filetime>
  </property>
  <property fmtid="{D5CDD505-2E9C-101B-9397-08002B2CF9AE}" pid="3" name="Creator">
    <vt:lpwstr>Microsoft® Word 2010</vt:lpwstr>
  </property>
  <property fmtid="{D5CDD505-2E9C-101B-9397-08002B2CF9AE}" pid="4" name="LastSaved">
    <vt:filetime>2017-05-22T00:00:00Z</vt:filetime>
  </property>
</Properties>
</file>