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left="100"/>
        <w:rPr>
          <w:rFonts w:ascii="Times New Roman"/>
          <w:sz w:val="20"/>
        </w:rPr>
      </w:pPr>
      <w:r>
        <w:rPr>
          <w:rFonts w:ascii="Times New Roman"/>
          <w:sz w:val="20"/>
        </w:rPr>
        <w:pict>
          <v:group style="width:514.9pt;height:78.5pt;mso-position-horizontal-relative:char;mso-position-vertical-relative:line" coordorigin="0,0" coordsize="10298,1570">
            <v:shape style="position:absolute;left:0;top:0;width:1729;height:1568" type="#_x0000_t75" stroked="false">
              <v:imagedata r:id="rId5" o:title=""/>
            </v:shape>
            <v:line style="position:absolute" from="1725,1547" to="10275,1547" stroked="true" strokeweight="2.25pt" strokecolor="#000000"/>
            <v:shapetype id="_x0000_t202" o:spt="202" coordsize="21600,21600" path="m,l,21600r21600,l21600,xe">
              <v:stroke joinstyle="miter"/>
              <v:path gradientshapeok="t" o:connecttype="rect"/>
            </v:shapetype>
            <v:shape style="position:absolute;left:0;top:0;width:10298;height:1570" type="#_x0000_t202" filled="false" stroked="false">
              <v:textbox inset="0,0,0,0">
                <w:txbxContent>
                  <w:p>
                    <w:pPr>
                      <w:spacing w:line="240" w:lineRule="auto" w:before="0"/>
                      <w:rPr>
                        <w:rFonts w:ascii="Times New Roman"/>
                        <w:sz w:val="30"/>
                      </w:rPr>
                    </w:pPr>
                  </w:p>
                  <w:p>
                    <w:pPr>
                      <w:spacing w:line="240" w:lineRule="auto" w:before="10"/>
                      <w:rPr>
                        <w:rFonts w:ascii="Times New Roman"/>
                        <w:sz w:val="33"/>
                      </w:rPr>
                    </w:pPr>
                  </w:p>
                  <w:p>
                    <w:pPr>
                      <w:spacing w:before="0"/>
                      <w:ind w:left="1783" w:right="0" w:firstLine="0"/>
                      <w:jc w:val="left"/>
                      <w:rPr>
                        <w:sz w:val="30"/>
                      </w:rPr>
                    </w:pPr>
                    <w:r>
                      <w:rPr>
                        <w:sz w:val="30"/>
                      </w:rPr>
                      <w:t>UNIVERSIDAD AUTÓNOMA DEL ESTADO DE MÉXICO</w:t>
                    </w:r>
                  </w:p>
                </w:txbxContent>
              </v:textbox>
              <w10:wrap type="none"/>
            </v:shape>
          </v:group>
        </w:pict>
      </w:r>
      <w:r>
        <w:rPr>
          <w:rFonts w:ascii="Times New Roman"/>
          <w:sz w:val="20"/>
        </w:rPr>
      </w:r>
    </w:p>
    <w:p>
      <w:pPr>
        <w:pStyle w:val="BodyText"/>
        <w:spacing w:before="3"/>
        <w:rPr>
          <w:rFonts w:ascii="Times New Roman"/>
          <w:sz w:val="6"/>
        </w:rPr>
      </w:pPr>
    </w:p>
    <w:p>
      <w:pPr>
        <w:pStyle w:val="BodyText"/>
        <w:spacing w:line="45" w:lineRule="exact"/>
        <w:ind w:left="1802"/>
        <w:rPr>
          <w:rFonts w:ascii="Times New Roman"/>
          <w:sz w:val="4"/>
        </w:rPr>
      </w:pPr>
      <w:r>
        <w:rPr>
          <w:rFonts w:ascii="Times New Roman"/>
          <w:position w:val="0"/>
          <w:sz w:val="4"/>
        </w:rPr>
        <w:pict>
          <v:group style="width:429.75pt;height:2.25pt;mso-position-horizontal-relative:char;mso-position-vertical-relative:line" coordorigin="0,0" coordsize="8595,45">
            <v:line style="position:absolute" from="23,23" to="8573,23" stroked="true" strokeweight="2.25pt" strokecolor="#000000"/>
          </v:group>
        </w:pict>
      </w:r>
      <w:r>
        <w:rPr>
          <w:rFonts w:ascii="Times New Roman"/>
          <w:position w:val="0"/>
          <w:sz w:val="4"/>
        </w:rPr>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29"/>
        </w:rPr>
      </w:pPr>
    </w:p>
    <w:p>
      <w:pPr>
        <w:pStyle w:val="Heading1"/>
        <w:spacing w:before="65"/>
        <w:ind w:left="2062" w:right="1684"/>
        <w:jc w:val="center"/>
      </w:pPr>
      <w:r>
        <w:rPr/>
        <w:pict>
          <v:group style="position:absolute;margin-left:58.5pt;margin-top:-31.358137pt;width:60.3pt;height:527.550pt;mso-position-horizontal-relative:page;mso-position-vertical-relative:paragraph;z-index:1096" coordorigin="1170,-627" coordsize="1206,10551">
            <v:line style="position:absolute" from="1575,-597" to="1575,8223" stroked="true" strokeweight="3pt" strokecolor="#000000"/>
            <v:shape style="position:absolute;left:1170;top:8317;width:1206;height:1606" type="#_x0000_t75" stroked="false">
              <v:imagedata r:id="rId6" o:title=""/>
            </v:shape>
            <w10:wrap type="none"/>
          </v:group>
        </w:pict>
      </w:r>
      <w:r>
        <w:rPr/>
        <w:pict>
          <v:line style="position:absolute;mso-position-horizontal-relative:page;mso-position-vertical-relative:paragraph;z-index:1120" from="89.25pt,-29.858137pt" to="89.25pt,411.141863pt" stroked="true" strokeweight="2pt" strokecolor="#000000">
            <w10:wrap type="none"/>
          </v:line>
        </w:pict>
      </w:r>
      <w:r>
        <w:rPr/>
        <w:t>FACULTAD DE HUMANIDADES</w:t>
      </w:r>
    </w:p>
    <w:p>
      <w:pPr>
        <w:pStyle w:val="BodyText"/>
        <w:rPr>
          <w:sz w:val="28"/>
        </w:rPr>
      </w:pPr>
    </w:p>
    <w:p>
      <w:pPr>
        <w:pStyle w:val="BodyText"/>
        <w:rPr>
          <w:sz w:val="28"/>
        </w:rPr>
      </w:pPr>
    </w:p>
    <w:p>
      <w:pPr>
        <w:pStyle w:val="BodyText"/>
        <w:spacing w:before="1"/>
        <w:rPr>
          <w:sz w:val="29"/>
        </w:rPr>
      </w:pPr>
    </w:p>
    <w:p>
      <w:pPr>
        <w:pStyle w:val="BodyText"/>
        <w:spacing w:line="535" w:lineRule="auto"/>
        <w:ind w:left="2065" w:right="1684"/>
        <w:jc w:val="center"/>
      </w:pPr>
      <w:r>
        <w:rPr/>
        <w:t>CALIDAD DE LAS ELECCIONES EN MÉXICO Y COSTA RICA (2006 Y 2010)</w:t>
      </w:r>
    </w:p>
    <w:p>
      <w:pPr>
        <w:pStyle w:val="BodyText"/>
      </w:pPr>
    </w:p>
    <w:p>
      <w:pPr>
        <w:pStyle w:val="BodyText"/>
        <w:spacing w:before="11"/>
        <w:rPr>
          <w:sz w:val="29"/>
        </w:rPr>
      </w:pPr>
    </w:p>
    <w:p>
      <w:pPr>
        <w:pStyle w:val="BodyText"/>
        <w:ind w:left="2970"/>
      </w:pPr>
      <w:r>
        <w:rPr/>
        <w:t>TESIS QUE PARA OBTENER EL GRADO DE</w:t>
      </w:r>
    </w:p>
    <w:p>
      <w:pPr>
        <w:pStyle w:val="BodyText"/>
      </w:pPr>
    </w:p>
    <w:p>
      <w:pPr>
        <w:pStyle w:val="BodyText"/>
      </w:pPr>
    </w:p>
    <w:p>
      <w:pPr>
        <w:pStyle w:val="BodyText"/>
        <w:spacing w:before="10"/>
        <w:rPr>
          <w:sz w:val="34"/>
        </w:rPr>
      </w:pPr>
    </w:p>
    <w:p>
      <w:pPr>
        <w:spacing w:before="0"/>
        <w:ind w:left="1718" w:right="1340" w:firstLine="0"/>
        <w:jc w:val="center"/>
        <w:rPr>
          <w:b/>
          <w:sz w:val="24"/>
        </w:rPr>
      </w:pPr>
      <w:r>
        <w:rPr>
          <w:sz w:val="24"/>
        </w:rPr>
        <w:t>DOCTORA EN HUMANIDADES: </w:t>
      </w:r>
      <w:r>
        <w:rPr>
          <w:b/>
          <w:sz w:val="24"/>
        </w:rPr>
        <w:t>ESTUDIOS LATINOAMERICANOS</w:t>
      </w:r>
    </w:p>
    <w:p>
      <w:pPr>
        <w:pStyle w:val="BodyText"/>
        <w:rPr>
          <w:b/>
        </w:rPr>
      </w:pPr>
    </w:p>
    <w:p>
      <w:pPr>
        <w:pStyle w:val="BodyText"/>
        <w:rPr>
          <w:b/>
        </w:rPr>
      </w:pPr>
    </w:p>
    <w:p>
      <w:pPr>
        <w:pStyle w:val="BodyText"/>
        <w:spacing w:before="7"/>
        <w:rPr>
          <w:b/>
          <w:sz w:val="34"/>
        </w:rPr>
      </w:pPr>
    </w:p>
    <w:p>
      <w:pPr>
        <w:pStyle w:val="BodyText"/>
        <w:spacing w:line="535" w:lineRule="auto"/>
        <w:ind w:left="3965" w:right="3567" w:firstLine="794"/>
      </w:pPr>
      <w:r>
        <w:rPr/>
        <w:t>PRESENTA: IVONNE MAYA ESPINOZA</w:t>
      </w:r>
    </w:p>
    <w:p>
      <w:pPr>
        <w:pStyle w:val="BodyText"/>
      </w:pPr>
    </w:p>
    <w:p>
      <w:pPr>
        <w:pStyle w:val="BodyText"/>
        <w:spacing w:before="11"/>
        <w:rPr>
          <w:sz w:val="20"/>
        </w:rPr>
      </w:pPr>
    </w:p>
    <w:p>
      <w:pPr>
        <w:pStyle w:val="Heading2"/>
        <w:spacing w:before="0"/>
        <w:ind w:left="2060" w:right="1684"/>
      </w:pPr>
      <w:r>
        <w:rPr/>
        <w:t>DR. FRANCISCO LIZCANO FERNÁNDEZ</w:t>
      </w:r>
    </w:p>
    <w:p>
      <w:pPr>
        <w:pStyle w:val="BodyText"/>
        <w:spacing w:before="5"/>
        <w:rPr>
          <w:b/>
          <w:sz w:val="29"/>
        </w:rPr>
      </w:pPr>
    </w:p>
    <w:p>
      <w:pPr>
        <w:pStyle w:val="BodyText"/>
        <w:ind w:left="1912" w:right="1684"/>
        <w:jc w:val="center"/>
      </w:pPr>
      <w:r>
        <w:rPr/>
        <w:t>DIRECTOR DE TESIS</w:t>
      </w:r>
    </w:p>
    <w:p>
      <w:pPr>
        <w:pStyle w:val="BodyText"/>
      </w:pPr>
    </w:p>
    <w:p>
      <w:pPr>
        <w:pStyle w:val="BodyText"/>
      </w:pPr>
    </w:p>
    <w:p>
      <w:pPr>
        <w:pStyle w:val="BodyText"/>
        <w:spacing w:before="9"/>
        <w:rPr>
          <w:sz w:val="34"/>
        </w:rPr>
      </w:pPr>
    </w:p>
    <w:p>
      <w:pPr>
        <w:pStyle w:val="BodyText"/>
        <w:spacing w:before="1"/>
        <w:ind w:right="637"/>
        <w:jc w:val="right"/>
      </w:pPr>
      <w:r>
        <w:rPr/>
        <w:t>MARZO 2014</w:t>
      </w:r>
    </w:p>
    <w:p>
      <w:pPr>
        <w:spacing w:after="0"/>
        <w:jc w:val="right"/>
        <w:sectPr>
          <w:type w:val="continuous"/>
          <w:pgSz w:w="12240" w:h="15840"/>
          <w:pgMar w:top="1300" w:bottom="280" w:left="680" w:right="1060"/>
        </w:sectPr>
      </w:pPr>
    </w:p>
    <w:p>
      <w:pPr>
        <w:pStyle w:val="BodyText"/>
        <w:rPr>
          <w:sz w:val="20"/>
        </w:rPr>
      </w:pPr>
    </w:p>
    <w:p>
      <w:pPr>
        <w:pStyle w:val="Heading2"/>
        <w:spacing w:before="214"/>
        <w:ind w:left="3151"/>
        <w:jc w:val="left"/>
      </w:pPr>
      <w:r>
        <w:rPr/>
        <w:t>Lista de acrónimos y siglas</w:t>
      </w:r>
    </w:p>
    <w:p>
      <w:pPr>
        <w:pStyle w:val="BodyText"/>
        <w:rPr>
          <w:b/>
          <w:sz w:val="20"/>
        </w:rPr>
      </w:pPr>
    </w:p>
    <w:p>
      <w:pPr>
        <w:pStyle w:val="BodyText"/>
        <w:rPr>
          <w:b/>
          <w:sz w:val="20"/>
        </w:rPr>
      </w:pPr>
    </w:p>
    <w:p>
      <w:pPr>
        <w:pStyle w:val="BodyText"/>
        <w:spacing w:before="8"/>
        <w:rPr>
          <w:b/>
          <w:sz w:val="10"/>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528"/>
        <w:gridCol w:w="7543"/>
      </w:tblGrid>
      <w:tr>
        <w:trPr>
          <w:trHeight w:val="328" w:hRule="exact"/>
        </w:trPr>
        <w:tc>
          <w:tcPr>
            <w:tcW w:w="1528" w:type="dxa"/>
          </w:tcPr>
          <w:p>
            <w:pPr>
              <w:pStyle w:val="TableParagraph"/>
              <w:spacing w:line="245" w:lineRule="exact"/>
              <w:ind w:left="200"/>
              <w:rPr>
                <w:sz w:val="24"/>
              </w:rPr>
            </w:pPr>
            <w:r>
              <w:rPr>
                <w:sz w:val="24"/>
              </w:rPr>
              <w:t>ANC</w:t>
            </w:r>
          </w:p>
        </w:tc>
        <w:tc>
          <w:tcPr>
            <w:tcW w:w="7543" w:type="dxa"/>
          </w:tcPr>
          <w:p>
            <w:pPr>
              <w:pStyle w:val="TableParagraph"/>
              <w:spacing w:line="245" w:lineRule="exact"/>
              <w:ind w:left="354" w:right="298"/>
              <w:rPr>
                <w:sz w:val="24"/>
              </w:rPr>
            </w:pPr>
            <w:r>
              <w:rPr>
                <w:sz w:val="24"/>
              </w:rPr>
              <w:t>Asamblea Nacional Constituyente</w:t>
            </w:r>
          </w:p>
        </w:tc>
      </w:tr>
      <w:tr>
        <w:trPr>
          <w:trHeight w:val="414" w:hRule="exact"/>
        </w:trPr>
        <w:tc>
          <w:tcPr>
            <w:tcW w:w="1528" w:type="dxa"/>
          </w:tcPr>
          <w:p>
            <w:pPr>
              <w:pStyle w:val="TableParagraph"/>
              <w:spacing w:before="57"/>
              <w:ind w:left="200"/>
              <w:rPr>
                <w:sz w:val="24"/>
              </w:rPr>
            </w:pPr>
            <w:r>
              <w:rPr>
                <w:sz w:val="24"/>
              </w:rPr>
              <w:t>AP</w:t>
            </w:r>
          </w:p>
        </w:tc>
        <w:tc>
          <w:tcPr>
            <w:tcW w:w="7543" w:type="dxa"/>
          </w:tcPr>
          <w:p>
            <w:pPr>
              <w:pStyle w:val="TableParagraph"/>
              <w:spacing w:before="57"/>
              <w:ind w:left="354" w:right="298"/>
              <w:rPr>
                <w:sz w:val="24"/>
              </w:rPr>
            </w:pPr>
            <w:r>
              <w:rPr>
                <w:sz w:val="24"/>
              </w:rPr>
              <w:t>Alianza Patriótica</w:t>
            </w:r>
          </w:p>
        </w:tc>
      </w:tr>
      <w:tr>
        <w:trPr>
          <w:trHeight w:val="414" w:hRule="exact"/>
        </w:trPr>
        <w:tc>
          <w:tcPr>
            <w:tcW w:w="1528" w:type="dxa"/>
          </w:tcPr>
          <w:p>
            <w:pPr>
              <w:pStyle w:val="TableParagraph"/>
              <w:spacing w:before="55"/>
              <w:ind w:left="200"/>
              <w:rPr>
                <w:sz w:val="24"/>
              </w:rPr>
            </w:pPr>
            <w:r>
              <w:rPr>
                <w:sz w:val="24"/>
              </w:rPr>
              <w:t>APN</w:t>
            </w:r>
          </w:p>
        </w:tc>
        <w:tc>
          <w:tcPr>
            <w:tcW w:w="7543" w:type="dxa"/>
          </w:tcPr>
          <w:p>
            <w:pPr>
              <w:pStyle w:val="TableParagraph"/>
              <w:spacing w:before="55"/>
              <w:ind w:left="354" w:right="298"/>
              <w:rPr>
                <w:sz w:val="24"/>
              </w:rPr>
            </w:pPr>
            <w:r>
              <w:rPr>
                <w:sz w:val="24"/>
              </w:rPr>
              <w:t>Agrupaciones Políticas Nacionales</w:t>
            </w:r>
          </w:p>
        </w:tc>
      </w:tr>
      <w:tr>
        <w:trPr>
          <w:trHeight w:val="414" w:hRule="exact"/>
        </w:trPr>
        <w:tc>
          <w:tcPr>
            <w:tcW w:w="1528" w:type="dxa"/>
          </w:tcPr>
          <w:p>
            <w:pPr>
              <w:pStyle w:val="TableParagraph"/>
              <w:spacing w:before="57"/>
              <w:ind w:left="200"/>
              <w:rPr>
                <w:sz w:val="24"/>
              </w:rPr>
            </w:pPr>
            <w:r>
              <w:rPr>
                <w:sz w:val="24"/>
              </w:rPr>
              <w:t>ASF</w:t>
            </w:r>
          </w:p>
        </w:tc>
        <w:tc>
          <w:tcPr>
            <w:tcW w:w="7543" w:type="dxa"/>
          </w:tcPr>
          <w:p>
            <w:pPr>
              <w:pStyle w:val="TableParagraph"/>
              <w:spacing w:before="57"/>
              <w:ind w:left="354" w:right="298"/>
              <w:rPr>
                <w:sz w:val="24"/>
              </w:rPr>
            </w:pPr>
            <w:r>
              <w:rPr>
                <w:sz w:val="24"/>
              </w:rPr>
              <w:t>Auditoria Superior de la Federación</w:t>
            </w:r>
          </w:p>
        </w:tc>
      </w:tr>
      <w:tr>
        <w:trPr>
          <w:trHeight w:val="414" w:hRule="exact"/>
        </w:trPr>
        <w:tc>
          <w:tcPr>
            <w:tcW w:w="1528" w:type="dxa"/>
          </w:tcPr>
          <w:p>
            <w:pPr>
              <w:pStyle w:val="TableParagraph"/>
              <w:spacing w:before="55"/>
              <w:ind w:left="200"/>
              <w:rPr>
                <w:sz w:val="24"/>
              </w:rPr>
            </w:pPr>
            <w:r>
              <w:rPr>
                <w:w w:val="99"/>
                <w:sz w:val="24"/>
              </w:rPr>
              <w:t>C</w:t>
            </w:r>
          </w:p>
        </w:tc>
        <w:tc>
          <w:tcPr>
            <w:tcW w:w="7543" w:type="dxa"/>
          </w:tcPr>
          <w:p>
            <w:pPr>
              <w:pStyle w:val="TableParagraph"/>
              <w:spacing w:before="55"/>
              <w:ind w:left="354" w:right="298"/>
              <w:rPr>
                <w:sz w:val="24"/>
              </w:rPr>
            </w:pPr>
            <w:r>
              <w:rPr>
                <w:sz w:val="24"/>
              </w:rPr>
              <w:t>Convergencia</w:t>
            </w:r>
          </w:p>
        </w:tc>
      </w:tr>
      <w:tr>
        <w:trPr>
          <w:trHeight w:val="414" w:hRule="exact"/>
        </w:trPr>
        <w:tc>
          <w:tcPr>
            <w:tcW w:w="1528" w:type="dxa"/>
          </w:tcPr>
          <w:p>
            <w:pPr>
              <w:pStyle w:val="TableParagraph"/>
              <w:spacing w:before="57"/>
              <w:ind w:left="200"/>
              <w:rPr>
                <w:sz w:val="24"/>
              </w:rPr>
            </w:pPr>
            <w:r>
              <w:rPr>
                <w:sz w:val="24"/>
              </w:rPr>
              <w:t>CDIEEM</w:t>
            </w:r>
          </w:p>
        </w:tc>
        <w:tc>
          <w:tcPr>
            <w:tcW w:w="7543" w:type="dxa"/>
          </w:tcPr>
          <w:p>
            <w:pPr>
              <w:pStyle w:val="TableParagraph"/>
              <w:spacing w:before="57"/>
              <w:ind w:left="354" w:right="298"/>
              <w:rPr>
                <w:sz w:val="24"/>
              </w:rPr>
            </w:pPr>
            <w:r>
              <w:rPr>
                <w:sz w:val="24"/>
              </w:rPr>
              <w:t>Consejos Distritales del Instituto Electoral del Estado de México</w:t>
            </w:r>
          </w:p>
        </w:tc>
      </w:tr>
      <w:tr>
        <w:trPr>
          <w:trHeight w:val="414" w:hRule="exact"/>
        </w:trPr>
        <w:tc>
          <w:tcPr>
            <w:tcW w:w="1528" w:type="dxa"/>
          </w:tcPr>
          <w:p>
            <w:pPr>
              <w:pStyle w:val="TableParagraph"/>
              <w:spacing w:before="55"/>
              <w:ind w:left="200"/>
              <w:rPr>
                <w:sz w:val="24"/>
              </w:rPr>
            </w:pPr>
            <w:r>
              <w:rPr>
                <w:sz w:val="24"/>
              </w:rPr>
              <w:t>CDIFE</w:t>
            </w:r>
          </w:p>
        </w:tc>
        <w:tc>
          <w:tcPr>
            <w:tcW w:w="7543" w:type="dxa"/>
          </w:tcPr>
          <w:p>
            <w:pPr>
              <w:pStyle w:val="TableParagraph"/>
              <w:spacing w:before="55"/>
              <w:ind w:left="354" w:right="298"/>
              <w:rPr>
                <w:sz w:val="24"/>
              </w:rPr>
            </w:pPr>
            <w:r>
              <w:rPr>
                <w:sz w:val="24"/>
              </w:rPr>
              <w:t>Consejos Distritales del Instituto Federal Electoral</w:t>
            </w:r>
          </w:p>
        </w:tc>
      </w:tr>
      <w:tr>
        <w:trPr>
          <w:trHeight w:val="414" w:hRule="exact"/>
        </w:trPr>
        <w:tc>
          <w:tcPr>
            <w:tcW w:w="1528" w:type="dxa"/>
          </w:tcPr>
          <w:p>
            <w:pPr>
              <w:pStyle w:val="TableParagraph"/>
              <w:spacing w:before="57"/>
              <w:ind w:left="200"/>
              <w:rPr>
                <w:sz w:val="24"/>
              </w:rPr>
            </w:pPr>
            <w:r>
              <w:rPr>
                <w:sz w:val="24"/>
              </w:rPr>
              <w:t>CECR</w:t>
            </w:r>
          </w:p>
        </w:tc>
        <w:tc>
          <w:tcPr>
            <w:tcW w:w="7543" w:type="dxa"/>
          </w:tcPr>
          <w:p>
            <w:pPr>
              <w:pStyle w:val="TableParagraph"/>
              <w:spacing w:before="57"/>
              <w:ind w:left="354" w:right="298"/>
              <w:rPr>
                <w:sz w:val="24"/>
              </w:rPr>
            </w:pPr>
            <w:r>
              <w:rPr>
                <w:sz w:val="24"/>
              </w:rPr>
              <w:t>Código Electoral (Costa Rica)</w:t>
            </w:r>
          </w:p>
        </w:tc>
      </w:tr>
      <w:tr>
        <w:trPr>
          <w:trHeight w:val="414" w:hRule="exact"/>
        </w:trPr>
        <w:tc>
          <w:tcPr>
            <w:tcW w:w="1528" w:type="dxa"/>
          </w:tcPr>
          <w:p>
            <w:pPr>
              <w:pStyle w:val="TableParagraph"/>
              <w:spacing w:before="55"/>
              <w:ind w:left="200"/>
              <w:rPr>
                <w:sz w:val="24"/>
              </w:rPr>
            </w:pPr>
            <w:r>
              <w:rPr>
                <w:sz w:val="24"/>
              </w:rPr>
              <w:t>CEEM</w:t>
            </w:r>
          </w:p>
        </w:tc>
        <w:tc>
          <w:tcPr>
            <w:tcW w:w="7543" w:type="dxa"/>
          </w:tcPr>
          <w:p>
            <w:pPr>
              <w:pStyle w:val="TableParagraph"/>
              <w:spacing w:before="55"/>
              <w:ind w:left="354" w:right="298"/>
              <w:rPr>
                <w:sz w:val="24"/>
              </w:rPr>
            </w:pPr>
            <w:r>
              <w:rPr>
                <w:sz w:val="24"/>
              </w:rPr>
              <w:t>Código Electoral del Estado de México</w:t>
            </w:r>
          </w:p>
        </w:tc>
      </w:tr>
      <w:tr>
        <w:trPr>
          <w:trHeight w:val="414" w:hRule="exact"/>
        </w:trPr>
        <w:tc>
          <w:tcPr>
            <w:tcW w:w="1528" w:type="dxa"/>
          </w:tcPr>
          <w:p>
            <w:pPr>
              <w:pStyle w:val="TableParagraph"/>
              <w:spacing w:before="57"/>
              <w:ind w:left="200"/>
              <w:rPr>
                <w:sz w:val="24"/>
              </w:rPr>
            </w:pPr>
            <w:r>
              <w:rPr>
                <w:sz w:val="24"/>
              </w:rPr>
              <w:t>CEPAL</w:t>
            </w:r>
          </w:p>
        </w:tc>
        <w:tc>
          <w:tcPr>
            <w:tcW w:w="7543" w:type="dxa"/>
          </w:tcPr>
          <w:p>
            <w:pPr>
              <w:pStyle w:val="TableParagraph"/>
              <w:spacing w:before="57"/>
              <w:ind w:left="354" w:right="298"/>
              <w:rPr>
                <w:sz w:val="24"/>
              </w:rPr>
            </w:pPr>
            <w:r>
              <w:rPr>
                <w:sz w:val="24"/>
              </w:rPr>
              <w:t>Comisión Económica para América Latina y el Caribe</w:t>
            </w:r>
          </w:p>
        </w:tc>
      </w:tr>
      <w:tr>
        <w:trPr>
          <w:trHeight w:val="1242" w:hRule="exact"/>
        </w:trPr>
        <w:tc>
          <w:tcPr>
            <w:tcW w:w="1528" w:type="dxa"/>
          </w:tcPr>
          <w:p>
            <w:pPr>
              <w:pStyle w:val="TableParagraph"/>
              <w:spacing w:before="55"/>
              <w:ind w:left="200"/>
              <w:rPr>
                <w:sz w:val="24"/>
              </w:rPr>
            </w:pPr>
            <w:r>
              <w:rPr>
                <w:sz w:val="24"/>
              </w:rPr>
              <w:t>CFRPAP</w:t>
            </w:r>
          </w:p>
        </w:tc>
        <w:tc>
          <w:tcPr>
            <w:tcW w:w="7543" w:type="dxa"/>
          </w:tcPr>
          <w:p>
            <w:pPr>
              <w:pStyle w:val="TableParagraph"/>
              <w:spacing w:line="360" w:lineRule="auto" w:before="55"/>
              <w:ind w:left="354" w:right="298"/>
              <w:rPr>
                <w:sz w:val="24"/>
              </w:rPr>
            </w:pPr>
            <w:r>
              <w:rPr>
                <w:sz w:val="24"/>
              </w:rPr>
              <w:t>Comisión de Fiscalización de los Recursos de los Partidos y Agrupaciones Políticas del Consejo General del Instituto Federal Electoral</w:t>
            </w:r>
          </w:p>
        </w:tc>
      </w:tr>
      <w:tr>
        <w:trPr>
          <w:trHeight w:val="414" w:hRule="exact"/>
        </w:trPr>
        <w:tc>
          <w:tcPr>
            <w:tcW w:w="1528" w:type="dxa"/>
          </w:tcPr>
          <w:p>
            <w:pPr>
              <w:pStyle w:val="TableParagraph"/>
              <w:spacing w:before="57"/>
              <w:ind w:left="200"/>
              <w:rPr>
                <w:sz w:val="24"/>
              </w:rPr>
            </w:pPr>
            <w:r>
              <w:rPr>
                <w:sz w:val="24"/>
              </w:rPr>
              <w:t>CGIEEM</w:t>
            </w:r>
          </w:p>
        </w:tc>
        <w:tc>
          <w:tcPr>
            <w:tcW w:w="7543" w:type="dxa"/>
          </w:tcPr>
          <w:p>
            <w:pPr>
              <w:pStyle w:val="TableParagraph"/>
              <w:spacing w:before="57"/>
              <w:ind w:left="354" w:right="298"/>
              <w:rPr>
                <w:sz w:val="24"/>
              </w:rPr>
            </w:pPr>
            <w:r>
              <w:rPr>
                <w:sz w:val="24"/>
              </w:rPr>
              <w:t>Consejo General del Instituto Electoral del Estado de México</w:t>
            </w:r>
          </w:p>
        </w:tc>
      </w:tr>
      <w:tr>
        <w:trPr>
          <w:trHeight w:val="414" w:hRule="exact"/>
        </w:trPr>
        <w:tc>
          <w:tcPr>
            <w:tcW w:w="1528" w:type="dxa"/>
          </w:tcPr>
          <w:p>
            <w:pPr>
              <w:pStyle w:val="TableParagraph"/>
              <w:spacing w:before="55"/>
              <w:ind w:left="200"/>
              <w:rPr>
                <w:sz w:val="24"/>
              </w:rPr>
            </w:pPr>
            <w:r>
              <w:rPr>
                <w:sz w:val="24"/>
              </w:rPr>
              <w:t>CGIFE</w:t>
            </w:r>
          </w:p>
        </w:tc>
        <w:tc>
          <w:tcPr>
            <w:tcW w:w="7543" w:type="dxa"/>
          </w:tcPr>
          <w:p>
            <w:pPr>
              <w:pStyle w:val="TableParagraph"/>
              <w:spacing w:before="55"/>
              <w:ind w:left="354" w:right="298"/>
              <w:rPr>
                <w:sz w:val="24"/>
              </w:rPr>
            </w:pPr>
            <w:r>
              <w:rPr>
                <w:sz w:val="24"/>
              </w:rPr>
              <w:t>Consejo General del Instituto Federal Electoral</w:t>
            </w:r>
          </w:p>
        </w:tc>
      </w:tr>
      <w:tr>
        <w:trPr>
          <w:trHeight w:val="414" w:hRule="exact"/>
        </w:trPr>
        <w:tc>
          <w:tcPr>
            <w:tcW w:w="1528" w:type="dxa"/>
          </w:tcPr>
          <w:p>
            <w:pPr>
              <w:pStyle w:val="TableParagraph"/>
              <w:spacing w:before="57"/>
              <w:ind w:left="200"/>
              <w:rPr>
                <w:sz w:val="24"/>
              </w:rPr>
            </w:pPr>
            <w:r>
              <w:rPr>
                <w:sz w:val="24"/>
              </w:rPr>
              <w:t>CICSyH</w:t>
            </w:r>
          </w:p>
        </w:tc>
        <w:tc>
          <w:tcPr>
            <w:tcW w:w="7543" w:type="dxa"/>
          </w:tcPr>
          <w:p>
            <w:pPr>
              <w:pStyle w:val="TableParagraph"/>
              <w:spacing w:before="57"/>
              <w:ind w:left="354" w:right="298"/>
              <w:rPr>
                <w:sz w:val="24"/>
              </w:rPr>
            </w:pPr>
            <w:r>
              <w:rPr>
                <w:sz w:val="24"/>
              </w:rPr>
              <w:t>Centro de Investigaciones en Ciencias Sociales y Humanidades</w:t>
            </w:r>
          </w:p>
        </w:tc>
      </w:tr>
      <w:tr>
        <w:trPr>
          <w:trHeight w:val="414" w:hRule="exact"/>
        </w:trPr>
        <w:tc>
          <w:tcPr>
            <w:tcW w:w="1528" w:type="dxa"/>
          </w:tcPr>
          <w:p>
            <w:pPr>
              <w:pStyle w:val="TableParagraph"/>
              <w:spacing w:before="55"/>
              <w:ind w:left="200"/>
              <w:rPr>
                <w:sz w:val="24"/>
              </w:rPr>
            </w:pPr>
            <w:r>
              <w:rPr>
                <w:sz w:val="24"/>
              </w:rPr>
              <w:t>CLIFE</w:t>
            </w:r>
          </w:p>
        </w:tc>
        <w:tc>
          <w:tcPr>
            <w:tcW w:w="7543" w:type="dxa"/>
          </w:tcPr>
          <w:p>
            <w:pPr>
              <w:pStyle w:val="TableParagraph"/>
              <w:spacing w:before="55"/>
              <w:ind w:left="354" w:right="298"/>
              <w:rPr>
                <w:sz w:val="24"/>
              </w:rPr>
            </w:pPr>
            <w:r>
              <w:rPr>
                <w:sz w:val="24"/>
              </w:rPr>
              <w:t>Consejos Locales del Instituto Federal Electoral</w:t>
            </w:r>
          </w:p>
        </w:tc>
      </w:tr>
      <w:tr>
        <w:trPr>
          <w:trHeight w:val="414" w:hRule="exact"/>
        </w:trPr>
        <w:tc>
          <w:tcPr>
            <w:tcW w:w="1528" w:type="dxa"/>
          </w:tcPr>
          <w:p>
            <w:pPr>
              <w:pStyle w:val="TableParagraph"/>
              <w:spacing w:before="57"/>
              <w:ind w:left="200"/>
              <w:rPr>
                <w:sz w:val="24"/>
              </w:rPr>
            </w:pPr>
            <w:r>
              <w:rPr>
                <w:sz w:val="24"/>
              </w:rPr>
              <w:t>CMIEEM</w:t>
            </w:r>
          </w:p>
        </w:tc>
        <w:tc>
          <w:tcPr>
            <w:tcW w:w="7543" w:type="dxa"/>
          </w:tcPr>
          <w:p>
            <w:pPr>
              <w:pStyle w:val="TableParagraph"/>
              <w:spacing w:before="57"/>
              <w:ind w:left="354"/>
              <w:rPr>
                <w:sz w:val="24"/>
              </w:rPr>
            </w:pPr>
            <w:r>
              <w:rPr>
                <w:sz w:val="24"/>
              </w:rPr>
              <w:t>Consejos Municipales del Instituto Electoral del Estado de México</w:t>
            </w:r>
          </w:p>
        </w:tc>
      </w:tr>
      <w:tr>
        <w:trPr>
          <w:trHeight w:val="414" w:hRule="exact"/>
        </w:trPr>
        <w:tc>
          <w:tcPr>
            <w:tcW w:w="1528" w:type="dxa"/>
          </w:tcPr>
          <w:p>
            <w:pPr>
              <w:pStyle w:val="TableParagraph"/>
              <w:spacing w:before="55"/>
              <w:ind w:left="200"/>
              <w:rPr>
                <w:sz w:val="24"/>
              </w:rPr>
            </w:pPr>
            <w:r>
              <w:rPr>
                <w:sz w:val="24"/>
              </w:rPr>
              <w:t>CNDH</w:t>
            </w:r>
          </w:p>
        </w:tc>
        <w:tc>
          <w:tcPr>
            <w:tcW w:w="7543" w:type="dxa"/>
          </w:tcPr>
          <w:p>
            <w:pPr>
              <w:pStyle w:val="TableParagraph"/>
              <w:spacing w:before="55"/>
              <w:ind w:left="354" w:right="298"/>
              <w:rPr>
                <w:sz w:val="24"/>
              </w:rPr>
            </w:pPr>
            <w:r>
              <w:rPr>
                <w:sz w:val="24"/>
              </w:rPr>
              <w:t>Comisión Nacional de los Derechos Humanos</w:t>
            </w:r>
          </w:p>
        </w:tc>
      </w:tr>
      <w:tr>
        <w:trPr>
          <w:trHeight w:val="414" w:hRule="exact"/>
        </w:trPr>
        <w:tc>
          <w:tcPr>
            <w:tcW w:w="1528" w:type="dxa"/>
          </w:tcPr>
          <w:p>
            <w:pPr>
              <w:pStyle w:val="TableParagraph"/>
              <w:spacing w:before="57"/>
              <w:ind w:left="200"/>
              <w:rPr>
                <w:sz w:val="24"/>
              </w:rPr>
            </w:pPr>
            <w:r>
              <w:rPr>
                <w:sz w:val="24"/>
              </w:rPr>
              <w:t>Cofipe</w:t>
            </w:r>
          </w:p>
        </w:tc>
        <w:tc>
          <w:tcPr>
            <w:tcW w:w="7543" w:type="dxa"/>
          </w:tcPr>
          <w:p>
            <w:pPr>
              <w:pStyle w:val="TableParagraph"/>
              <w:spacing w:before="57"/>
              <w:ind w:left="354" w:right="298"/>
              <w:rPr>
                <w:sz w:val="24"/>
              </w:rPr>
            </w:pPr>
            <w:r>
              <w:rPr>
                <w:sz w:val="24"/>
              </w:rPr>
              <w:t>Código Federal de Instituciones y Procedimientos Electorales</w:t>
            </w:r>
          </w:p>
        </w:tc>
      </w:tr>
      <w:tr>
        <w:trPr>
          <w:trHeight w:val="414" w:hRule="exact"/>
        </w:trPr>
        <w:tc>
          <w:tcPr>
            <w:tcW w:w="1528" w:type="dxa"/>
          </w:tcPr>
          <w:p>
            <w:pPr>
              <w:pStyle w:val="TableParagraph"/>
              <w:spacing w:before="55"/>
              <w:ind w:left="200"/>
              <w:rPr>
                <w:sz w:val="24"/>
              </w:rPr>
            </w:pPr>
            <w:r>
              <w:rPr>
                <w:sz w:val="24"/>
              </w:rPr>
              <w:t>Conacyt</w:t>
            </w:r>
          </w:p>
        </w:tc>
        <w:tc>
          <w:tcPr>
            <w:tcW w:w="7543" w:type="dxa"/>
          </w:tcPr>
          <w:p>
            <w:pPr>
              <w:pStyle w:val="TableParagraph"/>
              <w:spacing w:before="55"/>
              <w:ind w:left="354" w:right="298"/>
              <w:rPr>
                <w:sz w:val="24"/>
              </w:rPr>
            </w:pPr>
            <w:r>
              <w:rPr>
                <w:sz w:val="24"/>
              </w:rPr>
              <w:t>Consejo Nacional de Ciencia y Tecnología</w:t>
            </w:r>
          </w:p>
        </w:tc>
      </w:tr>
      <w:tr>
        <w:trPr>
          <w:trHeight w:val="414" w:hRule="exact"/>
        </w:trPr>
        <w:tc>
          <w:tcPr>
            <w:tcW w:w="1528" w:type="dxa"/>
          </w:tcPr>
          <w:p>
            <w:pPr>
              <w:pStyle w:val="TableParagraph"/>
              <w:spacing w:before="57"/>
              <w:ind w:left="200"/>
              <w:rPr>
                <w:sz w:val="24"/>
              </w:rPr>
            </w:pPr>
            <w:r>
              <w:rPr>
                <w:sz w:val="24"/>
              </w:rPr>
              <w:t>CPEM</w:t>
            </w:r>
          </w:p>
        </w:tc>
        <w:tc>
          <w:tcPr>
            <w:tcW w:w="7543" w:type="dxa"/>
          </w:tcPr>
          <w:p>
            <w:pPr>
              <w:pStyle w:val="TableParagraph"/>
              <w:spacing w:before="57"/>
              <w:ind w:left="354" w:right="298"/>
              <w:rPr>
                <w:sz w:val="24"/>
              </w:rPr>
            </w:pPr>
            <w:r>
              <w:rPr>
                <w:sz w:val="24"/>
              </w:rPr>
              <w:t>Constitución Política del Estado de México</w:t>
            </w:r>
          </w:p>
        </w:tc>
      </w:tr>
      <w:tr>
        <w:trPr>
          <w:trHeight w:val="414" w:hRule="exact"/>
        </w:trPr>
        <w:tc>
          <w:tcPr>
            <w:tcW w:w="1528" w:type="dxa"/>
          </w:tcPr>
          <w:p>
            <w:pPr>
              <w:pStyle w:val="TableParagraph"/>
              <w:spacing w:before="55"/>
              <w:ind w:left="200"/>
              <w:rPr>
                <w:sz w:val="24"/>
              </w:rPr>
            </w:pPr>
            <w:r>
              <w:rPr>
                <w:sz w:val="24"/>
              </w:rPr>
              <w:t>CPBT</w:t>
            </w:r>
          </w:p>
        </w:tc>
        <w:tc>
          <w:tcPr>
            <w:tcW w:w="7543" w:type="dxa"/>
          </w:tcPr>
          <w:p>
            <w:pPr>
              <w:pStyle w:val="TableParagraph"/>
              <w:spacing w:before="55"/>
              <w:ind w:left="354" w:right="298"/>
              <w:rPr>
                <w:sz w:val="24"/>
              </w:rPr>
            </w:pPr>
            <w:r>
              <w:rPr>
                <w:sz w:val="24"/>
              </w:rPr>
              <w:t>Coalición Por el Bien de Todos</w:t>
            </w:r>
          </w:p>
        </w:tc>
      </w:tr>
      <w:tr>
        <w:trPr>
          <w:trHeight w:val="414" w:hRule="exact"/>
        </w:trPr>
        <w:tc>
          <w:tcPr>
            <w:tcW w:w="1528" w:type="dxa"/>
          </w:tcPr>
          <w:p>
            <w:pPr>
              <w:pStyle w:val="TableParagraph"/>
              <w:spacing w:before="57"/>
              <w:ind w:left="200"/>
              <w:rPr>
                <w:sz w:val="24"/>
              </w:rPr>
            </w:pPr>
            <w:r>
              <w:rPr>
                <w:sz w:val="24"/>
              </w:rPr>
              <w:t>CSJ</w:t>
            </w:r>
          </w:p>
        </w:tc>
        <w:tc>
          <w:tcPr>
            <w:tcW w:w="7543" w:type="dxa"/>
          </w:tcPr>
          <w:p>
            <w:pPr>
              <w:pStyle w:val="TableParagraph"/>
              <w:spacing w:before="57"/>
              <w:ind w:left="354" w:right="298"/>
              <w:rPr>
                <w:sz w:val="24"/>
              </w:rPr>
            </w:pPr>
            <w:r>
              <w:rPr>
                <w:sz w:val="24"/>
              </w:rPr>
              <w:t>Corte Suprema de Justicia</w:t>
            </w:r>
          </w:p>
        </w:tc>
      </w:tr>
      <w:tr>
        <w:trPr>
          <w:trHeight w:val="414" w:hRule="exact"/>
        </w:trPr>
        <w:tc>
          <w:tcPr>
            <w:tcW w:w="1528" w:type="dxa"/>
          </w:tcPr>
          <w:p>
            <w:pPr>
              <w:pStyle w:val="TableParagraph"/>
              <w:spacing w:before="56"/>
              <w:ind w:left="200"/>
              <w:rPr>
                <w:sz w:val="24"/>
              </w:rPr>
            </w:pPr>
            <w:r>
              <w:rPr>
                <w:sz w:val="24"/>
              </w:rPr>
              <w:t>CU</w:t>
            </w:r>
          </w:p>
        </w:tc>
        <w:tc>
          <w:tcPr>
            <w:tcW w:w="7543" w:type="dxa"/>
          </w:tcPr>
          <w:p>
            <w:pPr>
              <w:pStyle w:val="TableParagraph"/>
              <w:spacing w:before="56"/>
              <w:ind w:left="354" w:right="298"/>
              <w:rPr>
                <w:sz w:val="24"/>
              </w:rPr>
            </w:pPr>
            <w:r>
              <w:rPr>
                <w:sz w:val="24"/>
              </w:rPr>
              <w:t>Coalición Unidad</w:t>
            </w:r>
          </w:p>
        </w:tc>
      </w:tr>
      <w:tr>
        <w:trPr>
          <w:trHeight w:val="414" w:hRule="exact"/>
        </w:trPr>
        <w:tc>
          <w:tcPr>
            <w:tcW w:w="1528" w:type="dxa"/>
          </w:tcPr>
          <w:p>
            <w:pPr>
              <w:pStyle w:val="TableParagraph"/>
              <w:spacing w:before="57"/>
              <w:ind w:left="200"/>
              <w:rPr>
                <w:sz w:val="24"/>
              </w:rPr>
            </w:pPr>
            <w:r>
              <w:rPr>
                <w:sz w:val="24"/>
              </w:rPr>
              <w:t>DF</w:t>
            </w:r>
          </w:p>
        </w:tc>
        <w:tc>
          <w:tcPr>
            <w:tcW w:w="7543" w:type="dxa"/>
          </w:tcPr>
          <w:p>
            <w:pPr>
              <w:pStyle w:val="TableParagraph"/>
              <w:spacing w:before="57"/>
              <w:ind w:left="354" w:right="298"/>
              <w:rPr>
                <w:sz w:val="24"/>
              </w:rPr>
            </w:pPr>
            <w:r>
              <w:rPr>
                <w:sz w:val="24"/>
              </w:rPr>
              <w:t>Distrito Federal</w:t>
            </w:r>
          </w:p>
        </w:tc>
      </w:tr>
      <w:tr>
        <w:trPr>
          <w:trHeight w:val="413" w:hRule="exact"/>
        </w:trPr>
        <w:tc>
          <w:tcPr>
            <w:tcW w:w="1528" w:type="dxa"/>
          </w:tcPr>
          <w:p>
            <w:pPr>
              <w:pStyle w:val="TableParagraph"/>
              <w:spacing w:before="55"/>
              <w:ind w:left="200"/>
              <w:rPr>
                <w:sz w:val="24"/>
              </w:rPr>
            </w:pPr>
            <w:r>
              <w:rPr>
                <w:sz w:val="24"/>
              </w:rPr>
              <w:t>Facico</w:t>
            </w:r>
          </w:p>
        </w:tc>
        <w:tc>
          <w:tcPr>
            <w:tcW w:w="7543" w:type="dxa"/>
          </w:tcPr>
          <w:p>
            <w:pPr>
              <w:pStyle w:val="TableParagraph"/>
              <w:spacing w:before="55"/>
              <w:ind w:left="354" w:right="298"/>
              <w:rPr>
                <w:sz w:val="24"/>
              </w:rPr>
            </w:pPr>
            <w:r>
              <w:rPr>
                <w:sz w:val="24"/>
              </w:rPr>
              <w:t>Facultad de Ciencias de la Conducta</w:t>
            </w:r>
          </w:p>
        </w:tc>
      </w:tr>
      <w:tr>
        <w:trPr>
          <w:trHeight w:val="414" w:hRule="exact"/>
        </w:trPr>
        <w:tc>
          <w:tcPr>
            <w:tcW w:w="1528" w:type="dxa"/>
          </w:tcPr>
          <w:p>
            <w:pPr>
              <w:pStyle w:val="TableParagraph"/>
              <w:spacing w:before="55"/>
              <w:ind w:left="200"/>
              <w:rPr>
                <w:sz w:val="24"/>
              </w:rPr>
            </w:pPr>
            <w:r>
              <w:rPr>
                <w:sz w:val="24"/>
              </w:rPr>
              <w:t>Fenamm</w:t>
            </w:r>
          </w:p>
        </w:tc>
        <w:tc>
          <w:tcPr>
            <w:tcW w:w="7543" w:type="dxa"/>
          </w:tcPr>
          <w:p>
            <w:pPr>
              <w:pStyle w:val="TableParagraph"/>
              <w:spacing w:before="55"/>
              <w:ind w:left="354" w:right="298"/>
              <w:rPr>
                <w:sz w:val="24"/>
              </w:rPr>
            </w:pPr>
            <w:r>
              <w:rPr>
                <w:sz w:val="24"/>
              </w:rPr>
              <w:t>Federación Nacional de Municipios de México A.C.</w:t>
            </w:r>
          </w:p>
        </w:tc>
      </w:tr>
      <w:tr>
        <w:trPr>
          <w:trHeight w:val="328" w:hRule="exact"/>
        </w:trPr>
        <w:tc>
          <w:tcPr>
            <w:tcW w:w="1528" w:type="dxa"/>
          </w:tcPr>
          <w:p>
            <w:pPr>
              <w:pStyle w:val="TableParagraph"/>
              <w:spacing w:before="57"/>
              <w:ind w:left="200"/>
              <w:rPr>
                <w:sz w:val="24"/>
              </w:rPr>
            </w:pPr>
            <w:r>
              <w:rPr>
                <w:sz w:val="24"/>
              </w:rPr>
              <w:t>FEPADE</w:t>
            </w:r>
          </w:p>
        </w:tc>
        <w:tc>
          <w:tcPr>
            <w:tcW w:w="7543" w:type="dxa"/>
          </w:tcPr>
          <w:p>
            <w:pPr>
              <w:pStyle w:val="TableParagraph"/>
              <w:spacing w:before="57"/>
              <w:ind w:left="354" w:right="298"/>
              <w:rPr>
                <w:sz w:val="24"/>
              </w:rPr>
            </w:pPr>
            <w:r>
              <w:rPr>
                <w:sz w:val="24"/>
              </w:rPr>
              <w:t>Fiscalía Especializada Para la Atención de Delitos Electorales</w:t>
            </w:r>
          </w:p>
        </w:tc>
      </w:tr>
    </w:tbl>
    <w:p>
      <w:pPr>
        <w:spacing w:after="0"/>
        <w:rPr>
          <w:sz w:val="24"/>
        </w:rPr>
        <w:sectPr>
          <w:headerReference w:type="default" r:id="rId7"/>
          <w:footerReference w:type="default" r:id="rId8"/>
          <w:pgSz w:w="12240" w:h="15840"/>
          <w:pgMar w:header="749" w:footer="1003" w:top="960" w:bottom="1200" w:left="1400" w:right="1560"/>
          <w:pgNumType w:start="3"/>
        </w:sectPr>
      </w:pPr>
    </w:p>
    <w:p>
      <w:pPr>
        <w:pStyle w:val="BodyText"/>
        <w:rPr>
          <w:rFonts w:ascii="Times New Roman"/>
          <w:sz w:val="20"/>
        </w:rPr>
      </w:pPr>
    </w:p>
    <w:p>
      <w:pPr>
        <w:pStyle w:val="BodyText"/>
        <w:spacing w:before="3"/>
        <w:rPr>
          <w:rFonts w:ascii="Times New Roman"/>
          <w:sz w:val="21"/>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595"/>
        <w:gridCol w:w="7693"/>
      </w:tblGrid>
      <w:tr>
        <w:trPr>
          <w:trHeight w:val="328" w:hRule="exact"/>
        </w:trPr>
        <w:tc>
          <w:tcPr>
            <w:tcW w:w="1595" w:type="dxa"/>
          </w:tcPr>
          <w:p>
            <w:pPr>
              <w:pStyle w:val="TableParagraph"/>
              <w:spacing w:line="245" w:lineRule="exact"/>
              <w:ind w:left="200"/>
              <w:rPr>
                <w:sz w:val="24"/>
              </w:rPr>
            </w:pPr>
            <w:r>
              <w:rPr>
                <w:sz w:val="24"/>
              </w:rPr>
              <w:t>Flacso</w:t>
            </w:r>
          </w:p>
        </w:tc>
        <w:tc>
          <w:tcPr>
            <w:tcW w:w="7693" w:type="dxa"/>
          </w:tcPr>
          <w:p>
            <w:pPr>
              <w:pStyle w:val="TableParagraph"/>
              <w:spacing w:line="245" w:lineRule="exact"/>
              <w:ind w:left="287" w:right="608"/>
              <w:rPr>
                <w:sz w:val="24"/>
              </w:rPr>
            </w:pPr>
            <w:r>
              <w:rPr>
                <w:sz w:val="24"/>
              </w:rPr>
              <w:t>Facultad Latinoamericana de Ciencias Sociales</w:t>
            </w:r>
          </w:p>
        </w:tc>
      </w:tr>
      <w:tr>
        <w:trPr>
          <w:trHeight w:val="414" w:hRule="exact"/>
        </w:trPr>
        <w:tc>
          <w:tcPr>
            <w:tcW w:w="1595" w:type="dxa"/>
          </w:tcPr>
          <w:p>
            <w:pPr>
              <w:pStyle w:val="TableParagraph"/>
              <w:spacing w:before="57"/>
              <w:ind w:left="200"/>
              <w:rPr>
                <w:sz w:val="24"/>
              </w:rPr>
            </w:pPr>
            <w:r>
              <w:rPr>
                <w:sz w:val="24"/>
              </w:rPr>
              <w:t>FUNDAR</w:t>
            </w:r>
          </w:p>
        </w:tc>
        <w:tc>
          <w:tcPr>
            <w:tcW w:w="7693" w:type="dxa"/>
          </w:tcPr>
          <w:p>
            <w:pPr>
              <w:pStyle w:val="TableParagraph"/>
              <w:spacing w:before="57"/>
              <w:ind w:left="287" w:right="608"/>
              <w:rPr>
                <w:sz w:val="24"/>
              </w:rPr>
            </w:pPr>
            <w:r>
              <w:rPr>
                <w:sz w:val="24"/>
              </w:rPr>
              <w:t>Centro de Análisis e Investigación Asociación Civil</w:t>
            </w:r>
          </w:p>
        </w:tc>
      </w:tr>
      <w:tr>
        <w:trPr>
          <w:trHeight w:val="414" w:hRule="exact"/>
        </w:trPr>
        <w:tc>
          <w:tcPr>
            <w:tcW w:w="1595" w:type="dxa"/>
          </w:tcPr>
          <w:p>
            <w:pPr>
              <w:pStyle w:val="TableParagraph"/>
              <w:spacing w:before="55"/>
              <w:ind w:left="200"/>
              <w:rPr>
                <w:sz w:val="24"/>
              </w:rPr>
            </w:pPr>
            <w:r>
              <w:rPr>
                <w:sz w:val="24"/>
              </w:rPr>
              <w:t>GEM</w:t>
            </w:r>
          </w:p>
        </w:tc>
        <w:tc>
          <w:tcPr>
            <w:tcW w:w="7693" w:type="dxa"/>
          </w:tcPr>
          <w:p>
            <w:pPr>
              <w:pStyle w:val="TableParagraph"/>
              <w:spacing w:before="55"/>
              <w:ind w:left="287" w:right="608"/>
              <w:rPr>
                <w:sz w:val="24"/>
              </w:rPr>
            </w:pPr>
            <w:r>
              <w:rPr>
                <w:sz w:val="24"/>
              </w:rPr>
              <w:t>Gobierno del Estado de México</w:t>
            </w:r>
          </w:p>
        </w:tc>
      </w:tr>
      <w:tr>
        <w:trPr>
          <w:trHeight w:val="414" w:hRule="exact"/>
        </w:trPr>
        <w:tc>
          <w:tcPr>
            <w:tcW w:w="1595" w:type="dxa"/>
          </w:tcPr>
          <w:p>
            <w:pPr>
              <w:pStyle w:val="TableParagraph"/>
              <w:spacing w:before="57"/>
              <w:ind w:left="200"/>
              <w:rPr>
                <w:sz w:val="24"/>
              </w:rPr>
            </w:pPr>
            <w:r>
              <w:rPr>
                <w:sz w:val="24"/>
              </w:rPr>
              <w:t>IBOPE</w:t>
            </w:r>
          </w:p>
        </w:tc>
        <w:tc>
          <w:tcPr>
            <w:tcW w:w="7693" w:type="dxa"/>
          </w:tcPr>
          <w:p>
            <w:pPr>
              <w:pStyle w:val="TableParagraph"/>
              <w:spacing w:before="57"/>
              <w:ind w:left="287" w:right="608"/>
              <w:rPr>
                <w:sz w:val="24"/>
              </w:rPr>
            </w:pPr>
            <w:r>
              <w:rPr>
                <w:sz w:val="24"/>
              </w:rPr>
              <w:t>Instituto Brasileño de Opinión Pública y Estadística</w:t>
            </w:r>
          </w:p>
        </w:tc>
      </w:tr>
      <w:tr>
        <w:trPr>
          <w:trHeight w:val="414" w:hRule="exact"/>
        </w:trPr>
        <w:tc>
          <w:tcPr>
            <w:tcW w:w="1595" w:type="dxa"/>
          </w:tcPr>
          <w:p>
            <w:pPr>
              <w:pStyle w:val="TableParagraph"/>
              <w:spacing w:before="55"/>
              <w:ind w:left="200"/>
              <w:rPr>
                <w:sz w:val="24"/>
              </w:rPr>
            </w:pPr>
            <w:r>
              <w:rPr>
                <w:sz w:val="24"/>
              </w:rPr>
              <w:t>IEEM</w:t>
            </w:r>
          </w:p>
        </w:tc>
        <w:tc>
          <w:tcPr>
            <w:tcW w:w="7693" w:type="dxa"/>
          </w:tcPr>
          <w:p>
            <w:pPr>
              <w:pStyle w:val="TableParagraph"/>
              <w:spacing w:before="55"/>
              <w:ind w:left="287" w:right="608"/>
              <w:rPr>
                <w:sz w:val="24"/>
              </w:rPr>
            </w:pPr>
            <w:r>
              <w:rPr>
                <w:sz w:val="24"/>
              </w:rPr>
              <w:t>Instituto Electoral del Estado de México</w:t>
            </w:r>
          </w:p>
        </w:tc>
      </w:tr>
      <w:tr>
        <w:trPr>
          <w:trHeight w:val="414" w:hRule="exact"/>
        </w:trPr>
        <w:tc>
          <w:tcPr>
            <w:tcW w:w="1595" w:type="dxa"/>
          </w:tcPr>
          <w:p>
            <w:pPr>
              <w:pStyle w:val="TableParagraph"/>
              <w:spacing w:before="57"/>
              <w:ind w:left="200"/>
              <w:rPr>
                <w:sz w:val="24"/>
              </w:rPr>
            </w:pPr>
            <w:r>
              <w:rPr>
                <w:sz w:val="24"/>
              </w:rPr>
              <w:t>IFAM</w:t>
            </w:r>
          </w:p>
        </w:tc>
        <w:tc>
          <w:tcPr>
            <w:tcW w:w="7693" w:type="dxa"/>
          </w:tcPr>
          <w:p>
            <w:pPr>
              <w:pStyle w:val="TableParagraph"/>
              <w:spacing w:before="57"/>
              <w:ind w:left="287" w:right="608"/>
              <w:rPr>
                <w:sz w:val="24"/>
              </w:rPr>
            </w:pPr>
            <w:r>
              <w:rPr>
                <w:sz w:val="24"/>
              </w:rPr>
              <w:t>Instituto de Fomento y Asesoría Municipal</w:t>
            </w:r>
          </w:p>
        </w:tc>
      </w:tr>
      <w:tr>
        <w:trPr>
          <w:trHeight w:val="414" w:hRule="exact"/>
        </w:trPr>
        <w:tc>
          <w:tcPr>
            <w:tcW w:w="1595" w:type="dxa"/>
          </w:tcPr>
          <w:p>
            <w:pPr>
              <w:pStyle w:val="TableParagraph"/>
              <w:spacing w:before="55"/>
              <w:ind w:left="200"/>
              <w:rPr>
                <w:sz w:val="24"/>
              </w:rPr>
            </w:pPr>
            <w:r>
              <w:rPr>
                <w:sz w:val="24"/>
              </w:rPr>
              <w:t>IFE</w:t>
            </w:r>
          </w:p>
        </w:tc>
        <w:tc>
          <w:tcPr>
            <w:tcW w:w="7693" w:type="dxa"/>
          </w:tcPr>
          <w:p>
            <w:pPr>
              <w:pStyle w:val="TableParagraph"/>
              <w:spacing w:before="55"/>
              <w:ind w:left="287" w:right="608"/>
              <w:rPr>
                <w:sz w:val="24"/>
              </w:rPr>
            </w:pPr>
            <w:r>
              <w:rPr>
                <w:sz w:val="24"/>
              </w:rPr>
              <w:t>Instituto Federal Electoral</w:t>
            </w:r>
          </w:p>
        </w:tc>
      </w:tr>
      <w:tr>
        <w:trPr>
          <w:trHeight w:val="414" w:hRule="exact"/>
        </w:trPr>
        <w:tc>
          <w:tcPr>
            <w:tcW w:w="1595" w:type="dxa"/>
          </w:tcPr>
          <w:p>
            <w:pPr>
              <w:pStyle w:val="TableParagraph"/>
              <w:spacing w:before="57"/>
              <w:ind w:left="200"/>
              <w:rPr>
                <w:sz w:val="24"/>
              </w:rPr>
            </w:pPr>
            <w:r>
              <w:rPr>
                <w:sz w:val="24"/>
              </w:rPr>
              <w:t>IFED</w:t>
            </w:r>
          </w:p>
        </w:tc>
        <w:tc>
          <w:tcPr>
            <w:tcW w:w="7693" w:type="dxa"/>
          </w:tcPr>
          <w:p>
            <w:pPr>
              <w:pStyle w:val="TableParagraph"/>
              <w:spacing w:before="57"/>
              <w:ind w:left="287" w:right="608"/>
              <w:rPr>
                <w:sz w:val="24"/>
              </w:rPr>
            </w:pPr>
            <w:r>
              <w:rPr>
                <w:sz w:val="24"/>
              </w:rPr>
              <w:t>Instituto de Formación de Estudios en Democracia</w:t>
            </w:r>
          </w:p>
        </w:tc>
      </w:tr>
      <w:tr>
        <w:trPr>
          <w:trHeight w:val="414" w:hRule="exact"/>
        </w:trPr>
        <w:tc>
          <w:tcPr>
            <w:tcW w:w="1595" w:type="dxa"/>
          </w:tcPr>
          <w:p>
            <w:pPr>
              <w:pStyle w:val="TableParagraph"/>
              <w:spacing w:before="55"/>
              <w:ind w:left="200"/>
              <w:rPr>
                <w:sz w:val="24"/>
              </w:rPr>
            </w:pPr>
            <w:r>
              <w:rPr>
                <w:sz w:val="24"/>
              </w:rPr>
              <w:t>Inafed</w:t>
            </w:r>
          </w:p>
        </w:tc>
        <w:tc>
          <w:tcPr>
            <w:tcW w:w="7693" w:type="dxa"/>
          </w:tcPr>
          <w:p>
            <w:pPr>
              <w:pStyle w:val="TableParagraph"/>
              <w:spacing w:before="55"/>
              <w:ind w:left="287" w:right="608"/>
              <w:rPr>
                <w:sz w:val="24"/>
              </w:rPr>
            </w:pPr>
            <w:r>
              <w:rPr>
                <w:sz w:val="24"/>
              </w:rPr>
              <w:t>Instituto Nacional para el Federalismo y el Desarrollo Municipal</w:t>
            </w:r>
          </w:p>
        </w:tc>
      </w:tr>
      <w:tr>
        <w:trPr>
          <w:trHeight w:val="414" w:hRule="exact"/>
        </w:trPr>
        <w:tc>
          <w:tcPr>
            <w:tcW w:w="1595" w:type="dxa"/>
          </w:tcPr>
          <w:p>
            <w:pPr>
              <w:pStyle w:val="TableParagraph"/>
              <w:spacing w:before="57"/>
              <w:ind w:left="200"/>
              <w:rPr>
                <w:sz w:val="24"/>
              </w:rPr>
            </w:pPr>
            <w:r>
              <w:rPr>
                <w:sz w:val="24"/>
              </w:rPr>
              <w:t>INEC</w:t>
            </w:r>
          </w:p>
        </w:tc>
        <w:tc>
          <w:tcPr>
            <w:tcW w:w="7693" w:type="dxa"/>
          </w:tcPr>
          <w:p>
            <w:pPr>
              <w:pStyle w:val="TableParagraph"/>
              <w:spacing w:before="57"/>
              <w:ind w:left="287" w:right="608"/>
              <w:rPr>
                <w:sz w:val="24"/>
              </w:rPr>
            </w:pPr>
            <w:r>
              <w:rPr>
                <w:sz w:val="24"/>
              </w:rPr>
              <w:t>Instituto Nacional de Estadística y Censos</w:t>
            </w:r>
          </w:p>
        </w:tc>
      </w:tr>
      <w:tr>
        <w:trPr>
          <w:trHeight w:val="414" w:hRule="exact"/>
        </w:trPr>
        <w:tc>
          <w:tcPr>
            <w:tcW w:w="1595" w:type="dxa"/>
          </w:tcPr>
          <w:p>
            <w:pPr>
              <w:pStyle w:val="TableParagraph"/>
              <w:spacing w:before="55"/>
              <w:ind w:left="200"/>
              <w:rPr>
                <w:sz w:val="24"/>
              </w:rPr>
            </w:pPr>
            <w:r>
              <w:rPr>
                <w:sz w:val="24"/>
              </w:rPr>
              <w:t>INEGI</w:t>
            </w:r>
          </w:p>
        </w:tc>
        <w:tc>
          <w:tcPr>
            <w:tcW w:w="7693" w:type="dxa"/>
          </w:tcPr>
          <w:p>
            <w:pPr>
              <w:pStyle w:val="TableParagraph"/>
              <w:spacing w:before="55"/>
              <w:ind w:left="287" w:right="608"/>
              <w:rPr>
                <w:sz w:val="24"/>
              </w:rPr>
            </w:pPr>
            <w:r>
              <w:rPr>
                <w:sz w:val="24"/>
              </w:rPr>
              <w:t>Instituto Nacional de Estadística Geografía e Informática</w:t>
            </w:r>
          </w:p>
        </w:tc>
      </w:tr>
      <w:tr>
        <w:trPr>
          <w:trHeight w:val="414" w:hRule="exact"/>
        </w:trPr>
        <w:tc>
          <w:tcPr>
            <w:tcW w:w="1595" w:type="dxa"/>
          </w:tcPr>
          <w:p>
            <w:pPr>
              <w:pStyle w:val="TableParagraph"/>
              <w:spacing w:before="57"/>
              <w:ind w:left="200"/>
              <w:rPr>
                <w:sz w:val="24"/>
              </w:rPr>
            </w:pPr>
            <w:r>
              <w:rPr>
                <w:sz w:val="24"/>
              </w:rPr>
              <w:t>JDIEEM</w:t>
            </w:r>
          </w:p>
        </w:tc>
        <w:tc>
          <w:tcPr>
            <w:tcW w:w="7693" w:type="dxa"/>
          </w:tcPr>
          <w:p>
            <w:pPr>
              <w:pStyle w:val="TableParagraph"/>
              <w:spacing w:before="57"/>
              <w:ind w:left="287" w:right="608"/>
              <w:rPr>
                <w:sz w:val="24"/>
              </w:rPr>
            </w:pPr>
            <w:r>
              <w:rPr>
                <w:sz w:val="24"/>
              </w:rPr>
              <w:t>Juntas Distritales del Instituto Electoral del Estado de México</w:t>
            </w:r>
          </w:p>
        </w:tc>
      </w:tr>
      <w:tr>
        <w:trPr>
          <w:trHeight w:val="414" w:hRule="exact"/>
        </w:trPr>
        <w:tc>
          <w:tcPr>
            <w:tcW w:w="1595" w:type="dxa"/>
          </w:tcPr>
          <w:p>
            <w:pPr>
              <w:pStyle w:val="TableParagraph"/>
              <w:spacing w:before="55"/>
              <w:ind w:left="200"/>
              <w:rPr>
                <w:sz w:val="24"/>
              </w:rPr>
            </w:pPr>
            <w:r>
              <w:rPr>
                <w:sz w:val="24"/>
              </w:rPr>
              <w:t>JDIFE</w:t>
            </w:r>
          </w:p>
        </w:tc>
        <w:tc>
          <w:tcPr>
            <w:tcW w:w="7693" w:type="dxa"/>
          </w:tcPr>
          <w:p>
            <w:pPr>
              <w:pStyle w:val="TableParagraph"/>
              <w:spacing w:before="55"/>
              <w:ind w:left="287" w:right="608"/>
              <w:rPr>
                <w:sz w:val="24"/>
              </w:rPr>
            </w:pPr>
            <w:r>
              <w:rPr>
                <w:sz w:val="24"/>
              </w:rPr>
              <w:t>Juntas Distritales del Instituto Federal Electoral</w:t>
            </w:r>
          </w:p>
        </w:tc>
      </w:tr>
      <w:tr>
        <w:trPr>
          <w:trHeight w:val="414" w:hRule="exact"/>
        </w:trPr>
        <w:tc>
          <w:tcPr>
            <w:tcW w:w="1595" w:type="dxa"/>
          </w:tcPr>
          <w:p>
            <w:pPr>
              <w:pStyle w:val="TableParagraph"/>
              <w:spacing w:before="57"/>
              <w:ind w:left="200"/>
              <w:rPr>
                <w:sz w:val="24"/>
              </w:rPr>
            </w:pPr>
            <w:r>
              <w:rPr>
                <w:sz w:val="24"/>
              </w:rPr>
              <w:t>JGIEEM</w:t>
            </w:r>
          </w:p>
        </w:tc>
        <w:tc>
          <w:tcPr>
            <w:tcW w:w="7693" w:type="dxa"/>
          </w:tcPr>
          <w:p>
            <w:pPr>
              <w:pStyle w:val="TableParagraph"/>
              <w:spacing w:before="57"/>
              <w:ind w:left="287" w:right="608"/>
              <w:rPr>
                <w:sz w:val="24"/>
              </w:rPr>
            </w:pPr>
            <w:r>
              <w:rPr>
                <w:sz w:val="24"/>
              </w:rPr>
              <w:t>Junta General del Instituto Electoral del Estado de México</w:t>
            </w:r>
          </w:p>
        </w:tc>
      </w:tr>
      <w:tr>
        <w:trPr>
          <w:trHeight w:val="414" w:hRule="exact"/>
        </w:trPr>
        <w:tc>
          <w:tcPr>
            <w:tcW w:w="1595" w:type="dxa"/>
          </w:tcPr>
          <w:p>
            <w:pPr>
              <w:pStyle w:val="TableParagraph"/>
              <w:spacing w:before="55"/>
              <w:ind w:left="200"/>
              <w:rPr>
                <w:sz w:val="24"/>
              </w:rPr>
            </w:pPr>
            <w:r>
              <w:rPr>
                <w:sz w:val="24"/>
              </w:rPr>
              <w:t>JGIFE</w:t>
            </w:r>
          </w:p>
        </w:tc>
        <w:tc>
          <w:tcPr>
            <w:tcW w:w="7693" w:type="dxa"/>
          </w:tcPr>
          <w:p>
            <w:pPr>
              <w:pStyle w:val="TableParagraph"/>
              <w:spacing w:before="55"/>
              <w:ind w:left="287" w:right="608"/>
              <w:rPr>
                <w:sz w:val="24"/>
              </w:rPr>
            </w:pPr>
            <w:r>
              <w:rPr>
                <w:sz w:val="24"/>
              </w:rPr>
              <w:t>Junta General del Instituto Federal Electoral</w:t>
            </w:r>
          </w:p>
        </w:tc>
      </w:tr>
      <w:tr>
        <w:trPr>
          <w:trHeight w:val="414" w:hRule="exact"/>
        </w:trPr>
        <w:tc>
          <w:tcPr>
            <w:tcW w:w="1595" w:type="dxa"/>
          </w:tcPr>
          <w:p>
            <w:pPr>
              <w:pStyle w:val="TableParagraph"/>
              <w:spacing w:before="57"/>
              <w:ind w:left="200"/>
              <w:rPr>
                <w:sz w:val="24"/>
              </w:rPr>
            </w:pPr>
            <w:r>
              <w:rPr>
                <w:sz w:val="24"/>
              </w:rPr>
              <w:t>JIN</w:t>
            </w:r>
          </w:p>
        </w:tc>
        <w:tc>
          <w:tcPr>
            <w:tcW w:w="7693" w:type="dxa"/>
          </w:tcPr>
          <w:p>
            <w:pPr>
              <w:pStyle w:val="TableParagraph"/>
              <w:spacing w:before="57"/>
              <w:ind w:left="287" w:right="608"/>
              <w:rPr>
                <w:sz w:val="24"/>
              </w:rPr>
            </w:pPr>
            <w:r>
              <w:rPr>
                <w:sz w:val="24"/>
              </w:rPr>
              <w:t>Juicio de Inconformidad</w:t>
            </w:r>
          </w:p>
        </w:tc>
      </w:tr>
      <w:tr>
        <w:trPr>
          <w:trHeight w:val="414" w:hRule="exact"/>
        </w:trPr>
        <w:tc>
          <w:tcPr>
            <w:tcW w:w="1595" w:type="dxa"/>
          </w:tcPr>
          <w:p>
            <w:pPr>
              <w:pStyle w:val="TableParagraph"/>
              <w:spacing w:before="55"/>
              <w:ind w:left="200"/>
              <w:rPr>
                <w:sz w:val="24"/>
              </w:rPr>
            </w:pPr>
            <w:r>
              <w:rPr>
                <w:sz w:val="24"/>
              </w:rPr>
              <w:t>JLIFE</w:t>
            </w:r>
          </w:p>
        </w:tc>
        <w:tc>
          <w:tcPr>
            <w:tcW w:w="7693" w:type="dxa"/>
          </w:tcPr>
          <w:p>
            <w:pPr>
              <w:pStyle w:val="TableParagraph"/>
              <w:spacing w:before="55"/>
              <w:ind w:left="287" w:right="608"/>
              <w:rPr>
                <w:sz w:val="24"/>
              </w:rPr>
            </w:pPr>
            <w:r>
              <w:rPr>
                <w:sz w:val="24"/>
              </w:rPr>
              <w:t>Juntas Locales del Instituto Federal Electoral</w:t>
            </w:r>
          </w:p>
        </w:tc>
      </w:tr>
      <w:tr>
        <w:trPr>
          <w:trHeight w:val="414" w:hRule="exact"/>
        </w:trPr>
        <w:tc>
          <w:tcPr>
            <w:tcW w:w="1595" w:type="dxa"/>
          </w:tcPr>
          <w:p>
            <w:pPr>
              <w:pStyle w:val="TableParagraph"/>
              <w:spacing w:before="57"/>
              <w:ind w:left="200"/>
              <w:rPr>
                <w:sz w:val="24"/>
              </w:rPr>
            </w:pPr>
            <w:r>
              <w:rPr>
                <w:sz w:val="24"/>
              </w:rPr>
              <w:t>JMIEEM</w:t>
            </w:r>
          </w:p>
        </w:tc>
        <w:tc>
          <w:tcPr>
            <w:tcW w:w="7693" w:type="dxa"/>
          </w:tcPr>
          <w:p>
            <w:pPr>
              <w:pStyle w:val="TableParagraph"/>
              <w:spacing w:before="57"/>
              <w:ind w:left="287" w:right="608"/>
              <w:rPr>
                <w:sz w:val="24"/>
              </w:rPr>
            </w:pPr>
            <w:r>
              <w:rPr>
                <w:sz w:val="24"/>
              </w:rPr>
              <w:t>Juntas Municipales del Instituto Electoral del Estado de México</w:t>
            </w:r>
          </w:p>
        </w:tc>
      </w:tr>
      <w:tr>
        <w:trPr>
          <w:trHeight w:val="828" w:hRule="exact"/>
        </w:trPr>
        <w:tc>
          <w:tcPr>
            <w:tcW w:w="1595" w:type="dxa"/>
          </w:tcPr>
          <w:p>
            <w:pPr>
              <w:pStyle w:val="TableParagraph"/>
              <w:spacing w:before="55"/>
              <w:ind w:left="200"/>
              <w:rPr>
                <w:sz w:val="24"/>
              </w:rPr>
            </w:pPr>
            <w:r>
              <w:rPr>
                <w:sz w:val="24"/>
              </w:rPr>
              <w:t>LGSMIME</w:t>
            </w:r>
          </w:p>
        </w:tc>
        <w:tc>
          <w:tcPr>
            <w:tcW w:w="7693" w:type="dxa"/>
          </w:tcPr>
          <w:p>
            <w:pPr>
              <w:pStyle w:val="TableParagraph"/>
              <w:spacing w:line="360" w:lineRule="auto" w:before="55"/>
              <w:ind w:left="287" w:right="608"/>
              <w:rPr>
                <w:sz w:val="24"/>
              </w:rPr>
            </w:pPr>
            <w:r>
              <w:rPr>
                <w:sz w:val="24"/>
              </w:rPr>
              <w:t>Ley General del Sistema de Medios de Impugnación en Materia Electoral</w:t>
            </w:r>
          </w:p>
        </w:tc>
      </w:tr>
      <w:tr>
        <w:trPr>
          <w:trHeight w:val="414" w:hRule="exact"/>
        </w:trPr>
        <w:tc>
          <w:tcPr>
            <w:tcW w:w="1595" w:type="dxa"/>
          </w:tcPr>
          <w:p>
            <w:pPr>
              <w:pStyle w:val="TableParagraph"/>
              <w:spacing w:before="55"/>
              <w:ind w:left="200"/>
              <w:rPr>
                <w:sz w:val="24"/>
              </w:rPr>
            </w:pPr>
            <w:r>
              <w:rPr>
                <w:sz w:val="24"/>
              </w:rPr>
              <w:t>OEA</w:t>
            </w:r>
          </w:p>
        </w:tc>
        <w:tc>
          <w:tcPr>
            <w:tcW w:w="7693" w:type="dxa"/>
          </w:tcPr>
          <w:p>
            <w:pPr>
              <w:pStyle w:val="TableParagraph"/>
              <w:spacing w:before="55"/>
              <w:ind w:left="287" w:right="608"/>
              <w:rPr>
                <w:sz w:val="24"/>
              </w:rPr>
            </w:pPr>
            <w:r>
              <w:rPr>
                <w:sz w:val="24"/>
              </w:rPr>
              <w:t>Organización de Estados Americanos</w:t>
            </w:r>
          </w:p>
        </w:tc>
      </w:tr>
      <w:tr>
        <w:trPr>
          <w:trHeight w:val="414" w:hRule="exact"/>
        </w:trPr>
        <w:tc>
          <w:tcPr>
            <w:tcW w:w="1595" w:type="dxa"/>
          </w:tcPr>
          <w:p>
            <w:pPr>
              <w:pStyle w:val="TableParagraph"/>
              <w:spacing w:before="57"/>
              <w:ind w:left="200"/>
              <w:rPr>
                <w:sz w:val="24"/>
              </w:rPr>
            </w:pPr>
            <w:r>
              <w:rPr>
                <w:sz w:val="24"/>
              </w:rPr>
              <w:t>PAC</w:t>
            </w:r>
          </w:p>
        </w:tc>
        <w:tc>
          <w:tcPr>
            <w:tcW w:w="7693" w:type="dxa"/>
          </w:tcPr>
          <w:p>
            <w:pPr>
              <w:pStyle w:val="TableParagraph"/>
              <w:spacing w:before="57"/>
              <w:ind w:left="287" w:right="608"/>
              <w:rPr>
                <w:sz w:val="24"/>
              </w:rPr>
            </w:pPr>
            <w:r>
              <w:rPr>
                <w:sz w:val="24"/>
              </w:rPr>
              <w:t>Partido Acción Ciudadana</w:t>
            </w:r>
          </w:p>
        </w:tc>
      </w:tr>
      <w:tr>
        <w:trPr>
          <w:trHeight w:val="414" w:hRule="exact"/>
        </w:trPr>
        <w:tc>
          <w:tcPr>
            <w:tcW w:w="1595" w:type="dxa"/>
          </w:tcPr>
          <w:p>
            <w:pPr>
              <w:pStyle w:val="TableParagraph"/>
              <w:spacing w:before="55"/>
              <w:ind w:left="200"/>
              <w:rPr>
                <w:sz w:val="24"/>
              </w:rPr>
            </w:pPr>
            <w:r>
              <w:rPr>
                <w:sz w:val="24"/>
              </w:rPr>
              <w:t>PAN</w:t>
            </w:r>
          </w:p>
        </w:tc>
        <w:tc>
          <w:tcPr>
            <w:tcW w:w="7693" w:type="dxa"/>
          </w:tcPr>
          <w:p>
            <w:pPr>
              <w:pStyle w:val="TableParagraph"/>
              <w:spacing w:before="55"/>
              <w:ind w:left="287" w:right="608"/>
              <w:rPr>
                <w:sz w:val="24"/>
              </w:rPr>
            </w:pPr>
            <w:r>
              <w:rPr>
                <w:sz w:val="24"/>
              </w:rPr>
              <w:t>Partido Acción Nacional</w:t>
            </w:r>
          </w:p>
        </w:tc>
      </w:tr>
      <w:tr>
        <w:trPr>
          <w:trHeight w:val="1242" w:hRule="exact"/>
        </w:trPr>
        <w:tc>
          <w:tcPr>
            <w:tcW w:w="1595" w:type="dxa"/>
          </w:tcPr>
          <w:p>
            <w:pPr>
              <w:pStyle w:val="TableParagraph"/>
              <w:spacing w:before="57"/>
              <w:ind w:left="200"/>
              <w:rPr>
                <w:sz w:val="24"/>
              </w:rPr>
            </w:pPr>
            <w:r>
              <w:rPr>
                <w:sz w:val="24"/>
              </w:rPr>
              <w:t>PASC</w:t>
            </w:r>
          </w:p>
        </w:tc>
        <w:tc>
          <w:tcPr>
            <w:tcW w:w="7693" w:type="dxa"/>
          </w:tcPr>
          <w:p>
            <w:pPr>
              <w:pStyle w:val="TableParagraph"/>
              <w:spacing w:line="360" w:lineRule="auto" w:before="57"/>
              <w:ind w:left="287" w:right="182"/>
              <w:rPr>
                <w:sz w:val="24"/>
              </w:rPr>
            </w:pPr>
            <w:r>
              <w:rPr>
                <w:sz w:val="24"/>
              </w:rPr>
              <w:t>Partido Alternativa Socialdemócrata y Campesina (2006), Partido Alternativa Socialdemócrata (PAS) (2007), Partido Socialdemócrata (PSD) (2008). Partido político mexicano.</w:t>
            </w:r>
          </w:p>
        </w:tc>
      </w:tr>
      <w:tr>
        <w:trPr>
          <w:trHeight w:val="414" w:hRule="exact"/>
        </w:trPr>
        <w:tc>
          <w:tcPr>
            <w:tcW w:w="1595" w:type="dxa"/>
          </w:tcPr>
          <w:p>
            <w:pPr>
              <w:pStyle w:val="TableParagraph"/>
              <w:spacing w:before="56"/>
              <w:ind w:left="200"/>
              <w:rPr>
                <w:sz w:val="24"/>
              </w:rPr>
            </w:pPr>
            <w:r>
              <w:rPr>
                <w:sz w:val="24"/>
              </w:rPr>
              <w:t>PASE</w:t>
            </w:r>
          </w:p>
        </w:tc>
        <w:tc>
          <w:tcPr>
            <w:tcW w:w="7693" w:type="dxa"/>
          </w:tcPr>
          <w:p>
            <w:pPr>
              <w:pStyle w:val="TableParagraph"/>
              <w:spacing w:before="56"/>
              <w:ind w:left="287" w:right="608"/>
              <w:rPr>
                <w:sz w:val="24"/>
              </w:rPr>
            </w:pPr>
            <w:r>
              <w:rPr>
                <w:sz w:val="24"/>
              </w:rPr>
              <w:t>Partido Accesibilidad Sin Exclusión</w:t>
            </w:r>
          </w:p>
        </w:tc>
      </w:tr>
      <w:tr>
        <w:trPr>
          <w:trHeight w:val="414" w:hRule="exact"/>
        </w:trPr>
        <w:tc>
          <w:tcPr>
            <w:tcW w:w="1595" w:type="dxa"/>
          </w:tcPr>
          <w:p>
            <w:pPr>
              <w:pStyle w:val="TableParagraph"/>
              <w:spacing w:before="57"/>
              <w:ind w:left="200"/>
              <w:rPr>
                <w:sz w:val="24"/>
              </w:rPr>
            </w:pPr>
            <w:r>
              <w:rPr>
                <w:sz w:val="24"/>
              </w:rPr>
              <w:t>PFA</w:t>
            </w:r>
          </w:p>
        </w:tc>
        <w:tc>
          <w:tcPr>
            <w:tcW w:w="7693" w:type="dxa"/>
          </w:tcPr>
          <w:p>
            <w:pPr>
              <w:pStyle w:val="TableParagraph"/>
              <w:spacing w:before="57"/>
              <w:ind w:left="287" w:right="608"/>
              <w:rPr>
                <w:sz w:val="24"/>
              </w:rPr>
            </w:pPr>
            <w:r>
              <w:rPr>
                <w:sz w:val="24"/>
              </w:rPr>
              <w:t>Partido Frente Amplio</w:t>
            </w:r>
          </w:p>
        </w:tc>
      </w:tr>
      <w:tr>
        <w:trPr>
          <w:trHeight w:val="413" w:hRule="exact"/>
        </w:trPr>
        <w:tc>
          <w:tcPr>
            <w:tcW w:w="1595" w:type="dxa"/>
          </w:tcPr>
          <w:p>
            <w:pPr>
              <w:pStyle w:val="TableParagraph"/>
              <w:spacing w:before="55"/>
              <w:ind w:left="200"/>
              <w:rPr>
                <w:sz w:val="24"/>
              </w:rPr>
            </w:pPr>
            <w:r>
              <w:rPr>
                <w:sz w:val="24"/>
              </w:rPr>
              <w:t>PFD</w:t>
            </w:r>
          </w:p>
        </w:tc>
        <w:tc>
          <w:tcPr>
            <w:tcW w:w="7693" w:type="dxa"/>
          </w:tcPr>
          <w:p>
            <w:pPr>
              <w:pStyle w:val="TableParagraph"/>
              <w:spacing w:before="55"/>
              <w:ind w:left="287" w:right="608"/>
              <w:rPr>
                <w:sz w:val="24"/>
              </w:rPr>
            </w:pPr>
            <w:r>
              <w:rPr>
                <w:sz w:val="24"/>
              </w:rPr>
              <w:t>Partido Futuro Democrático</w:t>
            </w:r>
          </w:p>
        </w:tc>
      </w:tr>
      <w:tr>
        <w:trPr>
          <w:trHeight w:val="414" w:hRule="exact"/>
        </w:trPr>
        <w:tc>
          <w:tcPr>
            <w:tcW w:w="1595" w:type="dxa"/>
          </w:tcPr>
          <w:p>
            <w:pPr>
              <w:pStyle w:val="TableParagraph"/>
              <w:spacing w:before="55"/>
              <w:ind w:left="200"/>
              <w:rPr>
                <w:sz w:val="24"/>
              </w:rPr>
            </w:pPr>
            <w:r>
              <w:rPr>
                <w:sz w:val="24"/>
              </w:rPr>
              <w:t>PGJEM</w:t>
            </w:r>
          </w:p>
        </w:tc>
        <w:tc>
          <w:tcPr>
            <w:tcW w:w="7693" w:type="dxa"/>
          </w:tcPr>
          <w:p>
            <w:pPr>
              <w:pStyle w:val="TableParagraph"/>
              <w:spacing w:before="55"/>
              <w:ind w:left="287" w:right="608"/>
              <w:rPr>
                <w:sz w:val="24"/>
              </w:rPr>
            </w:pPr>
            <w:r>
              <w:rPr>
                <w:sz w:val="24"/>
              </w:rPr>
              <w:t>Procuraduría General de Justicia del Estado de México</w:t>
            </w:r>
          </w:p>
        </w:tc>
      </w:tr>
      <w:tr>
        <w:trPr>
          <w:trHeight w:val="328" w:hRule="exact"/>
        </w:trPr>
        <w:tc>
          <w:tcPr>
            <w:tcW w:w="1595" w:type="dxa"/>
          </w:tcPr>
          <w:p>
            <w:pPr>
              <w:pStyle w:val="TableParagraph"/>
              <w:spacing w:before="57"/>
              <w:ind w:left="200"/>
              <w:rPr>
                <w:sz w:val="24"/>
              </w:rPr>
            </w:pPr>
            <w:r>
              <w:rPr>
                <w:sz w:val="24"/>
              </w:rPr>
              <w:t>PGR</w:t>
            </w:r>
          </w:p>
        </w:tc>
        <w:tc>
          <w:tcPr>
            <w:tcW w:w="7693" w:type="dxa"/>
          </w:tcPr>
          <w:p>
            <w:pPr>
              <w:pStyle w:val="TableParagraph"/>
              <w:spacing w:before="57"/>
              <w:ind w:left="287" w:right="608"/>
              <w:rPr>
                <w:sz w:val="24"/>
              </w:rPr>
            </w:pPr>
            <w:r>
              <w:rPr>
                <w:sz w:val="24"/>
              </w:rPr>
              <w:t>Procuraduría General de la República</w:t>
            </w:r>
          </w:p>
        </w:tc>
      </w:tr>
    </w:tbl>
    <w:p>
      <w:pPr>
        <w:spacing w:after="0"/>
        <w:rPr>
          <w:sz w:val="24"/>
        </w:rPr>
        <w:sectPr>
          <w:pgSz w:w="12240" w:h="15840"/>
          <w:pgMar w:header="749" w:footer="1003" w:top="960" w:bottom="1200" w:left="1400" w:right="1340"/>
        </w:sectPr>
      </w:pPr>
    </w:p>
    <w:p>
      <w:pPr>
        <w:pStyle w:val="BodyText"/>
        <w:rPr>
          <w:rFonts w:ascii="Times New Roman"/>
          <w:sz w:val="20"/>
        </w:rPr>
      </w:pPr>
    </w:p>
    <w:p>
      <w:pPr>
        <w:pStyle w:val="BodyText"/>
        <w:spacing w:before="3"/>
        <w:rPr>
          <w:rFonts w:ascii="Times New Roman"/>
          <w:sz w:val="21"/>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648"/>
        <w:gridCol w:w="7542"/>
      </w:tblGrid>
      <w:tr>
        <w:trPr>
          <w:trHeight w:val="328" w:hRule="exact"/>
        </w:trPr>
        <w:tc>
          <w:tcPr>
            <w:tcW w:w="1648" w:type="dxa"/>
          </w:tcPr>
          <w:p>
            <w:pPr>
              <w:pStyle w:val="TableParagraph"/>
              <w:spacing w:line="245" w:lineRule="exact"/>
              <w:ind w:left="200"/>
              <w:rPr>
                <w:sz w:val="24"/>
              </w:rPr>
            </w:pPr>
            <w:r>
              <w:rPr>
                <w:sz w:val="24"/>
              </w:rPr>
              <w:t>PIB</w:t>
            </w:r>
          </w:p>
        </w:tc>
        <w:tc>
          <w:tcPr>
            <w:tcW w:w="7542" w:type="dxa"/>
          </w:tcPr>
          <w:p>
            <w:pPr>
              <w:pStyle w:val="TableParagraph"/>
              <w:spacing w:line="245" w:lineRule="exact"/>
              <w:ind w:left="233" w:right="178"/>
              <w:rPr>
                <w:sz w:val="24"/>
              </w:rPr>
            </w:pPr>
            <w:r>
              <w:rPr>
                <w:sz w:val="24"/>
              </w:rPr>
              <w:t>Producto Interno Bruto</w:t>
            </w:r>
          </w:p>
        </w:tc>
      </w:tr>
      <w:tr>
        <w:trPr>
          <w:trHeight w:val="414" w:hRule="exact"/>
        </w:trPr>
        <w:tc>
          <w:tcPr>
            <w:tcW w:w="1648" w:type="dxa"/>
          </w:tcPr>
          <w:p>
            <w:pPr>
              <w:pStyle w:val="TableParagraph"/>
              <w:spacing w:before="57"/>
              <w:ind w:left="200"/>
              <w:rPr>
                <w:sz w:val="24"/>
              </w:rPr>
            </w:pPr>
            <w:r>
              <w:rPr>
                <w:sz w:val="24"/>
              </w:rPr>
              <w:t>PIN</w:t>
            </w:r>
          </w:p>
        </w:tc>
        <w:tc>
          <w:tcPr>
            <w:tcW w:w="7542" w:type="dxa"/>
          </w:tcPr>
          <w:p>
            <w:pPr>
              <w:pStyle w:val="TableParagraph"/>
              <w:spacing w:before="57"/>
              <w:ind w:left="233" w:right="178"/>
              <w:rPr>
                <w:sz w:val="24"/>
              </w:rPr>
            </w:pPr>
            <w:r>
              <w:rPr>
                <w:sz w:val="24"/>
              </w:rPr>
              <w:t>Partido Integración Nacional</w:t>
            </w:r>
          </w:p>
        </w:tc>
      </w:tr>
      <w:tr>
        <w:trPr>
          <w:trHeight w:val="414" w:hRule="exact"/>
        </w:trPr>
        <w:tc>
          <w:tcPr>
            <w:tcW w:w="1648" w:type="dxa"/>
          </w:tcPr>
          <w:p>
            <w:pPr>
              <w:pStyle w:val="TableParagraph"/>
              <w:spacing w:before="55"/>
              <w:ind w:left="200"/>
              <w:rPr>
                <w:sz w:val="24"/>
              </w:rPr>
            </w:pPr>
            <w:r>
              <w:rPr>
                <w:sz w:val="24"/>
              </w:rPr>
              <w:t>PLN</w:t>
            </w:r>
          </w:p>
        </w:tc>
        <w:tc>
          <w:tcPr>
            <w:tcW w:w="7542" w:type="dxa"/>
          </w:tcPr>
          <w:p>
            <w:pPr>
              <w:pStyle w:val="TableParagraph"/>
              <w:spacing w:before="55"/>
              <w:ind w:left="233" w:right="178"/>
              <w:rPr>
                <w:sz w:val="24"/>
              </w:rPr>
            </w:pPr>
            <w:r>
              <w:rPr>
                <w:sz w:val="24"/>
              </w:rPr>
              <w:t>Partido Liberación Nacional</w:t>
            </w:r>
          </w:p>
        </w:tc>
      </w:tr>
      <w:tr>
        <w:trPr>
          <w:trHeight w:val="414" w:hRule="exact"/>
        </w:trPr>
        <w:tc>
          <w:tcPr>
            <w:tcW w:w="1648" w:type="dxa"/>
          </w:tcPr>
          <w:p>
            <w:pPr>
              <w:pStyle w:val="TableParagraph"/>
              <w:spacing w:before="57"/>
              <w:ind w:left="200"/>
              <w:rPr>
                <w:sz w:val="24"/>
              </w:rPr>
            </w:pPr>
            <w:r>
              <w:rPr>
                <w:sz w:val="24"/>
              </w:rPr>
              <w:t>PML</w:t>
            </w:r>
          </w:p>
        </w:tc>
        <w:tc>
          <w:tcPr>
            <w:tcW w:w="7542" w:type="dxa"/>
          </w:tcPr>
          <w:p>
            <w:pPr>
              <w:pStyle w:val="TableParagraph"/>
              <w:spacing w:before="57"/>
              <w:ind w:left="233" w:right="178"/>
              <w:rPr>
                <w:sz w:val="24"/>
              </w:rPr>
            </w:pPr>
            <w:r>
              <w:rPr>
                <w:sz w:val="24"/>
              </w:rPr>
              <w:t>Partido Movimiento Libertario</w:t>
            </w:r>
          </w:p>
        </w:tc>
      </w:tr>
      <w:tr>
        <w:trPr>
          <w:trHeight w:val="414" w:hRule="exact"/>
        </w:trPr>
        <w:tc>
          <w:tcPr>
            <w:tcW w:w="1648" w:type="dxa"/>
          </w:tcPr>
          <w:p>
            <w:pPr>
              <w:pStyle w:val="TableParagraph"/>
              <w:spacing w:before="55"/>
              <w:ind w:left="200"/>
              <w:rPr>
                <w:sz w:val="24"/>
              </w:rPr>
            </w:pPr>
            <w:r>
              <w:rPr>
                <w:sz w:val="24"/>
              </w:rPr>
              <w:t>PNA</w:t>
            </w:r>
          </w:p>
        </w:tc>
        <w:tc>
          <w:tcPr>
            <w:tcW w:w="7542" w:type="dxa"/>
          </w:tcPr>
          <w:p>
            <w:pPr>
              <w:pStyle w:val="TableParagraph"/>
              <w:spacing w:before="55"/>
              <w:ind w:left="233" w:right="178"/>
              <w:rPr>
                <w:sz w:val="24"/>
              </w:rPr>
            </w:pPr>
            <w:r>
              <w:rPr>
                <w:sz w:val="24"/>
              </w:rPr>
              <w:t>Partido Nueva Alianza</w:t>
            </w:r>
          </w:p>
        </w:tc>
      </w:tr>
      <w:tr>
        <w:trPr>
          <w:trHeight w:val="414" w:hRule="exact"/>
        </w:trPr>
        <w:tc>
          <w:tcPr>
            <w:tcW w:w="1648" w:type="dxa"/>
          </w:tcPr>
          <w:p>
            <w:pPr>
              <w:pStyle w:val="TableParagraph"/>
              <w:spacing w:before="57"/>
              <w:ind w:left="200"/>
              <w:rPr>
                <w:sz w:val="24"/>
              </w:rPr>
            </w:pPr>
            <w:r>
              <w:rPr>
                <w:sz w:val="24"/>
              </w:rPr>
              <w:t>PNR</w:t>
            </w:r>
          </w:p>
        </w:tc>
        <w:tc>
          <w:tcPr>
            <w:tcW w:w="7542" w:type="dxa"/>
          </w:tcPr>
          <w:p>
            <w:pPr>
              <w:pStyle w:val="TableParagraph"/>
              <w:spacing w:before="57"/>
              <w:ind w:left="233" w:right="178"/>
              <w:rPr>
                <w:sz w:val="24"/>
              </w:rPr>
            </w:pPr>
            <w:r>
              <w:rPr>
                <w:sz w:val="24"/>
              </w:rPr>
              <w:t>Partido Nacional Revolucionario</w:t>
            </w:r>
          </w:p>
        </w:tc>
      </w:tr>
      <w:tr>
        <w:trPr>
          <w:trHeight w:val="414" w:hRule="exact"/>
        </w:trPr>
        <w:tc>
          <w:tcPr>
            <w:tcW w:w="1648" w:type="dxa"/>
          </w:tcPr>
          <w:p>
            <w:pPr>
              <w:pStyle w:val="TableParagraph"/>
              <w:spacing w:before="55"/>
              <w:ind w:left="200"/>
              <w:rPr>
                <w:sz w:val="24"/>
              </w:rPr>
            </w:pPr>
            <w:r>
              <w:rPr>
                <w:sz w:val="24"/>
              </w:rPr>
              <w:t>PRC</w:t>
            </w:r>
          </w:p>
        </w:tc>
        <w:tc>
          <w:tcPr>
            <w:tcW w:w="7542" w:type="dxa"/>
          </w:tcPr>
          <w:p>
            <w:pPr>
              <w:pStyle w:val="TableParagraph"/>
              <w:spacing w:before="55"/>
              <w:ind w:left="233" w:right="178"/>
              <w:rPr>
                <w:sz w:val="24"/>
              </w:rPr>
            </w:pPr>
            <w:r>
              <w:rPr>
                <w:sz w:val="24"/>
              </w:rPr>
              <w:t>Partido Renovación Costarricense</w:t>
            </w:r>
          </w:p>
        </w:tc>
      </w:tr>
      <w:tr>
        <w:trPr>
          <w:trHeight w:val="414" w:hRule="exact"/>
        </w:trPr>
        <w:tc>
          <w:tcPr>
            <w:tcW w:w="1648" w:type="dxa"/>
          </w:tcPr>
          <w:p>
            <w:pPr>
              <w:pStyle w:val="TableParagraph"/>
              <w:spacing w:before="57"/>
              <w:ind w:left="200"/>
              <w:rPr>
                <w:sz w:val="24"/>
              </w:rPr>
            </w:pPr>
            <w:r>
              <w:rPr>
                <w:sz w:val="24"/>
              </w:rPr>
              <w:t>PRD</w:t>
            </w:r>
          </w:p>
        </w:tc>
        <w:tc>
          <w:tcPr>
            <w:tcW w:w="7542" w:type="dxa"/>
          </w:tcPr>
          <w:p>
            <w:pPr>
              <w:pStyle w:val="TableParagraph"/>
              <w:spacing w:before="57"/>
              <w:ind w:left="233" w:right="178"/>
              <w:rPr>
                <w:sz w:val="24"/>
              </w:rPr>
            </w:pPr>
            <w:r>
              <w:rPr>
                <w:sz w:val="24"/>
              </w:rPr>
              <w:t>Partido de la Revolución Democrática</w:t>
            </w:r>
          </w:p>
        </w:tc>
      </w:tr>
      <w:tr>
        <w:trPr>
          <w:trHeight w:val="414" w:hRule="exact"/>
        </w:trPr>
        <w:tc>
          <w:tcPr>
            <w:tcW w:w="1648" w:type="dxa"/>
          </w:tcPr>
          <w:p>
            <w:pPr>
              <w:pStyle w:val="TableParagraph"/>
              <w:spacing w:before="55"/>
              <w:ind w:left="200"/>
              <w:rPr>
                <w:sz w:val="24"/>
              </w:rPr>
            </w:pPr>
            <w:r>
              <w:rPr>
                <w:sz w:val="24"/>
              </w:rPr>
              <w:t>PRI</w:t>
            </w:r>
          </w:p>
        </w:tc>
        <w:tc>
          <w:tcPr>
            <w:tcW w:w="7542" w:type="dxa"/>
          </w:tcPr>
          <w:p>
            <w:pPr>
              <w:pStyle w:val="TableParagraph"/>
              <w:spacing w:before="55"/>
              <w:ind w:left="233" w:right="178"/>
              <w:rPr>
                <w:sz w:val="24"/>
              </w:rPr>
            </w:pPr>
            <w:r>
              <w:rPr>
                <w:sz w:val="24"/>
              </w:rPr>
              <w:t>Partido Revolucionario Institucional</w:t>
            </w:r>
          </w:p>
        </w:tc>
      </w:tr>
      <w:tr>
        <w:trPr>
          <w:trHeight w:val="414" w:hRule="exact"/>
        </w:trPr>
        <w:tc>
          <w:tcPr>
            <w:tcW w:w="1648" w:type="dxa"/>
          </w:tcPr>
          <w:p>
            <w:pPr>
              <w:pStyle w:val="TableParagraph"/>
              <w:spacing w:before="57"/>
              <w:ind w:left="200"/>
              <w:rPr>
                <w:sz w:val="24"/>
              </w:rPr>
            </w:pPr>
            <w:r>
              <w:rPr>
                <w:sz w:val="24"/>
              </w:rPr>
              <w:t>PRM</w:t>
            </w:r>
          </w:p>
        </w:tc>
        <w:tc>
          <w:tcPr>
            <w:tcW w:w="7542" w:type="dxa"/>
          </w:tcPr>
          <w:p>
            <w:pPr>
              <w:pStyle w:val="TableParagraph"/>
              <w:spacing w:before="57"/>
              <w:ind w:left="233" w:right="178"/>
              <w:rPr>
                <w:sz w:val="24"/>
              </w:rPr>
            </w:pPr>
            <w:r>
              <w:rPr>
                <w:sz w:val="24"/>
              </w:rPr>
              <w:t>Partido de la Revolución Mexicana</w:t>
            </w:r>
          </w:p>
        </w:tc>
      </w:tr>
      <w:tr>
        <w:trPr>
          <w:trHeight w:val="414" w:hRule="exact"/>
        </w:trPr>
        <w:tc>
          <w:tcPr>
            <w:tcW w:w="1648" w:type="dxa"/>
          </w:tcPr>
          <w:p>
            <w:pPr>
              <w:pStyle w:val="TableParagraph"/>
              <w:spacing w:before="55"/>
              <w:ind w:left="200"/>
              <w:rPr>
                <w:sz w:val="24"/>
              </w:rPr>
            </w:pPr>
            <w:r>
              <w:rPr>
                <w:sz w:val="24"/>
              </w:rPr>
              <w:t>PRN</w:t>
            </w:r>
          </w:p>
        </w:tc>
        <w:tc>
          <w:tcPr>
            <w:tcW w:w="7542" w:type="dxa"/>
          </w:tcPr>
          <w:p>
            <w:pPr>
              <w:pStyle w:val="TableParagraph"/>
              <w:spacing w:before="55"/>
              <w:ind w:left="233" w:right="178"/>
              <w:rPr>
                <w:sz w:val="24"/>
              </w:rPr>
            </w:pPr>
            <w:r>
              <w:rPr>
                <w:sz w:val="24"/>
              </w:rPr>
              <w:t>Partido Republicano Nacional</w:t>
            </w:r>
          </w:p>
        </w:tc>
      </w:tr>
      <w:tr>
        <w:trPr>
          <w:trHeight w:val="414" w:hRule="exact"/>
        </w:trPr>
        <w:tc>
          <w:tcPr>
            <w:tcW w:w="1648" w:type="dxa"/>
          </w:tcPr>
          <w:p>
            <w:pPr>
              <w:pStyle w:val="TableParagraph"/>
              <w:spacing w:before="57"/>
              <w:ind w:left="200"/>
              <w:rPr>
                <w:sz w:val="24"/>
              </w:rPr>
            </w:pPr>
            <w:r>
              <w:rPr>
                <w:sz w:val="24"/>
              </w:rPr>
              <w:t>PSD</w:t>
            </w:r>
          </w:p>
        </w:tc>
        <w:tc>
          <w:tcPr>
            <w:tcW w:w="7542" w:type="dxa"/>
          </w:tcPr>
          <w:p>
            <w:pPr>
              <w:pStyle w:val="TableParagraph"/>
              <w:spacing w:before="57"/>
              <w:ind w:left="233" w:right="178"/>
              <w:rPr>
                <w:sz w:val="24"/>
              </w:rPr>
            </w:pPr>
            <w:r>
              <w:rPr>
                <w:sz w:val="24"/>
              </w:rPr>
              <w:t>Partido Social Demócrata. Partido político costarricense.</w:t>
            </w:r>
          </w:p>
        </w:tc>
      </w:tr>
      <w:tr>
        <w:trPr>
          <w:trHeight w:val="414" w:hRule="exact"/>
        </w:trPr>
        <w:tc>
          <w:tcPr>
            <w:tcW w:w="1648" w:type="dxa"/>
          </w:tcPr>
          <w:p>
            <w:pPr>
              <w:pStyle w:val="TableParagraph"/>
              <w:spacing w:before="55"/>
              <w:ind w:left="200"/>
              <w:rPr>
                <w:sz w:val="24"/>
              </w:rPr>
            </w:pPr>
            <w:r>
              <w:rPr>
                <w:sz w:val="24"/>
              </w:rPr>
              <w:t>PT</w:t>
            </w:r>
          </w:p>
        </w:tc>
        <w:tc>
          <w:tcPr>
            <w:tcW w:w="7542" w:type="dxa"/>
          </w:tcPr>
          <w:p>
            <w:pPr>
              <w:pStyle w:val="TableParagraph"/>
              <w:spacing w:before="55"/>
              <w:ind w:left="233" w:right="178"/>
              <w:rPr>
                <w:sz w:val="24"/>
              </w:rPr>
            </w:pPr>
            <w:r>
              <w:rPr>
                <w:sz w:val="24"/>
              </w:rPr>
              <w:t>Partido del Trabajo</w:t>
            </w:r>
          </w:p>
        </w:tc>
      </w:tr>
      <w:tr>
        <w:trPr>
          <w:trHeight w:val="414" w:hRule="exact"/>
        </w:trPr>
        <w:tc>
          <w:tcPr>
            <w:tcW w:w="1648" w:type="dxa"/>
          </w:tcPr>
          <w:p>
            <w:pPr>
              <w:pStyle w:val="TableParagraph"/>
              <w:spacing w:before="57"/>
              <w:ind w:left="200"/>
              <w:rPr>
                <w:sz w:val="24"/>
              </w:rPr>
            </w:pPr>
            <w:r>
              <w:rPr>
                <w:sz w:val="24"/>
              </w:rPr>
              <w:t>PUN</w:t>
            </w:r>
          </w:p>
        </w:tc>
        <w:tc>
          <w:tcPr>
            <w:tcW w:w="7542" w:type="dxa"/>
          </w:tcPr>
          <w:p>
            <w:pPr>
              <w:pStyle w:val="TableParagraph"/>
              <w:spacing w:before="57"/>
              <w:ind w:left="233" w:right="178"/>
              <w:rPr>
                <w:sz w:val="24"/>
              </w:rPr>
            </w:pPr>
            <w:r>
              <w:rPr>
                <w:sz w:val="24"/>
              </w:rPr>
              <w:t>Partido Unificación Nacional</w:t>
            </w:r>
          </w:p>
        </w:tc>
      </w:tr>
      <w:tr>
        <w:trPr>
          <w:trHeight w:val="414" w:hRule="exact"/>
        </w:trPr>
        <w:tc>
          <w:tcPr>
            <w:tcW w:w="1648" w:type="dxa"/>
          </w:tcPr>
          <w:p>
            <w:pPr>
              <w:pStyle w:val="TableParagraph"/>
              <w:spacing w:before="55"/>
              <w:ind w:left="200"/>
              <w:rPr>
                <w:sz w:val="24"/>
              </w:rPr>
            </w:pPr>
            <w:r>
              <w:rPr>
                <w:sz w:val="24"/>
              </w:rPr>
              <w:t>PUM</w:t>
            </w:r>
          </w:p>
        </w:tc>
        <w:tc>
          <w:tcPr>
            <w:tcW w:w="7542" w:type="dxa"/>
          </w:tcPr>
          <w:p>
            <w:pPr>
              <w:pStyle w:val="TableParagraph"/>
              <w:spacing w:before="55"/>
              <w:ind w:left="233" w:right="178"/>
              <w:rPr>
                <w:sz w:val="24"/>
              </w:rPr>
            </w:pPr>
            <w:r>
              <w:rPr>
                <w:sz w:val="24"/>
              </w:rPr>
              <w:t>Partido Unidos por México</w:t>
            </w:r>
          </w:p>
        </w:tc>
      </w:tr>
      <w:tr>
        <w:trPr>
          <w:trHeight w:val="414" w:hRule="exact"/>
        </w:trPr>
        <w:tc>
          <w:tcPr>
            <w:tcW w:w="1648" w:type="dxa"/>
          </w:tcPr>
          <w:p>
            <w:pPr>
              <w:pStyle w:val="TableParagraph"/>
              <w:spacing w:before="57"/>
              <w:ind w:left="200"/>
              <w:rPr>
                <w:sz w:val="24"/>
              </w:rPr>
            </w:pPr>
            <w:r>
              <w:rPr>
                <w:sz w:val="24"/>
              </w:rPr>
              <w:t>PUSC</w:t>
            </w:r>
          </w:p>
        </w:tc>
        <w:tc>
          <w:tcPr>
            <w:tcW w:w="7542" w:type="dxa"/>
          </w:tcPr>
          <w:p>
            <w:pPr>
              <w:pStyle w:val="TableParagraph"/>
              <w:spacing w:before="57"/>
              <w:ind w:left="233" w:right="178"/>
              <w:rPr>
                <w:sz w:val="24"/>
              </w:rPr>
            </w:pPr>
            <w:r>
              <w:rPr>
                <w:sz w:val="24"/>
              </w:rPr>
              <w:t>Partido Unidad Social Cristiana</w:t>
            </w:r>
          </w:p>
        </w:tc>
      </w:tr>
      <w:tr>
        <w:trPr>
          <w:trHeight w:val="414" w:hRule="exact"/>
        </w:trPr>
        <w:tc>
          <w:tcPr>
            <w:tcW w:w="1648" w:type="dxa"/>
          </w:tcPr>
          <w:p>
            <w:pPr>
              <w:pStyle w:val="TableParagraph"/>
              <w:spacing w:before="55"/>
              <w:ind w:left="200"/>
              <w:rPr>
                <w:sz w:val="24"/>
              </w:rPr>
            </w:pPr>
            <w:r>
              <w:rPr>
                <w:sz w:val="24"/>
              </w:rPr>
              <w:t>PVEM</w:t>
            </w:r>
          </w:p>
        </w:tc>
        <w:tc>
          <w:tcPr>
            <w:tcW w:w="7542" w:type="dxa"/>
          </w:tcPr>
          <w:p>
            <w:pPr>
              <w:pStyle w:val="TableParagraph"/>
              <w:spacing w:before="55"/>
              <w:ind w:left="233" w:right="178"/>
              <w:rPr>
                <w:sz w:val="24"/>
              </w:rPr>
            </w:pPr>
            <w:r>
              <w:rPr>
                <w:sz w:val="24"/>
              </w:rPr>
              <w:t>Partido Verde Ecologista de México</w:t>
            </w:r>
          </w:p>
        </w:tc>
      </w:tr>
      <w:tr>
        <w:trPr>
          <w:trHeight w:val="414" w:hRule="exact"/>
        </w:trPr>
        <w:tc>
          <w:tcPr>
            <w:tcW w:w="1648" w:type="dxa"/>
          </w:tcPr>
          <w:p>
            <w:pPr>
              <w:pStyle w:val="TableParagraph"/>
              <w:spacing w:before="57"/>
              <w:ind w:left="200"/>
              <w:rPr>
                <w:sz w:val="24"/>
              </w:rPr>
            </w:pPr>
            <w:r>
              <w:rPr>
                <w:sz w:val="24"/>
              </w:rPr>
              <w:t>RAP</w:t>
            </w:r>
          </w:p>
        </w:tc>
        <w:tc>
          <w:tcPr>
            <w:tcW w:w="7542" w:type="dxa"/>
          </w:tcPr>
          <w:p>
            <w:pPr>
              <w:pStyle w:val="TableParagraph"/>
              <w:spacing w:before="57"/>
              <w:ind w:left="233" w:right="178"/>
              <w:rPr>
                <w:sz w:val="24"/>
              </w:rPr>
            </w:pPr>
            <w:r>
              <w:rPr>
                <w:sz w:val="24"/>
              </w:rPr>
              <w:t>Recurso de Apelación</w:t>
            </w:r>
          </w:p>
        </w:tc>
      </w:tr>
      <w:tr>
        <w:trPr>
          <w:trHeight w:val="828" w:hRule="exact"/>
        </w:trPr>
        <w:tc>
          <w:tcPr>
            <w:tcW w:w="1648" w:type="dxa"/>
          </w:tcPr>
          <w:p>
            <w:pPr>
              <w:pStyle w:val="TableParagraph"/>
              <w:spacing w:before="55"/>
              <w:ind w:left="200"/>
              <w:rPr>
                <w:sz w:val="24"/>
              </w:rPr>
            </w:pPr>
            <w:r>
              <w:rPr>
                <w:sz w:val="24"/>
              </w:rPr>
              <w:t>Redalyc</w:t>
            </w:r>
          </w:p>
        </w:tc>
        <w:tc>
          <w:tcPr>
            <w:tcW w:w="7542" w:type="dxa"/>
          </w:tcPr>
          <w:p>
            <w:pPr>
              <w:pStyle w:val="TableParagraph"/>
              <w:spacing w:line="360" w:lineRule="auto" w:before="55"/>
              <w:ind w:left="233" w:right="178"/>
              <w:rPr>
                <w:sz w:val="24"/>
              </w:rPr>
            </w:pPr>
            <w:r>
              <w:rPr>
                <w:sz w:val="24"/>
              </w:rPr>
              <w:t>Red de Revistas Científicas de América Latina y el Caribe, España y Portugal</w:t>
            </w:r>
          </w:p>
        </w:tc>
      </w:tr>
      <w:tr>
        <w:trPr>
          <w:trHeight w:val="414" w:hRule="exact"/>
        </w:trPr>
        <w:tc>
          <w:tcPr>
            <w:tcW w:w="1648" w:type="dxa"/>
          </w:tcPr>
          <w:p>
            <w:pPr>
              <w:pStyle w:val="TableParagraph"/>
              <w:spacing w:before="55"/>
              <w:ind w:left="200"/>
              <w:rPr>
                <w:sz w:val="24"/>
              </w:rPr>
            </w:pPr>
            <w:r>
              <w:rPr>
                <w:sz w:val="24"/>
              </w:rPr>
              <w:t>Redicadem</w:t>
            </w:r>
          </w:p>
        </w:tc>
        <w:tc>
          <w:tcPr>
            <w:tcW w:w="7542" w:type="dxa"/>
          </w:tcPr>
          <w:p>
            <w:pPr>
              <w:pStyle w:val="TableParagraph"/>
              <w:spacing w:before="55"/>
              <w:ind w:left="233" w:right="178"/>
              <w:rPr>
                <w:sz w:val="24"/>
              </w:rPr>
            </w:pPr>
            <w:r>
              <w:rPr>
                <w:sz w:val="24"/>
              </w:rPr>
              <w:t>Red de Investigación de la Calidad de la Democracia en México</w:t>
            </w:r>
          </w:p>
        </w:tc>
      </w:tr>
      <w:tr>
        <w:trPr>
          <w:trHeight w:val="414" w:hRule="exact"/>
        </w:trPr>
        <w:tc>
          <w:tcPr>
            <w:tcW w:w="1648" w:type="dxa"/>
          </w:tcPr>
          <w:p>
            <w:pPr>
              <w:pStyle w:val="TableParagraph"/>
              <w:spacing w:before="57"/>
              <w:ind w:left="200"/>
              <w:rPr>
                <w:sz w:val="24"/>
              </w:rPr>
            </w:pPr>
            <w:r>
              <w:rPr>
                <w:sz w:val="24"/>
              </w:rPr>
              <w:t>SHyCP</w:t>
            </w:r>
          </w:p>
        </w:tc>
        <w:tc>
          <w:tcPr>
            <w:tcW w:w="7542" w:type="dxa"/>
          </w:tcPr>
          <w:p>
            <w:pPr>
              <w:pStyle w:val="TableParagraph"/>
              <w:spacing w:before="57"/>
              <w:ind w:left="233" w:right="178"/>
              <w:rPr>
                <w:sz w:val="24"/>
              </w:rPr>
            </w:pPr>
            <w:r>
              <w:rPr>
                <w:sz w:val="24"/>
              </w:rPr>
              <w:t>Secretaria de Hacienda y Crédito Público</w:t>
            </w:r>
          </w:p>
        </w:tc>
      </w:tr>
      <w:tr>
        <w:trPr>
          <w:trHeight w:val="414" w:hRule="exact"/>
        </w:trPr>
        <w:tc>
          <w:tcPr>
            <w:tcW w:w="1648" w:type="dxa"/>
          </w:tcPr>
          <w:p>
            <w:pPr>
              <w:pStyle w:val="TableParagraph"/>
              <w:spacing w:before="55"/>
              <w:ind w:left="200"/>
              <w:rPr>
                <w:sz w:val="24"/>
              </w:rPr>
            </w:pPr>
            <w:r>
              <w:rPr>
                <w:sz w:val="24"/>
              </w:rPr>
              <w:t>Sinabi</w:t>
            </w:r>
          </w:p>
        </w:tc>
        <w:tc>
          <w:tcPr>
            <w:tcW w:w="7542" w:type="dxa"/>
          </w:tcPr>
          <w:p>
            <w:pPr>
              <w:pStyle w:val="TableParagraph"/>
              <w:spacing w:before="55"/>
              <w:ind w:left="233" w:right="178"/>
              <w:rPr>
                <w:sz w:val="24"/>
              </w:rPr>
            </w:pPr>
            <w:r>
              <w:rPr>
                <w:sz w:val="24"/>
              </w:rPr>
              <w:t>Sistema Nacional de Bibliotecas (Costa Rica)</w:t>
            </w:r>
          </w:p>
        </w:tc>
      </w:tr>
      <w:tr>
        <w:trPr>
          <w:trHeight w:val="414" w:hRule="exact"/>
        </w:trPr>
        <w:tc>
          <w:tcPr>
            <w:tcW w:w="1648" w:type="dxa"/>
          </w:tcPr>
          <w:p>
            <w:pPr>
              <w:pStyle w:val="TableParagraph"/>
              <w:spacing w:before="57"/>
              <w:ind w:left="200"/>
              <w:rPr>
                <w:sz w:val="24"/>
              </w:rPr>
            </w:pPr>
            <w:r>
              <w:rPr>
                <w:sz w:val="24"/>
              </w:rPr>
              <w:t>Somee</w:t>
            </w:r>
          </w:p>
        </w:tc>
        <w:tc>
          <w:tcPr>
            <w:tcW w:w="7542" w:type="dxa"/>
          </w:tcPr>
          <w:p>
            <w:pPr>
              <w:pStyle w:val="TableParagraph"/>
              <w:spacing w:before="57"/>
              <w:ind w:left="233" w:right="178"/>
              <w:rPr>
                <w:sz w:val="24"/>
              </w:rPr>
            </w:pPr>
            <w:r>
              <w:rPr>
                <w:sz w:val="24"/>
              </w:rPr>
              <w:t>Sociedad Mexicana de Estudios Electorales</w:t>
            </w:r>
          </w:p>
        </w:tc>
      </w:tr>
      <w:tr>
        <w:trPr>
          <w:trHeight w:val="414" w:hRule="exact"/>
        </w:trPr>
        <w:tc>
          <w:tcPr>
            <w:tcW w:w="1648" w:type="dxa"/>
          </w:tcPr>
          <w:p>
            <w:pPr>
              <w:pStyle w:val="TableParagraph"/>
              <w:spacing w:before="55"/>
              <w:ind w:left="200"/>
              <w:rPr>
                <w:sz w:val="24"/>
              </w:rPr>
            </w:pPr>
            <w:r>
              <w:rPr>
                <w:sz w:val="24"/>
              </w:rPr>
              <w:t>TEEM</w:t>
            </w:r>
          </w:p>
        </w:tc>
        <w:tc>
          <w:tcPr>
            <w:tcW w:w="7542" w:type="dxa"/>
          </w:tcPr>
          <w:p>
            <w:pPr>
              <w:pStyle w:val="TableParagraph"/>
              <w:spacing w:before="55"/>
              <w:ind w:left="233" w:right="178"/>
              <w:rPr>
                <w:sz w:val="24"/>
              </w:rPr>
            </w:pPr>
            <w:r>
              <w:rPr>
                <w:sz w:val="24"/>
              </w:rPr>
              <w:t>Tribunal Electoral del Estado de México</w:t>
            </w:r>
          </w:p>
        </w:tc>
      </w:tr>
      <w:tr>
        <w:trPr>
          <w:trHeight w:val="414" w:hRule="exact"/>
        </w:trPr>
        <w:tc>
          <w:tcPr>
            <w:tcW w:w="1648" w:type="dxa"/>
          </w:tcPr>
          <w:p>
            <w:pPr>
              <w:pStyle w:val="TableParagraph"/>
              <w:spacing w:before="57"/>
              <w:ind w:left="200"/>
              <w:rPr>
                <w:sz w:val="24"/>
              </w:rPr>
            </w:pPr>
            <w:r>
              <w:rPr>
                <w:sz w:val="24"/>
              </w:rPr>
              <w:t>TEPJF</w:t>
            </w:r>
          </w:p>
        </w:tc>
        <w:tc>
          <w:tcPr>
            <w:tcW w:w="7542" w:type="dxa"/>
          </w:tcPr>
          <w:p>
            <w:pPr>
              <w:pStyle w:val="TableParagraph"/>
              <w:spacing w:before="57"/>
              <w:ind w:left="233" w:right="178"/>
              <w:rPr>
                <w:sz w:val="24"/>
              </w:rPr>
            </w:pPr>
            <w:r>
              <w:rPr>
                <w:sz w:val="24"/>
              </w:rPr>
              <w:t>Tribunal Electoral del Poder Judicial de la Federación</w:t>
            </w:r>
          </w:p>
        </w:tc>
      </w:tr>
      <w:tr>
        <w:trPr>
          <w:trHeight w:val="414" w:hRule="exact"/>
        </w:trPr>
        <w:tc>
          <w:tcPr>
            <w:tcW w:w="1648" w:type="dxa"/>
          </w:tcPr>
          <w:p>
            <w:pPr>
              <w:pStyle w:val="TableParagraph"/>
              <w:spacing w:before="56"/>
              <w:ind w:left="200"/>
              <w:rPr>
                <w:sz w:val="24"/>
              </w:rPr>
            </w:pPr>
            <w:r>
              <w:rPr>
                <w:sz w:val="24"/>
              </w:rPr>
              <w:t>TNE</w:t>
            </w:r>
          </w:p>
        </w:tc>
        <w:tc>
          <w:tcPr>
            <w:tcW w:w="7542" w:type="dxa"/>
          </w:tcPr>
          <w:p>
            <w:pPr>
              <w:pStyle w:val="TableParagraph"/>
              <w:spacing w:before="56"/>
              <w:ind w:left="233" w:right="178"/>
              <w:rPr>
                <w:sz w:val="24"/>
              </w:rPr>
            </w:pPr>
            <w:r>
              <w:rPr>
                <w:sz w:val="24"/>
              </w:rPr>
              <w:t>Tribunal Nacional Electoral</w:t>
            </w:r>
          </w:p>
        </w:tc>
      </w:tr>
      <w:tr>
        <w:trPr>
          <w:trHeight w:val="414" w:hRule="exact"/>
        </w:trPr>
        <w:tc>
          <w:tcPr>
            <w:tcW w:w="1648" w:type="dxa"/>
          </w:tcPr>
          <w:p>
            <w:pPr>
              <w:pStyle w:val="TableParagraph"/>
              <w:spacing w:before="57"/>
              <w:ind w:left="200"/>
              <w:rPr>
                <w:sz w:val="24"/>
              </w:rPr>
            </w:pPr>
            <w:r>
              <w:rPr>
                <w:sz w:val="24"/>
              </w:rPr>
              <w:t>TSE</w:t>
            </w:r>
          </w:p>
        </w:tc>
        <w:tc>
          <w:tcPr>
            <w:tcW w:w="7542" w:type="dxa"/>
          </w:tcPr>
          <w:p>
            <w:pPr>
              <w:pStyle w:val="TableParagraph"/>
              <w:spacing w:before="57"/>
              <w:ind w:left="233" w:right="178"/>
              <w:rPr>
                <w:sz w:val="24"/>
              </w:rPr>
            </w:pPr>
            <w:r>
              <w:rPr>
                <w:sz w:val="24"/>
              </w:rPr>
              <w:t>Tribunal Supremo de Elecciones</w:t>
            </w:r>
          </w:p>
        </w:tc>
      </w:tr>
      <w:tr>
        <w:trPr>
          <w:trHeight w:val="413" w:hRule="exact"/>
        </w:trPr>
        <w:tc>
          <w:tcPr>
            <w:tcW w:w="1648" w:type="dxa"/>
          </w:tcPr>
          <w:p>
            <w:pPr>
              <w:pStyle w:val="TableParagraph"/>
              <w:spacing w:before="55"/>
              <w:ind w:left="200"/>
              <w:rPr>
                <w:sz w:val="24"/>
              </w:rPr>
            </w:pPr>
            <w:r>
              <w:rPr>
                <w:sz w:val="24"/>
              </w:rPr>
              <w:t>UAEM</w:t>
            </w:r>
          </w:p>
        </w:tc>
        <w:tc>
          <w:tcPr>
            <w:tcW w:w="7542" w:type="dxa"/>
          </w:tcPr>
          <w:p>
            <w:pPr>
              <w:pStyle w:val="TableParagraph"/>
              <w:spacing w:before="55"/>
              <w:ind w:left="233" w:right="178"/>
              <w:rPr>
                <w:sz w:val="24"/>
              </w:rPr>
            </w:pPr>
            <w:r>
              <w:rPr>
                <w:sz w:val="24"/>
              </w:rPr>
              <w:t>Universidad Autónoma del Estado de México</w:t>
            </w:r>
          </w:p>
        </w:tc>
      </w:tr>
      <w:tr>
        <w:trPr>
          <w:trHeight w:val="414" w:hRule="exact"/>
        </w:trPr>
        <w:tc>
          <w:tcPr>
            <w:tcW w:w="1648" w:type="dxa"/>
          </w:tcPr>
          <w:p>
            <w:pPr>
              <w:pStyle w:val="TableParagraph"/>
              <w:spacing w:before="55"/>
              <w:ind w:left="200"/>
              <w:rPr>
                <w:sz w:val="24"/>
              </w:rPr>
            </w:pPr>
            <w:r>
              <w:rPr>
                <w:sz w:val="24"/>
              </w:rPr>
              <w:t>UAM</w:t>
            </w:r>
          </w:p>
        </w:tc>
        <w:tc>
          <w:tcPr>
            <w:tcW w:w="7542" w:type="dxa"/>
          </w:tcPr>
          <w:p>
            <w:pPr>
              <w:pStyle w:val="TableParagraph"/>
              <w:spacing w:before="55"/>
              <w:ind w:left="233" w:right="178"/>
              <w:rPr>
                <w:sz w:val="24"/>
              </w:rPr>
            </w:pPr>
            <w:r>
              <w:rPr>
                <w:sz w:val="24"/>
              </w:rPr>
              <w:t>Universidad Autónoma Metropolitana</w:t>
            </w:r>
          </w:p>
        </w:tc>
      </w:tr>
      <w:tr>
        <w:trPr>
          <w:trHeight w:val="328" w:hRule="exact"/>
        </w:trPr>
        <w:tc>
          <w:tcPr>
            <w:tcW w:w="1648" w:type="dxa"/>
          </w:tcPr>
          <w:p>
            <w:pPr>
              <w:pStyle w:val="TableParagraph"/>
              <w:spacing w:before="57"/>
              <w:ind w:left="200"/>
              <w:rPr>
                <w:sz w:val="24"/>
              </w:rPr>
            </w:pPr>
            <w:r>
              <w:rPr>
                <w:sz w:val="24"/>
              </w:rPr>
              <w:t>UCR</w:t>
            </w:r>
          </w:p>
        </w:tc>
        <w:tc>
          <w:tcPr>
            <w:tcW w:w="7542" w:type="dxa"/>
          </w:tcPr>
          <w:p>
            <w:pPr>
              <w:pStyle w:val="TableParagraph"/>
              <w:spacing w:before="57"/>
              <w:ind w:left="233" w:right="178"/>
              <w:rPr>
                <w:sz w:val="24"/>
              </w:rPr>
            </w:pPr>
            <w:r>
              <w:rPr>
                <w:sz w:val="24"/>
              </w:rPr>
              <w:t>Universidad de Costa Rica</w:t>
            </w:r>
          </w:p>
        </w:tc>
      </w:tr>
    </w:tbl>
    <w:p>
      <w:pPr>
        <w:spacing w:after="0"/>
        <w:rPr>
          <w:sz w:val="24"/>
        </w:rPr>
        <w:sectPr>
          <w:pgSz w:w="12240" w:h="15840"/>
          <w:pgMar w:header="749" w:footer="1003" w:top="960" w:bottom="1200" w:left="1400" w:right="1440"/>
        </w:sectPr>
      </w:pPr>
    </w:p>
    <w:p>
      <w:pPr>
        <w:pStyle w:val="BodyText"/>
        <w:rPr>
          <w:rFonts w:ascii="Times New Roman"/>
          <w:sz w:val="20"/>
        </w:rPr>
      </w:pPr>
    </w:p>
    <w:p>
      <w:pPr>
        <w:pStyle w:val="BodyText"/>
        <w:spacing w:before="3"/>
        <w:rPr>
          <w:rFonts w:ascii="Times New Roman"/>
          <w:sz w:val="21"/>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94"/>
        <w:gridCol w:w="6206"/>
      </w:tblGrid>
      <w:tr>
        <w:trPr>
          <w:trHeight w:val="328" w:hRule="exact"/>
        </w:trPr>
        <w:tc>
          <w:tcPr>
            <w:tcW w:w="1394" w:type="dxa"/>
          </w:tcPr>
          <w:p>
            <w:pPr>
              <w:pStyle w:val="TableParagraph"/>
              <w:spacing w:line="245" w:lineRule="exact"/>
              <w:ind w:left="200"/>
              <w:rPr>
                <w:sz w:val="24"/>
              </w:rPr>
            </w:pPr>
            <w:r>
              <w:rPr>
                <w:sz w:val="24"/>
              </w:rPr>
              <w:t>Udlap</w:t>
            </w:r>
          </w:p>
        </w:tc>
        <w:tc>
          <w:tcPr>
            <w:tcW w:w="6206" w:type="dxa"/>
          </w:tcPr>
          <w:p>
            <w:pPr>
              <w:pStyle w:val="TableParagraph"/>
              <w:spacing w:line="245" w:lineRule="exact"/>
              <w:ind w:left="488"/>
              <w:rPr>
                <w:sz w:val="24"/>
              </w:rPr>
            </w:pPr>
            <w:r>
              <w:rPr>
                <w:sz w:val="24"/>
              </w:rPr>
              <w:t>Universidad de las Américas Puebla</w:t>
            </w:r>
          </w:p>
        </w:tc>
      </w:tr>
      <w:tr>
        <w:trPr>
          <w:trHeight w:val="414" w:hRule="exact"/>
        </w:trPr>
        <w:tc>
          <w:tcPr>
            <w:tcW w:w="1394" w:type="dxa"/>
          </w:tcPr>
          <w:p>
            <w:pPr>
              <w:pStyle w:val="TableParagraph"/>
              <w:spacing w:before="57"/>
              <w:ind w:left="200"/>
              <w:rPr>
                <w:sz w:val="24"/>
              </w:rPr>
            </w:pPr>
            <w:r>
              <w:rPr>
                <w:sz w:val="24"/>
              </w:rPr>
              <w:t>Ula</w:t>
            </w:r>
          </w:p>
        </w:tc>
        <w:tc>
          <w:tcPr>
            <w:tcW w:w="6206" w:type="dxa"/>
          </w:tcPr>
          <w:p>
            <w:pPr>
              <w:pStyle w:val="TableParagraph"/>
              <w:spacing w:before="57"/>
              <w:ind w:left="488"/>
              <w:rPr>
                <w:sz w:val="24"/>
              </w:rPr>
            </w:pPr>
            <w:r>
              <w:rPr>
                <w:sz w:val="24"/>
              </w:rPr>
              <w:t>Universidad Latinoamericana</w:t>
            </w:r>
          </w:p>
        </w:tc>
      </w:tr>
      <w:tr>
        <w:trPr>
          <w:trHeight w:val="414" w:hRule="exact"/>
        </w:trPr>
        <w:tc>
          <w:tcPr>
            <w:tcW w:w="1394" w:type="dxa"/>
          </w:tcPr>
          <w:p>
            <w:pPr>
              <w:pStyle w:val="TableParagraph"/>
              <w:spacing w:before="55"/>
              <w:ind w:left="200"/>
              <w:rPr>
                <w:sz w:val="24"/>
              </w:rPr>
            </w:pPr>
            <w:r>
              <w:rPr>
                <w:sz w:val="24"/>
              </w:rPr>
              <w:t>Umich</w:t>
            </w:r>
          </w:p>
        </w:tc>
        <w:tc>
          <w:tcPr>
            <w:tcW w:w="6206" w:type="dxa"/>
          </w:tcPr>
          <w:p>
            <w:pPr>
              <w:pStyle w:val="TableParagraph"/>
              <w:spacing w:before="55"/>
              <w:ind w:left="488"/>
              <w:rPr>
                <w:sz w:val="24"/>
              </w:rPr>
            </w:pPr>
            <w:r>
              <w:rPr>
                <w:sz w:val="24"/>
              </w:rPr>
              <w:t>Universidad Michoacana de San Nicolás de Hidalgo</w:t>
            </w:r>
          </w:p>
        </w:tc>
      </w:tr>
      <w:tr>
        <w:trPr>
          <w:trHeight w:val="414" w:hRule="exact"/>
        </w:trPr>
        <w:tc>
          <w:tcPr>
            <w:tcW w:w="1394" w:type="dxa"/>
          </w:tcPr>
          <w:p>
            <w:pPr>
              <w:pStyle w:val="TableParagraph"/>
              <w:spacing w:before="57"/>
              <w:ind w:left="200"/>
              <w:rPr>
                <w:sz w:val="24"/>
              </w:rPr>
            </w:pPr>
            <w:r>
              <w:rPr>
                <w:sz w:val="24"/>
              </w:rPr>
              <w:t>UNA</w:t>
            </w:r>
          </w:p>
        </w:tc>
        <w:tc>
          <w:tcPr>
            <w:tcW w:w="6206" w:type="dxa"/>
          </w:tcPr>
          <w:p>
            <w:pPr>
              <w:pStyle w:val="TableParagraph"/>
              <w:spacing w:before="57"/>
              <w:ind w:left="488"/>
              <w:rPr>
                <w:sz w:val="24"/>
              </w:rPr>
            </w:pPr>
            <w:r>
              <w:rPr>
                <w:sz w:val="24"/>
              </w:rPr>
              <w:t>Universidad Nacional (Heredia, Costa Rica)</w:t>
            </w:r>
          </w:p>
        </w:tc>
      </w:tr>
      <w:tr>
        <w:trPr>
          <w:trHeight w:val="326" w:hRule="exact"/>
        </w:trPr>
        <w:tc>
          <w:tcPr>
            <w:tcW w:w="1394" w:type="dxa"/>
          </w:tcPr>
          <w:p>
            <w:pPr>
              <w:pStyle w:val="TableParagraph"/>
              <w:spacing w:before="55"/>
              <w:ind w:left="200"/>
              <w:rPr>
                <w:sz w:val="24"/>
              </w:rPr>
            </w:pPr>
            <w:r>
              <w:rPr>
                <w:sz w:val="24"/>
              </w:rPr>
              <w:t>UNAM</w:t>
            </w:r>
          </w:p>
        </w:tc>
        <w:tc>
          <w:tcPr>
            <w:tcW w:w="6206" w:type="dxa"/>
          </w:tcPr>
          <w:p>
            <w:pPr>
              <w:pStyle w:val="TableParagraph"/>
              <w:spacing w:before="55"/>
              <w:ind w:left="488"/>
              <w:rPr>
                <w:sz w:val="24"/>
              </w:rPr>
            </w:pPr>
            <w:r>
              <w:rPr>
                <w:sz w:val="24"/>
              </w:rPr>
              <w:t>Universidad Nacional Autónoma de México</w:t>
            </w:r>
          </w:p>
        </w:tc>
      </w:tr>
    </w:tbl>
    <w:p>
      <w:pPr>
        <w:spacing w:after="0"/>
        <w:rPr>
          <w:sz w:val="24"/>
        </w:rPr>
        <w:sectPr>
          <w:pgSz w:w="12240" w:h="15840"/>
          <w:pgMar w:header="749" w:footer="1003" w:top="960" w:bottom="1200" w:left="1400" w:right="1720"/>
        </w:sectPr>
      </w:pPr>
    </w:p>
    <w:p>
      <w:pPr>
        <w:pStyle w:val="BodyText"/>
        <w:rPr>
          <w:rFonts w:ascii="Times New Roman"/>
          <w:sz w:val="20"/>
        </w:rPr>
      </w:pPr>
    </w:p>
    <w:p>
      <w:pPr>
        <w:spacing w:before="213"/>
        <w:ind w:left="3453" w:right="2752" w:firstLine="0"/>
        <w:jc w:val="center"/>
        <w:rPr>
          <w:sz w:val="28"/>
        </w:rPr>
      </w:pPr>
      <w:r>
        <w:rPr>
          <w:sz w:val="28"/>
        </w:rPr>
        <w:t>ÍNDICE</w:t>
      </w:r>
    </w:p>
    <w:p>
      <w:pPr>
        <w:pStyle w:val="BodyText"/>
        <w:rPr>
          <w:sz w:val="20"/>
        </w:rPr>
      </w:pPr>
    </w:p>
    <w:p>
      <w:pPr>
        <w:pStyle w:val="BodyText"/>
        <w:rPr>
          <w:sz w:val="20"/>
        </w:rPr>
      </w:pPr>
    </w:p>
    <w:p>
      <w:pPr>
        <w:pStyle w:val="BodyText"/>
        <w:spacing w:before="10"/>
        <w:rPr>
          <w:sz w:val="12"/>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475"/>
        <w:gridCol w:w="768"/>
      </w:tblGrid>
      <w:tr>
        <w:trPr>
          <w:trHeight w:val="534" w:hRule="exact"/>
        </w:trPr>
        <w:tc>
          <w:tcPr>
            <w:tcW w:w="9243" w:type="dxa"/>
            <w:gridSpan w:val="2"/>
          </w:tcPr>
          <w:p>
            <w:pPr>
              <w:pStyle w:val="TableParagraph"/>
              <w:spacing w:line="245" w:lineRule="exact"/>
              <w:ind w:left="0" w:right="201"/>
              <w:jc w:val="right"/>
              <w:rPr>
                <w:sz w:val="24"/>
              </w:rPr>
            </w:pPr>
            <w:r>
              <w:rPr>
                <w:sz w:val="24"/>
              </w:rPr>
              <w:t>Páginas</w:t>
            </w:r>
          </w:p>
        </w:tc>
      </w:tr>
      <w:tr>
        <w:trPr>
          <w:trHeight w:val="622" w:hRule="exact"/>
        </w:trPr>
        <w:tc>
          <w:tcPr>
            <w:tcW w:w="8475" w:type="dxa"/>
          </w:tcPr>
          <w:p>
            <w:pPr>
              <w:pStyle w:val="TableParagraph"/>
              <w:spacing w:before="10"/>
              <w:ind w:left="0"/>
              <w:rPr>
                <w:sz w:val="22"/>
              </w:rPr>
            </w:pPr>
          </w:p>
          <w:p>
            <w:pPr>
              <w:pStyle w:val="TableParagraph"/>
              <w:ind w:left="0" w:right="192"/>
              <w:jc w:val="right"/>
              <w:rPr>
                <w:sz w:val="24"/>
              </w:rPr>
            </w:pPr>
            <w:r>
              <w:rPr>
                <w:b/>
                <w:sz w:val="24"/>
              </w:rPr>
              <w:t>Agradecimientos</w:t>
            </w:r>
            <w:r>
              <w:rPr>
                <w:sz w:val="24"/>
              </w:rPr>
              <w:t>…………………………………………………………………..</w:t>
            </w:r>
          </w:p>
        </w:tc>
        <w:tc>
          <w:tcPr>
            <w:tcW w:w="768" w:type="dxa"/>
          </w:tcPr>
          <w:p>
            <w:pPr>
              <w:pStyle w:val="TableParagraph"/>
              <w:spacing w:before="10"/>
              <w:ind w:left="0"/>
              <w:rPr>
                <w:sz w:val="22"/>
              </w:rPr>
            </w:pPr>
          </w:p>
          <w:p>
            <w:pPr>
              <w:pStyle w:val="TableParagraph"/>
              <w:ind w:left="0" w:right="201"/>
              <w:jc w:val="right"/>
              <w:rPr>
                <w:sz w:val="24"/>
              </w:rPr>
            </w:pPr>
            <w:r>
              <w:rPr>
                <w:w w:val="99"/>
                <w:sz w:val="24"/>
              </w:rPr>
              <w:t>2</w:t>
            </w:r>
          </w:p>
        </w:tc>
      </w:tr>
      <w:tr>
        <w:trPr>
          <w:trHeight w:val="414" w:hRule="exact"/>
        </w:trPr>
        <w:tc>
          <w:tcPr>
            <w:tcW w:w="8475" w:type="dxa"/>
          </w:tcPr>
          <w:p>
            <w:pPr>
              <w:pStyle w:val="TableParagraph"/>
              <w:spacing w:before="57"/>
              <w:ind w:left="0" w:right="173"/>
              <w:jc w:val="right"/>
              <w:rPr>
                <w:sz w:val="24"/>
              </w:rPr>
            </w:pPr>
            <w:r>
              <w:rPr>
                <w:b/>
                <w:sz w:val="24"/>
              </w:rPr>
              <w:t>Lista de acrónimos y siglas</w:t>
            </w:r>
            <w:r>
              <w:rPr>
                <w:sz w:val="24"/>
              </w:rPr>
              <w:t>…………………………………………………......</w:t>
            </w:r>
          </w:p>
        </w:tc>
        <w:tc>
          <w:tcPr>
            <w:tcW w:w="768" w:type="dxa"/>
          </w:tcPr>
          <w:p>
            <w:pPr>
              <w:pStyle w:val="TableParagraph"/>
              <w:spacing w:before="57"/>
              <w:ind w:left="0" w:right="201"/>
              <w:jc w:val="right"/>
              <w:rPr>
                <w:sz w:val="24"/>
              </w:rPr>
            </w:pPr>
            <w:r>
              <w:rPr>
                <w:w w:val="99"/>
                <w:sz w:val="24"/>
              </w:rPr>
              <w:t>3</w:t>
            </w:r>
          </w:p>
        </w:tc>
      </w:tr>
      <w:tr>
        <w:trPr>
          <w:trHeight w:val="414" w:hRule="exact"/>
        </w:trPr>
        <w:tc>
          <w:tcPr>
            <w:tcW w:w="8475" w:type="dxa"/>
          </w:tcPr>
          <w:p>
            <w:pPr>
              <w:pStyle w:val="TableParagraph"/>
              <w:spacing w:before="55"/>
              <w:ind w:left="0" w:right="178"/>
              <w:jc w:val="right"/>
              <w:rPr>
                <w:sz w:val="24"/>
              </w:rPr>
            </w:pPr>
            <w:r>
              <w:rPr>
                <w:b/>
                <w:sz w:val="24"/>
              </w:rPr>
              <w:t>Índice</w:t>
            </w:r>
            <w:r>
              <w:rPr>
                <w:sz w:val="24"/>
              </w:rPr>
              <w:t>………………………………………………………………………………...</w:t>
            </w:r>
          </w:p>
        </w:tc>
        <w:tc>
          <w:tcPr>
            <w:tcW w:w="768" w:type="dxa"/>
          </w:tcPr>
          <w:p>
            <w:pPr>
              <w:pStyle w:val="TableParagraph"/>
              <w:spacing w:before="55"/>
              <w:ind w:left="0" w:right="201"/>
              <w:jc w:val="right"/>
              <w:rPr>
                <w:sz w:val="24"/>
              </w:rPr>
            </w:pPr>
            <w:r>
              <w:rPr>
                <w:w w:val="99"/>
                <w:sz w:val="24"/>
              </w:rPr>
              <w:t>7</w:t>
            </w:r>
          </w:p>
        </w:tc>
      </w:tr>
      <w:tr>
        <w:trPr>
          <w:trHeight w:val="414" w:hRule="exact"/>
        </w:trPr>
        <w:tc>
          <w:tcPr>
            <w:tcW w:w="8475" w:type="dxa"/>
          </w:tcPr>
          <w:p>
            <w:pPr>
              <w:pStyle w:val="TableParagraph"/>
              <w:spacing w:before="57"/>
              <w:ind w:left="0" w:right="166"/>
              <w:jc w:val="right"/>
              <w:rPr>
                <w:sz w:val="24"/>
              </w:rPr>
            </w:pPr>
            <w:r>
              <w:rPr>
                <w:b/>
                <w:sz w:val="24"/>
              </w:rPr>
              <w:t>Índice de cuadros</w:t>
            </w:r>
            <w:r>
              <w:rPr>
                <w:sz w:val="24"/>
              </w:rPr>
              <w:t>………………………………………………………………….</w:t>
            </w:r>
          </w:p>
        </w:tc>
        <w:tc>
          <w:tcPr>
            <w:tcW w:w="768" w:type="dxa"/>
          </w:tcPr>
          <w:p>
            <w:pPr>
              <w:pStyle w:val="TableParagraph"/>
              <w:spacing w:before="57"/>
              <w:ind w:left="0" w:right="198"/>
              <w:jc w:val="right"/>
              <w:rPr>
                <w:sz w:val="24"/>
              </w:rPr>
            </w:pPr>
            <w:r>
              <w:rPr>
                <w:sz w:val="24"/>
              </w:rPr>
              <w:t>10</w:t>
            </w:r>
          </w:p>
        </w:tc>
      </w:tr>
      <w:tr>
        <w:trPr>
          <w:trHeight w:val="414" w:hRule="exact"/>
        </w:trPr>
        <w:tc>
          <w:tcPr>
            <w:tcW w:w="8475" w:type="dxa"/>
          </w:tcPr>
          <w:p>
            <w:pPr>
              <w:pStyle w:val="TableParagraph"/>
              <w:spacing w:before="55"/>
              <w:ind w:left="0" w:right="204"/>
              <w:jc w:val="right"/>
              <w:rPr>
                <w:sz w:val="24"/>
              </w:rPr>
            </w:pPr>
            <w:r>
              <w:rPr>
                <w:b/>
                <w:w w:val="95"/>
                <w:sz w:val="24"/>
              </w:rPr>
              <w:t>Introducción</w:t>
            </w:r>
            <w:r>
              <w:rPr>
                <w:w w:val="95"/>
                <w:sz w:val="24"/>
              </w:rPr>
              <w:t>………………………………………………………………………..</w:t>
            </w:r>
          </w:p>
        </w:tc>
        <w:tc>
          <w:tcPr>
            <w:tcW w:w="768" w:type="dxa"/>
          </w:tcPr>
          <w:p>
            <w:pPr>
              <w:pStyle w:val="TableParagraph"/>
              <w:spacing w:before="55"/>
              <w:ind w:left="0" w:right="198"/>
              <w:jc w:val="right"/>
              <w:rPr>
                <w:sz w:val="24"/>
              </w:rPr>
            </w:pPr>
            <w:r>
              <w:rPr>
                <w:sz w:val="24"/>
              </w:rPr>
              <w:t>12</w:t>
            </w:r>
          </w:p>
        </w:tc>
      </w:tr>
      <w:tr>
        <w:trPr>
          <w:trHeight w:val="414" w:hRule="exact"/>
        </w:trPr>
        <w:tc>
          <w:tcPr>
            <w:tcW w:w="8475" w:type="dxa"/>
          </w:tcPr>
          <w:p>
            <w:pPr>
              <w:pStyle w:val="TableParagraph"/>
              <w:spacing w:before="57"/>
              <w:ind w:left="0" w:right="177"/>
              <w:jc w:val="right"/>
              <w:rPr>
                <w:sz w:val="24"/>
              </w:rPr>
            </w:pPr>
            <w:r>
              <w:rPr>
                <w:b/>
                <w:sz w:val="24"/>
              </w:rPr>
              <w:t>I Contexto</w:t>
            </w:r>
            <w:r>
              <w:rPr>
                <w:sz w:val="24"/>
              </w:rPr>
              <w:t>…………………………………………………………………………...</w:t>
            </w:r>
          </w:p>
        </w:tc>
        <w:tc>
          <w:tcPr>
            <w:tcW w:w="768" w:type="dxa"/>
          </w:tcPr>
          <w:p>
            <w:pPr>
              <w:pStyle w:val="TableParagraph"/>
              <w:spacing w:before="57"/>
              <w:ind w:left="0" w:right="198"/>
              <w:jc w:val="right"/>
              <w:rPr>
                <w:sz w:val="24"/>
              </w:rPr>
            </w:pPr>
            <w:r>
              <w:rPr>
                <w:sz w:val="24"/>
              </w:rPr>
              <w:t>34</w:t>
            </w:r>
          </w:p>
        </w:tc>
      </w:tr>
      <w:tr>
        <w:trPr>
          <w:trHeight w:val="414" w:hRule="exact"/>
        </w:trPr>
        <w:tc>
          <w:tcPr>
            <w:tcW w:w="8475" w:type="dxa"/>
          </w:tcPr>
          <w:p>
            <w:pPr>
              <w:pStyle w:val="TableParagraph"/>
              <w:spacing w:before="55"/>
              <w:ind w:left="0" w:right="176"/>
              <w:jc w:val="right"/>
              <w:rPr>
                <w:sz w:val="24"/>
              </w:rPr>
            </w:pPr>
            <w:r>
              <w:rPr>
                <w:sz w:val="24"/>
              </w:rPr>
              <w:t>A) México…………………………………………………………………………….</w:t>
            </w:r>
          </w:p>
        </w:tc>
        <w:tc>
          <w:tcPr>
            <w:tcW w:w="768" w:type="dxa"/>
          </w:tcPr>
          <w:p>
            <w:pPr>
              <w:pStyle w:val="TableParagraph"/>
              <w:spacing w:before="55"/>
              <w:ind w:left="0" w:right="198"/>
              <w:jc w:val="right"/>
              <w:rPr>
                <w:sz w:val="24"/>
              </w:rPr>
            </w:pPr>
            <w:r>
              <w:rPr>
                <w:sz w:val="24"/>
              </w:rPr>
              <w:t>34</w:t>
            </w:r>
          </w:p>
        </w:tc>
      </w:tr>
      <w:tr>
        <w:trPr>
          <w:trHeight w:val="414" w:hRule="exact"/>
        </w:trPr>
        <w:tc>
          <w:tcPr>
            <w:tcW w:w="8475" w:type="dxa"/>
          </w:tcPr>
          <w:p>
            <w:pPr>
              <w:pStyle w:val="TableParagraph"/>
              <w:spacing w:before="57"/>
              <w:ind w:left="0" w:right="188"/>
              <w:jc w:val="right"/>
              <w:rPr>
                <w:sz w:val="24"/>
              </w:rPr>
            </w:pPr>
            <w:r>
              <w:rPr>
                <w:sz w:val="24"/>
              </w:rPr>
              <w:t>1. Territorio, población y densidad demográfica………………………………</w:t>
            </w:r>
          </w:p>
        </w:tc>
        <w:tc>
          <w:tcPr>
            <w:tcW w:w="768" w:type="dxa"/>
          </w:tcPr>
          <w:p>
            <w:pPr>
              <w:pStyle w:val="TableParagraph"/>
              <w:spacing w:before="57"/>
              <w:ind w:left="0" w:right="198"/>
              <w:jc w:val="right"/>
              <w:rPr>
                <w:sz w:val="24"/>
              </w:rPr>
            </w:pPr>
            <w:r>
              <w:rPr>
                <w:sz w:val="24"/>
              </w:rPr>
              <w:t>37</w:t>
            </w:r>
          </w:p>
        </w:tc>
      </w:tr>
      <w:tr>
        <w:trPr>
          <w:trHeight w:val="413" w:hRule="exact"/>
        </w:trPr>
        <w:tc>
          <w:tcPr>
            <w:tcW w:w="8475" w:type="dxa"/>
          </w:tcPr>
          <w:p>
            <w:pPr>
              <w:pStyle w:val="TableParagraph"/>
              <w:spacing w:before="55"/>
              <w:ind w:left="0" w:right="163"/>
              <w:jc w:val="right"/>
              <w:rPr>
                <w:sz w:val="24"/>
              </w:rPr>
            </w:pPr>
            <w:r>
              <w:rPr>
                <w:sz w:val="24"/>
              </w:rPr>
              <w:t>2. Organización político-territorial……………………………………………….</w:t>
            </w:r>
          </w:p>
        </w:tc>
        <w:tc>
          <w:tcPr>
            <w:tcW w:w="768" w:type="dxa"/>
          </w:tcPr>
          <w:p>
            <w:pPr>
              <w:pStyle w:val="TableParagraph"/>
              <w:spacing w:before="55"/>
              <w:ind w:left="0" w:right="198"/>
              <w:jc w:val="right"/>
              <w:rPr>
                <w:sz w:val="24"/>
              </w:rPr>
            </w:pPr>
            <w:r>
              <w:rPr>
                <w:sz w:val="24"/>
              </w:rPr>
              <w:t>45</w:t>
            </w:r>
          </w:p>
        </w:tc>
      </w:tr>
      <w:tr>
        <w:trPr>
          <w:trHeight w:val="414" w:hRule="exact"/>
        </w:trPr>
        <w:tc>
          <w:tcPr>
            <w:tcW w:w="8475" w:type="dxa"/>
          </w:tcPr>
          <w:p>
            <w:pPr>
              <w:pStyle w:val="TableParagraph"/>
              <w:spacing w:before="55"/>
              <w:ind w:left="0" w:right="191"/>
              <w:jc w:val="right"/>
              <w:rPr>
                <w:sz w:val="24"/>
              </w:rPr>
            </w:pPr>
            <w:r>
              <w:rPr>
                <w:sz w:val="24"/>
              </w:rPr>
              <w:t>3. Régimen político……………………………………………………………….</w:t>
            </w:r>
          </w:p>
        </w:tc>
        <w:tc>
          <w:tcPr>
            <w:tcW w:w="768" w:type="dxa"/>
          </w:tcPr>
          <w:p>
            <w:pPr>
              <w:pStyle w:val="TableParagraph"/>
              <w:spacing w:before="55"/>
              <w:ind w:left="0" w:right="198"/>
              <w:jc w:val="right"/>
              <w:rPr>
                <w:sz w:val="24"/>
              </w:rPr>
            </w:pPr>
            <w:r>
              <w:rPr>
                <w:sz w:val="24"/>
              </w:rPr>
              <w:t>49</w:t>
            </w:r>
          </w:p>
        </w:tc>
      </w:tr>
      <w:tr>
        <w:trPr>
          <w:trHeight w:val="414" w:hRule="exact"/>
        </w:trPr>
        <w:tc>
          <w:tcPr>
            <w:tcW w:w="8475" w:type="dxa"/>
          </w:tcPr>
          <w:p>
            <w:pPr>
              <w:pStyle w:val="TableParagraph"/>
              <w:spacing w:before="57"/>
              <w:ind w:left="0" w:right="178"/>
              <w:jc w:val="right"/>
              <w:rPr>
                <w:sz w:val="24"/>
              </w:rPr>
            </w:pPr>
            <w:r>
              <w:rPr>
                <w:sz w:val="24"/>
              </w:rPr>
              <w:t>B) Costa Rica………………………………………………………………………..</w:t>
            </w:r>
          </w:p>
        </w:tc>
        <w:tc>
          <w:tcPr>
            <w:tcW w:w="768" w:type="dxa"/>
          </w:tcPr>
          <w:p>
            <w:pPr>
              <w:pStyle w:val="TableParagraph"/>
              <w:spacing w:before="57"/>
              <w:ind w:left="0" w:right="198"/>
              <w:jc w:val="right"/>
              <w:rPr>
                <w:sz w:val="24"/>
              </w:rPr>
            </w:pPr>
            <w:r>
              <w:rPr>
                <w:sz w:val="24"/>
              </w:rPr>
              <w:t>61</w:t>
            </w:r>
          </w:p>
        </w:tc>
      </w:tr>
      <w:tr>
        <w:trPr>
          <w:trHeight w:val="414" w:hRule="exact"/>
        </w:trPr>
        <w:tc>
          <w:tcPr>
            <w:tcW w:w="8475" w:type="dxa"/>
          </w:tcPr>
          <w:p>
            <w:pPr>
              <w:pStyle w:val="TableParagraph"/>
              <w:spacing w:before="55"/>
              <w:ind w:left="0" w:right="188"/>
              <w:jc w:val="right"/>
              <w:rPr>
                <w:sz w:val="24"/>
              </w:rPr>
            </w:pPr>
            <w:r>
              <w:rPr>
                <w:sz w:val="24"/>
              </w:rPr>
              <w:t>1. Territorio, población y densidad demográfica………………………………</w:t>
            </w:r>
          </w:p>
        </w:tc>
        <w:tc>
          <w:tcPr>
            <w:tcW w:w="768" w:type="dxa"/>
          </w:tcPr>
          <w:p>
            <w:pPr>
              <w:pStyle w:val="TableParagraph"/>
              <w:spacing w:before="55"/>
              <w:ind w:left="0" w:right="198"/>
              <w:jc w:val="right"/>
              <w:rPr>
                <w:sz w:val="24"/>
              </w:rPr>
            </w:pPr>
            <w:r>
              <w:rPr>
                <w:sz w:val="24"/>
              </w:rPr>
              <w:t>63</w:t>
            </w:r>
          </w:p>
        </w:tc>
      </w:tr>
      <w:tr>
        <w:trPr>
          <w:trHeight w:val="477" w:hRule="exact"/>
        </w:trPr>
        <w:tc>
          <w:tcPr>
            <w:tcW w:w="8475" w:type="dxa"/>
          </w:tcPr>
          <w:p>
            <w:pPr>
              <w:pStyle w:val="TableParagraph"/>
              <w:spacing w:before="57"/>
              <w:ind w:left="0" w:right="163"/>
              <w:jc w:val="right"/>
              <w:rPr>
                <w:sz w:val="24"/>
              </w:rPr>
            </w:pPr>
            <w:r>
              <w:rPr>
                <w:sz w:val="24"/>
              </w:rPr>
              <w:t>2. Organización político-territorial……………………………………………….</w:t>
            </w:r>
          </w:p>
        </w:tc>
        <w:tc>
          <w:tcPr>
            <w:tcW w:w="768" w:type="dxa"/>
          </w:tcPr>
          <w:p>
            <w:pPr>
              <w:pStyle w:val="TableParagraph"/>
              <w:spacing w:before="57"/>
              <w:ind w:left="0" w:right="198"/>
              <w:jc w:val="right"/>
              <w:rPr>
                <w:sz w:val="24"/>
              </w:rPr>
            </w:pPr>
            <w:r>
              <w:rPr>
                <w:sz w:val="24"/>
              </w:rPr>
              <w:t>70</w:t>
            </w:r>
          </w:p>
        </w:tc>
      </w:tr>
      <w:tr>
        <w:trPr>
          <w:trHeight w:val="477" w:hRule="exact"/>
        </w:trPr>
        <w:tc>
          <w:tcPr>
            <w:tcW w:w="8475" w:type="dxa"/>
          </w:tcPr>
          <w:p>
            <w:pPr>
              <w:pStyle w:val="TableParagraph"/>
              <w:spacing w:before="118"/>
              <w:ind w:left="0" w:right="191"/>
              <w:jc w:val="right"/>
              <w:rPr>
                <w:sz w:val="24"/>
              </w:rPr>
            </w:pPr>
            <w:r>
              <w:rPr>
                <w:sz w:val="24"/>
              </w:rPr>
              <w:t>3. Régimen político……………………………………………………………….</w:t>
            </w:r>
          </w:p>
        </w:tc>
        <w:tc>
          <w:tcPr>
            <w:tcW w:w="768" w:type="dxa"/>
          </w:tcPr>
          <w:p>
            <w:pPr>
              <w:pStyle w:val="TableParagraph"/>
              <w:spacing w:before="118"/>
              <w:ind w:left="0" w:right="198"/>
              <w:jc w:val="right"/>
              <w:rPr>
                <w:sz w:val="24"/>
              </w:rPr>
            </w:pPr>
            <w:r>
              <w:rPr>
                <w:sz w:val="24"/>
              </w:rPr>
              <w:t>71</w:t>
            </w:r>
          </w:p>
        </w:tc>
      </w:tr>
      <w:tr>
        <w:trPr>
          <w:trHeight w:val="414" w:hRule="exact"/>
        </w:trPr>
        <w:tc>
          <w:tcPr>
            <w:tcW w:w="8475" w:type="dxa"/>
          </w:tcPr>
          <w:p>
            <w:pPr>
              <w:pStyle w:val="TableParagraph"/>
              <w:spacing w:before="57"/>
              <w:ind w:left="0" w:right="215"/>
              <w:jc w:val="right"/>
              <w:rPr>
                <w:sz w:val="24"/>
              </w:rPr>
            </w:pPr>
            <w:r>
              <w:rPr>
                <w:b/>
                <w:sz w:val="24"/>
              </w:rPr>
              <w:t>II Independencia e imparcialidad de los órganos electorales</w:t>
            </w:r>
            <w:r>
              <w:rPr>
                <w:sz w:val="24"/>
              </w:rPr>
              <w:t>…………….</w:t>
            </w:r>
          </w:p>
        </w:tc>
        <w:tc>
          <w:tcPr>
            <w:tcW w:w="768" w:type="dxa"/>
          </w:tcPr>
          <w:p>
            <w:pPr>
              <w:pStyle w:val="TableParagraph"/>
              <w:spacing w:before="57"/>
              <w:ind w:left="0" w:right="198"/>
              <w:jc w:val="right"/>
              <w:rPr>
                <w:sz w:val="24"/>
              </w:rPr>
            </w:pPr>
            <w:r>
              <w:rPr>
                <w:sz w:val="24"/>
              </w:rPr>
              <w:t>80</w:t>
            </w:r>
          </w:p>
        </w:tc>
      </w:tr>
      <w:tr>
        <w:trPr>
          <w:trHeight w:val="414" w:hRule="exact"/>
        </w:trPr>
        <w:tc>
          <w:tcPr>
            <w:tcW w:w="8475" w:type="dxa"/>
          </w:tcPr>
          <w:p>
            <w:pPr>
              <w:pStyle w:val="TableParagraph"/>
              <w:spacing w:before="55"/>
              <w:ind w:left="0" w:right="177"/>
              <w:jc w:val="right"/>
              <w:rPr>
                <w:sz w:val="24"/>
              </w:rPr>
            </w:pPr>
            <w:r>
              <w:rPr>
                <w:sz w:val="24"/>
              </w:rPr>
              <w:t>A) México…………………………………………………………………………….</w:t>
            </w:r>
          </w:p>
        </w:tc>
        <w:tc>
          <w:tcPr>
            <w:tcW w:w="768" w:type="dxa"/>
          </w:tcPr>
          <w:p>
            <w:pPr>
              <w:pStyle w:val="TableParagraph"/>
              <w:spacing w:before="55"/>
              <w:ind w:left="0" w:right="198"/>
              <w:jc w:val="right"/>
              <w:rPr>
                <w:sz w:val="24"/>
              </w:rPr>
            </w:pPr>
            <w:r>
              <w:rPr>
                <w:sz w:val="24"/>
              </w:rPr>
              <w:t>81</w:t>
            </w:r>
          </w:p>
        </w:tc>
      </w:tr>
      <w:tr>
        <w:trPr>
          <w:trHeight w:val="414" w:hRule="exact"/>
        </w:trPr>
        <w:tc>
          <w:tcPr>
            <w:tcW w:w="8475" w:type="dxa"/>
          </w:tcPr>
          <w:p>
            <w:pPr>
              <w:pStyle w:val="TableParagraph"/>
              <w:spacing w:before="57"/>
              <w:ind w:left="394" w:right="162"/>
              <w:rPr>
                <w:sz w:val="24"/>
              </w:rPr>
            </w:pPr>
            <w:r>
              <w:rPr>
                <w:sz w:val="24"/>
              </w:rPr>
              <w:t>1.  Elección de consejeros electorales del IFE………………………………</w:t>
            </w:r>
          </w:p>
        </w:tc>
        <w:tc>
          <w:tcPr>
            <w:tcW w:w="768" w:type="dxa"/>
          </w:tcPr>
          <w:p>
            <w:pPr>
              <w:pStyle w:val="TableParagraph"/>
              <w:spacing w:before="57"/>
              <w:ind w:left="0" w:right="198"/>
              <w:jc w:val="right"/>
              <w:rPr>
                <w:sz w:val="24"/>
              </w:rPr>
            </w:pPr>
            <w:r>
              <w:rPr>
                <w:sz w:val="24"/>
              </w:rPr>
              <w:t>86</w:t>
            </w:r>
          </w:p>
        </w:tc>
      </w:tr>
      <w:tr>
        <w:trPr>
          <w:trHeight w:val="414" w:hRule="exact"/>
        </w:trPr>
        <w:tc>
          <w:tcPr>
            <w:tcW w:w="8475" w:type="dxa"/>
          </w:tcPr>
          <w:p>
            <w:pPr>
              <w:pStyle w:val="TableParagraph"/>
              <w:spacing w:before="55"/>
              <w:ind w:left="0" w:right="257"/>
              <w:jc w:val="right"/>
              <w:rPr>
                <w:sz w:val="24"/>
              </w:rPr>
            </w:pPr>
            <w:r>
              <w:rPr>
                <w:sz w:val="24"/>
              </w:rPr>
              <w:t>a)  Apego a la ley…………………………………………………………..</w:t>
            </w:r>
          </w:p>
        </w:tc>
        <w:tc>
          <w:tcPr>
            <w:tcW w:w="768" w:type="dxa"/>
          </w:tcPr>
          <w:p>
            <w:pPr>
              <w:pStyle w:val="TableParagraph"/>
              <w:spacing w:before="55"/>
              <w:ind w:left="0" w:right="198"/>
              <w:jc w:val="right"/>
              <w:rPr>
                <w:sz w:val="24"/>
              </w:rPr>
            </w:pPr>
            <w:r>
              <w:rPr>
                <w:sz w:val="24"/>
              </w:rPr>
              <w:t>87</w:t>
            </w:r>
          </w:p>
        </w:tc>
      </w:tr>
      <w:tr>
        <w:trPr>
          <w:trHeight w:val="414" w:hRule="exact"/>
        </w:trPr>
        <w:tc>
          <w:tcPr>
            <w:tcW w:w="8475" w:type="dxa"/>
          </w:tcPr>
          <w:p>
            <w:pPr>
              <w:pStyle w:val="TableParagraph"/>
              <w:spacing w:before="57"/>
              <w:ind w:left="0" w:right="188"/>
              <w:jc w:val="right"/>
              <w:rPr>
                <w:sz w:val="24"/>
              </w:rPr>
            </w:pPr>
            <w:r>
              <w:rPr>
                <w:sz w:val="24"/>
              </w:rPr>
              <w:t>b)  Origen de las propuestas………………………………………………</w:t>
            </w:r>
          </w:p>
        </w:tc>
        <w:tc>
          <w:tcPr>
            <w:tcW w:w="768" w:type="dxa"/>
          </w:tcPr>
          <w:p>
            <w:pPr>
              <w:pStyle w:val="TableParagraph"/>
              <w:spacing w:before="57"/>
              <w:ind w:left="0" w:right="198"/>
              <w:jc w:val="right"/>
              <w:rPr>
                <w:sz w:val="24"/>
              </w:rPr>
            </w:pPr>
            <w:r>
              <w:rPr>
                <w:sz w:val="24"/>
              </w:rPr>
              <w:t>88</w:t>
            </w:r>
          </w:p>
        </w:tc>
      </w:tr>
      <w:tr>
        <w:trPr>
          <w:trHeight w:val="413" w:hRule="exact"/>
        </w:trPr>
        <w:tc>
          <w:tcPr>
            <w:tcW w:w="8475" w:type="dxa"/>
          </w:tcPr>
          <w:p>
            <w:pPr>
              <w:pStyle w:val="TableParagraph"/>
              <w:spacing w:before="55"/>
              <w:ind w:left="0" w:right="188"/>
              <w:jc w:val="right"/>
              <w:rPr>
                <w:sz w:val="24"/>
              </w:rPr>
            </w:pPr>
            <w:r>
              <w:rPr>
                <w:sz w:val="24"/>
              </w:rPr>
              <w:t>c)  Votación de la legislatura………………………………………………</w:t>
            </w:r>
          </w:p>
        </w:tc>
        <w:tc>
          <w:tcPr>
            <w:tcW w:w="768" w:type="dxa"/>
          </w:tcPr>
          <w:p>
            <w:pPr>
              <w:pStyle w:val="TableParagraph"/>
              <w:spacing w:before="55"/>
              <w:ind w:left="0" w:right="198"/>
              <w:jc w:val="right"/>
              <w:rPr>
                <w:sz w:val="24"/>
              </w:rPr>
            </w:pPr>
            <w:r>
              <w:rPr>
                <w:sz w:val="24"/>
              </w:rPr>
              <w:t>90</w:t>
            </w:r>
          </w:p>
        </w:tc>
      </w:tr>
      <w:tr>
        <w:trPr>
          <w:trHeight w:val="414" w:hRule="exact"/>
        </w:trPr>
        <w:tc>
          <w:tcPr>
            <w:tcW w:w="8475" w:type="dxa"/>
          </w:tcPr>
          <w:p>
            <w:pPr>
              <w:pStyle w:val="TableParagraph"/>
              <w:spacing w:before="55"/>
              <w:ind w:left="0" w:right="205"/>
              <w:jc w:val="right"/>
              <w:rPr>
                <w:sz w:val="24"/>
              </w:rPr>
            </w:pPr>
            <w:r>
              <w:rPr>
                <w:sz w:val="24"/>
              </w:rPr>
              <w:t>2.  Actuación de los consejeros electorales del IFE………………………….</w:t>
            </w:r>
          </w:p>
        </w:tc>
        <w:tc>
          <w:tcPr>
            <w:tcW w:w="768" w:type="dxa"/>
          </w:tcPr>
          <w:p>
            <w:pPr>
              <w:pStyle w:val="TableParagraph"/>
              <w:spacing w:before="55"/>
              <w:ind w:left="0" w:right="198"/>
              <w:jc w:val="right"/>
              <w:rPr>
                <w:sz w:val="24"/>
              </w:rPr>
            </w:pPr>
            <w:r>
              <w:rPr>
                <w:sz w:val="24"/>
              </w:rPr>
              <w:t>91</w:t>
            </w:r>
          </w:p>
        </w:tc>
      </w:tr>
      <w:tr>
        <w:trPr>
          <w:trHeight w:val="414" w:hRule="exact"/>
        </w:trPr>
        <w:tc>
          <w:tcPr>
            <w:tcW w:w="8475" w:type="dxa"/>
          </w:tcPr>
          <w:p>
            <w:pPr>
              <w:pStyle w:val="TableParagraph"/>
              <w:spacing w:before="57"/>
              <w:ind w:left="0" w:right="189"/>
              <w:jc w:val="right"/>
              <w:rPr>
                <w:sz w:val="24"/>
              </w:rPr>
            </w:pPr>
            <w:r>
              <w:rPr>
                <w:sz w:val="24"/>
              </w:rPr>
              <w:t>a)  Congruencia con la legalidad………………………………………….</w:t>
            </w:r>
          </w:p>
        </w:tc>
        <w:tc>
          <w:tcPr>
            <w:tcW w:w="768" w:type="dxa"/>
          </w:tcPr>
          <w:p>
            <w:pPr>
              <w:pStyle w:val="TableParagraph"/>
              <w:spacing w:before="57"/>
              <w:ind w:left="0" w:right="198"/>
              <w:jc w:val="right"/>
              <w:rPr>
                <w:sz w:val="24"/>
              </w:rPr>
            </w:pPr>
            <w:r>
              <w:rPr>
                <w:sz w:val="24"/>
              </w:rPr>
              <w:t>92</w:t>
            </w:r>
          </w:p>
        </w:tc>
      </w:tr>
      <w:tr>
        <w:trPr>
          <w:trHeight w:val="414" w:hRule="exact"/>
        </w:trPr>
        <w:tc>
          <w:tcPr>
            <w:tcW w:w="8475" w:type="dxa"/>
          </w:tcPr>
          <w:p>
            <w:pPr>
              <w:pStyle w:val="TableParagraph"/>
              <w:spacing w:before="55"/>
              <w:ind w:left="0" w:right="183"/>
              <w:jc w:val="right"/>
              <w:rPr>
                <w:sz w:val="24"/>
              </w:rPr>
            </w:pPr>
            <w:r>
              <w:rPr>
                <w:sz w:val="24"/>
              </w:rPr>
              <w:t>b)  Imparcialidad cualitativa en el resultado de la elección…………….</w:t>
            </w:r>
          </w:p>
        </w:tc>
        <w:tc>
          <w:tcPr>
            <w:tcW w:w="768" w:type="dxa"/>
          </w:tcPr>
          <w:p>
            <w:pPr>
              <w:pStyle w:val="TableParagraph"/>
              <w:spacing w:before="55"/>
              <w:ind w:left="0" w:right="198"/>
              <w:jc w:val="right"/>
              <w:rPr>
                <w:sz w:val="24"/>
              </w:rPr>
            </w:pPr>
            <w:r>
              <w:rPr>
                <w:w w:val="95"/>
                <w:sz w:val="24"/>
              </w:rPr>
              <w:t>103</w:t>
            </w:r>
          </w:p>
        </w:tc>
      </w:tr>
      <w:tr>
        <w:trPr>
          <w:trHeight w:val="828" w:hRule="exact"/>
        </w:trPr>
        <w:tc>
          <w:tcPr>
            <w:tcW w:w="8475" w:type="dxa"/>
          </w:tcPr>
          <w:p>
            <w:pPr>
              <w:pStyle w:val="TableParagraph"/>
              <w:spacing w:line="360" w:lineRule="auto" w:before="57"/>
              <w:ind w:left="1279" w:right="162" w:hanging="360"/>
              <w:rPr>
                <w:sz w:val="24"/>
              </w:rPr>
            </w:pPr>
            <w:r>
              <w:rPr>
                <w:sz w:val="24"/>
              </w:rPr>
              <w:t>c) Imparcialidad cuantitativa con respecto a las organizaciones políticas…………………………………………………………………..</w:t>
            </w:r>
          </w:p>
        </w:tc>
        <w:tc>
          <w:tcPr>
            <w:tcW w:w="768" w:type="dxa"/>
          </w:tcPr>
          <w:p>
            <w:pPr>
              <w:pStyle w:val="TableParagraph"/>
              <w:ind w:left="0"/>
              <w:rPr>
                <w:sz w:val="24"/>
              </w:rPr>
            </w:pPr>
          </w:p>
          <w:p>
            <w:pPr>
              <w:pStyle w:val="TableParagraph"/>
              <w:spacing w:before="193"/>
              <w:ind w:left="0" w:right="198"/>
              <w:jc w:val="right"/>
              <w:rPr>
                <w:sz w:val="24"/>
              </w:rPr>
            </w:pPr>
            <w:r>
              <w:rPr>
                <w:w w:val="95"/>
                <w:sz w:val="24"/>
              </w:rPr>
              <w:t>104</w:t>
            </w:r>
          </w:p>
        </w:tc>
      </w:tr>
      <w:tr>
        <w:trPr>
          <w:trHeight w:val="328" w:hRule="exact"/>
        </w:trPr>
        <w:tc>
          <w:tcPr>
            <w:tcW w:w="8475" w:type="dxa"/>
          </w:tcPr>
          <w:p>
            <w:pPr>
              <w:pStyle w:val="TableParagraph"/>
              <w:spacing w:before="57"/>
              <w:ind w:left="394" w:right="162"/>
              <w:rPr>
                <w:sz w:val="24"/>
              </w:rPr>
            </w:pPr>
            <w:r>
              <w:rPr>
                <w:sz w:val="24"/>
              </w:rPr>
              <w:t>3.  Elección de consejeros electorales del IEEM…………………………….</w:t>
            </w:r>
          </w:p>
        </w:tc>
        <w:tc>
          <w:tcPr>
            <w:tcW w:w="768" w:type="dxa"/>
          </w:tcPr>
          <w:p>
            <w:pPr>
              <w:pStyle w:val="TableParagraph"/>
              <w:spacing w:before="57"/>
              <w:ind w:left="0" w:right="198"/>
              <w:jc w:val="right"/>
              <w:rPr>
                <w:sz w:val="24"/>
              </w:rPr>
            </w:pPr>
            <w:r>
              <w:rPr>
                <w:w w:val="95"/>
                <w:sz w:val="24"/>
              </w:rPr>
              <w:t>108</w:t>
            </w:r>
          </w:p>
        </w:tc>
      </w:tr>
    </w:tbl>
    <w:p>
      <w:pPr>
        <w:spacing w:after="0"/>
        <w:jc w:val="right"/>
        <w:rPr>
          <w:sz w:val="24"/>
        </w:rPr>
        <w:sectPr>
          <w:pgSz w:w="12240" w:h="15840"/>
          <w:pgMar w:header="749" w:footer="1003" w:top="960" w:bottom="1200" w:left="1400" w:right="1380"/>
        </w:sectPr>
      </w:pPr>
    </w:p>
    <w:p>
      <w:pPr>
        <w:pStyle w:val="BodyText"/>
        <w:rPr>
          <w:rFonts w:ascii="Times New Roman"/>
          <w:sz w:val="20"/>
        </w:rPr>
      </w:pPr>
    </w:p>
    <w:p>
      <w:pPr>
        <w:pStyle w:val="BodyText"/>
        <w:spacing w:before="3"/>
        <w:rPr>
          <w:rFonts w:ascii="Times New Roman"/>
          <w:sz w:val="21"/>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477"/>
        <w:gridCol w:w="766"/>
      </w:tblGrid>
      <w:tr>
        <w:trPr>
          <w:trHeight w:val="328" w:hRule="exact"/>
        </w:trPr>
        <w:tc>
          <w:tcPr>
            <w:tcW w:w="8477" w:type="dxa"/>
          </w:tcPr>
          <w:p>
            <w:pPr>
              <w:pStyle w:val="TableParagraph"/>
              <w:spacing w:line="245" w:lineRule="exact"/>
              <w:ind w:left="0" w:right="259"/>
              <w:jc w:val="right"/>
              <w:rPr>
                <w:sz w:val="24"/>
              </w:rPr>
            </w:pPr>
            <w:r>
              <w:rPr>
                <w:sz w:val="24"/>
              </w:rPr>
              <w:t>a)  Apego a la ley…………………………………………………………..</w:t>
            </w:r>
          </w:p>
        </w:tc>
        <w:tc>
          <w:tcPr>
            <w:tcW w:w="766" w:type="dxa"/>
          </w:tcPr>
          <w:p>
            <w:pPr>
              <w:pStyle w:val="TableParagraph"/>
              <w:spacing w:line="245" w:lineRule="exact"/>
              <w:ind w:left="145" w:right="180"/>
              <w:jc w:val="center"/>
              <w:rPr>
                <w:sz w:val="24"/>
              </w:rPr>
            </w:pPr>
            <w:r>
              <w:rPr>
                <w:sz w:val="24"/>
              </w:rPr>
              <w:t>108</w:t>
            </w:r>
          </w:p>
        </w:tc>
      </w:tr>
      <w:tr>
        <w:trPr>
          <w:trHeight w:val="414" w:hRule="exact"/>
        </w:trPr>
        <w:tc>
          <w:tcPr>
            <w:tcW w:w="8477" w:type="dxa"/>
          </w:tcPr>
          <w:p>
            <w:pPr>
              <w:pStyle w:val="TableParagraph"/>
              <w:spacing w:before="57"/>
              <w:ind w:left="0" w:right="191"/>
              <w:jc w:val="right"/>
              <w:rPr>
                <w:sz w:val="24"/>
              </w:rPr>
            </w:pPr>
            <w:r>
              <w:rPr>
                <w:sz w:val="24"/>
              </w:rPr>
              <w:t>b)  Origen de las propuestas………………………………………………</w:t>
            </w:r>
          </w:p>
        </w:tc>
        <w:tc>
          <w:tcPr>
            <w:tcW w:w="766" w:type="dxa"/>
          </w:tcPr>
          <w:p>
            <w:pPr>
              <w:pStyle w:val="TableParagraph"/>
              <w:spacing w:before="57"/>
              <w:ind w:left="145" w:right="180"/>
              <w:jc w:val="center"/>
              <w:rPr>
                <w:sz w:val="24"/>
              </w:rPr>
            </w:pPr>
            <w:r>
              <w:rPr>
                <w:sz w:val="24"/>
              </w:rPr>
              <w:t>111</w:t>
            </w:r>
          </w:p>
        </w:tc>
      </w:tr>
      <w:tr>
        <w:trPr>
          <w:trHeight w:val="414" w:hRule="exact"/>
        </w:trPr>
        <w:tc>
          <w:tcPr>
            <w:tcW w:w="8477" w:type="dxa"/>
          </w:tcPr>
          <w:p>
            <w:pPr>
              <w:pStyle w:val="TableParagraph"/>
              <w:spacing w:before="55"/>
              <w:ind w:left="0" w:right="191"/>
              <w:jc w:val="right"/>
              <w:rPr>
                <w:sz w:val="24"/>
              </w:rPr>
            </w:pPr>
            <w:r>
              <w:rPr>
                <w:sz w:val="24"/>
              </w:rPr>
              <w:t>c)  Votación de la legislatura………………………………………………</w:t>
            </w:r>
          </w:p>
        </w:tc>
        <w:tc>
          <w:tcPr>
            <w:tcW w:w="766" w:type="dxa"/>
          </w:tcPr>
          <w:p>
            <w:pPr>
              <w:pStyle w:val="TableParagraph"/>
              <w:spacing w:before="55"/>
              <w:ind w:left="145" w:right="180"/>
              <w:jc w:val="center"/>
              <w:rPr>
                <w:sz w:val="24"/>
              </w:rPr>
            </w:pPr>
            <w:r>
              <w:rPr>
                <w:sz w:val="24"/>
              </w:rPr>
              <w:t>112</w:t>
            </w:r>
          </w:p>
        </w:tc>
      </w:tr>
      <w:tr>
        <w:trPr>
          <w:trHeight w:val="414" w:hRule="exact"/>
        </w:trPr>
        <w:tc>
          <w:tcPr>
            <w:tcW w:w="8477" w:type="dxa"/>
          </w:tcPr>
          <w:p>
            <w:pPr>
              <w:pStyle w:val="TableParagraph"/>
              <w:spacing w:before="57"/>
              <w:ind w:left="0" w:right="168"/>
              <w:jc w:val="right"/>
              <w:rPr>
                <w:sz w:val="24"/>
              </w:rPr>
            </w:pPr>
            <w:r>
              <w:rPr>
                <w:sz w:val="24"/>
              </w:rPr>
              <w:t>4.  Actuación de los consejeros electorales del IEEM………………………..</w:t>
            </w:r>
          </w:p>
        </w:tc>
        <w:tc>
          <w:tcPr>
            <w:tcW w:w="766" w:type="dxa"/>
          </w:tcPr>
          <w:p>
            <w:pPr>
              <w:pStyle w:val="TableParagraph"/>
              <w:spacing w:before="57"/>
              <w:ind w:left="145" w:right="180"/>
              <w:jc w:val="center"/>
              <w:rPr>
                <w:sz w:val="24"/>
              </w:rPr>
            </w:pPr>
            <w:r>
              <w:rPr>
                <w:sz w:val="24"/>
              </w:rPr>
              <w:t>112</w:t>
            </w:r>
          </w:p>
        </w:tc>
      </w:tr>
      <w:tr>
        <w:trPr>
          <w:trHeight w:val="414" w:hRule="exact"/>
        </w:trPr>
        <w:tc>
          <w:tcPr>
            <w:tcW w:w="8477" w:type="dxa"/>
          </w:tcPr>
          <w:p>
            <w:pPr>
              <w:pStyle w:val="TableParagraph"/>
              <w:spacing w:before="55"/>
              <w:ind w:left="0" w:right="218"/>
              <w:jc w:val="right"/>
              <w:rPr>
                <w:sz w:val="24"/>
              </w:rPr>
            </w:pPr>
            <w:r>
              <w:rPr>
                <w:sz w:val="24"/>
              </w:rPr>
              <w:t>a)  Congruencia cuantitativa con la legalidad………………….………..</w:t>
            </w:r>
          </w:p>
        </w:tc>
        <w:tc>
          <w:tcPr>
            <w:tcW w:w="766" w:type="dxa"/>
          </w:tcPr>
          <w:p>
            <w:pPr>
              <w:pStyle w:val="TableParagraph"/>
              <w:spacing w:before="55"/>
              <w:ind w:left="145" w:right="180"/>
              <w:jc w:val="center"/>
              <w:rPr>
                <w:sz w:val="24"/>
              </w:rPr>
            </w:pPr>
            <w:r>
              <w:rPr>
                <w:sz w:val="24"/>
              </w:rPr>
              <w:t>113</w:t>
            </w:r>
          </w:p>
        </w:tc>
      </w:tr>
      <w:tr>
        <w:trPr>
          <w:trHeight w:val="414" w:hRule="exact"/>
        </w:trPr>
        <w:tc>
          <w:tcPr>
            <w:tcW w:w="8477" w:type="dxa"/>
          </w:tcPr>
          <w:p>
            <w:pPr>
              <w:pStyle w:val="TableParagraph"/>
              <w:spacing w:before="57"/>
              <w:ind w:left="0" w:right="188"/>
              <w:jc w:val="right"/>
              <w:rPr>
                <w:sz w:val="24"/>
              </w:rPr>
            </w:pPr>
            <w:r>
              <w:rPr>
                <w:sz w:val="24"/>
              </w:rPr>
              <w:t>b)  Imparcialidad cualitativa en el resultado de la elección…………….</w:t>
            </w:r>
          </w:p>
        </w:tc>
        <w:tc>
          <w:tcPr>
            <w:tcW w:w="766" w:type="dxa"/>
          </w:tcPr>
          <w:p>
            <w:pPr>
              <w:pStyle w:val="TableParagraph"/>
              <w:spacing w:before="57"/>
              <w:ind w:left="145" w:right="180"/>
              <w:jc w:val="center"/>
              <w:rPr>
                <w:sz w:val="24"/>
              </w:rPr>
            </w:pPr>
            <w:r>
              <w:rPr>
                <w:sz w:val="24"/>
              </w:rPr>
              <w:t>116</w:t>
            </w:r>
          </w:p>
        </w:tc>
      </w:tr>
      <w:tr>
        <w:trPr>
          <w:trHeight w:val="414" w:hRule="exact"/>
        </w:trPr>
        <w:tc>
          <w:tcPr>
            <w:tcW w:w="8477" w:type="dxa"/>
          </w:tcPr>
          <w:p>
            <w:pPr>
              <w:pStyle w:val="TableParagraph"/>
              <w:spacing w:before="55"/>
              <w:ind w:left="0" w:right="173"/>
              <w:jc w:val="right"/>
              <w:rPr>
                <w:sz w:val="24"/>
              </w:rPr>
            </w:pPr>
            <w:r>
              <w:rPr>
                <w:sz w:val="24"/>
              </w:rPr>
              <w:t>c)  Imparcialidad cuantitativa con respecto a las organizaciones……..</w:t>
            </w:r>
          </w:p>
        </w:tc>
        <w:tc>
          <w:tcPr>
            <w:tcW w:w="766" w:type="dxa"/>
          </w:tcPr>
          <w:p>
            <w:pPr>
              <w:pStyle w:val="TableParagraph"/>
              <w:spacing w:before="55"/>
              <w:ind w:left="145" w:right="180"/>
              <w:jc w:val="center"/>
              <w:rPr>
                <w:sz w:val="24"/>
              </w:rPr>
            </w:pPr>
            <w:r>
              <w:rPr>
                <w:sz w:val="24"/>
              </w:rPr>
              <w:t>120</w:t>
            </w:r>
          </w:p>
        </w:tc>
      </w:tr>
      <w:tr>
        <w:trPr>
          <w:trHeight w:val="414" w:hRule="exact"/>
        </w:trPr>
        <w:tc>
          <w:tcPr>
            <w:tcW w:w="8477" w:type="dxa"/>
          </w:tcPr>
          <w:p>
            <w:pPr>
              <w:pStyle w:val="TableParagraph"/>
              <w:spacing w:before="57"/>
              <w:ind w:left="0" w:right="180"/>
              <w:jc w:val="right"/>
              <w:rPr>
                <w:sz w:val="24"/>
              </w:rPr>
            </w:pPr>
            <w:r>
              <w:rPr>
                <w:sz w:val="24"/>
              </w:rPr>
              <w:t>B) Costa Rica………………………………………………………………………..</w:t>
            </w:r>
          </w:p>
        </w:tc>
        <w:tc>
          <w:tcPr>
            <w:tcW w:w="766" w:type="dxa"/>
          </w:tcPr>
          <w:p>
            <w:pPr>
              <w:pStyle w:val="TableParagraph"/>
              <w:spacing w:before="57"/>
              <w:ind w:left="145" w:right="180"/>
              <w:jc w:val="center"/>
              <w:rPr>
                <w:sz w:val="24"/>
              </w:rPr>
            </w:pPr>
            <w:r>
              <w:rPr>
                <w:sz w:val="24"/>
              </w:rPr>
              <w:t>121</w:t>
            </w:r>
          </w:p>
        </w:tc>
      </w:tr>
      <w:tr>
        <w:trPr>
          <w:trHeight w:val="414" w:hRule="exact"/>
        </w:trPr>
        <w:tc>
          <w:tcPr>
            <w:tcW w:w="8477" w:type="dxa"/>
          </w:tcPr>
          <w:p>
            <w:pPr>
              <w:pStyle w:val="TableParagraph"/>
              <w:tabs>
                <w:tab w:pos="359" w:val="left" w:leader="none"/>
              </w:tabs>
              <w:spacing w:before="55"/>
              <w:ind w:left="0" w:right="177"/>
              <w:jc w:val="right"/>
              <w:rPr>
                <w:sz w:val="24"/>
              </w:rPr>
            </w:pPr>
            <w:r>
              <w:rPr>
                <w:sz w:val="24"/>
              </w:rPr>
              <w:t>1</w:t>
              <w:tab/>
              <w:t>Elección del órgano electoral</w:t>
            </w:r>
            <w:r>
              <w:rPr>
                <w:spacing w:val="-11"/>
                <w:sz w:val="24"/>
              </w:rPr>
              <w:t> </w:t>
            </w:r>
            <w:r>
              <w:rPr>
                <w:sz w:val="24"/>
              </w:rPr>
              <w:t>(TSE)………………………………………..</w:t>
            </w:r>
          </w:p>
        </w:tc>
        <w:tc>
          <w:tcPr>
            <w:tcW w:w="766" w:type="dxa"/>
          </w:tcPr>
          <w:p>
            <w:pPr>
              <w:pStyle w:val="TableParagraph"/>
              <w:spacing w:before="55"/>
              <w:ind w:left="145" w:right="180"/>
              <w:jc w:val="center"/>
              <w:rPr>
                <w:sz w:val="24"/>
              </w:rPr>
            </w:pPr>
            <w:r>
              <w:rPr>
                <w:sz w:val="24"/>
              </w:rPr>
              <w:t>123</w:t>
            </w:r>
          </w:p>
        </w:tc>
      </w:tr>
      <w:tr>
        <w:trPr>
          <w:trHeight w:val="414" w:hRule="exact"/>
        </w:trPr>
        <w:tc>
          <w:tcPr>
            <w:tcW w:w="8477" w:type="dxa"/>
          </w:tcPr>
          <w:p>
            <w:pPr>
              <w:pStyle w:val="TableParagraph"/>
              <w:spacing w:before="57"/>
              <w:ind w:left="0" w:right="192"/>
              <w:jc w:val="right"/>
              <w:rPr>
                <w:sz w:val="24"/>
              </w:rPr>
            </w:pPr>
            <w:r>
              <w:rPr>
                <w:sz w:val="24"/>
              </w:rPr>
              <w:t>a)  Apego a la ley…………………………………………………………...</w:t>
            </w:r>
          </w:p>
        </w:tc>
        <w:tc>
          <w:tcPr>
            <w:tcW w:w="766" w:type="dxa"/>
          </w:tcPr>
          <w:p>
            <w:pPr>
              <w:pStyle w:val="TableParagraph"/>
              <w:spacing w:before="57"/>
              <w:ind w:left="145" w:right="180"/>
              <w:jc w:val="center"/>
              <w:rPr>
                <w:sz w:val="24"/>
              </w:rPr>
            </w:pPr>
            <w:r>
              <w:rPr>
                <w:sz w:val="24"/>
              </w:rPr>
              <w:t>124</w:t>
            </w:r>
          </w:p>
        </w:tc>
      </w:tr>
      <w:tr>
        <w:trPr>
          <w:trHeight w:val="414" w:hRule="exact"/>
        </w:trPr>
        <w:tc>
          <w:tcPr>
            <w:tcW w:w="8477" w:type="dxa"/>
          </w:tcPr>
          <w:p>
            <w:pPr>
              <w:pStyle w:val="TableParagraph"/>
              <w:spacing w:before="55"/>
              <w:ind w:left="0" w:right="191"/>
              <w:jc w:val="right"/>
              <w:rPr>
                <w:sz w:val="24"/>
              </w:rPr>
            </w:pPr>
            <w:r>
              <w:rPr>
                <w:sz w:val="24"/>
              </w:rPr>
              <w:t>b)  Origen de las propuestas………………………………………………</w:t>
            </w:r>
          </w:p>
        </w:tc>
        <w:tc>
          <w:tcPr>
            <w:tcW w:w="766" w:type="dxa"/>
          </w:tcPr>
          <w:p>
            <w:pPr>
              <w:pStyle w:val="TableParagraph"/>
              <w:spacing w:before="55"/>
              <w:ind w:left="145" w:right="180"/>
              <w:jc w:val="center"/>
              <w:rPr>
                <w:sz w:val="24"/>
              </w:rPr>
            </w:pPr>
            <w:r>
              <w:rPr>
                <w:sz w:val="24"/>
              </w:rPr>
              <w:t>125</w:t>
            </w:r>
          </w:p>
        </w:tc>
      </w:tr>
      <w:tr>
        <w:trPr>
          <w:trHeight w:val="414" w:hRule="exact"/>
        </w:trPr>
        <w:tc>
          <w:tcPr>
            <w:tcW w:w="8477" w:type="dxa"/>
          </w:tcPr>
          <w:p>
            <w:pPr>
              <w:pStyle w:val="TableParagraph"/>
              <w:spacing w:before="57"/>
              <w:ind w:left="0" w:right="176"/>
              <w:jc w:val="right"/>
              <w:rPr>
                <w:sz w:val="24"/>
              </w:rPr>
            </w:pPr>
            <w:r>
              <w:rPr>
                <w:sz w:val="24"/>
              </w:rPr>
              <w:t>c)  Votación de la Corte Suprema de Justicia (CSJ)……………………</w:t>
            </w:r>
          </w:p>
        </w:tc>
        <w:tc>
          <w:tcPr>
            <w:tcW w:w="766" w:type="dxa"/>
          </w:tcPr>
          <w:p>
            <w:pPr>
              <w:pStyle w:val="TableParagraph"/>
              <w:spacing w:before="57"/>
              <w:ind w:left="145" w:right="180"/>
              <w:jc w:val="center"/>
              <w:rPr>
                <w:sz w:val="24"/>
              </w:rPr>
            </w:pPr>
            <w:r>
              <w:rPr>
                <w:sz w:val="24"/>
              </w:rPr>
              <w:t>125</w:t>
            </w:r>
          </w:p>
        </w:tc>
      </w:tr>
      <w:tr>
        <w:trPr>
          <w:trHeight w:val="414" w:hRule="exact"/>
        </w:trPr>
        <w:tc>
          <w:tcPr>
            <w:tcW w:w="8477" w:type="dxa"/>
          </w:tcPr>
          <w:p>
            <w:pPr>
              <w:pStyle w:val="TableParagraph"/>
              <w:tabs>
                <w:tab w:pos="359" w:val="left" w:leader="none"/>
              </w:tabs>
              <w:spacing w:before="55"/>
              <w:ind w:left="0" w:right="164"/>
              <w:jc w:val="right"/>
              <w:rPr>
                <w:sz w:val="24"/>
              </w:rPr>
            </w:pPr>
            <w:r>
              <w:rPr>
                <w:sz w:val="24"/>
              </w:rPr>
              <w:t>2</w:t>
              <w:tab/>
              <w:t>Actuación del órgano electoral</w:t>
            </w:r>
            <w:r>
              <w:rPr>
                <w:spacing w:val="-10"/>
                <w:sz w:val="24"/>
              </w:rPr>
              <w:t> </w:t>
            </w:r>
            <w:r>
              <w:rPr>
                <w:sz w:val="24"/>
              </w:rPr>
              <w:t>(TSE)………………………………………</w:t>
            </w:r>
          </w:p>
        </w:tc>
        <w:tc>
          <w:tcPr>
            <w:tcW w:w="766" w:type="dxa"/>
          </w:tcPr>
          <w:p>
            <w:pPr>
              <w:pStyle w:val="TableParagraph"/>
              <w:spacing w:before="55"/>
              <w:ind w:left="145" w:right="180"/>
              <w:jc w:val="center"/>
              <w:rPr>
                <w:sz w:val="24"/>
              </w:rPr>
            </w:pPr>
            <w:r>
              <w:rPr>
                <w:sz w:val="24"/>
              </w:rPr>
              <w:t>131</w:t>
            </w:r>
          </w:p>
        </w:tc>
      </w:tr>
      <w:tr>
        <w:trPr>
          <w:trHeight w:val="414" w:hRule="exact"/>
        </w:trPr>
        <w:tc>
          <w:tcPr>
            <w:tcW w:w="8477" w:type="dxa"/>
          </w:tcPr>
          <w:p>
            <w:pPr>
              <w:pStyle w:val="TableParagraph"/>
              <w:spacing w:before="57"/>
              <w:ind w:left="0" w:right="179"/>
              <w:jc w:val="right"/>
              <w:rPr>
                <w:sz w:val="24"/>
              </w:rPr>
            </w:pPr>
            <w:r>
              <w:rPr>
                <w:sz w:val="24"/>
              </w:rPr>
              <w:t>a)  Congruencia cuantitativa con la legalidad……………………………</w:t>
            </w:r>
          </w:p>
        </w:tc>
        <w:tc>
          <w:tcPr>
            <w:tcW w:w="766" w:type="dxa"/>
          </w:tcPr>
          <w:p>
            <w:pPr>
              <w:pStyle w:val="TableParagraph"/>
              <w:spacing w:before="57"/>
              <w:ind w:left="145" w:right="180"/>
              <w:jc w:val="center"/>
              <w:rPr>
                <w:sz w:val="24"/>
              </w:rPr>
            </w:pPr>
            <w:r>
              <w:rPr>
                <w:sz w:val="24"/>
              </w:rPr>
              <w:t>131</w:t>
            </w:r>
          </w:p>
        </w:tc>
      </w:tr>
      <w:tr>
        <w:trPr>
          <w:trHeight w:val="414" w:hRule="exact"/>
        </w:trPr>
        <w:tc>
          <w:tcPr>
            <w:tcW w:w="8477" w:type="dxa"/>
          </w:tcPr>
          <w:p>
            <w:pPr>
              <w:pStyle w:val="TableParagraph"/>
              <w:spacing w:before="55"/>
              <w:ind w:left="0" w:right="188"/>
              <w:jc w:val="right"/>
              <w:rPr>
                <w:sz w:val="24"/>
              </w:rPr>
            </w:pPr>
            <w:r>
              <w:rPr>
                <w:sz w:val="24"/>
              </w:rPr>
              <w:t>b)  Imparcialidad cualitativa en el resultado de la elección…………….</w:t>
            </w:r>
          </w:p>
        </w:tc>
        <w:tc>
          <w:tcPr>
            <w:tcW w:w="766" w:type="dxa"/>
          </w:tcPr>
          <w:p>
            <w:pPr>
              <w:pStyle w:val="TableParagraph"/>
              <w:spacing w:before="55"/>
              <w:ind w:left="145" w:right="180"/>
              <w:jc w:val="center"/>
              <w:rPr>
                <w:sz w:val="24"/>
              </w:rPr>
            </w:pPr>
            <w:r>
              <w:rPr>
                <w:sz w:val="24"/>
              </w:rPr>
              <w:t>133</w:t>
            </w:r>
          </w:p>
        </w:tc>
      </w:tr>
      <w:tr>
        <w:trPr>
          <w:trHeight w:val="828" w:hRule="exact"/>
        </w:trPr>
        <w:tc>
          <w:tcPr>
            <w:tcW w:w="8477" w:type="dxa"/>
          </w:tcPr>
          <w:p>
            <w:pPr>
              <w:pStyle w:val="TableParagraph"/>
              <w:spacing w:line="360" w:lineRule="auto" w:before="57"/>
              <w:ind w:left="1279" w:hanging="360"/>
              <w:rPr>
                <w:sz w:val="24"/>
              </w:rPr>
            </w:pPr>
            <w:r>
              <w:rPr>
                <w:sz w:val="24"/>
              </w:rPr>
              <w:t>c) Imparcialidad cuantitativa con respecto a las organizaciones políticas…………………………………………………………………..</w:t>
            </w:r>
          </w:p>
        </w:tc>
        <w:tc>
          <w:tcPr>
            <w:tcW w:w="766" w:type="dxa"/>
          </w:tcPr>
          <w:p>
            <w:pPr>
              <w:pStyle w:val="TableParagraph"/>
              <w:ind w:left="0"/>
              <w:rPr>
                <w:rFonts w:ascii="Times New Roman"/>
                <w:sz w:val="24"/>
              </w:rPr>
            </w:pPr>
          </w:p>
          <w:p>
            <w:pPr>
              <w:pStyle w:val="TableParagraph"/>
              <w:spacing w:before="193"/>
              <w:ind w:left="145" w:right="180"/>
              <w:jc w:val="center"/>
              <w:rPr>
                <w:sz w:val="24"/>
              </w:rPr>
            </w:pPr>
            <w:r>
              <w:rPr>
                <w:sz w:val="24"/>
              </w:rPr>
              <w:t>134</w:t>
            </w:r>
          </w:p>
        </w:tc>
      </w:tr>
      <w:tr>
        <w:trPr>
          <w:trHeight w:val="414" w:hRule="exact"/>
        </w:trPr>
        <w:tc>
          <w:tcPr>
            <w:tcW w:w="8477" w:type="dxa"/>
          </w:tcPr>
          <w:p>
            <w:pPr>
              <w:pStyle w:val="TableParagraph"/>
              <w:spacing w:before="57"/>
              <w:ind w:left="0" w:right="189"/>
              <w:jc w:val="right"/>
              <w:rPr>
                <w:sz w:val="24"/>
              </w:rPr>
            </w:pPr>
            <w:r>
              <w:rPr>
                <w:b/>
                <w:sz w:val="24"/>
              </w:rPr>
              <w:t>III Legalidad de los partidos políticos en materia financiera</w:t>
            </w:r>
            <w:r>
              <w:rPr>
                <w:sz w:val="24"/>
              </w:rPr>
              <w:t>……………...</w:t>
            </w:r>
          </w:p>
        </w:tc>
        <w:tc>
          <w:tcPr>
            <w:tcW w:w="766" w:type="dxa"/>
          </w:tcPr>
          <w:p>
            <w:pPr>
              <w:pStyle w:val="TableParagraph"/>
              <w:spacing w:before="57"/>
              <w:ind w:left="145" w:right="180"/>
              <w:jc w:val="center"/>
              <w:rPr>
                <w:sz w:val="24"/>
              </w:rPr>
            </w:pPr>
            <w:r>
              <w:rPr>
                <w:sz w:val="24"/>
              </w:rPr>
              <w:t>136</w:t>
            </w:r>
          </w:p>
        </w:tc>
      </w:tr>
      <w:tr>
        <w:trPr>
          <w:trHeight w:val="414" w:hRule="exact"/>
        </w:trPr>
        <w:tc>
          <w:tcPr>
            <w:tcW w:w="8477" w:type="dxa"/>
          </w:tcPr>
          <w:p>
            <w:pPr>
              <w:pStyle w:val="TableParagraph"/>
              <w:spacing w:before="55"/>
              <w:ind w:left="0" w:right="180"/>
              <w:jc w:val="right"/>
              <w:rPr>
                <w:sz w:val="24"/>
              </w:rPr>
            </w:pPr>
            <w:r>
              <w:rPr>
                <w:sz w:val="24"/>
              </w:rPr>
              <w:t>A) México…………………………………………………………………………….</w:t>
            </w:r>
          </w:p>
        </w:tc>
        <w:tc>
          <w:tcPr>
            <w:tcW w:w="766" w:type="dxa"/>
          </w:tcPr>
          <w:p>
            <w:pPr>
              <w:pStyle w:val="TableParagraph"/>
              <w:spacing w:before="55"/>
              <w:ind w:left="145" w:right="180"/>
              <w:jc w:val="center"/>
              <w:rPr>
                <w:sz w:val="24"/>
              </w:rPr>
            </w:pPr>
            <w:r>
              <w:rPr>
                <w:sz w:val="24"/>
              </w:rPr>
              <w:t>139</w:t>
            </w:r>
          </w:p>
        </w:tc>
      </w:tr>
      <w:tr>
        <w:trPr>
          <w:trHeight w:val="414" w:hRule="exact"/>
        </w:trPr>
        <w:tc>
          <w:tcPr>
            <w:tcW w:w="8477" w:type="dxa"/>
          </w:tcPr>
          <w:p>
            <w:pPr>
              <w:pStyle w:val="TableParagraph"/>
              <w:spacing w:before="57"/>
              <w:ind w:left="0" w:right="212"/>
              <w:jc w:val="right"/>
              <w:rPr>
                <w:sz w:val="24"/>
              </w:rPr>
            </w:pPr>
            <w:r>
              <w:rPr>
                <w:sz w:val="24"/>
              </w:rPr>
              <w:t>1.  Costo de los partidos para el erario público……………………………….</w:t>
            </w:r>
          </w:p>
        </w:tc>
        <w:tc>
          <w:tcPr>
            <w:tcW w:w="766" w:type="dxa"/>
          </w:tcPr>
          <w:p>
            <w:pPr>
              <w:pStyle w:val="TableParagraph"/>
              <w:spacing w:before="57"/>
              <w:ind w:left="145" w:right="180"/>
              <w:jc w:val="center"/>
              <w:rPr>
                <w:sz w:val="24"/>
              </w:rPr>
            </w:pPr>
            <w:r>
              <w:rPr>
                <w:sz w:val="24"/>
              </w:rPr>
              <w:t>142</w:t>
            </w:r>
          </w:p>
        </w:tc>
      </w:tr>
      <w:tr>
        <w:trPr>
          <w:trHeight w:val="414" w:hRule="exact"/>
        </w:trPr>
        <w:tc>
          <w:tcPr>
            <w:tcW w:w="8477" w:type="dxa"/>
          </w:tcPr>
          <w:p>
            <w:pPr>
              <w:pStyle w:val="TableParagraph"/>
              <w:spacing w:before="55"/>
              <w:ind w:left="0" w:right="237"/>
              <w:jc w:val="right"/>
              <w:rPr>
                <w:sz w:val="24"/>
              </w:rPr>
            </w:pPr>
            <w:r>
              <w:rPr>
                <w:sz w:val="24"/>
              </w:rPr>
              <w:t>2.  Irregularidades en la aplicación del financiamiento público.…………….</w:t>
            </w:r>
          </w:p>
        </w:tc>
        <w:tc>
          <w:tcPr>
            <w:tcW w:w="766" w:type="dxa"/>
          </w:tcPr>
          <w:p>
            <w:pPr>
              <w:pStyle w:val="TableParagraph"/>
              <w:spacing w:before="55"/>
              <w:ind w:left="145" w:right="180"/>
              <w:jc w:val="center"/>
              <w:rPr>
                <w:sz w:val="24"/>
              </w:rPr>
            </w:pPr>
            <w:r>
              <w:rPr>
                <w:sz w:val="24"/>
              </w:rPr>
              <w:t>144</w:t>
            </w:r>
          </w:p>
        </w:tc>
      </w:tr>
      <w:tr>
        <w:trPr>
          <w:trHeight w:val="414" w:hRule="exact"/>
        </w:trPr>
        <w:tc>
          <w:tcPr>
            <w:tcW w:w="8477" w:type="dxa"/>
          </w:tcPr>
          <w:p>
            <w:pPr>
              <w:pStyle w:val="TableParagraph"/>
              <w:spacing w:before="57"/>
              <w:ind w:left="0" w:right="222"/>
              <w:jc w:val="right"/>
              <w:rPr>
                <w:sz w:val="24"/>
              </w:rPr>
            </w:pPr>
            <w:r>
              <w:rPr>
                <w:sz w:val="24"/>
              </w:rPr>
              <w:t>3.  Rebase de topes en gastos de campaña………………………………….</w:t>
            </w:r>
          </w:p>
        </w:tc>
        <w:tc>
          <w:tcPr>
            <w:tcW w:w="766" w:type="dxa"/>
          </w:tcPr>
          <w:p>
            <w:pPr>
              <w:pStyle w:val="TableParagraph"/>
              <w:spacing w:before="57"/>
              <w:ind w:left="145" w:right="180"/>
              <w:jc w:val="center"/>
              <w:rPr>
                <w:sz w:val="24"/>
              </w:rPr>
            </w:pPr>
            <w:r>
              <w:rPr>
                <w:sz w:val="24"/>
              </w:rPr>
              <w:t>153</w:t>
            </w:r>
          </w:p>
        </w:tc>
      </w:tr>
      <w:tr>
        <w:trPr>
          <w:trHeight w:val="414" w:hRule="exact"/>
        </w:trPr>
        <w:tc>
          <w:tcPr>
            <w:tcW w:w="8477" w:type="dxa"/>
          </w:tcPr>
          <w:p>
            <w:pPr>
              <w:pStyle w:val="TableParagraph"/>
              <w:spacing w:before="55"/>
              <w:ind w:left="0" w:right="166"/>
              <w:jc w:val="right"/>
              <w:rPr>
                <w:sz w:val="24"/>
              </w:rPr>
            </w:pPr>
            <w:r>
              <w:rPr>
                <w:sz w:val="24"/>
              </w:rPr>
              <w:t>B) Estado de México………………………………………………………………..</w:t>
            </w:r>
          </w:p>
        </w:tc>
        <w:tc>
          <w:tcPr>
            <w:tcW w:w="766" w:type="dxa"/>
          </w:tcPr>
          <w:p>
            <w:pPr>
              <w:pStyle w:val="TableParagraph"/>
              <w:spacing w:before="55"/>
              <w:ind w:left="145" w:right="180"/>
              <w:jc w:val="center"/>
              <w:rPr>
                <w:sz w:val="24"/>
              </w:rPr>
            </w:pPr>
            <w:r>
              <w:rPr>
                <w:sz w:val="24"/>
              </w:rPr>
              <w:t>160</w:t>
            </w:r>
          </w:p>
        </w:tc>
      </w:tr>
      <w:tr>
        <w:trPr>
          <w:trHeight w:val="414" w:hRule="exact"/>
        </w:trPr>
        <w:tc>
          <w:tcPr>
            <w:tcW w:w="8477" w:type="dxa"/>
          </w:tcPr>
          <w:p>
            <w:pPr>
              <w:pStyle w:val="TableParagraph"/>
              <w:tabs>
                <w:tab w:pos="359" w:val="left" w:leader="none"/>
              </w:tabs>
              <w:spacing w:before="57"/>
              <w:ind w:left="0" w:right="212"/>
              <w:jc w:val="right"/>
              <w:rPr>
                <w:sz w:val="24"/>
              </w:rPr>
            </w:pPr>
            <w:r>
              <w:rPr>
                <w:sz w:val="24"/>
              </w:rPr>
              <w:t>1</w:t>
              <w:tab/>
              <w:t>Costo de los partidos para el erario</w:t>
            </w:r>
            <w:r>
              <w:rPr>
                <w:spacing w:val="-14"/>
                <w:sz w:val="24"/>
              </w:rPr>
              <w:t> </w:t>
            </w:r>
            <w:r>
              <w:rPr>
                <w:sz w:val="24"/>
              </w:rPr>
              <w:t>público……………………………….</w:t>
            </w:r>
          </w:p>
        </w:tc>
        <w:tc>
          <w:tcPr>
            <w:tcW w:w="766" w:type="dxa"/>
          </w:tcPr>
          <w:p>
            <w:pPr>
              <w:pStyle w:val="TableParagraph"/>
              <w:spacing w:before="57"/>
              <w:ind w:left="145" w:right="180"/>
              <w:jc w:val="center"/>
              <w:rPr>
                <w:sz w:val="24"/>
              </w:rPr>
            </w:pPr>
            <w:r>
              <w:rPr>
                <w:sz w:val="24"/>
              </w:rPr>
              <w:t>162</w:t>
            </w:r>
          </w:p>
        </w:tc>
      </w:tr>
      <w:tr>
        <w:trPr>
          <w:trHeight w:val="414" w:hRule="exact"/>
        </w:trPr>
        <w:tc>
          <w:tcPr>
            <w:tcW w:w="8477" w:type="dxa"/>
          </w:tcPr>
          <w:p>
            <w:pPr>
              <w:pStyle w:val="TableParagraph"/>
              <w:spacing w:before="55"/>
              <w:ind w:left="0" w:right="237"/>
              <w:jc w:val="right"/>
              <w:rPr>
                <w:sz w:val="24"/>
              </w:rPr>
            </w:pPr>
            <w:r>
              <w:rPr>
                <w:sz w:val="24"/>
              </w:rPr>
              <w:t>2.  Irregularidades en la aplicación del financiamiento público.…………….</w:t>
            </w:r>
          </w:p>
        </w:tc>
        <w:tc>
          <w:tcPr>
            <w:tcW w:w="766" w:type="dxa"/>
          </w:tcPr>
          <w:p>
            <w:pPr>
              <w:pStyle w:val="TableParagraph"/>
              <w:spacing w:before="55"/>
              <w:ind w:left="145" w:right="180"/>
              <w:jc w:val="center"/>
              <w:rPr>
                <w:sz w:val="24"/>
              </w:rPr>
            </w:pPr>
            <w:r>
              <w:rPr>
                <w:sz w:val="24"/>
              </w:rPr>
              <w:t>162</w:t>
            </w:r>
          </w:p>
        </w:tc>
      </w:tr>
      <w:tr>
        <w:trPr>
          <w:trHeight w:val="414" w:hRule="exact"/>
        </w:trPr>
        <w:tc>
          <w:tcPr>
            <w:tcW w:w="8477" w:type="dxa"/>
          </w:tcPr>
          <w:p>
            <w:pPr>
              <w:pStyle w:val="TableParagraph"/>
              <w:spacing w:before="57"/>
              <w:ind w:left="0" w:right="251"/>
              <w:jc w:val="right"/>
              <w:rPr>
                <w:sz w:val="24"/>
              </w:rPr>
            </w:pPr>
            <w:r>
              <w:rPr>
                <w:sz w:val="24"/>
              </w:rPr>
              <w:t>3.  Rebase de topes …………………………………………………………….</w:t>
            </w:r>
          </w:p>
        </w:tc>
        <w:tc>
          <w:tcPr>
            <w:tcW w:w="766" w:type="dxa"/>
          </w:tcPr>
          <w:p>
            <w:pPr>
              <w:pStyle w:val="TableParagraph"/>
              <w:spacing w:before="57"/>
              <w:ind w:left="145" w:right="180"/>
              <w:jc w:val="center"/>
              <w:rPr>
                <w:sz w:val="24"/>
              </w:rPr>
            </w:pPr>
            <w:r>
              <w:rPr>
                <w:sz w:val="24"/>
              </w:rPr>
              <w:t>167</w:t>
            </w:r>
          </w:p>
        </w:tc>
      </w:tr>
      <w:tr>
        <w:trPr>
          <w:trHeight w:val="414" w:hRule="exact"/>
        </w:trPr>
        <w:tc>
          <w:tcPr>
            <w:tcW w:w="8477" w:type="dxa"/>
          </w:tcPr>
          <w:p>
            <w:pPr>
              <w:pStyle w:val="TableParagraph"/>
              <w:spacing w:before="56"/>
              <w:ind w:left="0" w:right="168"/>
              <w:jc w:val="right"/>
              <w:rPr>
                <w:sz w:val="24"/>
              </w:rPr>
            </w:pPr>
            <w:r>
              <w:rPr>
                <w:sz w:val="24"/>
              </w:rPr>
              <w:t>C) Costa Rica………………………………………………………………………..</w:t>
            </w:r>
          </w:p>
        </w:tc>
        <w:tc>
          <w:tcPr>
            <w:tcW w:w="766" w:type="dxa"/>
          </w:tcPr>
          <w:p>
            <w:pPr>
              <w:pStyle w:val="TableParagraph"/>
              <w:spacing w:before="56"/>
              <w:ind w:left="145" w:right="180"/>
              <w:jc w:val="center"/>
              <w:rPr>
                <w:sz w:val="24"/>
              </w:rPr>
            </w:pPr>
            <w:r>
              <w:rPr>
                <w:sz w:val="24"/>
              </w:rPr>
              <w:t>173</w:t>
            </w:r>
          </w:p>
        </w:tc>
      </w:tr>
      <w:tr>
        <w:trPr>
          <w:trHeight w:val="414" w:hRule="exact"/>
        </w:trPr>
        <w:tc>
          <w:tcPr>
            <w:tcW w:w="8477" w:type="dxa"/>
          </w:tcPr>
          <w:p>
            <w:pPr>
              <w:pStyle w:val="TableParagraph"/>
              <w:spacing w:before="57"/>
              <w:ind w:left="0" w:right="212"/>
              <w:jc w:val="right"/>
              <w:rPr>
                <w:sz w:val="24"/>
              </w:rPr>
            </w:pPr>
            <w:r>
              <w:rPr>
                <w:sz w:val="24"/>
              </w:rPr>
              <w:t>1.  Costo de los partidos para el erario público……………………………….</w:t>
            </w:r>
          </w:p>
        </w:tc>
        <w:tc>
          <w:tcPr>
            <w:tcW w:w="766" w:type="dxa"/>
          </w:tcPr>
          <w:p>
            <w:pPr>
              <w:pStyle w:val="TableParagraph"/>
              <w:spacing w:before="57"/>
              <w:ind w:left="145" w:right="180"/>
              <w:jc w:val="center"/>
              <w:rPr>
                <w:sz w:val="24"/>
              </w:rPr>
            </w:pPr>
            <w:r>
              <w:rPr>
                <w:sz w:val="24"/>
              </w:rPr>
              <w:t>174</w:t>
            </w:r>
          </w:p>
        </w:tc>
      </w:tr>
      <w:tr>
        <w:trPr>
          <w:trHeight w:val="413" w:hRule="exact"/>
        </w:trPr>
        <w:tc>
          <w:tcPr>
            <w:tcW w:w="8477" w:type="dxa"/>
          </w:tcPr>
          <w:p>
            <w:pPr>
              <w:pStyle w:val="TableParagraph"/>
              <w:spacing w:before="55"/>
              <w:ind w:left="0" w:right="236"/>
              <w:jc w:val="right"/>
              <w:rPr>
                <w:sz w:val="24"/>
              </w:rPr>
            </w:pPr>
            <w:r>
              <w:rPr>
                <w:sz w:val="24"/>
              </w:rPr>
              <w:t>2.  Irregularidades en la aplicación del financiamiento público……………..</w:t>
            </w:r>
          </w:p>
        </w:tc>
        <w:tc>
          <w:tcPr>
            <w:tcW w:w="766" w:type="dxa"/>
          </w:tcPr>
          <w:p>
            <w:pPr>
              <w:pStyle w:val="TableParagraph"/>
              <w:spacing w:before="55"/>
              <w:ind w:left="145" w:right="180"/>
              <w:jc w:val="center"/>
              <w:rPr>
                <w:sz w:val="24"/>
              </w:rPr>
            </w:pPr>
            <w:r>
              <w:rPr>
                <w:sz w:val="24"/>
              </w:rPr>
              <w:t>178</w:t>
            </w:r>
          </w:p>
        </w:tc>
      </w:tr>
      <w:tr>
        <w:trPr>
          <w:trHeight w:val="414" w:hRule="exact"/>
        </w:trPr>
        <w:tc>
          <w:tcPr>
            <w:tcW w:w="8477" w:type="dxa"/>
          </w:tcPr>
          <w:p>
            <w:pPr>
              <w:pStyle w:val="TableParagraph"/>
              <w:spacing w:before="55"/>
              <w:ind w:left="0" w:right="196"/>
              <w:jc w:val="right"/>
              <w:rPr>
                <w:sz w:val="24"/>
              </w:rPr>
            </w:pPr>
            <w:r>
              <w:rPr>
                <w:sz w:val="24"/>
              </w:rPr>
              <w:t>3.  Rebase de montos máximos en gastos de campaña…………………….</w:t>
            </w:r>
          </w:p>
        </w:tc>
        <w:tc>
          <w:tcPr>
            <w:tcW w:w="766" w:type="dxa"/>
          </w:tcPr>
          <w:p>
            <w:pPr>
              <w:pStyle w:val="TableParagraph"/>
              <w:spacing w:before="55"/>
              <w:ind w:left="145" w:right="180"/>
              <w:jc w:val="center"/>
              <w:rPr>
                <w:sz w:val="24"/>
              </w:rPr>
            </w:pPr>
            <w:r>
              <w:rPr>
                <w:sz w:val="24"/>
              </w:rPr>
              <w:t>179</w:t>
            </w:r>
          </w:p>
        </w:tc>
      </w:tr>
      <w:tr>
        <w:trPr>
          <w:trHeight w:val="328" w:hRule="exact"/>
        </w:trPr>
        <w:tc>
          <w:tcPr>
            <w:tcW w:w="8477" w:type="dxa"/>
          </w:tcPr>
          <w:p>
            <w:pPr>
              <w:pStyle w:val="TableParagraph"/>
              <w:spacing w:before="57"/>
              <w:ind w:left="0" w:right="218"/>
              <w:jc w:val="right"/>
              <w:rPr>
                <w:sz w:val="24"/>
              </w:rPr>
            </w:pPr>
            <w:r>
              <w:rPr>
                <w:sz w:val="24"/>
              </w:rPr>
              <w:t>D) Provincia de San José………………………………………………………….</w:t>
            </w:r>
          </w:p>
        </w:tc>
        <w:tc>
          <w:tcPr>
            <w:tcW w:w="766" w:type="dxa"/>
          </w:tcPr>
          <w:p>
            <w:pPr>
              <w:pStyle w:val="TableParagraph"/>
              <w:spacing w:before="57"/>
              <w:ind w:left="145" w:right="180"/>
              <w:jc w:val="center"/>
              <w:rPr>
                <w:sz w:val="24"/>
              </w:rPr>
            </w:pPr>
            <w:r>
              <w:rPr>
                <w:sz w:val="24"/>
              </w:rPr>
              <w:t>180</w:t>
            </w:r>
          </w:p>
        </w:tc>
      </w:tr>
    </w:tbl>
    <w:p>
      <w:pPr>
        <w:spacing w:after="0"/>
        <w:jc w:val="center"/>
        <w:rPr>
          <w:sz w:val="24"/>
        </w:rPr>
        <w:sectPr>
          <w:pgSz w:w="12240" w:h="15840"/>
          <w:pgMar w:header="749" w:footer="1003" w:top="960" w:bottom="1200" w:left="1400" w:right="1380"/>
        </w:sectPr>
      </w:pPr>
    </w:p>
    <w:p>
      <w:pPr>
        <w:pStyle w:val="BodyText"/>
        <w:rPr>
          <w:rFonts w:ascii="Times New Roman"/>
          <w:sz w:val="20"/>
        </w:rPr>
      </w:pPr>
    </w:p>
    <w:p>
      <w:pPr>
        <w:pStyle w:val="BodyText"/>
        <w:spacing w:before="3"/>
        <w:rPr>
          <w:rFonts w:ascii="Times New Roman"/>
          <w:sz w:val="21"/>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473"/>
        <w:gridCol w:w="771"/>
      </w:tblGrid>
      <w:tr>
        <w:trPr>
          <w:trHeight w:val="328" w:hRule="exact"/>
        </w:trPr>
        <w:tc>
          <w:tcPr>
            <w:tcW w:w="8473" w:type="dxa"/>
          </w:tcPr>
          <w:p>
            <w:pPr>
              <w:pStyle w:val="TableParagraph"/>
              <w:spacing w:line="245" w:lineRule="exact"/>
              <w:ind w:left="0" w:right="206"/>
              <w:jc w:val="right"/>
              <w:rPr>
                <w:sz w:val="24"/>
              </w:rPr>
            </w:pPr>
            <w:r>
              <w:rPr>
                <w:sz w:val="24"/>
              </w:rPr>
              <w:t>1.  Costo de los partidos para el erario público……………………………….</w:t>
            </w:r>
          </w:p>
        </w:tc>
        <w:tc>
          <w:tcPr>
            <w:tcW w:w="771" w:type="dxa"/>
          </w:tcPr>
          <w:p>
            <w:pPr>
              <w:pStyle w:val="TableParagraph"/>
              <w:spacing w:line="245" w:lineRule="exact"/>
              <w:ind w:left="150" w:right="180"/>
              <w:jc w:val="center"/>
              <w:rPr>
                <w:sz w:val="24"/>
              </w:rPr>
            </w:pPr>
            <w:r>
              <w:rPr>
                <w:sz w:val="24"/>
              </w:rPr>
              <w:t>180</w:t>
            </w:r>
          </w:p>
        </w:tc>
      </w:tr>
      <w:tr>
        <w:trPr>
          <w:trHeight w:val="414" w:hRule="exact"/>
        </w:trPr>
        <w:tc>
          <w:tcPr>
            <w:tcW w:w="8473" w:type="dxa"/>
          </w:tcPr>
          <w:p>
            <w:pPr>
              <w:pStyle w:val="TableParagraph"/>
              <w:spacing w:before="57"/>
              <w:ind w:left="0" w:right="165"/>
              <w:jc w:val="right"/>
              <w:rPr>
                <w:sz w:val="24"/>
              </w:rPr>
            </w:pPr>
            <w:r>
              <w:rPr>
                <w:sz w:val="24"/>
              </w:rPr>
              <w:t>2.  Irregularidades en la aplicación del financiamiento……………………….</w:t>
            </w:r>
          </w:p>
        </w:tc>
        <w:tc>
          <w:tcPr>
            <w:tcW w:w="771" w:type="dxa"/>
          </w:tcPr>
          <w:p>
            <w:pPr>
              <w:pStyle w:val="TableParagraph"/>
              <w:spacing w:before="57"/>
              <w:ind w:left="150" w:right="180"/>
              <w:jc w:val="center"/>
              <w:rPr>
                <w:sz w:val="24"/>
              </w:rPr>
            </w:pPr>
            <w:r>
              <w:rPr>
                <w:sz w:val="24"/>
              </w:rPr>
              <w:t>180</w:t>
            </w:r>
          </w:p>
        </w:tc>
      </w:tr>
      <w:tr>
        <w:trPr>
          <w:trHeight w:val="414" w:hRule="exact"/>
        </w:trPr>
        <w:tc>
          <w:tcPr>
            <w:tcW w:w="8473" w:type="dxa"/>
          </w:tcPr>
          <w:p>
            <w:pPr>
              <w:pStyle w:val="TableParagraph"/>
              <w:spacing w:before="55"/>
              <w:ind w:left="0" w:right="220"/>
              <w:jc w:val="right"/>
              <w:rPr>
                <w:sz w:val="24"/>
              </w:rPr>
            </w:pPr>
            <w:r>
              <w:rPr>
                <w:sz w:val="24"/>
              </w:rPr>
              <w:t>3.  Rebase de montos máximos.……………………………………………….</w:t>
            </w:r>
          </w:p>
        </w:tc>
        <w:tc>
          <w:tcPr>
            <w:tcW w:w="771" w:type="dxa"/>
          </w:tcPr>
          <w:p>
            <w:pPr>
              <w:pStyle w:val="TableParagraph"/>
              <w:spacing w:before="55"/>
              <w:ind w:left="150" w:right="180"/>
              <w:jc w:val="center"/>
              <w:rPr>
                <w:sz w:val="24"/>
              </w:rPr>
            </w:pPr>
            <w:r>
              <w:rPr>
                <w:sz w:val="24"/>
              </w:rPr>
              <w:t>188</w:t>
            </w:r>
          </w:p>
        </w:tc>
      </w:tr>
      <w:tr>
        <w:trPr>
          <w:trHeight w:val="414" w:hRule="exact"/>
        </w:trPr>
        <w:tc>
          <w:tcPr>
            <w:tcW w:w="8473" w:type="dxa"/>
          </w:tcPr>
          <w:p>
            <w:pPr>
              <w:pStyle w:val="TableParagraph"/>
              <w:spacing w:before="57"/>
              <w:ind w:left="0" w:right="186"/>
              <w:jc w:val="right"/>
              <w:rPr>
                <w:sz w:val="24"/>
              </w:rPr>
            </w:pPr>
            <w:r>
              <w:rPr>
                <w:b/>
                <w:sz w:val="24"/>
              </w:rPr>
              <w:t>IV Equidad de los medios de comunicación en el proceso electoral</w:t>
            </w:r>
            <w:r>
              <w:rPr>
                <w:sz w:val="24"/>
              </w:rPr>
              <w:t>……</w:t>
            </w:r>
          </w:p>
        </w:tc>
        <w:tc>
          <w:tcPr>
            <w:tcW w:w="771" w:type="dxa"/>
          </w:tcPr>
          <w:p>
            <w:pPr>
              <w:pStyle w:val="TableParagraph"/>
              <w:spacing w:before="57"/>
              <w:ind w:left="150" w:right="180"/>
              <w:jc w:val="center"/>
              <w:rPr>
                <w:sz w:val="24"/>
              </w:rPr>
            </w:pPr>
            <w:r>
              <w:rPr>
                <w:sz w:val="24"/>
              </w:rPr>
              <w:t>191</w:t>
            </w:r>
          </w:p>
        </w:tc>
      </w:tr>
      <w:tr>
        <w:trPr>
          <w:trHeight w:val="414" w:hRule="exact"/>
        </w:trPr>
        <w:tc>
          <w:tcPr>
            <w:tcW w:w="8473" w:type="dxa"/>
          </w:tcPr>
          <w:p>
            <w:pPr>
              <w:pStyle w:val="TableParagraph"/>
              <w:spacing w:before="55"/>
              <w:ind w:left="0" w:right="201"/>
              <w:jc w:val="right"/>
              <w:rPr>
                <w:sz w:val="24"/>
              </w:rPr>
            </w:pPr>
            <w:r>
              <w:rPr>
                <w:sz w:val="24"/>
              </w:rPr>
              <w:t>A) México…………………………………………………………………………</w:t>
            </w:r>
          </w:p>
        </w:tc>
        <w:tc>
          <w:tcPr>
            <w:tcW w:w="771" w:type="dxa"/>
          </w:tcPr>
          <w:p>
            <w:pPr>
              <w:pStyle w:val="TableParagraph"/>
              <w:spacing w:before="55"/>
              <w:ind w:left="150" w:right="180"/>
              <w:jc w:val="center"/>
              <w:rPr>
                <w:sz w:val="24"/>
              </w:rPr>
            </w:pPr>
            <w:r>
              <w:rPr>
                <w:sz w:val="24"/>
              </w:rPr>
              <w:t>193</w:t>
            </w:r>
          </w:p>
        </w:tc>
      </w:tr>
      <w:tr>
        <w:trPr>
          <w:trHeight w:val="414" w:hRule="exact"/>
        </w:trPr>
        <w:tc>
          <w:tcPr>
            <w:tcW w:w="8473" w:type="dxa"/>
          </w:tcPr>
          <w:p>
            <w:pPr>
              <w:pStyle w:val="TableParagraph"/>
              <w:spacing w:before="57"/>
              <w:ind w:left="0" w:right="220"/>
              <w:jc w:val="right"/>
              <w:rPr>
                <w:sz w:val="24"/>
              </w:rPr>
            </w:pPr>
            <w:r>
              <w:rPr>
                <w:sz w:val="24"/>
              </w:rPr>
              <w:t>1.  Monitoreo cuantitativo de espacios noticiosos IFE……………………….</w:t>
            </w:r>
          </w:p>
        </w:tc>
        <w:tc>
          <w:tcPr>
            <w:tcW w:w="771" w:type="dxa"/>
          </w:tcPr>
          <w:p>
            <w:pPr>
              <w:pStyle w:val="TableParagraph"/>
              <w:spacing w:before="57"/>
              <w:ind w:left="150" w:right="180"/>
              <w:jc w:val="center"/>
              <w:rPr>
                <w:sz w:val="24"/>
              </w:rPr>
            </w:pPr>
            <w:r>
              <w:rPr>
                <w:sz w:val="24"/>
              </w:rPr>
              <w:t>195</w:t>
            </w:r>
          </w:p>
        </w:tc>
      </w:tr>
      <w:tr>
        <w:trPr>
          <w:trHeight w:val="414" w:hRule="exact"/>
        </w:trPr>
        <w:tc>
          <w:tcPr>
            <w:tcW w:w="8473" w:type="dxa"/>
          </w:tcPr>
          <w:p>
            <w:pPr>
              <w:pStyle w:val="TableParagraph"/>
              <w:spacing w:before="55"/>
              <w:ind w:left="0" w:right="195"/>
              <w:jc w:val="right"/>
              <w:rPr>
                <w:sz w:val="24"/>
              </w:rPr>
            </w:pPr>
            <w:r>
              <w:rPr>
                <w:sz w:val="24"/>
              </w:rPr>
              <w:t>2.  Monitoreo cuantitativo de promocionales IFE………..……………………</w:t>
            </w:r>
          </w:p>
        </w:tc>
        <w:tc>
          <w:tcPr>
            <w:tcW w:w="771" w:type="dxa"/>
          </w:tcPr>
          <w:p>
            <w:pPr>
              <w:pStyle w:val="TableParagraph"/>
              <w:spacing w:before="55"/>
              <w:ind w:left="150" w:right="180"/>
              <w:jc w:val="center"/>
              <w:rPr>
                <w:sz w:val="24"/>
              </w:rPr>
            </w:pPr>
            <w:r>
              <w:rPr>
                <w:sz w:val="24"/>
              </w:rPr>
              <w:t>197</w:t>
            </w:r>
          </w:p>
        </w:tc>
      </w:tr>
      <w:tr>
        <w:trPr>
          <w:trHeight w:val="414" w:hRule="exact"/>
        </w:trPr>
        <w:tc>
          <w:tcPr>
            <w:tcW w:w="8473" w:type="dxa"/>
          </w:tcPr>
          <w:p>
            <w:pPr>
              <w:pStyle w:val="TableParagraph"/>
              <w:spacing w:before="57"/>
              <w:ind w:left="0" w:right="183"/>
              <w:jc w:val="right"/>
              <w:rPr>
                <w:sz w:val="24"/>
              </w:rPr>
            </w:pPr>
            <w:r>
              <w:rPr>
                <w:sz w:val="24"/>
              </w:rPr>
              <w:t>3.  Monitoreo cuantitativo de espacios noticiosos IEEM……………………..</w:t>
            </w:r>
          </w:p>
        </w:tc>
        <w:tc>
          <w:tcPr>
            <w:tcW w:w="771" w:type="dxa"/>
          </w:tcPr>
          <w:p>
            <w:pPr>
              <w:pStyle w:val="TableParagraph"/>
              <w:spacing w:before="57"/>
              <w:ind w:left="150" w:right="180"/>
              <w:jc w:val="center"/>
              <w:rPr>
                <w:sz w:val="24"/>
              </w:rPr>
            </w:pPr>
            <w:r>
              <w:rPr>
                <w:sz w:val="24"/>
              </w:rPr>
              <w:t>203</w:t>
            </w:r>
          </w:p>
        </w:tc>
      </w:tr>
      <w:tr>
        <w:trPr>
          <w:trHeight w:val="414" w:hRule="exact"/>
        </w:trPr>
        <w:tc>
          <w:tcPr>
            <w:tcW w:w="8473" w:type="dxa"/>
          </w:tcPr>
          <w:p>
            <w:pPr>
              <w:pStyle w:val="TableParagraph"/>
              <w:spacing w:before="55"/>
              <w:ind w:left="0" w:right="191"/>
              <w:jc w:val="right"/>
              <w:rPr>
                <w:sz w:val="24"/>
              </w:rPr>
            </w:pPr>
            <w:r>
              <w:rPr>
                <w:sz w:val="24"/>
              </w:rPr>
              <w:t>4.  Monitoreo cuantitativo de promocionales IEEM...………………………...</w:t>
            </w:r>
          </w:p>
        </w:tc>
        <w:tc>
          <w:tcPr>
            <w:tcW w:w="771" w:type="dxa"/>
          </w:tcPr>
          <w:p>
            <w:pPr>
              <w:pStyle w:val="TableParagraph"/>
              <w:spacing w:before="55"/>
              <w:ind w:left="150" w:right="180"/>
              <w:jc w:val="center"/>
              <w:rPr>
                <w:sz w:val="24"/>
              </w:rPr>
            </w:pPr>
            <w:r>
              <w:rPr>
                <w:sz w:val="24"/>
              </w:rPr>
              <w:t>204</w:t>
            </w:r>
          </w:p>
        </w:tc>
      </w:tr>
      <w:tr>
        <w:trPr>
          <w:trHeight w:val="414" w:hRule="exact"/>
        </w:trPr>
        <w:tc>
          <w:tcPr>
            <w:tcW w:w="8473" w:type="dxa"/>
          </w:tcPr>
          <w:p>
            <w:pPr>
              <w:pStyle w:val="TableParagraph"/>
              <w:spacing w:before="57"/>
              <w:ind w:left="0" w:right="175"/>
              <w:jc w:val="right"/>
              <w:rPr>
                <w:sz w:val="24"/>
              </w:rPr>
            </w:pPr>
            <w:r>
              <w:rPr>
                <w:sz w:val="24"/>
              </w:rPr>
              <w:t>B) Costa Rica………………………………………………………………………..</w:t>
            </w:r>
          </w:p>
        </w:tc>
        <w:tc>
          <w:tcPr>
            <w:tcW w:w="771" w:type="dxa"/>
          </w:tcPr>
          <w:p>
            <w:pPr>
              <w:pStyle w:val="TableParagraph"/>
              <w:spacing w:before="57"/>
              <w:ind w:left="150" w:right="180"/>
              <w:jc w:val="center"/>
              <w:rPr>
                <w:sz w:val="24"/>
              </w:rPr>
            </w:pPr>
            <w:r>
              <w:rPr>
                <w:sz w:val="24"/>
              </w:rPr>
              <w:t>208</w:t>
            </w:r>
          </w:p>
        </w:tc>
      </w:tr>
      <w:tr>
        <w:trPr>
          <w:trHeight w:val="414" w:hRule="exact"/>
        </w:trPr>
        <w:tc>
          <w:tcPr>
            <w:tcW w:w="8473" w:type="dxa"/>
          </w:tcPr>
          <w:p>
            <w:pPr>
              <w:pStyle w:val="TableParagraph"/>
              <w:spacing w:before="55"/>
              <w:ind w:left="0" w:right="192"/>
              <w:jc w:val="right"/>
              <w:rPr>
                <w:sz w:val="24"/>
              </w:rPr>
            </w:pPr>
            <w:r>
              <w:rPr>
                <w:sz w:val="24"/>
              </w:rPr>
              <w:t>1.  Monitoreo cuantitativo de espacios noticiosos TSE (Elección nacional).</w:t>
            </w:r>
          </w:p>
        </w:tc>
        <w:tc>
          <w:tcPr>
            <w:tcW w:w="771" w:type="dxa"/>
          </w:tcPr>
          <w:p>
            <w:pPr>
              <w:pStyle w:val="TableParagraph"/>
              <w:spacing w:before="55"/>
              <w:ind w:left="150" w:right="180"/>
              <w:jc w:val="center"/>
              <w:rPr>
                <w:sz w:val="24"/>
              </w:rPr>
            </w:pPr>
            <w:r>
              <w:rPr>
                <w:sz w:val="24"/>
              </w:rPr>
              <w:t>210</w:t>
            </w:r>
          </w:p>
        </w:tc>
      </w:tr>
      <w:tr>
        <w:trPr>
          <w:trHeight w:val="414" w:hRule="exact"/>
        </w:trPr>
        <w:tc>
          <w:tcPr>
            <w:tcW w:w="8473" w:type="dxa"/>
          </w:tcPr>
          <w:p>
            <w:pPr>
              <w:pStyle w:val="TableParagraph"/>
              <w:spacing w:before="57"/>
              <w:ind w:left="0" w:right="231"/>
              <w:jc w:val="right"/>
              <w:rPr>
                <w:sz w:val="24"/>
              </w:rPr>
            </w:pPr>
            <w:r>
              <w:rPr>
                <w:sz w:val="24"/>
              </w:rPr>
              <w:t>2.  Monitoreo cuantitativo de promocionales TSE (Elección nacional)…….</w:t>
            </w:r>
          </w:p>
        </w:tc>
        <w:tc>
          <w:tcPr>
            <w:tcW w:w="771" w:type="dxa"/>
          </w:tcPr>
          <w:p>
            <w:pPr>
              <w:pStyle w:val="TableParagraph"/>
              <w:spacing w:before="57"/>
              <w:ind w:left="150" w:right="180"/>
              <w:jc w:val="center"/>
              <w:rPr>
                <w:sz w:val="24"/>
              </w:rPr>
            </w:pPr>
            <w:r>
              <w:rPr>
                <w:sz w:val="24"/>
              </w:rPr>
              <w:t>211</w:t>
            </w:r>
          </w:p>
        </w:tc>
      </w:tr>
      <w:tr>
        <w:trPr>
          <w:trHeight w:val="414" w:hRule="exact"/>
        </w:trPr>
        <w:tc>
          <w:tcPr>
            <w:tcW w:w="8473" w:type="dxa"/>
          </w:tcPr>
          <w:p>
            <w:pPr>
              <w:pStyle w:val="TableParagraph"/>
              <w:spacing w:before="55"/>
              <w:ind w:left="0" w:right="184"/>
              <w:jc w:val="right"/>
              <w:rPr>
                <w:sz w:val="24"/>
              </w:rPr>
            </w:pPr>
            <w:r>
              <w:rPr>
                <w:sz w:val="24"/>
              </w:rPr>
              <w:t>3.  Monitoreo cuantitativo de espacios noticiosos TSE (Elección cantonal).</w:t>
            </w:r>
          </w:p>
        </w:tc>
        <w:tc>
          <w:tcPr>
            <w:tcW w:w="771" w:type="dxa"/>
          </w:tcPr>
          <w:p>
            <w:pPr>
              <w:pStyle w:val="TableParagraph"/>
              <w:spacing w:before="55"/>
              <w:ind w:left="150" w:right="180"/>
              <w:jc w:val="center"/>
              <w:rPr>
                <w:sz w:val="24"/>
              </w:rPr>
            </w:pPr>
            <w:r>
              <w:rPr>
                <w:sz w:val="24"/>
              </w:rPr>
              <w:t>212</w:t>
            </w:r>
          </w:p>
        </w:tc>
      </w:tr>
      <w:tr>
        <w:trPr>
          <w:trHeight w:val="414" w:hRule="exact"/>
        </w:trPr>
        <w:tc>
          <w:tcPr>
            <w:tcW w:w="8473" w:type="dxa"/>
          </w:tcPr>
          <w:p>
            <w:pPr>
              <w:pStyle w:val="TableParagraph"/>
              <w:spacing w:before="57"/>
              <w:ind w:left="0" w:right="223"/>
              <w:jc w:val="right"/>
              <w:rPr>
                <w:sz w:val="24"/>
              </w:rPr>
            </w:pPr>
            <w:r>
              <w:rPr>
                <w:sz w:val="24"/>
              </w:rPr>
              <w:t>4.  Monitoreo cuantitativo de promocionales TSE (Elección cantonal)…….</w:t>
            </w:r>
          </w:p>
        </w:tc>
        <w:tc>
          <w:tcPr>
            <w:tcW w:w="771" w:type="dxa"/>
          </w:tcPr>
          <w:p>
            <w:pPr>
              <w:pStyle w:val="TableParagraph"/>
              <w:spacing w:before="57"/>
              <w:ind w:left="150" w:right="180"/>
              <w:jc w:val="center"/>
              <w:rPr>
                <w:sz w:val="24"/>
              </w:rPr>
            </w:pPr>
            <w:r>
              <w:rPr>
                <w:sz w:val="24"/>
              </w:rPr>
              <w:t>214</w:t>
            </w:r>
          </w:p>
        </w:tc>
      </w:tr>
      <w:tr>
        <w:trPr>
          <w:trHeight w:val="514" w:hRule="exact"/>
        </w:trPr>
        <w:tc>
          <w:tcPr>
            <w:tcW w:w="8473" w:type="dxa"/>
          </w:tcPr>
          <w:p>
            <w:pPr>
              <w:pStyle w:val="TableParagraph"/>
              <w:spacing w:before="55"/>
              <w:ind w:left="0" w:right="217"/>
              <w:jc w:val="right"/>
              <w:rPr>
                <w:sz w:val="24"/>
              </w:rPr>
            </w:pPr>
            <w:r>
              <w:rPr>
                <w:sz w:val="24"/>
              </w:rPr>
              <w:t>Conclusiones………………………………………………………………………..</w:t>
            </w:r>
          </w:p>
        </w:tc>
        <w:tc>
          <w:tcPr>
            <w:tcW w:w="771" w:type="dxa"/>
          </w:tcPr>
          <w:p>
            <w:pPr>
              <w:pStyle w:val="TableParagraph"/>
              <w:spacing w:before="55"/>
              <w:ind w:left="150" w:right="180"/>
              <w:jc w:val="center"/>
              <w:rPr>
                <w:sz w:val="24"/>
              </w:rPr>
            </w:pPr>
            <w:r>
              <w:rPr>
                <w:sz w:val="24"/>
              </w:rPr>
              <w:t>216</w:t>
            </w:r>
          </w:p>
        </w:tc>
      </w:tr>
      <w:tr>
        <w:trPr>
          <w:trHeight w:val="515" w:hRule="exact"/>
        </w:trPr>
        <w:tc>
          <w:tcPr>
            <w:tcW w:w="8473" w:type="dxa"/>
          </w:tcPr>
          <w:p>
            <w:pPr>
              <w:pStyle w:val="TableParagraph"/>
              <w:spacing w:before="156"/>
              <w:ind w:left="0" w:right="176"/>
              <w:jc w:val="right"/>
              <w:rPr>
                <w:sz w:val="24"/>
              </w:rPr>
            </w:pPr>
            <w:r>
              <w:rPr>
                <w:b/>
                <w:sz w:val="24"/>
              </w:rPr>
              <w:t>Anexo 1</w:t>
            </w:r>
            <w:r>
              <w:rPr>
                <w:sz w:val="24"/>
              </w:rPr>
              <w:t>……………………………………………………………………………...</w:t>
            </w:r>
          </w:p>
        </w:tc>
        <w:tc>
          <w:tcPr>
            <w:tcW w:w="771" w:type="dxa"/>
          </w:tcPr>
          <w:p>
            <w:pPr>
              <w:pStyle w:val="TableParagraph"/>
              <w:spacing w:before="156"/>
              <w:ind w:left="150" w:right="180"/>
              <w:jc w:val="center"/>
              <w:rPr>
                <w:sz w:val="24"/>
              </w:rPr>
            </w:pPr>
            <w:r>
              <w:rPr>
                <w:sz w:val="24"/>
              </w:rPr>
              <w:t>220</w:t>
            </w:r>
          </w:p>
        </w:tc>
      </w:tr>
      <w:tr>
        <w:trPr>
          <w:trHeight w:val="414" w:hRule="exact"/>
        </w:trPr>
        <w:tc>
          <w:tcPr>
            <w:tcW w:w="8473" w:type="dxa"/>
          </w:tcPr>
          <w:p>
            <w:pPr>
              <w:pStyle w:val="TableParagraph"/>
              <w:spacing w:before="57"/>
              <w:ind w:left="0" w:right="176"/>
              <w:jc w:val="right"/>
              <w:rPr>
                <w:sz w:val="24"/>
              </w:rPr>
            </w:pPr>
            <w:r>
              <w:rPr>
                <w:b/>
                <w:sz w:val="24"/>
              </w:rPr>
              <w:t>Anexo 2</w:t>
            </w:r>
            <w:r>
              <w:rPr>
                <w:sz w:val="24"/>
              </w:rPr>
              <w:t>……………………………………………………………………………...</w:t>
            </w:r>
          </w:p>
        </w:tc>
        <w:tc>
          <w:tcPr>
            <w:tcW w:w="771" w:type="dxa"/>
          </w:tcPr>
          <w:p>
            <w:pPr>
              <w:pStyle w:val="TableParagraph"/>
              <w:spacing w:before="57"/>
              <w:ind w:left="150" w:right="180"/>
              <w:jc w:val="center"/>
              <w:rPr>
                <w:sz w:val="24"/>
              </w:rPr>
            </w:pPr>
            <w:r>
              <w:rPr>
                <w:sz w:val="24"/>
              </w:rPr>
              <w:t>222</w:t>
            </w:r>
          </w:p>
        </w:tc>
      </w:tr>
      <w:tr>
        <w:trPr>
          <w:trHeight w:val="327" w:hRule="exact"/>
        </w:trPr>
        <w:tc>
          <w:tcPr>
            <w:tcW w:w="8473" w:type="dxa"/>
          </w:tcPr>
          <w:p>
            <w:pPr>
              <w:pStyle w:val="TableParagraph"/>
              <w:spacing w:before="56"/>
              <w:ind w:left="0" w:right="190"/>
              <w:jc w:val="right"/>
              <w:rPr>
                <w:sz w:val="24"/>
              </w:rPr>
            </w:pPr>
            <w:r>
              <w:rPr>
                <w:b/>
                <w:sz w:val="24"/>
              </w:rPr>
              <w:t>Fuentes</w:t>
            </w:r>
            <w:r>
              <w:rPr>
                <w:sz w:val="24"/>
              </w:rPr>
              <w:t>……………………………………………………………………………...</w:t>
            </w:r>
          </w:p>
        </w:tc>
        <w:tc>
          <w:tcPr>
            <w:tcW w:w="771" w:type="dxa"/>
          </w:tcPr>
          <w:p>
            <w:pPr>
              <w:pStyle w:val="TableParagraph"/>
              <w:spacing w:before="56"/>
              <w:ind w:left="150" w:right="180"/>
              <w:jc w:val="center"/>
              <w:rPr>
                <w:sz w:val="24"/>
              </w:rPr>
            </w:pPr>
            <w:r>
              <w:rPr>
                <w:sz w:val="24"/>
              </w:rPr>
              <w:t>231</w:t>
            </w:r>
          </w:p>
        </w:tc>
      </w:tr>
    </w:tbl>
    <w:p>
      <w:pPr>
        <w:spacing w:after="0"/>
        <w:jc w:val="center"/>
        <w:rPr>
          <w:sz w:val="24"/>
        </w:rPr>
        <w:sectPr>
          <w:pgSz w:w="12240" w:h="15840"/>
          <w:pgMar w:header="749" w:footer="1003" w:top="960" w:bottom="1200" w:left="1400" w:right="1380"/>
        </w:sectPr>
      </w:pPr>
    </w:p>
    <w:p>
      <w:pPr>
        <w:pStyle w:val="BodyText"/>
        <w:rPr>
          <w:rFonts w:ascii="Times New Roman"/>
          <w:sz w:val="20"/>
        </w:rPr>
      </w:pPr>
    </w:p>
    <w:p>
      <w:pPr>
        <w:pStyle w:val="Heading2"/>
        <w:spacing w:before="214"/>
        <w:ind w:left="3453" w:right="3472"/>
      </w:pPr>
      <w:r>
        <w:rPr/>
        <w:t>ÍNDICE DE CUADROS</w:t>
      </w:r>
    </w:p>
    <w:p>
      <w:pPr>
        <w:pStyle w:val="BodyText"/>
        <w:rPr>
          <w:b/>
          <w:sz w:val="20"/>
        </w:rPr>
      </w:pPr>
    </w:p>
    <w:p>
      <w:pPr>
        <w:pStyle w:val="BodyText"/>
        <w:rPr>
          <w:b/>
          <w:sz w:val="20"/>
        </w:rPr>
      </w:pPr>
    </w:p>
    <w:p>
      <w:pPr>
        <w:pStyle w:val="BodyText"/>
        <w:spacing w:before="9" w:after="1"/>
        <w:rPr>
          <w:b/>
          <w:sz w:val="28"/>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479"/>
        <w:gridCol w:w="764"/>
      </w:tblGrid>
      <w:tr>
        <w:trPr>
          <w:trHeight w:val="326" w:hRule="exact"/>
        </w:trPr>
        <w:tc>
          <w:tcPr>
            <w:tcW w:w="9243" w:type="dxa"/>
            <w:gridSpan w:val="2"/>
          </w:tcPr>
          <w:p>
            <w:pPr>
              <w:pStyle w:val="TableParagraph"/>
              <w:spacing w:line="245" w:lineRule="exact"/>
              <w:ind w:left="0" w:right="201"/>
              <w:jc w:val="right"/>
              <w:rPr>
                <w:sz w:val="24"/>
              </w:rPr>
            </w:pPr>
            <w:r>
              <w:rPr>
                <w:sz w:val="24"/>
              </w:rPr>
              <w:t>Páginas</w:t>
            </w:r>
          </w:p>
        </w:tc>
      </w:tr>
      <w:tr>
        <w:trPr>
          <w:trHeight w:val="414" w:hRule="exact"/>
        </w:trPr>
        <w:tc>
          <w:tcPr>
            <w:tcW w:w="8479" w:type="dxa"/>
          </w:tcPr>
          <w:p>
            <w:pPr>
              <w:pStyle w:val="TableParagraph"/>
              <w:spacing w:before="55"/>
              <w:ind w:left="200"/>
              <w:rPr>
                <w:sz w:val="24"/>
              </w:rPr>
            </w:pPr>
            <w:r>
              <w:rPr>
                <w:sz w:val="24"/>
              </w:rPr>
              <w:t>1.1 Contexto México-Costa Rica…………………………………………………</w:t>
            </w:r>
          </w:p>
        </w:tc>
        <w:tc>
          <w:tcPr>
            <w:tcW w:w="764" w:type="dxa"/>
          </w:tcPr>
          <w:p>
            <w:pPr>
              <w:pStyle w:val="TableParagraph"/>
              <w:spacing w:before="55"/>
              <w:ind w:left="0" w:right="198"/>
              <w:jc w:val="right"/>
              <w:rPr>
                <w:sz w:val="24"/>
              </w:rPr>
            </w:pPr>
            <w:r>
              <w:rPr>
                <w:sz w:val="24"/>
              </w:rPr>
              <w:t>77</w:t>
            </w:r>
          </w:p>
        </w:tc>
      </w:tr>
      <w:tr>
        <w:trPr>
          <w:trHeight w:val="414" w:hRule="exact"/>
        </w:trPr>
        <w:tc>
          <w:tcPr>
            <w:tcW w:w="8479" w:type="dxa"/>
          </w:tcPr>
          <w:p>
            <w:pPr>
              <w:pStyle w:val="TableParagraph"/>
              <w:spacing w:before="57"/>
              <w:ind w:left="200"/>
              <w:rPr>
                <w:sz w:val="24"/>
              </w:rPr>
            </w:pPr>
            <w:r>
              <w:rPr>
                <w:sz w:val="24"/>
              </w:rPr>
              <w:t>2.1 Consejeros electorales designados (IFE 2003)……………………………..</w:t>
            </w:r>
          </w:p>
        </w:tc>
        <w:tc>
          <w:tcPr>
            <w:tcW w:w="764" w:type="dxa"/>
          </w:tcPr>
          <w:p>
            <w:pPr>
              <w:pStyle w:val="TableParagraph"/>
              <w:spacing w:before="57"/>
              <w:ind w:left="0" w:right="198"/>
              <w:jc w:val="right"/>
              <w:rPr>
                <w:sz w:val="24"/>
              </w:rPr>
            </w:pPr>
            <w:r>
              <w:rPr>
                <w:sz w:val="24"/>
              </w:rPr>
              <w:t>88</w:t>
            </w:r>
          </w:p>
        </w:tc>
      </w:tr>
      <w:tr>
        <w:trPr>
          <w:trHeight w:val="414" w:hRule="exact"/>
        </w:trPr>
        <w:tc>
          <w:tcPr>
            <w:tcW w:w="8479" w:type="dxa"/>
          </w:tcPr>
          <w:p>
            <w:pPr>
              <w:pStyle w:val="TableParagraph"/>
              <w:spacing w:before="55"/>
              <w:ind w:left="200"/>
              <w:rPr>
                <w:sz w:val="24"/>
              </w:rPr>
            </w:pPr>
            <w:r>
              <w:rPr>
                <w:sz w:val="24"/>
              </w:rPr>
              <w:t>2.2 Otras resoluciones en materia electoral mexicana…..…………………….</w:t>
            </w:r>
          </w:p>
        </w:tc>
        <w:tc>
          <w:tcPr>
            <w:tcW w:w="764" w:type="dxa"/>
          </w:tcPr>
          <w:p>
            <w:pPr>
              <w:pStyle w:val="TableParagraph"/>
              <w:spacing w:before="55"/>
              <w:ind w:left="0" w:right="198"/>
              <w:jc w:val="right"/>
              <w:rPr>
                <w:sz w:val="24"/>
              </w:rPr>
            </w:pPr>
            <w:r>
              <w:rPr>
                <w:sz w:val="24"/>
              </w:rPr>
              <w:t>98</w:t>
            </w:r>
          </w:p>
        </w:tc>
      </w:tr>
      <w:tr>
        <w:trPr>
          <w:trHeight w:val="827" w:hRule="exact"/>
        </w:trPr>
        <w:tc>
          <w:tcPr>
            <w:tcW w:w="8479" w:type="dxa"/>
          </w:tcPr>
          <w:p>
            <w:pPr>
              <w:pStyle w:val="TableParagraph"/>
              <w:spacing w:line="360" w:lineRule="auto" w:before="57"/>
              <w:ind w:left="200" w:right="205"/>
              <w:rPr>
                <w:sz w:val="24"/>
              </w:rPr>
            </w:pPr>
            <w:r>
              <w:rPr>
                <w:sz w:val="24"/>
              </w:rPr>
              <w:t>2.3 Sentencias del TEPJF a los acuerdos del CGIFE impugnados (2005- 2006)…………………………………………………………………………………</w:t>
            </w:r>
          </w:p>
        </w:tc>
        <w:tc>
          <w:tcPr>
            <w:tcW w:w="764" w:type="dxa"/>
          </w:tcPr>
          <w:p>
            <w:pPr>
              <w:pStyle w:val="TableParagraph"/>
              <w:ind w:left="0"/>
              <w:rPr>
                <w:b/>
                <w:sz w:val="24"/>
              </w:rPr>
            </w:pPr>
          </w:p>
          <w:p>
            <w:pPr>
              <w:pStyle w:val="TableParagraph"/>
              <w:spacing w:before="193"/>
              <w:ind w:left="0" w:right="198"/>
              <w:jc w:val="right"/>
              <w:rPr>
                <w:sz w:val="24"/>
              </w:rPr>
            </w:pPr>
            <w:r>
              <w:rPr>
                <w:sz w:val="24"/>
              </w:rPr>
              <w:t>99</w:t>
            </w:r>
          </w:p>
        </w:tc>
      </w:tr>
      <w:tr>
        <w:trPr>
          <w:trHeight w:val="414" w:hRule="exact"/>
        </w:trPr>
        <w:tc>
          <w:tcPr>
            <w:tcW w:w="8479" w:type="dxa"/>
          </w:tcPr>
          <w:p>
            <w:pPr>
              <w:pStyle w:val="TableParagraph"/>
              <w:spacing w:before="55"/>
              <w:ind w:left="200"/>
              <w:rPr>
                <w:sz w:val="24"/>
              </w:rPr>
            </w:pPr>
            <w:r>
              <w:rPr>
                <w:sz w:val="24"/>
              </w:rPr>
              <w:t>2.4 Medios de impugnación contra el CGIFE por actor (2005-2006)…………</w:t>
            </w:r>
          </w:p>
        </w:tc>
        <w:tc>
          <w:tcPr>
            <w:tcW w:w="764" w:type="dxa"/>
          </w:tcPr>
          <w:p>
            <w:pPr>
              <w:pStyle w:val="TableParagraph"/>
              <w:spacing w:before="55"/>
              <w:ind w:left="0" w:right="198"/>
              <w:jc w:val="right"/>
              <w:rPr>
                <w:sz w:val="24"/>
              </w:rPr>
            </w:pPr>
            <w:r>
              <w:rPr>
                <w:w w:val="95"/>
                <w:sz w:val="24"/>
              </w:rPr>
              <w:t>106</w:t>
            </w:r>
          </w:p>
        </w:tc>
      </w:tr>
      <w:tr>
        <w:trPr>
          <w:trHeight w:val="414" w:hRule="exact"/>
        </w:trPr>
        <w:tc>
          <w:tcPr>
            <w:tcW w:w="8479" w:type="dxa"/>
          </w:tcPr>
          <w:p>
            <w:pPr>
              <w:pStyle w:val="TableParagraph"/>
              <w:spacing w:before="57"/>
              <w:ind w:left="200"/>
              <w:rPr>
                <w:sz w:val="24"/>
              </w:rPr>
            </w:pPr>
            <w:r>
              <w:rPr>
                <w:sz w:val="24"/>
              </w:rPr>
              <w:t>2.5 Consejeros electorales designados (IEEM 2005)…………………………</w:t>
            </w:r>
          </w:p>
        </w:tc>
        <w:tc>
          <w:tcPr>
            <w:tcW w:w="764" w:type="dxa"/>
          </w:tcPr>
          <w:p>
            <w:pPr>
              <w:pStyle w:val="TableParagraph"/>
              <w:spacing w:before="57"/>
              <w:ind w:left="0" w:right="198"/>
              <w:jc w:val="right"/>
              <w:rPr>
                <w:sz w:val="24"/>
              </w:rPr>
            </w:pPr>
            <w:r>
              <w:rPr>
                <w:w w:val="95"/>
                <w:sz w:val="24"/>
              </w:rPr>
              <w:t>110</w:t>
            </w:r>
          </w:p>
        </w:tc>
      </w:tr>
      <w:tr>
        <w:trPr>
          <w:trHeight w:val="828" w:hRule="exact"/>
        </w:trPr>
        <w:tc>
          <w:tcPr>
            <w:tcW w:w="8479" w:type="dxa"/>
          </w:tcPr>
          <w:p>
            <w:pPr>
              <w:pStyle w:val="TableParagraph"/>
              <w:spacing w:line="360" w:lineRule="auto" w:before="55"/>
              <w:ind w:left="200" w:right="205"/>
              <w:rPr>
                <w:sz w:val="24"/>
              </w:rPr>
            </w:pPr>
            <w:r>
              <w:rPr>
                <w:sz w:val="24"/>
              </w:rPr>
              <w:t>2.6 Sentencias del TEEM a los acuerdos del CGIEEM impugnados (2005- 2006)…………………………………………………………………………………</w:t>
            </w:r>
          </w:p>
        </w:tc>
        <w:tc>
          <w:tcPr>
            <w:tcW w:w="764" w:type="dxa"/>
          </w:tcPr>
          <w:p>
            <w:pPr>
              <w:pStyle w:val="TableParagraph"/>
              <w:ind w:left="0"/>
              <w:rPr>
                <w:b/>
                <w:sz w:val="24"/>
              </w:rPr>
            </w:pPr>
          </w:p>
          <w:p>
            <w:pPr>
              <w:pStyle w:val="TableParagraph"/>
              <w:spacing w:before="195"/>
              <w:ind w:left="0" w:right="198"/>
              <w:jc w:val="right"/>
              <w:rPr>
                <w:sz w:val="24"/>
              </w:rPr>
            </w:pPr>
            <w:r>
              <w:rPr>
                <w:w w:val="95"/>
                <w:sz w:val="24"/>
              </w:rPr>
              <w:t>116</w:t>
            </w:r>
          </w:p>
        </w:tc>
      </w:tr>
      <w:tr>
        <w:trPr>
          <w:trHeight w:val="414" w:hRule="exact"/>
        </w:trPr>
        <w:tc>
          <w:tcPr>
            <w:tcW w:w="8479" w:type="dxa"/>
          </w:tcPr>
          <w:p>
            <w:pPr>
              <w:pStyle w:val="TableParagraph"/>
              <w:spacing w:before="55"/>
              <w:ind w:left="200"/>
              <w:rPr>
                <w:sz w:val="24"/>
              </w:rPr>
            </w:pPr>
            <w:r>
              <w:rPr>
                <w:sz w:val="24"/>
              </w:rPr>
              <w:t>2.7 Magistrados designados (TSE 1999-2009)………………………………….</w:t>
            </w:r>
          </w:p>
        </w:tc>
        <w:tc>
          <w:tcPr>
            <w:tcW w:w="764" w:type="dxa"/>
          </w:tcPr>
          <w:p>
            <w:pPr>
              <w:pStyle w:val="TableParagraph"/>
              <w:spacing w:before="55"/>
              <w:ind w:left="0" w:right="198"/>
              <w:jc w:val="right"/>
              <w:rPr>
                <w:sz w:val="24"/>
              </w:rPr>
            </w:pPr>
            <w:r>
              <w:rPr>
                <w:w w:val="95"/>
                <w:sz w:val="24"/>
              </w:rPr>
              <w:t>124</w:t>
            </w:r>
          </w:p>
        </w:tc>
      </w:tr>
      <w:tr>
        <w:trPr>
          <w:trHeight w:val="414" w:hRule="exact"/>
        </w:trPr>
        <w:tc>
          <w:tcPr>
            <w:tcW w:w="8479" w:type="dxa"/>
          </w:tcPr>
          <w:p>
            <w:pPr>
              <w:pStyle w:val="TableParagraph"/>
              <w:spacing w:before="57"/>
              <w:ind w:left="200"/>
              <w:rPr>
                <w:sz w:val="24"/>
              </w:rPr>
            </w:pPr>
            <w:r>
              <w:rPr>
                <w:sz w:val="24"/>
              </w:rPr>
              <w:t>3.1 Sanciones aprobadas en el acuerdo CG97/2007 del CGIEEM…………..</w:t>
            </w:r>
          </w:p>
        </w:tc>
        <w:tc>
          <w:tcPr>
            <w:tcW w:w="764" w:type="dxa"/>
          </w:tcPr>
          <w:p>
            <w:pPr>
              <w:pStyle w:val="TableParagraph"/>
              <w:spacing w:before="57"/>
              <w:ind w:left="0" w:right="198"/>
              <w:jc w:val="right"/>
              <w:rPr>
                <w:sz w:val="24"/>
              </w:rPr>
            </w:pPr>
            <w:r>
              <w:rPr>
                <w:w w:val="95"/>
                <w:sz w:val="24"/>
              </w:rPr>
              <w:t>146</w:t>
            </w:r>
          </w:p>
        </w:tc>
      </w:tr>
      <w:tr>
        <w:trPr>
          <w:trHeight w:val="828" w:hRule="exact"/>
        </w:trPr>
        <w:tc>
          <w:tcPr>
            <w:tcW w:w="8479" w:type="dxa"/>
          </w:tcPr>
          <w:p>
            <w:pPr>
              <w:pStyle w:val="TableParagraph"/>
              <w:spacing w:line="360" w:lineRule="auto" w:before="55"/>
              <w:ind w:left="200" w:right="146"/>
              <w:rPr>
                <w:sz w:val="24"/>
              </w:rPr>
            </w:pPr>
            <w:r>
              <w:rPr>
                <w:sz w:val="24"/>
              </w:rPr>
              <w:t>3.2 Modificaciones a las sanciones aprobadas en el acuerdo CG97/2007 del CGIEEM …………………………………………………………………………….</w:t>
            </w:r>
          </w:p>
        </w:tc>
        <w:tc>
          <w:tcPr>
            <w:tcW w:w="764" w:type="dxa"/>
          </w:tcPr>
          <w:p>
            <w:pPr>
              <w:pStyle w:val="TableParagraph"/>
              <w:ind w:left="0"/>
              <w:rPr>
                <w:b/>
                <w:sz w:val="24"/>
              </w:rPr>
            </w:pPr>
          </w:p>
          <w:p>
            <w:pPr>
              <w:pStyle w:val="TableParagraph"/>
              <w:spacing w:before="195"/>
              <w:ind w:left="0" w:right="198"/>
              <w:jc w:val="right"/>
              <w:rPr>
                <w:sz w:val="24"/>
              </w:rPr>
            </w:pPr>
            <w:r>
              <w:rPr>
                <w:w w:val="95"/>
                <w:sz w:val="24"/>
              </w:rPr>
              <w:t>148</w:t>
            </w:r>
          </w:p>
        </w:tc>
      </w:tr>
      <w:tr>
        <w:trPr>
          <w:trHeight w:val="828" w:hRule="exact"/>
        </w:trPr>
        <w:tc>
          <w:tcPr>
            <w:tcW w:w="8479" w:type="dxa"/>
          </w:tcPr>
          <w:p>
            <w:pPr>
              <w:pStyle w:val="TableParagraph"/>
              <w:spacing w:line="362" w:lineRule="auto" w:before="55"/>
              <w:ind w:left="200" w:right="150"/>
              <w:rPr>
                <w:sz w:val="24"/>
              </w:rPr>
            </w:pPr>
            <w:r>
              <w:rPr>
                <w:sz w:val="24"/>
              </w:rPr>
              <w:t>3.3 Porcentaje de sanciones relativas al financiamiento, por partido político federal (2005-2006)…………………………………………………………………</w:t>
            </w:r>
          </w:p>
        </w:tc>
        <w:tc>
          <w:tcPr>
            <w:tcW w:w="764" w:type="dxa"/>
          </w:tcPr>
          <w:p>
            <w:pPr>
              <w:pStyle w:val="TableParagraph"/>
              <w:ind w:left="0"/>
              <w:rPr>
                <w:b/>
                <w:sz w:val="24"/>
              </w:rPr>
            </w:pPr>
          </w:p>
          <w:p>
            <w:pPr>
              <w:pStyle w:val="TableParagraph"/>
              <w:spacing w:before="195"/>
              <w:ind w:left="0" w:right="198"/>
              <w:jc w:val="right"/>
              <w:rPr>
                <w:sz w:val="24"/>
              </w:rPr>
            </w:pPr>
            <w:r>
              <w:rPr>
                <w:w w:val="95"/>
                <w:sz w:val="24"/>
              </w:rPr>
              <w:t>151</w:t>
            </w:r>
          </w:p>
        </w:tc>
      </w:tr>
      <w:tr>
        <w:trPr>
          <w:trHeight w:val="414" w:hRule="exact"/>
        </w:trPr>
        <w:tc>
          <w:tcPr>
            <w:tcW w:w="8479" w:type="dxa"/>
          </w:tcPr>
          <w:p>
            <w:pPr>
              <w:pStyle w:val="TableParagraph"/>
              <w:spacing w:before="55"/>
              <w:ind w:left="200"/>
              <w:rPr>
                <w:sz w:val="24"/>
              </w:rPr>
            </w:pPr>
            <w:r>
              <w:rPr>
                <w:sz w:val="24"/>
              </w:rPr>
              <w:t>3.4 Rebase de topes de gastos de campaña (IFE 2006)………………………</w:t>
            </w:r>
          </w:p>
        </w:tc>
        <w:tc>
          <w:tcPr>
            <w:tcW w:w="764" w:type="dxa"/>
          </w:tcPr>
          <w:p>
            <w:pPr>
              <w:pStyle w:val="TableParagraph"/>
              <w:spacing w:before="55"/>
              <w:ind w:left="0" w:right="198"/>
              <w:jc w:val="right"/>
              <w:rPr>
                <w:sz w:val="24"/>
              </w:rPr>
            </w:pPr>
            <w:r>
              <w:rPr>
                <w:w w:val="95"/>
                <w:sz w:val="24"/>
              </w:rPr>
              <w:t>158</w:t>
            </w:r>
          </w:p>
        </w:tc>
      </w:tr>
      <w:tr>
        <w:trPr>
          <w:trHeight w:val="414" w:hRule="exact"/>
        </w:trPr>
        <w:tc>
          <w:tcPr>
            <w:tcW w:w="8479" w:type="dxa"/>
          </w:tcPr>
          <w:p>
            <w:pPr>
              <w:pStyle w:val="TableParagraph"/>
              <w:spacing w:before="57"/>
              <w:ind w:left="200"/>
              <w:rPr>
                <w:sz w:val="24"/>
              </w:rPr>
            </w:pPr>
            <w:r>
              <w:rPr>
                <w:sz w:val="24"/>
              </w:rPr>
              <w:t>3.5 Sanciones aprobadas en el acuerdo 323/2006 del CGIEEM……………...</w:t>
            </w:r>
          </w:p>
        </w:tc>
        <w:tc>
          <w:tcPr>
            <w:tcW w:w="764" w:type="dxa"/>
          </w:tcPr>
          <w:p>
            <w:pPr>
              <w:pStyle w:val="TableParagraph"/>
              <w:spacing w:before="57"/>
              <w:ind w:left="0" w:right="198"/>
              <w:jc w:val="right"/>
              <w:rPr>
                <w:sz w:val="24"/>
              </w:rPr>
            </w:pPr>
            <w:r>
              <w:rPr>
                <w:w w:val="95"/>
                <w:sz w:val="24"/>
              </w:rPr>
              <w:t>163</w:t>
            </w:r>
          </w:p>
        </w:tc>
      </w:tr>
      <w:tr>
        <w:trPr>
          <w:trHeight w:val="828" w:hRule="exact"/>
        </w:trPr>
        <w:tc>
          <w:tcPr>
            <w:tcW w:w="8479" w:type="dxa"/>
          </w:tcPr>
          <w:p>
            <w:pPr>
              <w:pStyle w:val="TableParagraph"/>
              <w:spacing w:line="360" w:lineRule="auto" w:before="55"/>
              <w:ind w:left="200" w:right="152"/>
              <w:rPr>
                <w:sz w:val="24"/>
              </w:rPr>
            </w:pPr>
            <w:r>
              <w:rPr>
                <w:sz w:val="24"/>
              </w:rPr>
              <w:t>3.6 Modificación a las sanciones aprobadas en el acuerdo 323/2006 del CGIEEM……………………………………………………………………………...</w:t>
            </w:r>
          </w:p>
        </w:tc>
        <w:tc>
          <w:tcPr>
            <w:tcW w:w="764" w:type="dxa"/>
          </w:tcPr>
          <w:p>
            <w:pPr>
              <w:pStyle w:val="TableParagraph"/>
              <w:ind w:left="0"/>
              <w:rPr>
                <w:b/>
                <w:sz w:val="24"/>
              </w:rPr>
            </w:pPr>
          </w:p>
          <w:p>
            <w:pPr>
              <w:pStyle w:val="TableParagraph"/>
              <w:spacing w:before="195"/>
              <w:ind w:left="0" w:right="198"/>
              <w:jc w:val="right"/>
              <w:rPr>
                <w:sz w:val="24"/>
              </w:rPr>
            </w:pPr>
            <w:r>
              <w:rPr>
                <w:w w:val="95"/>
                <w:sz w:val="24"/>
              </w:rPr>
              <w:t>164</w:t>
            </w:r>
          </w:p>
        </w:tc>
      </w:tr>
      <w:tr>
        <w:trPr>
          <w:trHeight w:val="828" w:hRule="exact"/>
        </w:trPr>
        <w:tc>
          <w:tcPr>
            <w:tcW w:w="8479" w:type="dxa"/>
          </w:tcPr>
          <w:p>
            <w:pPr>
              <w:pStyle w:val="TableParagraph"/>
              <w:spacing w:line="360" w:lineRule="auto" w:before="55"/>
              <w:ind w:left="200" w:right="150"/>
              <w:rPr>
                <w:sz w:val="24"/>
              </w:rPr>
            </w:pPr>
            <w:r>
              <w:rPr>
                <w:sz w:val="24"/>
              </w:rPr>
              <w:t>3.7 Porcentaje de sanciones relativas al financiamiento, por partido político local (2005-2006)……………………………………………………………………</w:t>
            </w:r>
          </w:p>
        </w:tc>
        <w:tc>
          <w:tcPr>
            <w:tcW w:w="764" w:type="dxa"/>
          </w:tcPr>
          <w:p>
            <w:pPr>
              <w:pStyle w:val="TableParagraph"/>
              <w:ind w:left="0"/>
              <w:rPr>
                <w:b/>
                <w:sz w:val="24"/>
              </w:rPr>
            </w:pPr>
          </w:p>
          <w:p>
            <w:pPr>
              <w:pStyle w:val="TableParagraph"/>
              <w:spacing w:before="195"/>
              <w:ind w:left="0" w:right="198"/>
              <w:jc w:val="right"/>
              <w:rPr>
                <w:sz w:val="24"/>
              </w:rPr>
            </w:pPr>
            <w:r>
              <w:rPr>
                <w:w w:val="95"/>
                <w:sz w:val="24"/>
              </w:rPr>
              <w:t>165</w:t>
            </w:r>
          </w:p>
        </w:tc>
      </w:tr>
      <w:tr>
        <w:trPr>
          <w:trHeight w:val="414" w:hRule="exact"/>
        </w:trPr>
        <w:tc>
          <w:tcPr>
            <w:tcW w:w="8479" w:type="dxa"/>
          </w:tcPr>
          <w:p>
            <w:pPr>
              <w:pStyle w:val="TableParagraph"/>
              <w:spacing w:before="55"/>
              <w:ind w:left="200"/>
              <w:rPr>
                <w:sz w:val="24"/>
              </w:rPr>
            </w:pPr>
            <w:r>
              <w:rPr>
                <w:sz w:val="24"/>
              </w:rPr>
              <w:t>3.8 Rebase de topes de gastos de campaña (IEEM 2006)…………………….</w:t>
            </w:r>
          </w:p>
        </w:tc>
        <w:tc>
          <w:tcPr>
            <w:tcW w:w="764" w:type="dxa"/>
          </w:tcPr>
          <w:p>
            <w:pPr>
              <w:pStyle w:val="TableParagraph"/>
              <w:spacing w:before="55"/>
              <w:ind w:left="0" w:right="198"/>
              <w:jc w:val="right"/>
              <w:rPr>
                <w:sz w:val="24"/>
              </w:rPr>
            </w:pPr>
            <w:r>
              <w:rPr>
                <w:w w:val="95"/>
                <w:sz w:val="24"/>
              </w:rPr>
              <w:t>172</w:t>
            </w:r>
          </w:p>
        </w:tc>
      </w:tr>
      <w:tr>
        <w:trPr>
          <w:trHeight w:val="828" w:hRule="exact"/>
        </w:trPr>
        <w:tc>
          <w:tcPr>
            <w:tcW w:w="8479" w:type="dxa"/>
          </w:tcPr>
          <w:p>
            <w:pPr>
              <w:pStyle w:val="TableParagraph"/>
              <w:tabs>
                <w:tab w:pos="753" w:val="left" w:leader="none"/>
                <w:tab w:pos="1756" w:val="left" w:leader="none"/>
                <w:tab w:pos="2933" w:val="left" w:leader="none"/>
                <w:tab w:pos="4391" w:val="left" w:leader="none"/>
                <w:tab w:pos="4954" w:val="left" w:leader="none"/>
                <w:tab w:pos="5906" w:val="left" w:leader="none"/>
                <w:tab w:pos="6884" w:val="left" w:leader="none"/>
              </w:tabs>
              <w:spacing w:line="360" w:lineRule="auto" w:before="57"/>
              <w:ind w:left="200" w:right="168"/>
              <w:rPr>
                <w:sz w:val="24"/>
              </w:rPr>
            </w:pPr>
            <w:r>
              <w:rPr>
                <w:sz w:val="24"/>
              </w:rPr>
              <w:t>3.9</w:t>
              <w:tab/>
              <w:t>Montos</w:t>
              <w:tab/>
              <w:t>máximos</w:t>
              <w:tab/>
              <w:t>autorizados</w:t>
              <w:tab/>
              <w:t>por</w:t>
              <w:tab/>
              <w:t>partido</w:t>
              <w:tab/>
              <w:t>político</w:t>
              <w:tab/>
            </w:r>
            <w:r>
              <w:rPr>
                <w:spacing w:val="-1"/>
                <w:sz w:val="24"/>
              </w:rPr>
              <w:t>costarricense </w:t>
            </w:r>
            <w:r>
              <w:rPr>
                <w:sz w:val="24"/>
              </w:rPr>
              <w:t>(Elecciones nacionales</w:t>
            </w:r>
            <w:r>
              <w:rPr>
                <w:spacing w:val="-6"/>
                <w:sz w:val="24"/>
              </w:rPr>
              <w:t> </w:t>
            </w:r>
            <w:r>
              <w:rPr>
                <w:sz w:val="24"/>
              </w:rPr>
              <w:t>2010)…………………………………………………….</w:t>
            </w:r>
          </w:p>
        </w:tc>
        <w:tc>
          <w:tcPr>
            <w:tcW w:w="764" w:type="dxa"/>
          </w:tcPr>
          <w:p>
            <w:pPr>
              <w:pStyle w:val="TableParagraph"/>
              <w:ind w:left="0"/>
              <w:rPr>
                <w:b/>
                <w:sz w:val="24"/>
              </w:rPr>
            </w:pPr>
          </w:p>
          <w:p>
            <w:pPr>
              <w:pStyle w:val="TableParagraph"/>
              <w:spacing w:before="194"/>
              <w:ind w:left="0" w:right="198"/>
              <w:jc w:val="right"/>
              <w:rPr>
                <w:sz w:val="24"/>
              </w:rPr>
            </w:pPr>
            <w:r>
              <w:rPr>
                <w:w w:val="95"/>
                <w:sz w:val="24"/>
              </w:rPr>
              <w:t>176</w:t>
            </w:r>
          </w:p>
        </w:tc>
      </w:tr>
      <w:tr>
        <w:trPr>
          <w:trHeight w:val="828" w:hRule="exact"/>
        </w:trPr>
        <w:tc>
          <w:tcPr>
            <w:tcW w:w="8479" w:type="dxa"/>
          </w:tcPr>
          <w:p>
            <w:pPr>
              <w:pStyle w:val="TableParagraph"/>
              <w:spacing w:line="360" w:lineRule="auto" w:before="57"/>
              <w:ind w:left="200" w:right="164"/>
              <w:rPr>
                <w:sz w:val="24"/>
              </w:rPr>
            </w:pPr>
            <w:r>
              <w:rPr>
                <w:sz w:val="24"/>
              </w:rPr>
              <w:t>3.10 Montos comprobados por partido político costarricense (Elecciones nacionales 2010)…………………………………………………………………....</w:t>
            </w:r>
          </w:p>
        </w:tc>
        <w:tc>
          <w:tcPr>
            <w:tcW w:w="764" w:type="dxa"/>
          </w:tcPr>
          <w:p>
            <w:pPr>
              <w:pStyle w:val="TableParagraph"/>
              <w:ind w:left="0"/>
              <w:rPr>
                <w:b/>
                <w:sz w:val="24"/>
              </w:rPr>
            </w:pPr>
          </w:p>
          <w:p>
            <w:pPr>
              <w:pStyle w:val="TableParagraph"/>
              <w:spacing w:before="193"/>
              <w:ind w:left="0" w:right="198"/>
              <w:jc w:val="right"/>
              <w:rPr>
                <w:sz w:val="24"/>
              </w:rPr>
            </w:pPr>
            <w:r>
              <w:rPr>
                <w:w w:val="95"/>
                <w:sz w:val="24"/>
              </w:rPr>
              <w:t>177</w:t>
            </w:r>
          </w:p>
        </w:tc>
      </w:tr>
      <w:tr>
        <w:trPr>
          <w:trHeight w:val="328" w:hRule="exact"/>
        </w:trPr>
        <w:tc>
          <w:tcPr>
            <w:tcW w:w="8479" w:type="dxa"/>
          </w:tcPr>
          <w:p>
            <w:pPr>
              <w:pStyle w:val="TableParagraph"/>
              <w:spacing w:before="57"/>
              <w:ind w:left="200"/>
              <w:rPr>
                <w:sz w:val="24"/>
              </w:rPr>
            </w:pPr>
            <w:r>
              <w:rPr>
                <w:sz w:val="24"/>
              </w:rPr>
              <w:t>3.11 Porcentaje de reducciones al financiamiento público de los partidos</w:t>
            </w:r>
          </w:p>
        </w:tc>
        <w:tc>
          <w:tcPr>
            <w:tcW w:w="764" w:type="dxa"/>
          </w:tcPr>
          <w:p>
            <w:pPr/>
          </w:p>
        </w:tc>
      </w:tr>
    </w:tbl>
    <w:p>
      <w:pPr>
        <w:spacing w:after="0"/>
        <w:sectPr>
          <w:footerReference w:type="default" r:id="rId9"/>
          <w:pgSz w:w="12240" w:h="15840"/>
          <w:pgMar w:footer="1003" w:header="749" w:top="960" w:bottom="1200" w:left="1400" w:right="1380"/>
        </w:sectPr>
      </w:pPr>
    </w:p>
    <w:p>
      <w:pPr>
        <w:pStyle w:val="BodyText"/>
        <w:rPr>
          <w:rFonts w:ascii="Times New Roman"/>
          <w:sz w:val="20"/>
        </w:rPr>
      </w:pPr>
    </w:p>
    <w:p>
      <w:pPr>
        <w:pStyle w:val="BodyText"/>
        <w:spacing w:before="3"/>
        <w:rPr>
          <w:rFonts w:ascii="Times New Roman"/>
          <w:sz w:val="21"/>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477"/>
        <w:gridCol w:w="766"/>
      </w:tblGrid>
      <w:tr>
        <w:trPr>
          <w:trHeight w:val="328" w:hRule="exact"/>
        </w:trPr>
        <w:tc>
          <w:tcPr>
            <w:tcW w:w="8477" w:type="dxa"/>
          </w:tcPr>
          <w:p>
            <w:pPr>
              <w:pStyle w:val="TableParagraph"/>
              <w:spacing w:line="245" w:lineRule="exact"/>
              <w:ind w:left="200"/>
              <w:rPr>
                <w:sz w:val="24"/>
              </w:rPr>
            </w:pPr>
            <w:r>
              <w:rPr>
                <w:sz w:val="24"/>
              </w:rPr>
              <w:t>políticos costarricenses (Elecciones nacionales 2010)…………………………</w:t>
            </w:r>
          </w:p>
        </w:tc>
        <w:tc>
          <w:tcPr>
            <w:tcW w:w="766" w:type="dxa"/>
          </w:tcPr>
          <w:p>
            <w:pPr>
              <w:pStyle w:val="TableParagraph"/>
              <w:spacing w:line="245" w:lineRule="exact"/>
              <w:ind w:left="145" w:right="180"/>
              <w:jc w:val="center"/>
              <w:rPr>
                <w:sz w:val="24"/>
              </w:rPr>
            </w:pPr>
            <w:r>
              <w:rPr>
                <w:sz w:val="24"/>
              </w:rPr>
              <w:t>178</w:t>
            </w:r>
          </w:p>
        </w:tc>
      </w:tr>
      <w:tr>
        <w:trPr>
          <w:trHeight w:val="828" w:hRule="exact"/>
        </w:trPr>
        <w:tc>
          <w:tcPr>
            <w:tcW w:w="8477" w:type="dxa"/>
          </w:tcPr>
          <w:p>
            <w:pPr>
              <w:pStyle w:val="TableParagraph"/>
              <w:spacing w:line="360" w:lineRule="auto" w:before="57"/>
              <w:ind w:left="200" w:right="175"/>
              <w:rPr>
                <w:sz w:val="24"/>
              </w:rPr>
            </w:pPr>
            <w:r>
              <w:rPr>
                <w:sz w:val="24"/>
              </w:rPr>
              <w:t>3.12 Montos máximos autorizados por partido político costarricense (Elecciones cantonales 2010)……………………………………………………..</w:t>
            </w:r>
          </w:p>
        </w:tc>
        <w:tc>
          <w:tcPr>
            <w:tcW w:w="766" w:type="dxa"/>
          </w:tcPr>
          <w:p>
            <w:pPr>
              <w:pStyle w:val="TableParagraph"/>
              <w:ind w:left="0"/>
              <w:rPr>
                <w:rFonts w:ascii="Times New Roman"/>
                <w:sz w:val="24"/>
              </w:rPr>
            </w:pPr>
          </w:p>
          <w:p>
            <w:pPr>
              <w:pStyle w:val="TableParagraph"/>
              <w:spacing w:before="194"/>
              <w:ind w:left="145" w:right="180"/>
              <w:jc w:val="center"/>
              <w:rPr>
                <w:sz w:val="24"/>
              </w:rPr>
            </w:pPr>
            <w:r>
              <w:rPr>
                <w:sz w:val="24"/>
              </w:rPr>
              <w:t>181</w:t>
            </w:r>
          </w:p>
        </w:tc>
      </w:tr>
      <w:tr>
        <w:trPr>
          <w:trHeight w:val="828" w:hRule="exact"/>
        </w:trPr>
        <w:tc>
          <w:tcPr>
            <w:tcW w:w="8477" w:type="dxa"/>
          </w:tcPr>
          <w:p>
            <w:pPr>
              <w:pStyle w:val="TableParagraph"/>
              <w:spacing w:line="360" w:lineRule="auto" w:before="57"/>
              <w:ind w:left="200" w:right="254"/>
              <w:rPr>
                <w:sz w:val="24"/>
              </w:rPr>
            </w:pPr>
            <w:r>
              <w:rPr>
                <w:sz w:val="24"/>
              </w:rPr>
              <w:t>3.13 Porcentaje de reducciones al financiamiento público de los partidos políticos costarricenses (Elecciones cantonales 2010)………………………..</w:t>
            </w:r>
          </w:p>
        </w:tc>
        <w:tc>
          <w:tcPr>
            <w:tcW w:w="766" w:type="dxa"/>
          </w:tcPr>
          <w:p>
            <w:pPr>
              <w:pStyle w:val="TableParagraph"/>
              <w:ind w:left="0"/>
              <w:rPr>
                <w:rFonts w:ascii="Times New Roman"/>
                <w:sz w:val="24"/>
              </w:rPr>
            </w:pPr>
          </w:p>
          <w:p>
            <w:pPr>
              <w:pStyle w:val="TableParagraph"/>
              <w:spacing w:before="193"/>
              <w:ind w:left="145" w:right="180"/>
              <w:jc w:val="center"/>
              <w:rPr>
                <w:sz w:val="24"/>
              </w:rPr>
            </w:pPr>
            <w:r>
              <w:rPr>
                <w:sz w:val="24"/>
              </w:rPr>
              <w:t>183</w:t>
            </w:r>
          </w:p>
        </w:tc>
      </w:tr>
      <w:tr>
        <w:trPr>
          <w:trHeight w:val="828" w:hRule="exact"/>
        </w:trPr>
        <w:tc>
          <w:tcPr>
            <w:tcW w:w="8477" w:type="dxa"/>
          </w:tcPr>
          <w:p>
            <w:pPr>
              <w:pStyle w:val="TableParagraph"/>
              <w:spacing w:line="360" w:lineRule="auto" w:before="57"/>
              <w:ind w:left="200" w:right="215"/>
              <w:rPr>
                <w:sz w:val="24"/>
              </w:rPr>
            </w:pPr>
            <w:r>
              <w:rPr>
                <w:sz w:val="24"/>
              </w:rPr>
              <w:t>3.14 Respeto a los montos máximos establecidos por el TSE (Elecciones cantonales 2010)…………………………………………………………………...</w:t>
            </w:r>
          </w:p>
        </w:tc>
        <w:tc>
          <w:tcPr>
            <w:tcW w:w="766" w:type="dxa"/>
          </w:tcPr>
          <w:p>
            <w:pPr>
              <w:pStyle w:val="TableParagraph"/>
              <w:ind w:left="0"/>
              <w:rPr>
                <w:rFonts w:ascii="Times New Roman"/>
                <w:sz w:val="24"/>
              </w:rPr>
            </w:pPr>
          </w:p>
          <w:p>
            <w:pPr>
              <w:pStyle w:val="TableParagraph"/>
              <w:spacing w:before="193"/>
              <w:ind w:left="145" w:right="180"/>
              <w:jc w:val="center"/>
              <w:rPr>
                <w:sz w:val="24"/>
              </w:rPr>
            </w:pPr>
            <w:r>
              <w:rPr>
                <w:sz w:val="24"/>
              </w:rPr>
              <w:t>188</w:t>
            </w:r>
          </w:p>
        </w:tc>
      </w:tr>
      <w:tr>
        <w:trPr>
          <w:trHeight w:val="414" w:hRule="exact"/>
        </w:trPr>
        <w:tc>
          <w:tcPr>
            <w:tcW w:w="8477" w:type="dxa"/>
          </w:tcPr>
          <w:p>
            <w:pPr>
              <w:pStyle w:val="TableParagraph"/>
              <w:spacing w:before="57"/>
              <w:ind w:left="200"/>
              <w:rPr>
                <w:sz w:val="24"/>
              </w:rPr>
            </w:pPr>
            <w:r>
              <w:rPr>
                <w:sz w:val="24"/>
              </w:rPr>
              <w:t>4.1 Monitoreo de noticias por partido político (IFE 2006)………………………</w:t>
            </w:r>
          </w:p>
        </w:tc>
        <w:tc>
          <w:tcPr>
            <w:tcW w:w="766" w:type="dxa"/>
          </w:tcPr>
          <w:p>
            <w:pPr>
              <w:pStyle w:val="TableParagraph"/>
              <w:spacing w:before="57"/>
              <w:ind w:left="145" w:right="180"/>
              <w:jc w:val="center"/>
              <w:rPr>
                <w:sz w:val="24"/>
              </w:rPr>
            </w:pPr>
            <w:r>
              <w:rPr>
                <w:sz w:val="24"/>
              </w:rPr>
              <w:t>196</w:t>
            </w:r>
          </w:p>
        </w:tc>
      </w:tr>
      <w:tr>
        <w:trPr>
          <w:trHeight w:val="470" w:hRule="exact"/>
        </w:trPr>
        <w:tc>
          <w:tcPr>
            <w:tcW w:w="8477" w:type="dxa"/>
          </w:tcPr>
          <w:p>
            <w:pPr>
              <w:pStyle w:val="TableParagraph"/>
              <w:spacing w:before="55"/>
              <w:ind w:left="200"/>
              <w:rPr>
                <w:sz w:val="24"/>
              </w:rPr>
            </w:pPr>
            <w:r>
              <w:rPr>
                <w:sz w:val="24"/>
              </w:rPr>
              <w:t>4.2 Monitoreo cuantitativo de promocionales por partido político (IFE 2006)..</w:t>
            </w:r>
          </w:p>
        </w:tc>
        <w:tc>
          <w:tcPr>
            <w:tcW w:w="766" w:type="dxa"/>
          </w:tcPr>
          <w:p>
            <w:pPr>
              <w:pStyle w:val="TableParagraph"/>
              <w:spacing w:before="55"/>
              <w:ind w:left="145" w:right="180"/>
              <w:jc w:val="center"/>
              <w:rPr>
                <w:sz w:val="24"/>
              </w:rPr>
            </w:pPr>
            <w:r>
              <w:rPr>
                <w:sz w:val="24"/>
              </w:rPr>
              <w:t>198</w:t>
            </w:r>
          </w:p>
        </w:tc>
      </w:tr>
      <w:tr>
        <w:trPr>
          <w:trHeight w:val="469" w:hRule="exact"/>
        </w:trPr>
        <w:tc>
          <w:tcPr>
            <w:tcW w:w="8477" w:type="dxa"/>
          </w:tcPr>
          <w:p>
            <w:pPr>
              <w:pStyle w:val="TableParagraph"/>
              <w:spacing w:before="112"/>
              <w:ind w:left="200"/>
              <w:rPr>
                <w:sz w:val="24"/>
              </w:rPr>
            </w:pPr>
            <w:r>
              <w:rPr>
                <w:sz w:val="24"/>
              </w:rPr>
              <w:t>4.3 Monitoreo de medios alternos por partido político (IFE 2006)……………</w:t>
            </w:r>
          </w:p>
        </w:tc>
        <w:tc>
          <w:tcPr>
            <w:tcW w:w="766" w:type="dxa"/>
          </w:tcPr>
          <w:p>
            <w:pPr>
              <w:pStyle w:val="TableParagraph"/>
              <w:spacing w:before="112"/>
              <w:ind w:left="145" w:right="180"/>
              <w:jc w:val="center"/>
              <w:rPr>
                <w:sz w:val="24"/>
              </w:rPr>
            </w:pPr>
            <w:r>
              <w:rPr>
                <w:sz w:val="24"/>
              </w:rPr>
              <w:t>200</w:t>
            </w:r>
          </w:p>
        </w:tc>
      </w:tr>
      <w:tr>
        <w:trPr>
          <w:trHeight w:val="414" w:hRule="exact"/>
        </w:trPr>
        <w:tc>
          <w:tcPr>
            <w:tcW w:w="8477" w:type="dxa"/>
          </w:tcPr>
          <w:p>
            <w:pPr>
              <w:pStyle w:val="TableParagraph"/>
              <w:spacing w:before="55"/>
              <w:ind w:left="200"/>
              <w:rPr>
                <w:sz w:val="24"/>
              </w:rPr>
            </w:pPr>
            <w:r>
              <w:rPr>
                <w:sz w:val="24"/>
              </w:rPr>
              <w:t>4.4 Monitoreo general cualitativo de menciones (IFE 2006)…………………...</w:t>
            </w:r>
          </w:p>
        </w:tc>
        <w:tc>
          <w:tcPr>
            <w:tcW w:w="766" w:type="dxa"/>
          </w:tcPr>
          <w:p>
            <w:pPr>
              <w:pStyle w:val="TableParagraph"/>
              <w:spacing w:before="55"/>
              <w:ind w:left="145" w:right="180"/>
              <w:jc w:val="center"/>
              <w:rPr>
                <w:sz w:val="24"/>
              </w:rPr>
            </w:pPr>
            <w:r>
              <w:rPr>
                <w:sz w:val="24"/>
              </w:rPr>
              <w:t>201</w:t>
            </w:r>
          </w:p>
        </w:tc>
      </w:tr>
      <w:tr>
        <w:trPr>
          <w:trHeight w:val="414" w:hRule="exact"/>
        </w:trPr>
        <w:tc>
          <w:tcPr>
            <w:tcW w:w="8477" w:type="dxa"/>
          </w:tcPr>
          <w:p>
            <w:pPr>
              <w:pStyle w:val="TableParagraph"/>
              <w:spacing w:before="57"/>
              <w:ind w:left="200"/>
              <w:rPr>
                <w:sz w:val="24"/>
              </w:rPr>
            </w:pPr>
            <w:r>
              <w:rPr>
                <w:sz w:val="24"/>
              </w:rPr>
              <w:t>4.5 Valoración general de las menciones (IFE 2006)…………………………..</w:t>
            </w:r>
          </w:p>
        </w:tc>
        <w:tc>
          <w:tcPr>
            <w:tcW w:w="766" w:type="dxa"/>
          </w:tcPr>
          <w:p>
            <w:pPr>
              <w:pStyle w:val="TableParagraph"/>
              <w:spacing w:before="57"/>
              <w:ind w:left="145" w:right="180"/>
              <w:jc w:val="center"/>
              <w:rPr>
                <w:sz w:val="24"/>
              </w:rPr>
            </w:pPr>
            <w:r>
              <w:rPr>
                <w:sz w:val="24"/>
              </w:rPr>
              <w:t>201</w:t>
            </w:r>
          </w:p>
        </w:tc>
      </w:tr>
      <w:tr>
        <w:trPr>
          <w:trHeight w:val="414" w:hRule="exact"/>
        </w:trPr>
        <w:tc>
          <w:tcPr>
            <w:tcW w:w="8477" w:type="dxa"/>
          </w:tcPr>
          <w:p>
            <w:pPr>
              <w:pStyle w:val="TableParagraph"/>
              <w:spacing w:before="55"/>
              <w:ind w:left="200"/>
              <w:rPr>
                <w:sz w:val="24"/>
              </w:rPr>
            </w:pPr>
            <w:r>
              <w:rPr>
                <w:sz w:val="24"/>
              </w:rPr>
              <w:t>4.6 Valoración de menciones por partido político (IFE 2006)………………….</w:t>
            </w:r>
          </w:p>
        </w:tc>
        <w:tc>
          <w:tcPr>
            <w:tcW w:w="766" w:type="dxa"/>
          </w:tcPr>
          <w:p>
            <w:pPr>
              <w:pStyle w:val="TableParagraph"/>
              <w:spacing w:before="55"/>
              <w:ind w:left="145" w:right="180"/>
              <w:jc w:val="center"/>
              <w:rPr>
                <w:sz w:val="24"/>
              </w:rPr>
            </w:pPr>
            <w:r>
              <w:rPr>
                <w:sz w:val="24"/>
              </w:rPr>
              <w:t>202</w:t>
            </w:r>
          </w:p>
        </w:tc>
      </w:tr>
      <w:tr>
        <w:trPr>
          <w:trHeight w:val="414" w:hRule="exact"/>
        </w:trPr>
        <w:tc>
          <w:tcPr>
            <w:tcW w:w="8477" w:type="dxa"/>
          </w:tcPr>
          <w:p>
            <w:pPr>
              <w:pStyle w:val="TableParagraph"/>
              <w:spacing w:before="57"/>
              <w:ind w:left="200"/>
              <w:rPr>
                <w:sz w:val="24"/>
              </w:rPr>
            </w:pPr>
            <w:r>
              <w:rPr>
                <w:sz w:val="24"/>
              </w:rPr>
              <w:t>4.7 Monitoreo cuantitativo de espacios noticiosos (IEEM 2006)………………</w:t>
            </w:r>
          </w:p>
        </w:tc>
        <w:tc>
          <w:tcPr>
            <w:tcW w:w="766" w:type="dxa"/>
          </w:tcPr>
          <w:p>
            <w:pPr>
              <w:pStyle w:val="TableParagraph"/>
              <w:spacing w:before="57"/>
              <w:ind w:left="145" w:right="180"/>
              <w:jc w:val="center"/>
              <w:rPr>
                <w:sz w:val="24"/>
              </w:rPr>
            </w:pPr>
            <w:r>
              <w:rPr>
                <w:sz w:val="24"/>
              </w:rPr>
              <w:t>204</w:t>
            </w:r>
          </w:p>
        </w:tc>
      </w:tr>
      <w:tr>
        <w:trPr>
          <w:trHeight w:val="828" w:hRule="exact"/>
        </w:trPr>
        <w:tc>
          <w:tcPr>
            <w:tcW w:w="8477" w:type="dxa"/>
          </w:tcPr>
          <w:p>
            <w:pPr>
              <w:pStyle w:val="TableParagraph"/>
              <w:spacing w:line="360" w:lineRule="auto" w:before="55"/>
              <w:ind w:left="200" w:right="243"/>
              <w:rPr>
                <w:sz w:val="24"/>
              </w:rPr>
            </w:pPr>
            <w:r>
              <w:rPr>
                <w:sz w:val="24"/>
              </w:rPr>
              <w:t>4.8 Monitoreo cuantitativo de promocionales por partido político (IEEM 2006)………………………………………………………………………………...</w:t>
            </w:r>
          </w:p>
        </w:tc>
        <w:tc>
          <w:tcPr>
            <w:tcW w:w="766" w:type="dxa"/>
          </w:tcPr>
          <w:p>
            <w:pPr>
              <w:pStyle w:val="TableParagraph"/>
              <w:ind w:left="0"/>
              <w:rPr>
                <w:rFonts w:ascii="Times New Roman"/>
                <w:sz w:val="24"/>
              </w:rPr>
            </w:pPr>
          </w:p>
          <w:p>
            <w:pPr>
              <w:pStyle w:val="TableParagraph"/>
              <w:spacing w:before="195"/>
              <w:ind w:left="145" w:right="180"/>
              <w:jc w:val="center"/>
              <w:rPr>
                <w:sz w:val="24"/>
              </w:rPr>
            </w:pPr>
            <w:r>
              <w:rPr>
                <w:sz w:val="24"/>
              </w:rPr>
              <w:t>205</w:t>
            </w:r>
          </w:p>
        </w:tc>
      </w:tr>
      <w:tr>
        <w:trPr>
          <w:trHeight w:val="326" w:hRule="exact"/>
        </w:trPr>
        <w:tc>
          <w:tcPr>
            <w:tcW w:w="8477" w:type="dxa"/>
          </w:tcPr>
          <w:p>
            <w:pPr>
              <w:pStyle w:val="TableParagraph"/>
              <w:spacing w:before="55"/>
              <w:ind w:left="200"/>
              <w:rPr>
                <w:sz w:val="24"/>
              </w:rPr>
            </w:pPr>
            <w:r>
              <w:rPr>
                <w:sz w:val="24"/>
              </w:rPr>
              <w:t>4.9 Monitoreo cualitativo (IEEM 2006)……………………………………………</w:t>
            </w:r>
          </w:p>
        </w:tc>
        <w:tc>
          <w:tcPr>
            <w:tcW w:w="766" w:type="dxa"/>
          </w:tcPr>
          <w:p>
            <w:pPr>
              <w:pStyle w:val="TableParagraph"/>
              <w:spacing w:before="55"/>
              <w:ind w:left="145" w:right="180"/>
              <w:jc w:val="center"/>
              <w:rPr>
                <w:sz w:val="24"/>
              </w:rPr>
            </w:pPr>
            <w:r>
              <w:rPr>
                <w:sz w:val="24"/>
              </w:rPr>
              <w:t>208</w:t>
            </w:r>
          </w:p>
        </w:tc>
      </w:tr>
    </w:tbl>
    <w:p>
      <w:pPr>
        <w:spacing w:after="0"/>
        <w:jc w:val="center"/>
        <w:rPr>
          <w:sz w:val="24"/>
        </w:rPr>
        <w:sectPr>
          <w:footerReference w:type="default" r:id="rId10"/>
          <w:pgSz w:w="12240" w:h="15840"/>
          <w:pgMar w:footer="1003" w:header="749" w:top="960" w:bottom="1200" w:left="1400" w:right="1380"/>
          <w:pgNumType w:start="11"/>
        </w:sectPr>
      </w:pPr>
    </w:p>
    <w:p>
      <w:pPr>
        <w:pStyle w:val="BodyText"/>
        <w:rPr>
          <w:rFonts w:ascii="Times New Roman"/>
          <w:sz w:val="20"/>
        </w:rPr>
      </w:pPr>
    </w:p>
    <w:p>
      <w:pPr>
        <w:pStyle w:val="Heading1"/>
        <w:ind w:left="1350" w:right="1350"/>
        <w:jc w:val="center"/>
      </w:pPr>
      <w:r>
        <w:rPr/>
        <w:t>INTRODUCCIÓN</w:t>
      </w:r>
    </w:p>
    <w:p>
      <w:pPr>
        <w:pStyle w:val="BodyText"/>
        <w:rPr>
          <w:sz w:val="28"/>
        </w:rPr>
      </w:pPr>
    </w:p>
    <w:p>
      <w:pPr>
        <w:pStyle w:val="BodyText"/>
        <w:spacing w:before="2"/>
        <w:rPr>
          <w:sz w:val="22"/>
        </w:rPr>
      </w:pPr>
    </w:p>
    <w:p>
      <w:pPr>
        <w:pStyle w:val="BodyText"/>
        <w:spacing w:line="360" w:lineRule="auto"/>
        <w:ind w:left="122" w:right="115"/>
        <w:jc w:val="both"/>
      </w:pPr>
      <w:r>
        <w:rPr/>
        <w:t>El objetivo principal de la presente investigación consistió en evaluar la calidad de cuatro elecciones, dos mexicanas ―las celebradas el 2 de julio de 2006 en la República Mexicana y el 12 de marzo del mismo año en el Estado de México― así como dos costarricenses ―las nacionales realizadas el 7 de febrero de 2010 y las cantonales del 5 de diciembre, del mismo año, en la Provincia de San José―;  para determinar cuáles fueron más democráticas. La elección de dichos países descansó en dos razones: por un lado, ambos son democráticos ―cualidad reciente en México y de larga data en Costa Rica― elemento indispensable, como después se verá, para realizar un estudio relativo a la calidad de las elecciones; por otro lado, ambos son países latinoamericanos y como estudiante del área de Estudios Latinoamericanos era de mi interés estudiar dos países con tal característica. La selección del Estado de México en la República Mexicana y la Provincia de San José en Costa Rica, obedeció a que haber intentado el estudio en ámbitos más grandes hubiera dificultado la profundidad con la </w:t>
      </w:r>
      <w:r>
        <w:rPr>
          <w:spacing w:val="2"/>
        </w:rPr>
        <w:t>que </w:t>
      </w:r>
      <w:r>
        <w:rPr/>
        <w:t>se </w:t>
      </w:r>
      <w:r>
        <w:rPr>
          <w:spacing w:val="20"/>
        </w:rPr>
        <w:t> </w:t>
      </w:r>
      <w:r>
        <w:rPr/>
        <w:t>deseaba</w:t>
      </w:r>
    </w:p>
    <w:p>
      <w:pPr>
        <w:pStyle w:val="BodyText"/>
        <w:spacing w:line="350" w:lineRule="auto" w:before="5"/>
        <w:ind w:left="122" w:right="116"/>
        <w:jc w:val="both"/>
      </w:pPr>
      <w:r>
        <w:rPr/>
        <w:t>hacer el análisis. La selección se fundó en que ambas demarcaciones tienen similitudes: son las más pobladas de sus naciones</w:t>
      </w:r>
      <w:r>
        <w:rPr>
          <w:position w:val="11"/>
          <w:sz w:val="16"/>
        </w:rPr>
        <w:t>1</w:t>
      </w:r>
      <w:r>
        <w:rPr/>
        <w:t>, son predominantemente urbanas, están ubicadas en el área central de sus respectivos países y se dedican al comercio, la industria y los servicios.</w:t>
      </w:r>
    </w:p>
    <w:p>
      <w:pPr>
        <w:pStyle w:val="BodyText"/>
        <w:spacing w:line="350" w:lineRule="auto" w:before="16"/>
        <w:ind w:left="122" w:right="118" w:firstLine="707"/>
        <w:jc w:val="both"/>
      </w:pPr>
      <w:r>
        <w:rPr/>
        <w:t>En cuanto a las elecciones seleccionadas, obedecen a dos motivos. Primero, en esas fechas ambos países celebraron elecciones para elegir presidentes de la República, diputados y presidentes municipales</w:t>
      </w:r>
      <w:r>
        <w:rPr>
          <w:position w:val="11"/>
          <w:sz w:val="16"/>
        </w:rPr>
        <w:t>2 </w:t>
      </w:r>
      <w:r>
        <w:rPr/>
        <w:t>o alcaldes</w:t>
      </w:r>
      <w:r>
        <w:rPr>
          <w:position w:val="11"/>
          <w:sz w:val="16"/>
        </w:rPr>
        <w:t>3</w:t>
      </w:r>
      <w:r>
        <w:rPr/>
        <w:t>; lo que  hacía  que  sus  elecciones  fueran  relativamente  análogas.  Segundo,     </w:t>
      </w:r>
      <w:r>
        <w:rPr>
          <w:spacing w:val="65"/>
        </w:rPr>
        <w:t> </w:t>
      </w:r>
      <w:r>
        <w:rPr/>
        <w:t>la</w:t>
      </w:r>
    </w:p>
    <w:p>
      <w:pPr>
        <w:pStyle w:val="BodyText"/>
        <w:spacing w:before="11"/>
        <w:rPr>
          <w:sz w:val="8"/>
        </w:rPr>
      </w:pPr>
      <w:r>
        <w:rPr/>
        <w:pict>
          <v:line style="position:absolute;mso-position-horizontal-relative:page;mso-position-vertical-relative:paragraph;z-index:1144;mso-wrap-distance-left:0;mso-wrap-distance-right:0" from="85.103996pt,7.490168pt" to="229.123996pt,7.490168pt" stroked="true" strokeweight=".71997pt" strokecolor="#000000">
            <w10:wrap type="topAndBottom"/>
          </v:line>
        </w:pict>
      </w:r>
    </w:p>
    <w:p>
      <w:pPr>
        <w:spacing w:line="247" w:lineRule="exact" w:before="36"/>
        <w:ind w:left="122" w:right="0" w:firstLine="0"/>
        <w:jc w:val="both"/>
        <w:rPr>
          <w:sz w:val="20"/>
        </w:rPr>
      </w:pPr>
      <w:r>
        <w:rPr>
          <w:position w:val="10"/>
          <w:sz w:val="13"/>
        </w:rPr>
        <w:t>1 </w:t>
      </w:r>
      <w:r>
        <w:rPr>
          <w:sz w:val="20"/>
        </w:rPr>
        <w:t>De acuerdo con datos del INEGI (2012d) y del INEC (2012).</w:t>
      </w:r>
    </w:p>
    <w:p>
      <w:pPr>
        <w:spacing w:line="228" w:lineRule="exact" w:before="22"/>
        <w:ind w:left="122" w:right="129" w:firstLine="0"/>
        <w:jc w:val="both"/>
        <w:rPr>
          <w:sz w:val="20"/>
        </w:rPr>
      </w:pPr>
      <w:r>
        <w:rPr>
          <w:position w:val="10"/>
          <w:sz w:val="13"/>
        </w:rPr>
        <w:t>2 </w:t>
      </w:r>
      <w:r>
        <w:rPr>
          <w:sz w:val="20"/>
        </w:rPr>
        <w:t>La Ley Orgánica Municipal del Estado de México hace referencia al presidente municipal para referirse al funcionario que preside y dirige las sesiones del ayuntamiento (LEM LI, 1992: 29).</w:t>
      </w:r>
    </w:p>
    <w:p>
      <w:pPr>
        <w:spacing w:line="230" w:lineRule="exact" w:before="0"/>
        <w:ind w:left="122" w:right="118" w:firstLine="0"/>
        <w:jc w:val="both"/>
        <w:rPr>
          <w:sz w:val="20"/>
        </w:rPr>
      </w:pPr>
      <w:r>
        <w:rPr>
          <w:position w:val="10"/>
          <w:sz w:val="13"/>
        </w:rPr>
        <w:t>3 </w:t>
      </w:r>
      <w:r>
        <w:rPr>
          <w:sz w:val="20"/>
        </w:rPr>
        <w:t>En Costa Rica se denominó alcalde al presidente municipal que se conoce en México. El Código Municipal costarricense (ALCR, 1998) así como la Constitución Política (ANC, 1949) hacen mención de la figura del alcalde, pero no la definen; por su parte el Instituto de Fomento y</w:t>
      </w:r>
      <w:r>
        <w:rPr>
          <w:spacing w:val="21"/>
          <w:sz w:val="20"/>
        </w:rPr>
        <w:t> </w:t>
      </w:r>
      <w:r>
        <w:rPr>
          <w:sz w:val="20"/>
        </w:rPr>
        <w:t>Asesoría</w:t>
      </w:r>
    </w:p>
    <w:p>
      <w:pPr>
        <w:spacing w:line="240" w:lineRule="auto" w:before="0"/>
        <w:ind w:left="122" w:right="124" w:firstLine="0"/>
        <w:jc w:val="both"/>
        <w:rPr>
          <w:sz w:val="20"/>
        </w:rPr>
      </w:pPr>
      <w:r>
        <w:rPr>
          <w:sz w:val="20"/>
        </w:rPr>
        <w:t>Municipal (IFAM) tampoco define al alcalde municipal, sin embargo, señala sus funciones: ejercer conjuntamente con el Concejo la función de Gobierno Municipal, es el administrador general y jefe de las dependencias municipales, como tal le corresponde mantener y velar por una adecuada planificación, organización, funcionamiento y coordinación de ellas (Alvarado y Pérez, 2004, 27). Dichas funciones son relativamente análogas a las que realiza el presidente municipal en México, de ahí que ambas figuras ―presidente municipal y alcalde― resultan equivalentes.</w:t>
      </w:r>
    </w:p>
    <w:p>
      <w:pPr>
        <w:spacing w:after="0" w:line="240" w:lineRule="auto"/>
        <w:jc w:val="both"/>
        <w:rPr>
          <w:sz w:val="20"/>
        </w:rPr>
        <w:sectPr>
          <w:pgSz w:w="12240" w:h="15840"/>
          <w:pgMar w:header="749" w:footer="1003" w:top="960" w:bottom="1200" w:left="1580" w:right="1580"/>
        </w:sectPr>
      </w:pPr>
    </w:p>
    <w:p>
      <w:pPr>
        <w:pStyle w:val="BodyText"/>
        <w:rPr>
          <w:sz w:val="20"/>
        </w:rPr>
      </w:pPr>
    </w:p>
    <w:p>
      <w:pPr>
        <w:pStyle w:val="BodyText"/>
        <w:spacing w:line="360" w:lineRule="auto" w:before="214"/>
        <w:ind w:left="102" w:right="121"/>
        <w:jc w:val="both"/>
      </w:pPr>
      <w:r>
        <w:rPr/>
        <w:t>posibilidad de realizar trabajo de campo durante el desarrollo de los procesos electorales a realizarse en Costa Rica, para ello me acredité como observadora electoral internacional en las elecciones de febrero y diciembre de 2010 ante el Tribunal Supremo de Elecciones (TSE) y realicé una estancia en la Universidad Nacional de Costa Rica (UNA); en cuanto a México, el trabajo de campo lo había desarrollado en 2006 en el Instituto Electoral del Estado de México (IEEM) durante el tiempo que me desempeñé como servidora electoral.</w:t>
      </w:r>
    </w:p>
    <w:p>
      <w:pPr>
        <w:pStyle w:val="BodyText"/>
        <w:spacing w:line="360" w:lineRule="auto" w:before="5"/>
        <w:ind w:left="102" w:right="123" w:firstLine="707"/>
        <w:jc w:val="both"/>
      </w:pPr>
      <w:r>
        <w:rPr/>
        <w:t>Los objetivos particulares dan cuenta de la actividad de tres actores principales: en primer lugar analicé la designación y actuación de los institutos electorales ―dos mexicanos IFE e IEEM― y uno costarricense ― el TSE―; posteriormente examiné la actividad financiera de los partidos políticos y finalmente evalué la cobertura de la campaña por parte de los medios de comunicación.</w:t>
      </w:r>
    </w:p>
    <w:p>
      <w:pPr>
        <w:pStyle w:val="BodyText"/>
        <w:spacing w:line="360" w:lineRule="auto" w:before="5"/>
        <w:ind w:left="102" w:right="115" w:firstLine="707"/>
        <w:jc w:val="both"/>
      </w:pPr>
      <w:r>
        <w:rPr/>
        <w:t>El presente trabajo se dividió, para su estudio, en cuatro partes: la primera relativa al contexto en el cual se desarrollan los procesos electorales y las tres restantes dedicadas al estudio de cada uno de los actores: árbitros u órganos electorales, partidos políticos y medios de comunicación. En todos los casos los capítulos están divididos en dos subapartados: el primero hace referencia a  México y el segundo a Costa Rica. En el primer capítulo se estudiaron aspectos generales relativos a las circunstancias en las cuales se desarrollaron las elecciones objeto de estudio como son: territorio, población, densidad de población, organización político-territorial y régimen político. En el segundo capítulo se analizó la elección y actuación de los tres órganos electorales que organizaron las elecciones en México (IFE e IEEM) y Costa Rica (TSE). El tercer capítulo evalúo la legalidad en el uso de los recursos financieros con que cuentan los partidos políticos a través de dos aspectos: las irregularidades encontradas en la aplicación del financiamiento público y el rebase de topes (en México) o montos máximos (en Costa Rica). Finalmente, en el capítulo cuarto se estudió la equidad mostrada por los medios de comunicación ante la cobertura de las campañas electorales</w:t>
      </w:r>
      <w:r>
        <w:rPr>
          <w:spacing w:val="29"/>
        </w:rPr>
        <w:t> </w:t>
      </w:r>
      <w:r>
        <w:rPr/>
        <w:t>por</w:t>
      </w:r>
      <w:r>
        <w:rPr>
          <w:spacing w:val="27"/>
        </w:rPr>
        <w:t> </w:t>
      </w:r>
      <w:r>
        <w:rPr/>
        <w:t>medio</w:t>
      </w:r>
      <w:r>
        <w:rPr>
          <w:spacing w:val="28"/>
        </w:rPr>
        <w:t> </w:t>
      </w:r>
      <w:r>
        <w:rPr/>
        <w:t>de</w:t>
      </w:r>
      <w:r>
        <w:rPr>
          <w:spacing w:val="31"/>
        </w:rPr>
        <w:t> </w:t>
      </w:r>
      <w:r>
        <w:rPr/>
        <w:t>los</w:t>
      </w:r>
      <w:r>
        <w:rPr>
          <w:spacing w:val="28"/>
        </w:rPr>
        <w:t> </w:t>
      </w:r>
      <w:r>
        <w:rPr/>
        <w:t>monitoreos</w:t>
      </w:r>
      <w:r>
        <w:rPr>
          <w:spacing w:val="30"/>
        </w:rPr>
        <w:t> </w:t>
      </w:r>
      <w:r>
        <w:rPr/>
        <w:t>cuantitativos</w:t>
      </w:r>
      <w:r>
        <w:rPr>
          <w:spacing w:val="31"/>
        </w:rPr>
        <w:t> </w:t>
      </w:r>
      <w:r>
        <w:rPr/>
        <w:t>de</w:t>
      </w:r>
      <w:r>
        <w:rPr>
          <w:spacing w:val="28"/>
        </w:rPr>
        <w:t> </w:t>
      </w:r>
      <w:r>
        <w:rPr/>
        <w:t>espacios</w:t>
      </w:r>
      <w:r>
        <w:rPr>
          <w:spacing w:val="28"/>
        </w:rPr>
        <w:t> </w:t>
      </w:r>
      <w:r>
        <w:rPr/>
        <w:t>noticiosos</w:t>
      </w:r>
      <w:r>
        <w:rPr>
          <w:spacing w:val="28"/>
        </w:rPr>
        <w:t> </w:t>
      </w:r>
      <w:r>
        <w:rPr/>
        <w:t>así</w:t>
      </w:r>
    </w:p>
    <w:p>
      <w:pPr>
        <w:spacing w:after="0" w:line="360" w:lineRule="auto"/>
        <w:jc w:val="both"/>
        <w:sectPr>
          <w:pgSz w:w="12240" w:h="15840"/>
          <w:pgMar w:header="749" w:footer="1003" w:top="960" w:bottom="1200" w:left="1600" w:right="1580"/>
        </w:sectPr>
      </w:pPr>
    </w:p>
    <w:p>
      <w:pPr>
        <w:pStyle w:val="BodyText"/>
        <w:rPr>
          <w:sz w:val="20"/>
        </w:rPr>
      </w:pPr>
    </w:p>
    <w:p>
      <w:pPr>
        <w:pStyle w:val="BodyText"/>
        <w:spacing w:line="362" w:lineRule="auto" w:before="214"/>
        <w:ind w:left="102" w:right="114"/>
        <w:jc w:val="both"/>
      </w:pPr>
      <w:r>
        <w:rPr/>
        <w:t>como de promocionales en radio y televisión durante el periodo de campañas (ver Anexo 2).</w:t>
      </w:r>
    </w:p>
    <w:p>
      <w:pPr>
        <w:pStyle w:val="BodyText"/>
        <w:spacing w:line="360" w:lineRule="auto"/>
        <w:ind w:left="102" w:right="114" w:firstLine="707"/>
        <w:jc w:val="both"/>
      </w:pPr>
      <w:r>
        <w:rPr/>
        <w:t>Inicie el presente trabajo partiendo de la idea de que ambos países son democráticos característica indispensable para evaluar la calidad de la democracia y más específicamente de las elecciones. La importancia de la democracia radica en que su escasez o mala calidad influye directamente en las condiciones de vida de los ciudadanos (López, 2010: 1), por lo que resulta importante evaluar que tan democrático es un régimen político en concreto y sólo a través del análisis de la calidad de la democracia ―o democraticidad― podemos establecer el grado de democracia obtenido. Cansino definió a la calidad de la democracia como el “conjunto de condiciones mínimas en presencia de las cuales es posible evaluar qué tan buena es una democracia en los hechos” (2005: 33).</w:t>
      </w:r>
    </w:p>
    <w:p>
      <w:pPr>
        <w:pStyle w:val="BodyText"/>
        <w:spacing w:line="360" w:lineRule="auto" w:before="2"/>
        <w:ind w:left="102" w:right="124" w:firstLine="707"/>
        <w:jc w:val="both"/>
      </w:pPr>
      <w:r>
        <w:rPr/>
        <w:t>Para evaluar la calidad de la democracia se establecen diversos aspectos o “dimensiones” ―según O’Donnell (2003) ― basados en las “condiciones mínimas”</w:t>
      </w:r>
    </w:p>
    <w:p>
      <w:pPr>
        <w:pStyle w:val="BodyText"/>
        <w:spacing w:line="360" w:lineRule="auto" w:before="2"/>
        <w:ind w:left="102" w:right="116"/>
        <w:jc w:val="both"/>
      </w:pPr>
      <w:r>
        <w:rPr/>
        <w:t>―en palabras de Cansino (2005) ― y una de esas dimensiones es el análisis de los procesos electorales los cuales deben cumplir con dos condiciones mínimas: ser limpios y equitativamente competidos (Lizcano, 2011), es decir, que no haya fraude y que todos los partidos tengan la posibilidad de acceder al poder. De acuerdo con lo anterior el estudio de los procesos electorales ocupó un papel primordial al evaluar la calidad de la democracia ya que “constituyen uno de los instrumentos clave en la designación de los gobernantes, la participación política de la ciudadanía, el control del gobierno por ella y la interacción entre partidos o grupos políticos. La democracia moderna no podría funcionar sin los procesos electorales” (Crespo, 2001: 9); el analizar la calidad de las elecciones permite determinar qué tan limpios y equitativamente competidos fueron los comicios.</w:t>
      </w:r>
    </w:p>
    <w:p>
      <w:pPr>
        <w:pStyle w:val="BodyText"/>
        <w:spacing w:line="360" w:lineRule="auto" w:before="5"/>
        <w:ind w:left="102" w:right="116" w:firstLine="707"/>
        <w:jc w:val="both"/>
      </w:pPr>
      <w:r>
        <w:rPr/>
        <w:t>En cuanto al estado de la cuestión, se encontraron 17 estudios ―entre libros y artículos― de los cuales cinco analizaron la calidad de la democracia. El primero es de Morlino (2007) quién estudió el caso de países del sur de Europa (Portugal, España e Italia) y del Cono Sur de Latinoamérica (Chile, Argentina, Uruguay y Brasil). El segundo elaborado por Levine y Molina (2007), en él se estudió   la  calidad  de  la  democracia  en  América  Latina  a  través  </w:t>
      </w:r>
      <w:r>
        <w:rPr>
          <w:spacing w:val="4"/>
        </w:rPr>
        <w:t>de     </w:t>
      </w:r>
      <w:r>
        <w:rPr>
          <w:spacing w:val="23"/>
        </w:rPr>
        <w:t> </w:t>
      </w:r>
      <w:r>
        <w:rPr/>
        <w:t>cinco</w:t>
      </w:r>
    </w:p>
    <w:p>
      <w:pPr>
        <w:spacing w:after="0" w:line="360" w:lineRule="auto"/>
        <w:jc w:val="both"/>
        <w:sectPr>
          <w:pgSz w:w="12240" w:h="15840"/>
          <w:pgMar w:header="749" w:footer="1003" w:top="960" w:bottom="1200" w:left="1600" w:right="1580"/>
        </w:sectPr>
      </w:pPr>
    </w:p>
    <w:p>
      <w:pPr>
        <w:pStyle w:val="BodyText"/>
        <w:rPr>
          <w:sz w:val="20"/>
        </w:rPr>
      </w:pPr>
    </w:p>
    <w:p>
      <w:pPr>
        <w:pStyle w:val="BodyText"/>
        <w:spacing w:line="360" w:lineRule="auto" w:before="214"/>
        <w:ind w:left="102" w:right="116"/>
        <w:jc w:val="both"/>
      </w:pPr>
      <w:r>
        <w:rPr/>
        <w:t>dimensiones: decisión electoral, participación, respuesta a la voluntad popular, responsabilidad y soberanía, las cuales se analizaron por medio de indicadores tales como: evaluación de expertos, datos estadísticos agregados y encuestas de opinión pública; dichas dimensiones no son estudiadas en la presente tesis debido a que tienen relación con los ciudadanos, los cuales no son actores a evaluar en el presente trabajo, pues en este análisis únicamente se estudió la actuación de tres actores: 1) organismos electorales, 2) partidos políticos y 3) medios de comunicación.</w:t>
      </w:r>
    </w:p>
    <w:p>
      <w:pPr>
        <w:pStyle w:val="BodyText"/>
        <w:spacing w:line="360" w:lineRule="auto" w:before="2"/>
        <w:ind w:left="102" w:right="116" w:firstLine="707"/>
        <w:jc w:val="both"/>
      </w:pPr>
      <w:r>
        <w:rPr/>
        <w:t>El tercero trabajo fue coordinado por Emmerich (2009) y en él se analizó la situación de la democracia en México a través de cuatro dimensiones: ciudadanía, leyes y derecho; gobierno representativo que rinde cuentas de su gestión;  sociedad civil y participación popular y por último, democracia más allá de las fronteras del Estado; dichas dimensiones se dividen en 14 áreas temáticas: nacionalidad y ciudadanía, estado de derecho y acceso a la justicia, derechos civiles y políticos, derechos económicos y sociales, elecciones libres y honestas, el papel democrático de los partidos políticos, eficacia y rendición de cuentas del gobierno, control civil sobre el ejército y la policía, minimizar la corrupción, los medios de comunicación en la sociedad democrática, participación política, capacidad de respuesta del gobierno, descentralización y finalmente, democracia más allá de las fronteras; de las 14 áreas temáticas propuestas por Emmerich analicé tres, las relativas a: elecciones libres, partidos políticos y medios de comunicación pero no sólo en México también en Costa Rica para determinar qué tan democráticas son las elecciones en cada</w:t>
      </w:r>
      <w:r>
        <w:rPr>
          <w:spacing w:val="-19"/>
        </w:rPr>
        <w:t> </w:t>
      </w:r>
      <w:r>
        <w:rPr/>
        <w:t>país.</w:t>
      </w:r>
    </w:p>
    <w:p>
      <w:pPr>
        <w:pStyle w:val="BodyText"/>
        <w:spacing w:line="360" w:lineRule="auto" w:before="5"/>
        <w:ind w:left="102" w:right="115" w:firstLine="707"/>
        <w:jc w:val="both"/>
      </w:pPr>
      <w:r>
        <w:rPr/>
        <w:t>El cuarto estudio fue elaborado por Kjersti (2011), y en él se analizó la calidad de la democracia en Costa Rica de 1980 a 2011 a través de aspectos como la crisis económica, la desintegración social y el cambio político; sin embargo, no analizó aspectos</w:t>
      </w:r>
      <w:r>
        <w:rPr>
          <w:spacing w:val="-12"/>
        </w:rPr>
        <w:t> </w:t>
      </w:r>
      <w:r>
        <w:rPr/>
        <w:t>electorales.</w:t>
      </w:r>
    </w:p>
    <w:p>
      <w:pPr>
        <w:pStyle w:val="BodyText"/>
        <w:spacing w:line="360" w:lineRule="auto" w:before="5"/>
        <w:ind w:left="102" w:right="118" w:firstLine="707"/>
        <w:jc w:val="both"/>
      </w:pPr>
      <w:r>
        <w:rPr/>
        <w:t>Finalmente el quinto, de Ackerman (2007) estudió el desempeño de tres organismos autónomos mexicanos: el Instituto Federal Electoral (IFE), la Comisión Nacional de los Derechos Humanos (CNDH) y la Auditoría Superior de la Federación</w:t>
      </w:r>
      <w:r>
        <w:rPr>
          <w:spacing w:val="52"/>
        </w:rPr>
        <w:t> </w:t>
      </w:r>
      <w:r>
        <w:rPr/>
        <w:t>(ASF);</w:t>
      </w:r>
      <w:r>
        <w:rPr>
          <w:spacing w:val="51"/>
        </w:rPr>
        <w:t> </w:t>
      </w:r>
      <w:r>
        <w:rPr/>
        <w:t>a</w:t>
      </w:r>
      <w:r>
        <w:rPr>
          <w:spacing w:val="52"/>
        </w:rPr>
        <w:t> </w:t>
      </w:r>
      <w:r>
        <w:rPr/>
        <w:t>través</w:t>
      </w:r>
      <w:r>
        <w:rPr>
          <w:spacing w:val="51"/>
        </w:rPr>
        <w:t> </w:t>
      </w:r>
      <w:r>
        <w:rPr/>
        <w:t>de</w:t>
      </w:r>
      <w:r>
        <w:rPr>
          <w:spacing w:val="52"/>
        </w:rPr>
        <w:t> </w:t>
      </w:r>
      <w:r>
        <w:rPr/>
        <w:t>su</w:t>
      </w:r>
      <w:r>
        <w:rPr>
          <w:spacing w:val="52"/>
        </w:rPr>
        <w:t> </w:t>
      </w:r>
      <w:r>
        <w:rPr/>
        <w:t>relación</w:t>
      </w:r>
      <w:r>
        <w:rPr>
          <w:spacing w:val="52"/>
        </w:rPr>
        <w:t> </w:t>
      </w:r>
      <w:r>
        <w:rPr/>
        <w:t>con</w:t>
      </w:r>
      <w:r>
        <w:rPr>
          <w:spacing w:val="52"/>
        </w:rPr>
        <w:t> </w:t>
      </w:r>
      <w:r>
        <w:rPr/>
        <w:t>la</w:t>
      </w:r>
      <w:r>
        <w:rPr>
          <w:spacing w:val="51"/>
        </w:rPr>
        <w:t> </w:t>
      </w:r>
      <w:r>
        <w:rPr/>
        <w:t>democracia mediante</w:t>
      </w:r>
      <w:r>
        <w:rPr>
          <w:spacing w:val="52"/>
        </w:rPr>
        <w:t> </w:t>
      </w:r>
      <w:r>
        <w:rPr/>
        <w:t>cuatro</w:t>
      </w:r>
    </w:p>
    <w:p>
      <w:pPr>
        <w:spacing w:after="0" w:line="360" w:lineRule="auto"/>
        <w:jc w:val="both"/>
        <w:sectPr>
          <w:pgSz w:w="12240" w:h="15840"/>
          <w:pgMar w:header="749" w:footer="1003" w:top="960" w:bottom="1200" w:left="1600" w:right="1580"/>
        </w:sectPr>
      </w:pPr>
    </w:p>
    <w:p>
      <w:pPr>
        <w:pStyle w:val="BodyText"/>
        <w:rPr>
          <w:sz w:val="20"/>
        </w:rPr>
      </w:pPr>
    </w:p>
    <w:p>
      <w:pPr>
        <w:pStyle w:val="BodyText"/>
        <w:spacing w:line="360" w:lineRule="auto" w:before="214"/>
        <w:ind w:left="102" w:right="116"/>
        <w:jc w:val="both"/>
      </w:pPr>
      <w:r>
        <w:rPr/>
        <w:t>dimensiones: A) solidez de la estructura del organismo, B) funcionamiento, C) productos y D) impacto en el mundo exterior; la primera se divide en dos variables: estructura interna y estructura externa (esta última se subdivide en dos: grado de autonomía que tiene un organismo respecto de influencias externas que puedan corromper sus operaciones y alcance de sus atribuciones legales); en cuanto a la segunda dimensión ésta se estudió a través de dos variables: sistema mediante el cual funciona (con el de “bote de basura” o el de jerarquización) y eficiencia de la supervisión de los subordinados por sus superiores; por lo que respecta a la tercera, ésta evalúo tres variables: cuántos productos genera, con qué frecuencia  y la naturaleza de los mismos; finalmente la cuarta analiza el impacto positivo o negativo que el organismo causa a la sociedad. La presente investigación tiene relación con el análisis anterior en cuanto a las tres primeras dimensiones, ya que no evalúo el impacto de los órganos electorales en la sociedad, sin embargo, analizo la actividad de otros actores como son los partidos políticos y los medios de comunicación no sólo en elecciones mexicanas sino también costarricenses. Ackerman no analizó cuestiones electorales, ni hizo un estudio exhaustivo de la elección y actividad de los consejeros del IFE como se realizó en el presente trabajo. El autor estudió al IFE durante el periodo que va de 1996 a 2003, es decir, no analizó el proceso de 2006, pero ―en una nota dirigida al lector, firmada en enero de 2007― manifestó su desencanto con el desempeño de los consejeros del IFE durante el proceso electoral de 2006; señalando que la confianza ganada por los consejeros del IFE en el periodo que analizó (1996-2003) se perdió con el desempeño de los consejeros que intervinieron en las elecciones de 2006, sin embargo, no da argumentos contundentes (Ackerman,</w:t>
      </w:r>
      <w:r>
        <w:rPr>
          <w:spacing w:val="-21"/>
        </w:rPr>
        <w:t> </w:t>
      </w:r>
      <w:r>
        <w:rPr/>
        <w:t>2007).</w:t>
      </w:r>
    </w:p>
    <w:p>
      <w:pPr>
        <w:pStyle w:val="BodyText"/>
        <w:spacing w:line="360" w:lineRule="auto" w:before="2"/>
        <w:ind w:left="102" w:right="115" w:firstLine="707"/>
        <w:jc w:val="both"/>
      </w:pPr>
      <w:r>
        <w:rPr/>
        <w:t>Al respecto de la calidad de las elecciones en América Latina se  encontraron cinco estudios. El primero de Aguilar y Galindo (2006) es un análisis comparativo del financiamiento político en México, Argentina, Chile, Uruguay y Perú en el cual se estudian cuatro dimensiones: sistema de partidos políticos; financiamiento al sistema de partidos; generalidades de México, Argentina, Chile, Uruguay y Perú; y análisis comparativo del financiamiento político en México, Argentina, Chile, Uruguay y Perú; sin embargo, no analizó lo relativo a Costa </w:t>
      </w:r>
      <w:r>
        <w:rPr>
          <w:spacing w:val="15"/>
        </w:rPr>
        <w:t> </w:t>
      </w:r>
      <w:r>
        <w:rPr/>
        <w:t>Rica</w:t>
      </w:r>
    </w:p>
    <w:p>
      <w:pPr>
        <w:spacing w:after="0" w:line="360" w:lineRule="auto"/>
        <w:jc w:val="both"/>
        <w:sectPr>
          <w:pgSz w:w="12240" w:h="15840"/>
          <w:pgMar w:header="749" w:footer="1003" w:top="960" w:bottom="1200" w:left="1600" w:right="1580"/>
        </w:sectPr>
      </w:pPr>
    </w:p>
    <w:p>
      <w:pPr>
        <w:pStyle w:val="BodyText"/>
        <w:rPr>
          <w:sz w:val="20"/>
        </w:rPr>
      </w:pPr>
    </w:p>
    <w:p>
      <w:pPr>
        <w:pStyle w:val="BodyText"/>
        <w:spacing w:line="362" w:lineRule="auto" w:before="214"/>
        <w:ind w:left="102" w:right="120"/>
      </w:pPr>
      <w:r>
        <w:rPr/>
        <w:t>ni a otros actores tales como órganos electorales (éstos sólo se estudian como instituciones de control del financiamiento) y medios de comunicación.</w:t>
      </w:r>
    </w:p>
    <w:p>
      <w:pPr>
        <w:pStyle w:val="BodyText"/>
        <w:spacing w:line="360" w:lineRule="auto"/>
        <w:ind w:left="102" w:right="116" w:firstLine="707"/>
        <w:jc w:val="both"/>
      </w:pPr>
      <w:r>
        <w:rPr/>
        <w:t>El segundo de Griner y Arias (2007) estudió los medios de comunicación y los partidos políticos en América Latina, a través de nueve variables: países de América Latina que tienen franjas exclusivas, esquemas mixtos, países que tienen franjas en medios estatales y privados y límites indirectos, límites precisos e indirectos en campañas electorales, regulaciones sobre publicidad en medios en períodos de campaña, divulgación de los resultados de las encuestas, utilización de los recursos del Estado y equilibrio informativo, internet, ¿son realmente caras las elecciones en América Latina?; de esas variables el presente trabajo estudió sólo dos: límites en campañas electorales, utilización de los recursos del Estado y equilibrio informativo, pero ambos temas son tratados con mayor profundidad que en el estudio de Griner y Arias, por ejemplo, en cuanto al equilibrio informativo la presente investigación analizó los monitoreos cuantitativos y cualitativos  para tener un panorama completo a diferencia del estudio señalado que sólo indica datos generales, por otro lado no se analizó la actividad de los órganos electorales y el estudio es anterior a las elecciones objeto de estudio en Costa Rica.</w:t>
      </w:r>
    </w:p>
    <w:p>
      <w:pPr>
        <w:pStyle w:val="BodyText"/>
        <w:spacing w:line="360" w:lineRule="auto" w:before="5"/>
        <w:ind w:left="102" w:right="117" w:firstLine="707"/>
        <w:jc w:val="both"/>
      </w:pPr>
      <w:r>
        <w:rPr/>
        <w:t>El tercero de Komblit (2007), analizó la calidad de las elecciones (durante el período de 1999 a 2006) partiendo de las afirmaciones de Levine y Molina, a través de las siguientes variables: elecciones equitativas, libres y competidas; derechos y libertades civiles y políticos; y sujeción del sector militar al civil; concluyendo que el régimen de Chávez es más un régimen autoritario electoral que una democracia representativa convencional, debido a que dicho régimen se aleja de las aspiraciones e ideales que sustentan el concepto, dimensiones e indicadores de la calidad de la democracia propuestos; dicho estudio analizó las elecciones (equitativas, libres y competidas) en el caso Venezolano y el presente estudio en los casos de México y Costa</w:t>
      </w:r>
      <w:r>
        <w:rPr>
          <w:spacing w:val="-11"/>
        </w:rPr>
        <w:t> </w:t>
      </w:r>
      <w:r>
        <w:rPr/>
        <w:t>Rica.</w:t>
      </w:r>
    </w:p>
    <w:p>
      <w:pPr>
        <w:pStyle w:val="BodyText"/>
        <w:spacing w:line="360" w:lineRule="auto" w:before="5"/>
        <w:ind w:left="102" w:right="116" w:firstLine="707"/>
        <w:jc w:val="both"/>
      </w:pPr>
      <w:r>
        <w:rPr/>
        <w:t>El cuarto estudio elaborado por Hartlyn, Mc Coy y Mustillo (2008) analizó la gobernanza electoral y la calidad de las elecciones en la América Latina contemporánea, estudió la administración electoral en 19 países, así como las elecciones democráticas aceptables desde 1980 (o bien desde la primera elección</w:t>
      </w:r>
    </w:p>
    <w:p>
      <w:pPr>
        <w:spacing w:after="0" w:line="360" w:lineRule="auto"/>
        <w:jc w:val="both"/>
        <w:sectPr>
          <w:pgSz w:w="12240" w:h="15840"/>
          <w:pgMar w:header="749" w:footer="1003" w:top="960" w:bottom="1200" w:left="1600" w:right="1580"/>
        </w:sectPr>
      </w:pPr>
    </w:p>
    <w:p>
      <w:pPr>
        <w:pStyle w:val="BodyText"/>
        <w:rPr>
          <w:sz w:val="20"/>
        </w:rPr>
      </w:pPr>
    </w:p>
    <w:p>
      <w:pPr>
        <w:pStyle w:val="BodyText"/>
        <w:spacing w:line="360" w:lineRule="auto" w:before="214"/>
        <w:ind w:left="102" w:right="120"/>
        <w:jc w:val="both"/>
      </w:pPr>
      <w:r>
        <w:rPr/>
        <w:t>trascendental que marcó la transición a la democracia) a través del grado de partidismo o independencia profesional del organismo electoral, la independencia formal-legal institucional; lo cual se encuentra ligado con el presente estudio en lo que hace a la selección y actuación de los órganos electorales, sin embargo, el presente estudio es más profundo en cuanto a la actuación del TSE, IEEM e IFE.</w:t>
      </w:r>
    </w:p>
    <w:p>
      <w:pPr>
        <w:pStyle w:val="BodyText"/>
        <w:spacing w:line="360" w:lineRule="auto" w:before="5"/>
        <w:ind w:left="102" w:right="116" w:firstLine="707"/>
        <w:jc w:val="both"/>
      </w:pPr>
      <w:r>
        <w:rPr/>
        <w:t>Finalmente el análisis elaborado por Tovar (2011), examina las elecciones de alta competitividad y los conflictos post electorales en América Latina a través de las causas y consecuencias institucionales de las respuestas de los  perdedores, todo el estudio gira en torno a la actividad de los candidatos  o partidos perdedores en las elecciones presidenciales, dejando de lado las elecciones locales y los otros actores de la contienda electoral, sin embargo, es un estudio</w:t>
      </w:r>
      <w:r>
        <w:rPr>
          <w:spacing w:val="-7"/>
        </w:rPr>
        <w:t> </w:t>
      </w:r>
      <w:r>
        <w:rPr/>
        <w:t>novedoso.</w:t>
      </w:r>
    </w:p>
    <w:p>
      <w:pPr>
        <w:pStyle w:val="BodyText"/>
        <w:spacing w:line="360" w:lineRule="auto" w:before="2"/>
        <w:ind w:left="102" w:right="124" w:firstLine="707"/>
        <w:jc w:val="both"/>
      </w:pPr>
      <w:r>
        <w:rPr/>
        <w:t>En cuanto a la calidad de las elecciones en el Continente Americano se encontró  un  estudio de  la  Organización  de  Estados Americanos (OEA)   (2008)</w:t>
      </w:r>
    </w:p>
    <w:p>
      <w:pPr>
        <w:pStyle w:val="BodyText"/>
        <w:spacing w:line="360" w:lineRule="auto" w:before="2"/>
        <w:ind w:left="102" w:right="114"/>
        <w:jc w:val="both"/>
      </w:pPr>
      <w:r>
        <w:rPr/>
        <w:t>―en su primera jornada interamericana electoral― el cual promueve el fortalecimiento de los procesos y sistemas electorales en el hemisferio, el financiamiento de la política, los registros electorales y la educación cívica- electoral, para ello analizó cinco dimensiones: los retos de la democracia en Latinoamérica y el Caribe, mejoramiento del financiamiento político, mejoramiento de los registros electorales, fomentando la participación ciudadana a través de la educación cívica y la capacitación de los miembros de mesa de votación, y resultados de la Primera Jornada Interamericana Electoral; en dicho estudio se analizaron los casos de México y Costa Rica (antes de 2008) entre otros países, y se hicieron propuestas en materia de financiamiento de partidos y organización electoral, sin analizar la actividad de otros actores políticos.</w:t>
      </w:r>
    </w:p>
    <w:p>
      <w:pPr>
        <w:pStyle w:val="BodyText"/>
        <w:spacing w:line="360" w:lineRule="auto" w:before="5"/>
        <w:ind w:left="102" w:right="118" w:firstLine="707"/>
        <w:jc w:val="both"/>
      </w:pPr>
      <w:r>
        <w:rPr/>
        <w:t>En relación con la calidad de las elecciones en el Estado de México se encontraron dos estudios. El primero, elaborado por Lizcano y otros (2013a) siguiendo la guía metodológica de la Redicadem (Red de Investigación de la Calidad de la Democracia en México), el cual estudió la calidad de las elecciones en el Estado de México durante el proceso electoral de 2011 para elegir gobernador del Estado, a través de cuatro dimensiones —grado de   imparcialidad</w:t>
      </w:r>
    </w:p>
    <w:p>
      <w:pPr>
        <w:spacing w:after="0" w:line="360" w:lineRule="auto"/>
        <w:jc w:val="both"/>
        <w:sectPr>
          <w:pgSz w:w="12240" w:h="15840"/>
          <w:pgMar w:header="749" w:footer="1003" w:top="960" w:bottom="1200" w:left="1600" w:right="1580"/>
        </w:sectPr>
      </w:pPr>
    </w:p>
    <w:p>
      <w:pPr>
        <w:pStyle w:val="BodyText"/>
        <w:rPr>
          <w:sz w:val="20"/>
        </w:rPr>
      </w:pPr>
    </w:p>
    <w:p>
      <w:pPr>
        <w:pStyle w:val="BodyText"/>
        <w:spacing w:line="360" w:lineRule="auto" w:before="214"/>
        <w:ind w:left="102" w:right="116"/>
        <w:jc w:val="both"/>
      </w:pPr>
      <w:r>
        <w:rPr/>
        <w:t>de los dos principales árbitros de la contienda, la organización del proceso electoral, el nivel de equidad de la contienda y la legitimidad del mencionado proceso electoral— de las cuales estudié la primera y la tercera dimensión, pero teniendo como objeto de estudio no sólo al IEEM, sino también al IFE y al TSE durante los procesos electorales de 2006 y 2010, para elegir a presidentes municipales, alcaldes, legisladores y presidentes de la República; además se agregaron indicadores a las variables objeto de estudio, por ejemplo: a la variable elección se agregó el indicador votación dada por la legislatura a las  designaciones de consejeros y magistrados; y a la variable actuación  se agregaron los indicadores: imparcialidad en el resultado de la elección e imparcialidad con respecto a las organizaciones políticas; lo anterior para tener un estudio más completo de la dimensión relativa a la independencia e imparcialidad de los órganos electorales. El segundo, fue realizado por Loza y Méndez (2013)  en él se estudió la calidad de las elecciones en los estados mexicanos — entre ellos el Estado de México—entre 2001 y 2012, a través de dos aspectos: la encuesta a expertos en política estatal y las elecciones de gobernador, mediante  el análisis de las irregularidades como la compra y coacción del voto; los cuales son elementos distintos a los que analizó en el presente trabajo, sin embargo, dicho artículo y la presente tesis fueron elaborados siguiendo la metodología de la Redicadem lo que hace que en algunos aspectos sean similares: como en las evaluaciones, algunos indicadores,</w:t>
      </w:r>
      <w:r>
        <w:rPr>
          <w:spacing w:val="-15"/>
        </w:rPr>
        <w:t> </w:t>
      </w:r>
      <w:r>
        <w:rPr/>
        <w:t>etcétera.</w:t>
      </w:r>
    </w:p>
    <w:p>
      <w:pPr>
        <w:pStyle w:val="BodyText"/>
        <w:spacing w:line="360" w:lineRule="auto" w:before="5"/>
        <w:ind w:left="102" w:right="116" w:firstLine="707"/>
        <w:jc w:val="both"/>
      </w:pPr>
      <w:r>
        <w:rPr/>
        <w:t>Por lo que respecta a la calidad de las elecciones en Costa </w:t>
      </w:r>
      <w:r>
        <w:rPr>
          <w:spacing w:val="2"/>
        </w:rPr>
        <w:t>Rica </w:t>
      </w:r>
      <w:r>
        <w:rPr/>
        <w:t>se  ubicaron cuatro análisis: los dos primeros estudiaron las elecciones en general y los dos últimos analizaron aspectos relativos a ellas como son: el financiamiento de los partidos y los medios de comunicación. El primero y más importante es el  de Auditoría Ciudadana Sobre la Calidad de la Democracia (Varios, 2001) el cual analizó a través de 10 dominios y 33 aspiraciones la calidad de la democracia costarricense en procesos anteriores al 2000; el presente trabajo sólo estudió  cinco de ellos —pero de forma más completa—: competencia electoral, vida interna de los partidos políticos, formación de leyes (en cuanto a la relación entre legislativo y ejecutivo), trato institucional y opinión pública (en cuanto a los </w:t>
      </w:r>
      <w:r>
        <w:rPr>
          <w:spacing w:val="9"/>
        </w:rPr>
        <w:t> </w:t>
      </w:r>
      <w:r>
        <w:rPr/>
        <w:t>medios</w:t>
      </w:r>
    </w:p>
    <w:p>
      <w:pPr>
        <w:spacing w:after="0" w:line="360" w:lineRule="auto"/>
        <w:jc w:val="both"/>
        <w:sectPr>
          <w:pgSz w:w="12240" w:h="15840"/>
          <w:pgMar w:header="749" w:footer="1003" w:top="960" w:bottom="1200" w:left="1600" w:right="1580"/>
        </w:sectPr>
      </w:pPr>
    </w:p>
    <w:p>
      <w:pPr>
        <w:pStyle w:val="BodyText"/>
        <w:rPr>
          <w:sz w:val="20"/>
        </w:rPr>
      </w:pPr>
    </w:p>
    <w:p>
      <w:pPr>
        <w:pStyle w:val="BodyText"/>
        <w:spacing w:line="362" w:lineRule="auto" w:before="214"/>
        <w:ind w:left="102" w:right="120"/>
      </w:pPr>
      <w:r>
        <w:rPr/>
        <w:t>de comunicación), y se realizó de forma comparativa entre México y Costa Rica en procesos electorales más recientes (2006 y 2010).</w:t>
      </w:r>
    </w:p>
    <w:p>
      <w:pPr>
        <w:pStyle w:val="BodyText"/>
        <w:spacing w:line="360" w:lineRule="auto"/>
        <w:ind w:left="102" w:right="115" w:firstLine="707"/>
        <w:jc w:val="both"/>
      </w:pPr>
      <w:r>
        <w:rPr/>
        <w:t>El segundo elaborado por Alfaro (2002), estudió las elecciones municipales y el debilitamiento del respaldo electoral bipartidista en Costa Rica durante el período de 1986 a 2002, a través del comportamiento del electorado, el control bipartidista, la asignación de escaños municipales, el abstencionismo cantonal y compara los resultados con las elecciones presidenciales y legislativas; a diferencia de este artículo la presente investigación sólo estudió aspectos relativos a las elecciones municipales, legislativas y presidenciales sin analizar el abstencionismo o la participación electoral; pero se fortaleció el trabajo con las comparaciones que se hacen con respecto a México.</w:t>
      </w:r>
    </w:p>
    <w:p>
      <w:pPr>
        <w:pStyle w:val="BodyText"/>
        <w:spacing w:line="360" w:lineRule="auto" w:before="5"/>
        <w:ind w:left="102" w:right="114" w:firstLine="707"/>
        <w:jc w:val="both"/>
      </w:pPr>
      <w:r>
        <w:rPr/>
        <w:t>El tercer análisis fue elaborado por Sobrado (2010), magistrado presidente del TSE en las elecciones objeto de estudio, en dicho artículo se reflexionó al respecto del financiamiento de los partidos políticos en Costa Rica de 1998 a 2006 en cuanto a la evolución de su normatividad, pero a pesar de que refiere irregularidades en cuanto a la aplicación del financiamiento por parte de los partidos políticos —en 2002— no hace un estudio de las posibles irregularidades en que pueden incurrir los partidos políticos en materia de financiamiento, lo cual se estudia en el presente trabajo además de que se hace una comparación con el financiamiento recibido por los partidos políticos mexicanos para las elecciones locales y federales de 2006.</w:t>
      </w:r>
    </w:p>
    <w:p>
      <w:pPr>
        <w:pStyle w:val="BodyText"/>
        <w:spacing w:line="360" w:lineRule="auto" w:before="5"/>
        <w:ind w:left="102" w:right="118" w:firstLine="707"/>
        <w:jc w:val="both"/>
      </w:pPr>
      <w:r>
        <w:rPr/>
        <w:t>El último estudio, es de Oviedo (2010) el cual hizo una reseña de los acontecimientos ocurridos durante la elección presidencial de 2010 y su cobertura en los medios poniendo especial atención al tema del financiamiento, aportando datos a la presente investigación en cuanto a dos actores: partidos políticos y medios de comunicación, pero dicho artículo no tiene la amplitud de la presente investigación.</w:t>
      </w:r>
    </w:p>
    <w:p>
      <w:pPr>
        <w:pStyle w:val="BodyText"/>
        <w:spacing w:line="360" w:lineRule="auto" w:before="5"/>
        <w:ind w:left="102" w:right="118" w:firstLine="707"/>
        <w:jc w:val="both"/>
      </w:pPr>
      <w:r>
        <w:rPr/>
        <w:t>Para elaborar el estado de la cuestión se revisaron artículos, libros y tesis editados en México y Costa Rica por instituciones tales como: el Instituto Federal Electoral (IFE), el Instituto Electoral del Estado de México (IEEM), la Universidad Autónoma del Estado de México (UAEM), la Universidad Nacional Autónoma de</w:t>
      </w:r>
    </w:p>
    <w:p>
      <w:pPr>
        <w:spacing w:after="0" w:line="360" w:lineRule="auto"/>
        <w:jc w:val="both"/>
        <w:sectPr>
          <w:footerReference w:type="default" r:id="rId11"/>
          <w:pgSz w:w="12240" w:h="15840"/>
          <w:pgMar w:footer="1003" w:header="749" w:top="960" w:bottom="1200" w:left="1600" w:right="1580"/>
        </w:sectPr>
      </w:pPr>
    </w:p>
    <w:p>
      <w:pPr>
        <w:pStyle w:val="BodyText"/>
        <w:rPr>
          <w:sz w:val="20"/>
        </w:rPr>
      </w:pPr>
    </w:p>
    <w:p>
      <w:pPr>
        <w:pStyle w:val="BodyText"/>
        <w:spacing w:line="360" w:lineRule="auto" w:before="214"/>
        <w:ind w:left="102" w:right="115"/>
        <w:jc w:val="both"/>
      </w:pPr>
      <w:r>
        <w:rPr/>
        <w:t>México (UNAM), la Universidad Michoacana de San Nicolás de Hidalgo (Umich), la Universidad Autónoma Metropolitana-Unidad Iztapalapa (UAM), la Universidad de las Américas Puebla (Udlap), la Sociedad Mexicana de Estudios Electorales (Somee), la Red de Revistas Científicas de América Latina y el Caribe, España y Portugal (Redalyc), el Centro de Investigaciones en Ciencias Sociales y Humanidades (CICSyH) de la UAEM; la Facultad de Ciencias de la Conducta (Facico) de la UAEM, Universidad Latinoamericana (Ula), la Facultad Latinoamericana de Ciencias Sociales (Flacso) Sede México; así como aquellos editados por instituciones costarricenses como: la Universidad Nacional (UNA), la Universidad de Costa Rica (UCR), el Tribunal Supremo de Elecciones (TSE) y el Instituto de Formación de Estudios en Democracia (IFED); así mismo ―en su caso― se visitaron sus respectivas bibliotecas. También se revisó el acervo de la Biblioteca Nacional de Costa Rica “Miguel Obregón Lizano” y se consultaron las siguientes bibliotecas o sistemas de bibliotecas en línea: el Sistema Nacional de Bibliotecas de Costa Rica (Sinabi), el acervo de Mc Graw-Hill (educación), v/lex, Océano (</w:t>
      </w:r>
      <w:r>
        <w:rPr>
          <w:i/>
        </w:rPr>
        <w:t>universitas</w:t>
      </w:r>
      <w:r>
        <w:rPr/>
        <w:t>), Pearson y e-libro.</w:t>
      </w:r>
    </w:p>
    <w:p>
      <w:pPr>
        <w:pStyle w:val="BodyText"/>
        <w:spacing w:line="360" w:lineRule="auto" w:before="5"/>
        <w:ind w:left="102" w:right="116" w:firstLine="707"/>
        <w:jc w:val="both"/>
      </w:pPr>
      <w:r>
        <w:rPr/>
        <w:t>En cuanto a las aportaciones del presente trabajo, se tienen cuatro: tres de carácter metodológico y una de clasificación. Las primeras consistieron en contribuciones a la guía metodológica de la Redicadem: a) el análisis integral que se hace de los medios de impugnación interpuestos contra acuerdos de los órganos electorales, pues la red sólo evalúa el porcentaje de acuerdos revocados por los tribunales sobre el porcentaje de acuerdos impugnados (siendo esta una visión parcial), sin embargo, en este trabajo se analizaron ―además de los acuerdos revocados― los acuerdos modificados y los confirmados, con la  finalidad de tener una evaluación más certera de la actuación de los órganos electorales; b) el estudio total de los monitoreos, en contraste con la red que sólo analiza los cuantitativos y en este trabajo se analizan también los cualitativos (en los casos en los cuales se elabora dicha información); c) la inclusión de la votación de la legislatura en la elección de los consejeros o magistrados como elemento para evaluar su designación (calificando con tres puntos la unanimidad, con dos la mayoría</w:t>
      </w:r>
      <w:r>
        <w:rPr>
          <w:spacing w:val="25"/>
        </w:rPr>
        <w:t> </w:t>
      </w:r>
      <w:r>
        <w:rPr/>
        <w:t>absoluta</w:t>
      </w:r>
      <w:r>
        <w:rPr>
          <w:spacing w:val="25"/>
        </w:rPr>
        <w:t> </w:t>
      </w:r>
      <w:r>
        <w:rPr/>
        <w:t>y</w:t>
      </w:r>
      <w:r>
        <w:rPr>
          <w:spacing w:val="22"/>
        </w:rPr>
        <w:t> </w:t>
      </w:r>
      <w:r>
        <w:rPr/>
        <w:t>con</w:t>
      </w:r>
      <w:r>
        <w:rPr>
          <w:spacing w:val="25"/>
        </w:rPr>
        <w:t> </w:t>
      </w:r>
      <w:r>
        <w:rPr/>
        <w:t>uno</w:t>
      </w:r>
      <w:r>
        <w:rPr>
          <w:spacing w:val="25"/>
        </w:rPr>
        <w:t> </w:t>
      </w:r>
      <w:r>
        <w:rPr/>
        <w:t>la</w:t>
      </w:r>
      <w:r>
        <w:rPr>
          <w:spacing w:val="22"/>
        </w:rPr>
        <w:t> </w:t>
      </w:r>
      <w:r>
        <w:rPr/>
        <w:t>mayoría</w:t>
      </w:r>
      <w:r>
        <w:rPr>
          <w:spacing w:val="25"/>
        </w:rPr>
        <w:t> </w:t>
      </w:r>
      <w:r>
        <w:rPr/>
        <w:t>relativa).</w:t>
      </w:r>
      <w:r>
        <w:rPr>
          <w:spacing w:val="31"/>
        </w:rPr>
        <w:t> </w:t>
      </w:r>
      <w:r>
        <w:rPr/>
        <w:t>La</w:t>
      </w:r>
      <w:r>
        <w:rPr>
          <w:spacing w:val="25"/>
        </w:rPr>
        <w:t> </w:t>
      </w:r>
      <w:r>
        <w:rPr/>
        <w:t>cuarta</w:t>
      </w:r>
      <w:r>
        <w:rPr>
          <w:spacing w:val="25"/>
        </w:rPr>
        <w:t> </w:t>
      </w:r>
      <w:r>
        <w:rPr/>
        <w:t>aportación</w:t>
      </w:r>
      <w:r>
        <w:rPr>
          <w:spacing w:val="25"/>
        </w:rPr>
        <w:t> </w:t>
      </w:r>
      <w:r>
        <w:rPr/>
        <w:t>alude</w:t>
      </w:r>
      <w:r>
        <w:rPr>
          <w:spacing w:val="25"/>
        </w:rPr>
        <w:t> </w:t>
      </w:r>
      <w:r>
        <w:rPr/>
        <w:t>a</w:t>
      </w:r>
      <w:r>
        <w:rPr>
          <w:spacing w:val="25"/>
        </w:rPr>
        <w:t> </w:t>
      </w:r>
      <w:r>
        <w:rPr/>
        <w:t>la</w:t>
      </w:r>
    </w:p>
    <w:p>
      <w:pPr>
        <w:spacing w:after="0" w:line="360" w:lineRule="auto"/>
        <w:jc w:val="both"/>
        <w:sectPr>
          <w:footerReference w:type="default" r:id="rId12"/>
          <w:pgSz w:w="12240" w:h="15840"/>
          <w:pgMar w:footer="1003" w:header="749" w:top="960" w:bottom="1200" w:left="1600" w:right="1580"/>
          <w:pgNumType w:start="21"/>
        </w:sectPr>
      </w:pPr>
    </w:p>
    <w:p>
      <w:pPr>
        <w:pStyle w:val="BodyText"/>
        <w:rPr>
          <w:sz w:val="20"/>
        </w:rPr>
      </w:pPr>
    </w:p>
    <w:p>
      <w:pPr>
        <w:pStyle w:val="BodyText"/>
        <w:spacing w:line="360" w:lineRule="auto" w:before="214"/>
        <w:ind w:left="102" w:right="116"/>
        <w:jc w:val="both"/>
      </w:pPr>
      <w:r>
        <w:rPr/>
        <w:t>clasificación que se realizó con respecto a los autores que han evaluado la democracia costarricense en dos grupos: los que señalaron que Costa Rica es un país democrático y los que argumentaron que la democracia costarricense es un mito; así como la subdivisión que hice de los primeros de acuerdo con la fecha  que establecen como inicio de la democracia (1889, 1949 y</w:t>
      </w:r>
      <w:r>
        <w:rPr>
          <w:spacing w:val="-20"/>
        </w:rPr>
        <w:t> </w:t>
      </w:r>
      <w:r>
        <w:rPr/>
        <w:t>1975).</w:t>
      </w:r>
    </w:p>
    <w:p>
      <w:pPr>
        <w:pStyle w:val="BodyText"/>
        <w:spacing w:line="360" w:lineRule="auto" w:before="5"/>
        <w:ind w:left="102" w:right="117" w:firstLine="707"/>
        <w:jc w:val="both"/>
      </w:pPr>
      <w:r>
        <w:rPr/>
        <w:t>El presente estudio resultó novedoso al evaluar las elecciones locales (en el Estado de México y la Provincia de San José) y nacionales de dos países Latinoamericanos, México y Costa Rica; generalmente se estudian las elecciones nacionales o locales por separado no ambas, como en este caso.</w:t>
      </w:r>
    </w:p>
    <w:p>
      <w:pPr>
        <w:pStyle w:val="BodyText"/>
        <w:spacing w:line="360" w:lineRule="auto" w:before="5"/>
        <w:ind w:left="102" w:right="116" w:firstLine="707"/>
        <w:jc w:val="both"/>
      </w:pPr>
      <w:r>
        <w:rPr/>
        <w:t>La metodología empleada, es de elaboración propia y se basa parcialmente en tres. La primera fue elaborada por Méndez y Santiago (2012) para la Red de Investigación sobre la Calidad de la Democracia en México (Redicadem) —red  que estudia de la calidad de la democracia en cada uno de los Estados de la República Mexicana—, de ella tomé lo relativo a una de sus ocho dimensiones objeto de estudio (la única elaborada hasta el momento por la red) la denominada “competencia política y calidad de las elecciones”, misma que se integra de seis subdimensiones, de las cuales utilicé cinco: 1) condiciones generales de la entidad federativa (de la cual se da cuenta en </w:t>
      </w:r>
      <w:r>
        <w:rPr>
          <w:spacing w:val="3"/>
        </w:rPr>
        <w:t>el </w:t>
      </w:r>
      <w:r>
        <w:rPr/>
        <w:t>capítulo uno), 2) desempeño del instituto electoral y 3) desempeño del tribunal electoral (ambas analizadas, parcialmente, en el capítulo dos), 4) desempeño de partidos políticos (estudiada en el capítulo tres), y 5) información plural y cobertura de la campaña electoral (considerada en el capítulo cuatro); dejando fuera la sexta que alude a la legitimidad electoral. También retomé los rangos de evaluación que establece: “alto” (que indica mayor calidad; valor: 3), “aceptable” (que denota mediana calidad; valor: 2) o “bajo” (que manifiesta pobre calidad; valor:</w:t>
      </w:r>
      <w:r>
        <w:rPr>
          <w:spacing w:val="-9"/>
        </w:rPr>
        <w:t> </w:t>
      </w:r>
      <w:r>
        <w:rPr/>
        <w:t>1).</w:t>
      </w:r>
    </w:p>
    <w:p>
      <w:pPr>
        <w:pStyle w:val="BodyText"/>
        <w:spacing w:line="360" w:lineRule="auto" w:before="5"/>
        <w:ind w:left="102" w:right="116" w:firstLine="707"/>
        <w:jc w:val="both"/>
      </w:pPr>
      <w:r>
        <w:rPr/>
        <w:t>La segunda metodología que utilicé fue realizada por la  Auditoría Ciudadana (Varios, 2001) —dedicada al estudio de la calidad de la democracia en Costa Rica—, de ella tomé el primer dominio “calidad democrática de la competencia electoral”, el cual ―como ya se mencionó― tiene cuatro  aspiraciones de las cuales tomé tres, dos en su totalidad y una parcialmente: las primeras  son  “la  ciudadanía  tiene  información  veraz,  oportuna  y  objetiva</w:t>
      </w:r>
      <w:r>
        <w:rPr>
          <w:spacing w:val="-13"/>
        </w:rPr>
        <w:t> </w:t>
      </w:r>
      <w:r>
        <w:rPr/>
        <w:t>para</w:t>
      </w:r>
    </w:p>
    <w:p>
      <w:pPr>
        <w:spacing w:after="0" w:line="360" w:lineRule="auto"/>
        <w:jc w:val="both"/>
        <w:sectPr>
          <w:pgSz w:w="12240" w:h="15840"/>
          <w:pgMar w:header="749" w:footer="1003" w:top="960" w:bottom="1200" w:left="1600" w:right="1580"/>
        </w:sectPr>
      </w:pPr>
    </w:p>
    <w:p>
      <w:pPr>
        <w:pStyle w:val="BodyText"/>
        <w:rPr>
          <w:sz w:val="20"/>
        </w:rPr>
      </w:pPr>
    </w:p>
    <w:p>
      <w:pPr>
        <w:pStyle w:val="BodyText"/>
        <w:spacing w:line="360" w:lineRule="auto" w:before="214"/>
        <w:ind w:left="102" w:right="116"/>
        <w:jc w:val="both"/>
      </w:pPr>
      <w:r>
        <w:rPr/>
        <w:t>evaluar a los y las candidatas a cargos públicos y sus ofertas electorales” (lo cual se aborda en el capítulo cuatro, a través de los monitoreos) y “los partidos políticos emergentes y los minoritarios ejercen su representación sin enfrentar barreras arbitrarias” (capítulos 2, 4 y 3 ―respectivamente― en cuanto a la equidad de trato por parte de los institutos y los medios de comunicación así como en el reparto de las finanzas públicas); la segunda alude a la aspiración “en las campañas electorales, los y las líderes políticas respetan el Estado de derecho y los  derechos civiles y políticos de sus oponentes” pero sólo estudio el aspecto relativo al respeto del Estado de derecho en cuanto a la observancia de la ley por parte de los institutos (capítulo 2) y los partidos (capítulo 3), en cuanto a los medios de comunicación no es posible evaluar su apego a la ley, pues en las elecciones de 2006 en México aún no se regulaba la participación de los medios  de comunicación en el proceso electoral (fue hasta la reforma electoral de 2007) y en Costa Rica no se ha realizado hasta la fecha ninguna regulación con respecto a este</w:t>
      </w:r>
      <w:r>
        <w:rPr>
          <w:spacing w:val="-3"/>
        </w:rPr>
        <w:t> </w:t>
      </w:r>
      <w:r>
        <w:rPr/>
        <w:t>tema.</w:t>
      </w:r>
    </w:p>
    <w:p>
      <w:pPr>
        <w:pStyle w:val="BodyText"/>
        <w:spacing w:line="360" w:lineRule="auto" w:before="5"/>
        <w:ind w:left="102" w:right="116" w:firstLine="707"/>
        <w:jc w:val="both"/>
      </w:pPr>
      <w:r>
        <w:rPr/>
        <w:t>La tercera fue elaborada por la Organización de Estados Americanos (OEA) (2008) —organismo que, entre otras cuestiones, analiza las elecciones en países del Continente Americano desde hace varios años— de ella tomé aspectos relativos a la evaluación de la organización y administración electoral los cuales me sirvieron de referencia para aspectos generales (ver</w:t>
      </w:r>
      <w:r>
        <w:rPr>
          <w:spacing w:val="-18"/>
        </w:rPr>
        <w:t> </w:t>
      </w:r>
      <w:r>
        <w:rPr/>
        <w:t>Anexo2).</w:t>
      </w:r>
    </w:p>
    <w:p>
      <w:pPr>
        <w:pStyle w:val="BodyText"/>
        <w:spacing w:line="360" w:lineRule="auto" w:before="2"/>
        <w:ind w:left="102" w:right="114" w:firstLine="707"/>
        <w:jc w:val="both"/>
      </w:pPr>
      <w:r>
        <w:rPr/>
        <w:t>En cuanto a la normatividad aplicada al presente trabajo debo señalar que tanto en México como en Costa Rica se han realizado importantes cambios en materia electoral por lo que es necesario mencionar que </w:t>
      </w:r>
      <w:r>
        <w:rPr>
          <w:spacing w:val="4"/>
        </w:rPr>
        <w:t>el </w:t>
      </w:r>
      <w:r>
        <w:rPr/>
        <w:t>presente estudio se realizó tomando en cuenta la normatividad vigente durante los procesos  electorales de 2006 en México y 2010 en Costa Rica. En cuanto a México la normatividad vigente para el proceso electoral objeto de estudio fue: la Constitución Política de los Estados Unidos Mexicanos (CC, 1917) con sus reformas publicadas en el Diario Oficial de la Federación (DOF) al 20 de junio de 2005 (CDHCU L LIX, 2005) —las subsecuentes reformas a la constitución realizadas ese mismo año no tuvieron repercusión en el proceso electoral—, el COFIPE  con  sus  respectivas  reformas  publicadas  en  el  Diario  Oficial  de   </w:t>
      </w:r>
      <w:r>
        <w:rPr>
          <w:spacing w:val="43"/>
        </w:rPr>
        <w:t> </w:t>
      </w:r>
      <w:r>
        <w:rPr/>
        <w:t>la</w:t>
      </w:r>
    </w:p>
    <w:p>
      <w:pPr>
        <w:spacing w:after="0" w:line="360" w:lineRule="auto"/>
        <w:jc w:val="both"/>
        <w:sectPr>
          <w:pgSz w:w="12240" w:h="15840"/>
          <w:pgMar w:header="749" w:footer="1003" w:top="960" w:bottom="1200" w:left="1600" w:right="1580"/>
        </w:sectPr>
      </w:pPr>
    </w:p>
    <w:p>
      <w:pPr>
        <w:pStyle w:val="BodyText"/>
        <w:rPr>
          <w:sz w:val="20"/>
        </w:rPr>
      </w:pPr>
    </w:p>
    <w:p>
      <w:pPr>
        <w:pStyle w:val="BodyText"/>
        <w:spacing w:line="360" w:lineRule="auto" w:before="214"/>
        <w:ind w:left="102" w:right="117"/>
        <w:jc w:val="both"/>
      </w:pPr>
      <w:r>
        <w:rPr/>
        <w:t>Federación (DOF) al 30 de junio de 2005 (CDHCU L LIX, 2005); el CEEM con sus reformas publicadas en el Periódico Oficial “Gaceta de Gobierno” al 11 de marzo de 2005 (LEM LV, 2005e). Por lo que corresponde a Costa Rica la normatividad vigente para el proceso electoral objeto de análisis fue: la Constitución Política de la República de Costa Rica con sus reformas publicadas en La Gaceta Diario Oficial al 31 de julio de 2003 (ANC, 1949) así como el Código Electoral costarricense publicado en el alcance número 37 a La Gaceta número 171 de 02 de septiembre de 2009 (ALRC, 2009).</w:t>
      </w:r>
    </w:p>
    <w:p>
      <w:pPr>
        <w:pStyle w:val="BodyText"/>
        <w:spacing w:line="360" w:lineRule="auto" w:before="2"/>
        <w:ind w:left="102" w:right="116" w:firstLine="707"/>
        <w:jc w:val="both"/>
      </w:pPr>
      <w:r>
        <w:rPr/>
        <w:t>Actualmente las legislaciones mexicanas antes descritas han sufrido reformas importantes en materia electoral —pero esto no es motivo de estudio en el presente trabajo pues sería otra investigación—, por su parte la constitución costarricense desde la reforma aprobada el 15 de julio de 2003 (publicada en La Gaceta Diario Oficial el 31 de julio del mismo año) no tuvo más modificaciones hasta junio de 2011. En cuanto al código electoral costarricense cabe señalar que continúa sin cambios.</w:t>
      </w:r>
    </w:p>
    <w:p>
      <w:pPr>
        <w:pStyle w:val="BodyText"/>
        <w:spacing w:line="360" w:lineRule="auto" w:before="5"/>
        <w:ind w:left="102" w:right="115" w:firstLine="707"/>
        <w:jc w:val="both"/>
      </w:pPr>
      <w:r>
        <w:rPr/>
        <w:t>Por lo que corresponde al marco conceptual inicié partiendo del concepto  de democracia, continúe con el de calidad de la democracia y culminé con el de calidad de las elecciones; lo anterior debido a que para estudiar la calidad de las elecciones en un determinado país es necesario primero identificar que dicho país tenga un régimen político democrático, pues sólo es posible evaluar la calidad de las elecciones en un régimen en el que están presentes los elementos mínimos para señalar que las elecciones son limpias y equitativamente competidas y estas características sólo las tienen las elecciones celebradas en un régimen democrático (aun cuando en algunas dictaduras se realizan elecciones éstas no tienen las características antes</w:t>
      </w:r>
      <w:r>
        <w:rPr>
          <w:spacing w:val="-14"/>
        </w:rPr>
        <w:t> </w:t>
      </w:r>
      <w:r>
        <w:rPr/>
        <w:t>mencionadas).</w:t>
      </w:r>
    </w:p>
    <w:p>
      <w:pPr>
        <w:pStyle w:val="BodyText"/>
        <w:spacing w:line="360" w:lineRule="auto" w:before="5"/>
        <w:ind w:left="102" w:right="116" w:firstLine="707"/>
        <w:jc w:val="both"/>
      </w:pPr>
      <w:r>
        <w:rPr/>
        <w:t>Pero ¿qué entiendo por democracia? Existen diferentes concepciones con respecto a la democracia: las hay normativas, descriptivas, políticas, electorales, sustantivas, las que hacen referencia a la ciudadanía, entre otras (Lizcano, 2010). Para efectos del presente trabajo me ceñiré al concepto de democracia de Lizcano (2012a) el cual sintetiza el concepto establecido por Dahl (2002: 13).</w:t>
      </w:r>
    </w:p>
    <w:p>
      <w:pPr>
        <w:spacing w:after="0" w:line="360" w:lineRule="auto"/>
        <w:jc w:val="both"/>
        <w:sectPr>
          <w:pgSz w:w="12240" w:h="15840"/>
          <w:pgMar w:header="749" w:footer="1003" w:top="960" w:bottom="1200" w:left="1600" w:right="1580"/>
        </w:sectPr>
      </w:pPr>
    </w:p>
    <w:p>
      <w:pPr>
        <w:pStyle w:val="BodyText"/>
        <w:rPr>
          <w:sz w:val="20"/>
        </w:rPr>
      </w:pPr>
    </w:p>
    <w:p>
      <w:pPr>
        <w:pStyle w:val="BodyText"/>
        <w:spacing w:line="360" w:lineRule="auto" w:before="212"/>
        <w:ind w:left="102" w:right="114" w:firstLine="707"/>
        <w:jc w:val="both"/>
      </w:pPr>
      <w:r>
        <w:rPr/>
        <w:t>Dahl reserva el vocablo democracia (</w:t>
      </w:r>
      <w:r>
        <w:rPr>
          <w:i/>
        </w:rPr>
        <w:t>kratos, “</w:t>
      </w:r>
      <w:r>
        <w:rPr/>
        <w:t>poder o gobierno” y </w:t>
      </w:r>
      <w:r>
        <w:rPr>
          <w:i/>
        </w:rPr>
        <w:t>demos, </w:t>
      </w:r>
      <w:r>
        <w:rPr/>
        <w:t>“pueblo”; el gobierno del pueblo) para referirse a la democracia ideal y denomina poliarquía (polýs, “muchos" y αρχειν (arjéin), "gobierno") a la democracia en sentido descriptivo (Lizcano, 2010: 11). Para Dahl la democracia es “…el sistema político entre cuyas características se cuenta su disposición a satisfacer entera o casi enteramente a todos sus ciudadanos, sin importarme, por el momento, si ese sistema existe hoy en día, ha existido alguna vez, o puede darse en el futuro” (2002: 13). Dahl señaló ocho requisitos para que se dé una democracia: “1) libertad de asociación, 2) libertad de expresión, 3) libertad de voto, 4) elegibilidad para el servicio público, 5) derecho de los líderes políticos a competir en busca de apoyo (derecho de los líderes políticos a luchar por los votos), 6) diversidad de fuentes de información, 7) elecciones libres e imparciales y 8) instituciones que garanticen que la política del gobierno dependa de los votos y demás formas de expresar las preferencias “(2002:</w:t>
      </w:r>
      <w:r>
        <w:rPr>
          <w:spacing w:val="-14"/>
        </w:rPr>
        <w:t> </w:t>
      </w:r>
      <w:r>
        <w:rPr/>
        <w:t>15).</w:t>
      </w:r>
    </w:p>
    <w:p>
      <w:pPr>
        <w:pStyle w:val="BodyText"/>
        <w:spacing w:line="360" w:lineRule="auto" w:before="2"/>
        <w:ind w:left="102" w:right="118" w:firstLine="707"/>
        <w:jc w:val="both"/>
      </w:pPr>
      <w:r>
        <w:rPr/>
        <w:t>Así, de acuerdo con Lizcano, los cuatro primeros requisitos ―señalados por Dahl― se pueden aglutinar en uno: libertad, ya sea para asociarse, expresarse, votar o ser votado; los requisitos cinco, seis y siete se pueden agrupar también en uno: acceso al poder a través de elecciones limpias y equitativamente competidas; finalmente el último requisito se refiere a la interrelación de los poderes públicos, donde lo que cuenta son los votos y no de quien provenga la propuesta, como sucede en los regímenes dictatoriales donde todo lo que proponga el gobernante se hace sin importar el voto de los ciudadanos.</w:t>
      </w:r>
    </w:p>
    <w:p>
      <w:pPr>
        <w:pStyle w:val="BodyText"/>
        <w:spacing w:before="2"/>
        <w:ind w:left="810"/>
        <w:jc w:val="both"/>
      </w:pPr>
      <w:r>
        <w:rPr/>
        <w:t>Por su parte Lizcano definió a la democracia como:</w:t>
      </w:r>
    </w:p>
    <w:p>
      <w:pPr>
        <w:pStyle w:val="BodyText"/>
      </w:pPr>
    </w:p>
    <w:p>
      <w:pPr>
        <w:pStyle w:val="BodyText"/>
        <w:rPr>
          <w:sz w:val="21"/>
        </w:rPr>
      </w:pPr>
    </w:p>
    <w:p>
      <w:pPr>
        <w:spacing w:line="360" w:lineRule="auto" w:before="0"/>
        <w:ind w:left="810" w:right="114" w:firstLine="0"/>
        <w:jc w:val="both"/>
        <w:rPr>
          <w:sz w:val="22"/>
        </w:rPr>
      </w:pPr>
      <w:r>
        <w:rPr>
          <w:sz w:val="22"/>
        </w:rPr>
        <w:t>el sistema político basado en una comunidad política (libre y plural) que, cuando  no toma decisiones vinculantes directamente, selecciona a quienes las  toman (sean individuos u órganos colegiados) a través de procesos (en general sorteos y elecciones) libres y competidos. Este sistema político tiene un poder judicial (ejercido por personas o por órganos más o menos especializados y diferenciados del resto de la comunidad política) que garantiza el estado de derecho; es decir, que asegura la existencia (con la libertad y la pluralidad que le son inherentes) de la comunidad política (y, en su caso, de los órganos de gobierno colegiados) y</w:t>
      </w:r>
      <w:r>
        <w:rPr>
          <w:spacing w:val="35"/>
          <w:sz w:val="22"/>
        </w:rPr>
        <w:t> </w:t>
      </w:r>
      <w:r>
        <w:rPr>
          <w:sz w:val="22"/>
        </w:rPr>
        <w:t>que</w:t>
      </w:r>
    </w:p>
    <w:p>
      <w:pPr>
        <w:spacing w:after="0" w:line="360" w:lineRule="auto"/>
        <w:jc w:val="both"/>
        <w:rPr>
          <w:sz w:val="22"/>
        </w:rPr>
        <w:sectPr>
          <w:pgSz w:w="12240" w:h="15840"/>
          <w:pgMar w:header="749" w:footer="1003" w:top="960" w:bottom="1200" w:left="1600" w:right="1580"/>
        </w:sectPr>
      </w:pPr>
    </w:p>
    <w:p>
      <w:pPr>
        <w:pStyle w:val="BodyText"/>
        <w:rPr>
          <w:sz w:val="20"/>
        </w:rPr>
      </w:pPr>
    </w:p>
    <w:p>
      <w:pPr>
        <w:pStyle w:val="BodyText"/>
        <w:spacing w:before="7"/>
        <w:rPr>
          <w:sz w:val="18"/>
        </w:rPr>
      </w:pPr>
    </w:p>
    <w:p>
      <w:pPr>
        <w:spacing w:line="360" w:lineRule="auto" w:before="0"/>
        <w:ind w:left="810" w:right="120" w:firstLine="0"/>
        <w:jc w:val="both"/>
        <w:rPr>
          <w:sz w:val="22"/>
        </w:rPr>
      </w:pPr>
      <w:r>
        <w:rPr>
          <w:sz w:val="22"/>
        </w:rPr>
        <w:t>tiene la capacidad de limitar a quienes tienen o aspiran a tener más poder que el resto de los ciudadanos (en las colectividades en las que existen gobernantes y gobernados, esta limitación se expresa a través de la independencia de este poder con respecto a las personas e instituciones más poderosas) (2007a: 12).</w:t>
      </w:r>
    </w:p>
    <w:p>
      <w:pPr>
        <w:pStyle w:val="BodyText"/>
        <w:rPr>
          <w:sz w:val="22"/>
        </w:rPr>
      </w:pPr>
    </w:p>
    <w:p>
      <w:pPr>
        <w:pStyle w:val="BodyText"/>
        <w:spacing w:line="360" w:lineRule="auto" w:before="163"/>
        <w:ind w:left="102" w:right="116" w:firstLine="707"/>
        <w:jc w:val="both"/>
      </w:pPr>
      <w:r>
        <w:rPr/>
        <w:t>Así mismo dicho autor sintetizó los ocho requisitos que propusó Dahl en  tres y a través de ellos establece las variables para distinguir un régimen democrático de uno</w:t>
      </w:r>
      <w:r>
        <w:rPr>
          <w:spacing w:val="-11"/>
        </w:rPr>
        <w:t> </w:t>
      </w:r>
      <w:r>
        <w:rPr/>
        <w:t>dictatorial:</w:t>
      </w:r>
    </w:p>
    <w:p>
      <w:pPr>
        <w:pStyle w:val="BodyText"/>
      </w:pPr>
    </w:p>
    <w:p>
      <w:pPr>
        <w:spacing w:line="360" w:lineRule="auto" w:before="142"/>
        <w:ind w:left="954" w:right="115" w:firstLine="0"/>
        <w:jc w:val="both"/>
        <w:rPr>
          <w:sz w:val="22"/>
        </w:rPr>
      </w:pPr>
      <w:r>
        <w:rPr>
          <w:sz w:val="22"/>
        </w:rPr>
        <w:t>expresión de la pluralidad, acceso al poder de las principales autoridades e interrelación de los poderes públicos. En la democracia el disenso se puede expresar libremente, mientras que en la dictadura es reprimido. En  la democracia, las autoridades principales acceden al poder a través de procesos limpios y equitativamente competidos; en la dictadura el acceso al poder se produce a través de cualquier otro procedimiento, como la herencia, la violencia o elecciones fraudulentas o sin competencia equitativa. Por último, en la democracia el poder Ejecutivo es limitado por los poderes Legislativo y Judicial,  al contrario de lo que sucede en la dictadura, donde estos dos poderes están subordinados al Ejecutivo (Lizcano 2012a:</w:t>
      </w:r>
      <w:r>
        <w:rPr>
          <w:spacing w:val="-11"/>
          <w:sz w:val="22"/>
        </w:rPr>
        <w:t> </w:t>
      </w:r>
      <w:r>
        <w:rPr>
          <w:sz w:val="22"/>
        </w:rPr>
        <w:t>19-20).</w:t>
      </w:r>
    </w:p>
    <w:p>
      <w:pPr>
        <w:pStyle w:val="BodyText"/>
        <w:rPr>
          <w:sz w:val="22"/>
        </w:rPr>
      </w:pPr>
    </w:p>
    <w:p>
      <w:pPr>
        <w:pStyle w:val="BodyText"/>
        <w:spacing w:line="360" w:lineRule="auto" w:before="166"/>
        <w:ind w:left="102" w:right="115" w:firstLine="707"/>
        <w:jc w:val="both"/>
      </w:pPr>
      <w:r>
        <w:rPr/>
        <w:t>El presente trabajo se vinculó con la definición de democracia de Lizcano (2012a), específicamente con la característica que señala que para que un régimen se considere democrático se requiere, entre otros elementos, que el acceso al poder se efectué a través de procesos electorales limpios (es decir no fraudulentos) y equitativamente competidos; siendo este un elemento indispensable. Así mismo entre más limpios y equitativamente competidos sean los procesos electorales mayor será el grado de calidad de las elecciones y a su vez el de la calidad de la</w:t>
      </w:r>
      <w:r>
        <w:rPr>
          <w:spacing w:val="-14"/>
        </w:rPr>
        <w:t> </w:t>
      </w:r>
      <w:r>
        <w:rPr/>
        <w:t>democracia.</w:t>
      </w:r>
    </w:p>
    <w:p>
      <w:pPr>
        <w:pStyle w:val="BodyText"/>
        <w:spacing w:line="360" w:lineRule="auto" w:before="5"/>
        <w:ind w:left="102" w:right="119" w:firstLine="707"/>
        <w:jc w:val="both"/>
      </w:pPr>
      <w:r>
        <w:rPr/>
        <w:t>Como se mencionó, sólo es posible estudiar la calidad de la democracia en un régimen democrático, pero ¿Costa Rica y México son democráticos? De acuerdo con la definición de Lizcano, sí lo son. Sin embargo, no todos los autores consideran que dichos países sean democráticos, pues definen o interpretan a   la</w:t>
      </w:r>
    </w:p>
    <w:p>
      <w:pPr>
        <w:spacing w:after="0" w:line="360" w:lineRule="auto"/>
        <w:jc w:val="both"/>
        <w:sectPr>
          <w:pgSz w:w="12240" w:h="15840"/>
          <w:pgMar w:header="749" w:footer="1003" w:top="960" w:bottom="1200" w:left="1600" w:right="1580"/>
        </w:sectPr>
      </w:pPr>
    </w:p>
    <w:p>
      <w:pPr>
        <w:pStyle w:val="BodyText"/>
        <w:rPr>
          <w:sz w:val="20"/>
        </w:rPr>
      </w:pPr>
    </w:p>
    <w:p>
      <w:pPr>
        <w:pStyle w:val="BodyText"/>
        <w:spacing w:line="360" w:lineRule="auto" w:before="214"/>
        <w:ind w:left="122" w:right="117"/>
        <w:jc w:val="both"/>
      </w:pPr>
      <w:r>
        <w:rPr/>
        <w:t>democracia de distinta forma. Por lo tanto de acuerdo con su postura dividí a los autores que han estudiado los regímenes políticos mexicanos y costarricenses.  Así los autores costarricenses los agrupé en dos bloques: los que afirman que Costa Rica es un país democrático y los que señalan que la democracia costarricense es un mito. Los primeros se subdividen en tres grupos, de acuerdo con la fecha en que ubican el inicio de la democracia (pues para algunos es centenaria y para otros data de hace unas</w:t>
      </w:r>
      <w:r>
        <w:rPr>
          <w:spacing w:val="-12"/>
        </w:rPr>
        <w:t> </w:t>
      </w:r>
      <w:r>
        <w:rPr/>
        <w:t>décadas).</w:t>
      </w:r>
    </w:p>
    <w:p>
      <w:pPr>
        <w:pStyle w:val="BodyText"/>
        <w:spacing w:line="360" w:lineRule="auto" w:before="5"/>
        <w:ind w:left="122" w:right="116" w:firstLine="707"/>
        <w:jc w:val="both"/>
      </w:pPr>
      <w:r>
        <w:rPr/>
        <w:t>En primer lugar, se ubican los que afirman que Costa Rica es una democrática centenaria que data de 1889 (Pinaud, 1942; Arias, 1985 y 1989; Meléndez, 1989 y De la Cruz, 2012), año en que, por primera vez, el pueblo se levantó en armas para exigir que se respetara su voto.</w:t>
      </w:r>
    </w:p>
    <w:p>
      <w:pPr>
        <w:pStyle w:val="BodyText"/>
        <w:spacing w:line="350" w:lineRule="auto" w:before="5"/>
        <w:ind w:left="122" w:right="115" w:firstLine="707"/>
        <w:jc w:val="both"/>
      </w:pPr>
      <w:r>
        <w:rPr/>
        <w:t>En segundo lugar, aglutiné a los que señalan que Costa Rica adquirió su democracia en 1949, como resultado de los acontecimientos surgidos después de la guerra civil de 1948: la creación de la Constitución Política, la abolición del ejército,  el  derecho  al  voto  a  la  población  femenina  y  afrodescendiente</w:t>
      </w:r>
      <w:r>
        <w:rPr>
          <w:position w:val="11"/>
          <w:sz w:val="16"/>
        </w:rPr>
        <w:t>4   </w:t>
      </w:r>
      <w:r>
        <w:rPr/>
        <w:t>y</w:t>
      </w:r>
      <w:r>
        <w:rPr>
          <w:spacing w:val="56"/>
        </w:rPr>
        <w:t> </w:t>
      </w:r>
      <w:r>
        <w:rPr/>
        <w:t>la</w:t>
      </w:r>
    </w:p>
    <w:p>
      <w:pPr>
        <w:pStyle w:val="BodyText"/>
        <w:spacing w:line="352" w:lineRule="auto"/>
        <w:ind w:left="122" w:right="115"/>
        <w:jc w:val="both"/>
      </w:pPr>
      <w:r>
        <w:rPr/>
        <w:t>fundación del TSE como órgano independiente (Molina, 1997, 2001 y 2008; Quesada, 1989; Molina y Lehoucq, 1999; Molina y Palmer, 2007; Zeledón, 1992, Camacho, 1993, Clark, 2007 y Bou 2010)</w:t>
      </w:r>
      <w:r>
        <w:rPr>
          <w:position w:val="11"/>
          <w:sz w:val="16"/>
        </w:rPr>
        <w:t>5</w:t>
      </w:r>
      <w:r>
        <w:rPr/>
        <w:t>. En tercer lugar ubiqué a la Auditoría Ciudadana Sobre la Calidad de la Democracia realizada en Costa Rica, la cual señala que fue hasta 1975 que Costa Rica alcanzó su democracia, al disminuir la edad para votar (de los 21 a los 18 años) y al abrir candados para la creación de</w:t>
      </w:r>
    </w:p>
    <w:p>
      <w:pPr>
        <w:pStyle w:val="BodyText"/>
        <w:spacing w:before="13"/>
        <w:ind w:left="122"/>
        <w:jc w:val="both"/>
      </w:pPr>
      <w:r>
        <w:rPr/>
        <w:t>nuevos partidos (Varios, 2001: 41-42).</w:t>
      </w:r>
    </w:p>
    <w:p>
      <w:pPr>
        <w:pStyle w:val="BodyText"/>
        <w:spacing w:line="360" w:lineRule="auto" w:before="137"/>
        <w:ind w:left="122" w:right="122" w:firstLine="707"/>
        <w:jc w:val="both"/>
      </w:pPr>
      <w:r>
        <w:rPr/>
        <w:t>Entre los autores que argumentan que la democracia costarricense es un mito sustentado en falacias, para dotar de legitimidad al poder oficialista, se encuentran Delgado (1989) y Álvarez (2010, 2011).</w:t>
      </w:r>
    </w:p>
    <w:p>
      <w:pPr>
        <w:pStyle w:val="BodyText"/>
        <w:spacing w:line="360" w:lineRule="auto" w:before="5"/>
        <w:ind w:left="122" w:right="123" w:firstLine="707"/>
        <w:jc w:val="both"/>
      </w:pPr>
      <w:r>
        <w:rPr/>
        <w:t>Coincido con los autores que señalan que Costa Rica es democrática desde 1949, pues en ese año se cumplieron las tres características mínimas que   señala</w:t>
      </w:r>
    </w:p>
    <w:p>
      <w:pPr>
        <w:pStyle w:val="BodyText"/>
        <w:rPr>
          <w:sz w:val="26"/>
        </w:rPr>
      </w:pPr>
      <w:r>
        <w:rPr/>
        <w:pict>
          <v:line style="position:absolute;mso-position-horizontal-relative:page;mso-position-vertical-relative:paragraph;z-index:1168;mso-wrap-distance-left:0;mso-wrap-distance-right:0" from="85.103996pt,17.273928pt" to="229.123996pt,17.273928pt" stroked="true" strokeweight=".71997pt" strokecolor="#000000">
            <w10:wrap type="topAndBottom"/>
          </v:line>
        </w:pict>
      </w:r>
    </w:p>
    <w:p>
      <w:pPr>
        <w:spacing w:before="36"/>
        <w:ind w:left="122" w:right="119" w:firstLine="0"/>
        <w:jc w:val="both"/>
        <w:rPr>
          <w:sz w:val="20"/>
        </w:rPr>
      </w:pPr>
      <w:r>
        <w:rPr>
          <w:position w:val="10"/>
          <w:sz w:val="13"/>
        </w:rPr>
        <w:t>4 </w:t>
      </w:r>
      <w:r>
        <w:rPr>
          <w:sz w:val="20"/>
        </w:rPr>
        <w:t>Sin embargo, la población indígena costarricense pudo votar hasta 1991 gracias a la Ley de Inscripción y Cédula Indígena (ALRCR, 1991).</w:t>
      </w:r>
    </w:p>
    <w:p>
      <w:pPr>
        <w:spacing w:line="230" w:lineRule="exact" w:before="4"/>
        <w:ind w:left="122" w:right="118" w:firstLine="0"/>
        <w:jc w:val="both"/>
        <w:rPr>
          <w:sz w:val="20"/>
        </w:rPr>
      </w:pPr>
      <w:r>
        <w:rPr>
          <w:position w:val="10"/>
          <w:sz w:val="13"/>
        </w:rPr>
        <w:t>5 </w:t>
      </w:r>
      <w:r>
        <w:rPr>
          <w:sz w:val="20"/>
        </w:rPr>
        <w:t>Quesada a propósito de los festejos del centenario de la democracia costarricense señala que, para algunos, la democracia costarricense no es centenaria sino cincuentenaria; de ahí que determinados círculos académicos (como la UCR) y un canal de televisión (el 13) tuvieron la idea de realizar jornadas de reflexión para analizar históricamente la democracia costarricense.</w:t>
      </w:r>
    </w:p>
    <w:p>
      <w:pPr>
        <w:spacing w:after="0" w:line="230" w:lineRule="exact"/>
        <w:jc w:val="both"/>
        <w:rPr>
          <w:sz w:val="20"/>
        </w:rPr>
        <w:sectPr>
          <w:pgSz w:w="12240" w:h="15840"/>
          <w:pgMar w:header="749" w:footer="1003" w:top="960" w:bottom="1200" w:left="1580" w:right="1580"/>
        </w:sectPr>
      </w:pPr>
    </w:p>
    <w:p>
      <w:pPr>
        <w:pStyle w:val="BodyText"/>
        <w:rPr>
          <w:sz w:val="20"/>
        </w:rPr>
      </w:pPr>
    </w:p>
    <w:p>
      <w:pPr>
        <w:pStyle w:val="BodyText"/>
        <w:spacing w:line="352" w:lineRule="auto" w:before="214"/>
        <w:ind w:left="122" w:right="115"/>
        <w:jc w:val="both"/>
      </w:pPr>
      <w:r>
        <w:rPr/>
        <w:t>Lizcano para diferenciar a un régimen democrático de uno autoritario. Tres son los argumentos principales para demostrar lo anterior: el primero, referente a la alternancia de partidos políticos en el poder, al dejar el Partido Republicano Nacional (PRN)</w:t>
      </w:r>
      <w:r>
        <w:rPr>
          <w:position w:val="11"/>
          <w:sz w:val="16"/>
        </w:rPr>
        <w:t>6 </w:t>
      </w:r>
      <w:r>
        <w:rPr/>
        <w:t>el poder al Partido Social Demócrata (PSD) como resultado de la guerra civil de 1948; la alternancia en el poder es un elemento que indica que   las</w:t>
      </w:r>
    </w:p>
    <w:p>
      <w:pPr>
        <w:pStyle w:val="BodyText"/>
        <w:spacing w:line="338" w:lineRule="auto" w:before="13"/>
        <w:ind w:left="122" w:right="117"/>
        <w:jc w:val="both"/>
      </w:pPr>
      <w:r>
        <w:rPr/>
        <w:t>elecciones son suficientemente limpias y equitativamente competidas como para permitir que la oposición obtenga el poder. El segundo, alude a la pluralidad de partidos en la integración de la Asamblea Legislativa</w:t>
      </w:r>
      <w:r>
        <w:rPr>
          <w:position w:val="11"/>
          <w:sz w:val="16"/>
        </w:rPr>
        <w:t>7 </w:t>
      </w:r>
      <w:r>
        <w:rPr/>
        <w:t>así como en la composición de los concejos municipales</w:t>
      </w:r>
      <w:r>
        <w:rPr>
          <w:position w:val="11"/>
          <w:sz w:val="16"/>
        </w:rPr>
        <w:t>8</w:t>
      </w:r>
      <w:r>
        <w:rPr/>
        <w:t>; lo cual limita el poder del Ejecutivo. El tercero, la creación del TSE como órgano autónomo encargado de realizar las elecciones</w:t>
      </w:r>
      <w:r>
        <w:rPr>
          <w:position w:val="11"/>
          <w:sz w:val="16"/>
        </w:rPr>
        <w:t>9</w:t>
      </w:r>
      <w:r>
        <w:rPr/>
        <w:t>.</w:t>
      </w:r>
    </w:p>
    <w:p>
      <w:pPr>
        <w:pStyle w:val="BodyText"/>
        <w:spacing w:line="360" w:lineRule="auto" w:before="11"/>
        <w:ind w:left="122" w:right="116" w:firstLine="707"/>
        <w:jc w:val="both"/>
      </w:pPr>
      <w:r>
        <w:rPr/>
        <w:t>Difiero de quienes argumentan que la democracia costarricense data de 1889 o de 1975. Antes de 1949 si bien hubo elecciones, éstas no fueron limpias ni equitativamente competidas, se cometieron fraudes e intromisiones del partido en el poder con el objetivo de perpetuarse (Molina, 1997 y Molina y Lehoucq 1999). Para quienes afirman que Costa Rica alcanzó su democracia en 1975, debo decir que de acuerdo con la definición de democracia de Lizcano, Costa Rica ya había alcanzado su democracia en 1949 al cumplir con los tres requisitos mínimos de toda democracia real. Lo que ocurrió en 1975 fue que derivado de algunas reformas electorales la democracia costarricense se perfeccionó pero eso no significa que la democracia inició ahí.</w:t>
      </w:r>
    </w:p>
    <w:p>
      <w:pPr>
        <w:pStyle w:val="BodyText"/>
        <w:spacing w:before="9"/>
        <w:rPr>
          <w:sz w:val="17"/>
        </w:rPr>
      </w:pPr>
      <w:r>
        <w:rPr/>
        <w:pict>
          <v:line style="position:absolute;mso-position-horizontal-relative:page;mso-position-vertical-relative:paragraph;z-index:1192;mso-wrap-distance-left:0;mso-wrap-distance-right:0" from="85.103996pt,12.593891pt" to="229.123996pt,12.593891pt" stroked="true" strokeweight=".72pt" strokecolor="#000000">
            <w10:wrap type="topAndBottom"/>
          </v:line>
        </w:pict>
      </w:r>
    </w:p>
    <w:p>
      <w:pPr>
        <w:spacing w:before="36"/>
        <w:ind w:left="122" w:right="120" w:firstLine="0"/>
        <w:jc w:val="both"/>
        <w:rPr>
          <w:sz w:val="20"/>
        </w:rPr>
      </w:pPr>
      <w:r>
        <w:rPr>
          <w:position w:val="10"/>
          <w:sz w:val="13"/>
        </w:rPr>
        <w:t>6 </w:t>
      </w:r>
      <w:r>
        <w:rPr>
          <w:sz w:val="20"/>
        </w:rPr>
        <w:t>El PRN había dominado la escena política en las últimas elecciones al ganar la presidencia de la República en cuatro ocasiones ininterrumpidas en 1932, 1936, 1940 y 1944. Dicho partido deriva del Partido Republicano o Fernandista que había ostentado la presidencia de la República en varias</w:t>
      </w:r>
      <w:r>
        <w:rPr>
          <w:spacing w:val="-8"/>
          <w:sz w:val="20"/>
        </w:rPr>
        <w:t> </w:t>
      </w:r>
      <w:r>
        <w:rPr>
          <w:sz w:val="20"/>
        </w:rPr>
        <w:t>ocasiones.</w:t>
      </w:r>
    </w:p>
    <w:p>
      <w:pPr>
        <w:spacing w:line="230" w:lineRule="exact" w:before="4"/>
        <w:ind w:left="122" w:right="119" w:firstLine="0"/>
        <w:jc w:val="both"/>
        <w:rPr>
          <w:sz w:val="20"/>
        </w:rPr>
      </w:pPr>
      <w:r>
        <w:rPr>
          <w:position w:val="10"/>
          <w:sz w:val="13"/>
        </w:rPr>
        <w:t>7 </w:t>
      </w:r>
      <w:r>
        <w:rPr>
          <w:sz w:val="20"/>
        </w:rPr>
        <w:t>En Costa Rica se denomina Asamblea Legislativa al órgano encargado de legislar, el cuál en México se llama Congreso de la Unión; esto de acuerdo con el artículo 105, párrafo primero, de la Constitución Política de Costa Rica el cual establece: “la potestad de legislar reside en el pueblo, el cual la delega en la Asamblea Legislativa por medio del sufragio” (ANC, 1949: 28). La Constitución</w:t>
      </w:r>
    </w:p>
    <w:p>
      <w:pPr>
        <w:spacing w:line="240" w:lineRule="auto" w:before="0"/>
        <w:ind w:left="122" w:right="123" w:firstLine="0"/>
        <w:jc w:val="both"/>
        <w:rPr>
          <w:sz w:val="20"/>
        </w:rPr>
      </w:pPr>
      <w:r>
        <w:rPr>
          <w:sz w:val="20"/>
        </w:rPr>
        <w:t>Política de los Estados Unidos Mexicanos en su artículo 50 señala: el poder legislativo de los Estados Unidos Mexicanos se deposita en un Congreso general, que se dividirá en dos Cámaras, una de diputados y otra de senadores (CDHCU L LXII, 2013: 39).</w:t>
      </w:r>
    </w:p>
    <w:p>
      <w:pPr>
        <w:spacing w:line="230" w:lineRule="exact" w:before="4"/>
        <w:ind w:left="122" w:right="118" w:firstLine="0"/>
        <w:jc w:val="both"/>
        <w:rPr>
          <w:sz w:val="20"/>
        </w:rPr>
      </w:pPr>
      <w:r>
        <w:rPr>
          <w:position w:val="10"/>
          <w:sz w:val="13"/>
        </w:rPr>
        <w:t>8 </w:t>
      </w:r>
      <w:r>
        <w:rPr>
          <w:sz w:val="20"/>
        </w:rPr>
        <w:t>En Costa Rica se denomina concejo municipal al órgano colegiado que en México se conoce como ayuntamiento. El Código Municipal de Costa Rica establece en su artículo 12 que el gobierno</w:t>
      </w:r>
    </w:p>
    <w:p>
      <w:pPr>
        <w:spacing w:line="240" w:lineRule="auto" w:before="0"/>
        <w:ind w:left="122" w:right="119" w:firstLine="0"/>
        <w:jc w:val="both"/>
        <w:rPr>
          <w:sz w:val="20"/>
        </w:rPr>
      </w:pPr>
      <w:r>
        <w:rPr>
          <w:sz w:val="20"/>
        </w:rPr>
        <w:t>municipal estará compuesto por un cuerpo deliberativo denominado Concejo e integrado por los regidores que determine la ley (ALCR, 1998: 4). Por su parte la Ley Orgánica Municipal del Estado de México en su artículo 27, párrafo primero, denomina ayuntamientos a los órganos deliberantes que resuelven colegiadamente los asuntos de su competencia (LEM LI, 1992: 18).</w:t>
      </w:r>
    </w:p>
    <w:p>
      <w:pPr>
        <w:spacing w:line="230" w:lineRule="exact" w:before="4"/>
        <w:ind w:left="122" w:right="178" w:firstLine="0"/>
        <w:jc w:val="left"/>
        <w:rPr>
          <w:sz w:val="20"/>
        </w:rPr>
      </w:pPr>
      <w:r>
        <w:rPr>
          <w:position w:val="10"/>
          <w:sz w:val="13"/>
        </w:rPr>
        <w:t>9 </w:t>
      </w:r>
      <w:r>
        <w:rPr>
          <w:sz w:val="20"/>
        </w:rPr>
        <w:t>El Tribunal Supremo de Elecciones sustituyó al Tribunal Nacional Electoral (TNE). El TNE no era un órgano autónomo por lo tanto el gobierno manipulaba las elecciones.</w:t>
      </w:r>
    </w:p>
    <w:p>
      <w:pPr>
        <w:spacing w:after="0" w:line="230" w:lineRule="exact"/>
        <w:jc w:val="left"/>
        <w:rPr>
          <w:sz w:val="20"/>
        </w:rPr>
        <w:sectPr>
          <w:pgSz w:w="12240" w:h="15840"/>
          <w:pgMar w:header="749" w:footer="1003" w:top="960" w:bottom="1200" w:left="1580" w:right="1580"/>
        </w:sectPr>
      </w:pPr>
    </w:p>
    <w:p>
      <w:pPr>
        <w:pStyle w:val="BodyText"/>
        <w:rPr>
          <w:sz w:val="20"/>
        </w:rPr>
      </w:pPr>
    </w:p>
    <w:p>
      <w:pPr>
        <w:pStyle w:val="BodyText"/>
        <w:spacing w:line="360" w:lineRule="auto" w:before="214"/>
        <w:ind w:left="122" w:right="115" w:firstLine="707"/>
        <w:jc w:val="both"/>
      </w:pPr>
      <w:r>
        <w:rPr/>
        <w:t>No estoy de acuerdo con quienes señalan que la democracia costarricense es un mito, pues cumple con la realización de elecciones limpias y competidas, existe equilibrio de poderes y tolerancia ante la oposición; características mínimas para que un régimen sea considerado democrático como señala Lizcano. Sin embargo, estoy de acuerdo en que antes de 1949 Costa Rica no era democrática, ya que como lo he señalado fue hasta ese año que alcanzo una verdadera democracia.</w:t>
      </w:r>
    </w:p>
    <w:p>
      <w:pPr>
        <w:pStyle w:val="BodyText"/>
        <w:spacing w:line="360" w:lineRule="auto" w:before="5"/>
        <w:ind w:left="122" w:right="115" w:firstLine="707"/>
        <w:jc w:val="both"/>
      </w:pPr>
      <w:r>
        <w:rPr/>
        <w:t>En cuanto al establecimiento de la democracia en México, actualmente se observan dos grupos de autores: los que afirman que México es democrático (Becerra, Salazar y Woldenberg 2005; Woldenberg 2007, 2012a y 2012b; Lizcano y Retana, 2010; Whitehead, 2011; Lizcano, 2011, Lizcano y otros 2012a; Emmerich, 2009) y los que niegan el carácter democrático del régimen político mexicano o consideran que aún no es una democracia plena (Díaz, 2012; Meyer, 2013 y De la Madrid, 2011). Los primeros señalan que México adquirió el carácter democrático  al  modificar  su  régimen  que  tenía  similitudes  con  el  régimen</w:t>
      </w:r>
      <w:r>
        <w:rPr>
          <w:spacing w:val="58"/>
        </w:rPr>
        <w:t> </w:t>
      </w:r>
      <w:r>
        <w:rPr/>
        <w:t>de</w:t>
      </w:r>
    </w:p>
    <w:p>
      <w:pPr>
        <w:pStyle w:val="BodyText"/>
        <w:spacing w:line="352" w:lineRule="auto" w:before="5"/>
        <w:ind w:left="122" w:right="116"/>
        <w:jc w:val="both"/>
      </w:pPr>
      <w:r>
        <w:rPr/>
        <w:t>partido hegemónico, pues durante casi siete décadas el PRI tuvo el poder ininterrumpidamente</w:t>
      </w:r>
      <w:r>
        <w:rPr>
          <w:position w:val="11"/>
          <w:sz w:val="16"/>
        </w:rPr>
        <w:t>10</w:t>
      </w:r>
      <w:r>
        <w:rPr/>
        <w:t>. Los segundos afirman que México no es democrático debido a varios factores: el regreso del PRI a la presidencia de la República en 2012, el fraude electoral</w:t>
      </w:r>
      <w:r>
        <w:rPr>
          <w:position w:val="11"/>
          <w:sz w:val="16"/>
        </w:rPr>
        <w:t>11 </w:t>
      </w:r>
      <w:r>
        <w:rPr/>
        <w:t>que llevó a Felipe de Jesús Calderón Hinojosa a la presidencia de la República en 2006 (Díaz, 2012), la pérdida del estado de derecho por la guerra contra el narcotráfico, la falta de empleo, la falta de confianza en el Estado para resolver los grandes problemas que aquejan al país (De la Madrid, 2011); la creación de un sistema mixto entre democracia y  dictadura (Meyer,</w:t>
      </w:r>
      <w:r>
        <w:rPr>
          <w:spacing w:val="-8"/>
        </w:rPr>
        <w:t> </w:t>
      </w:r>
      <w:r>
        <w:rPr/>
        <w:t>2013).</w:t>
      </w:r>
    </w:p>
    <w:p>
      <w:pPr>
        <w:pStyle w:val="BodyText"/>
        <w:spacing w:line="360" w:lineRule="auto" w:before="11"/>
        <w:ind w:left="122" w:right="116" w:firstLine="707"/>
        <w:jc w:val="both"/>
      </w:pPr>
      <w:r>
        <w:rPr/>
        <w:t>Concuerdo con los primeros, pues México es democrático de acuerdo con dos argumentos: el primero, la integración plural de la Cámara de Diputados en 1997, en la cual el PRI perdió la mayoría absoluta (lo que restó supremacía al poder Ejecutivo); y el segundo, la alternancia en la Presidencia de la República</w:t>
      </w:r>
    </w:p>
    <w:p>
      <w:pPr>
        <w:pStyle w:val="BodyText"/>
        <w:spacing w:before="10"/>
        <w:rPr>
          <w:sz w:val="9"/>
        </w:rPr>
      </w:pPr>
      <w:r>
        <w:rPr/>
        <w:pict>
          <v:line style="position:absolute;mso-position-horizontal-relative:page;mso-position-vertical-relative:paragraph;z-index:1216;mso-wrap-distance-left:0;mso-wrap-distance-right:0" from="85.103996pt,8.033917pt" to="229.123996pt,8.033917pt" stroked="true" strokeweight=".71997pt" strokecolor="#000000">
            <w10:wrap type="topAndBottom"/>
          </v:line>
        </w:pict>
      </w:r>
    </w:p>
    <w:p>
      <w:pPr>
        <w:spacing w:before="34"/>
        <w:ind w:left="122" w:right="120" w:firstLine="0"/>
        <w:jc w:val="both"/>
        <w:rPr>
          <w:sz w:val="20"/>
        </w:rPr>
      </w:pPr>
      <w:r>
        <w:rPr>
          <w:position w:val="10"/>
          <w:sz w:val="13"/>
        </w:rPr>
        <w:t>10 </w:t>
      </w:r>
      <w:r>
        <w:rPr>
          <w:sz w:val="20"/>
        </w:rPr>
        <w:t>El Partido Revolucionario Institucional (PRI) y su antecesor el Partido Nacional Revolucionario (PNR) detentaron el poder desde la creación de este último en 1929.</w:t>
      </w:r>
    </w:p>
    <w:p>
      <w:pPr>
        <w:spacing w:line="230" w:lineRule="exact" w:before="4"/>
        <w:ind w:left="122" w:right="216" w:firstLine="0"/>
        <w:jc w:val="both"/>
        <w:rPr>
          <w:sz w:val="20"/>
        </w:rPr>
      </w:pPr>
      <w:r>
        <w:rPr>
          <w:position w:val="10"/>
          <w:sz w:val="13"/>
        </w:rPr>
        <w:t>11 </w:t>
      </w:r>
      <w:r>
        <w:rPr>
          <w:sz w:val="20"/>
        </w:rPr>
        <w:t>Crespo realizó un estudio del supuesto fraude electoral de 2006 y concluyó que, de acuerdo con las actas de escrutinio y cómputo, no era posible afirmar el fraude que señalaban los obradoristas, ni el triunfo de los calderonistas (2008: 171).</w:t>
      </w:r>
    </w:p>
    <w:p>
      <w:pPr>
        <w:spacing w:after="0" w:line="230" w:lineRule="exact"/>
        <w:jc w:val="both"/>
        <w:rPr>
          <w:sz w:val="20"/>
        </w:rPr>
        <w:sectPr>
          <w:pgSz w:w="12240" w:h="15840"/>
          <w:pgMar w:header="749" w:footer="1003" w:top="960" w:bottom="1200" w:left="1580" w:right="1580"/>
        </w:sectPr>
      </w:pPr>
    </w:p>
    <w:p>
      <w:pPr>
        <w:pStyle w:val="BodyText"/>
        <w:rPr>
          <w:sz w:val="20"/>
        </w:rPr>
      </w:pPr>
    </w:p>
    <w:p>
      <w:pPr>
        <w:pStyle w:val="BodyText"/>
        <w:spacing w:line="362" w:lineRule="auto" w:before="214"/>
        <w:ind w:left="102" w:right="120"/>
      </w:pPr>
      <w:r>
        <w:rPr/>
        <w:t>ocurrida en 2000, lo cual se llevó a cabo mediante elecciones limpias de acuerdo con Woldenberg (2013: 9).</w:t>
      </w:r>
    </w:p>
    <w:p>
      <w:pPr>
        <w:pStyle w:val="BodyText"/>
        <w:spacing w:line="360" w:lineRule="auto"/>
        <w:ind w:left="102" w:right="114" w:firstLine="707"/>
        <w:jc w:val="both"/>
      </w:pPr>
      <w:r>
        <w:rPr/>
        <w:t>Difiero con quienes afirman que México no es democrático, pues los argumentos dados por este grupo no son decisivos, por ejemplo se basan en el regreso del PRI a la presidencia de la República lo cual no señala un retroceso sino que confirma el libre acceso al poder, no se puede decir que las elecciones  en México volvieron a ser fraudulentas pues las reglas de la competencia política son claras y equitativas derivadas de las recientes reformas electorales de 2007. Durante el régimen de partido hegemónico las reglas eran inequitativas ya que favorecían al partido en el poder. Antes de 1997-2000 México no era democrático, pues, si bien había elecciones, éstas no eran ni limpias ni equitativamente competidas, por lo que la oposición no tenía la posibilidad de detentar el poder a través de las elecciones, el poder Legislativo y Judicial estaban subordinados al Ejecutivo, el PRI tenía la mayoría absoluta en la Cámara de Diputados de la Federación. Así las cosas el régimen político mexicano era un híbrido entre democracia y autoritarismo, se ceñía más al sistema de partido hegemónico al que hace referencia Sartori (1999) que a una democracia. Actualmente la situación ha cambiado y México es democrático. Quienes pretenden que la democracia resuelva todos los problemas que aquejan a México como son: la inseguridad, violencia, narcotráfico, pobreza, falta de empleo, etcétera, no se están refiriendo a la democracia real (objeto del presente estudio) si no a la democracia ideal la cual como señala Dahl no se sabe si existe, ha existido o existirá (2002: 13). La democracia ideal es una aspiración de todo régimen democrático pero si pretendemos evaluar la calidad de la democracia en los regímenes políticos actuales, no es posible calificarlos a partir de las características de la democracia ideal pues ninguno sería una democracia</w:t>
      </w:r>
      <w:r>
        <w:rPr>
          <w:spacing w:val="-18"/>
        </w:rPr>
        <w:t> </w:t>
      </w:r>
      <w:r>
        <w:rPr/>
        <w:t>plena.</w:t>
      </w:r>
    </w:p>
    <w:p>
      <w:pPr>
        <w:pStyle w:val="BodyText"/>
        <w:spacing w:line="360" w:lineRule="auto" w:before="3"/>
        <w:ind w:left="102" w:right="119" w:firstLine="707"/>
        <w:jc w:val="both"/>
      </w:pPr>
      <w:r>
        <w:rPr/>
        <w:t>En síntesis aun cuando ambos países son democráticos la democracia en México es mucho más reciente que la costarricense. Independientemente de donde se ponga el punto de partida de la democracia costarricense (1889, 1949 o 1975) siempre supera a la mexicana (1997-2000) por varias décadas. Costa Rica es de las democracias más viejas de América Latina (Caputo, 2004: 102 y Vargas,</w:t>
      </w:r>
    </w:p>
    <w:p>
      <w:pPr>
        <w:spacing w:after="0" w:line="360" w:lineRule="auto"/>
        <w:jc w:val="both"/>
        <w:sectPr>
          <w:footerReference w:type="default" r:id="rId13"/>
          <w:pgSz w:w="12240" w:h="15840"/>
          <w:pgMar w:footer="1003" w:header="749" w:top="960" w:bottom="1200" w:left="1600" w:right="1580"/>
        </w:sectPr>
      </w:pPr>
    </w:p>
    <w:p>
      <w:pPr>
        <w:pStyle w:val="BodyText"/>
        <w:rPr>
          <w:sz w:val="20"/>
        </w:rPr>
      </w:pPr>
    </w:p>
    <w:p>
      <w:pPr>
        <w:pStyle w:val="BodyText"/>
        <w:spacing w:line="362" w:lineRule="auto" w:before="214"/>
        <w:ind w:left="102" w:right="120"/>
      </w:pPr>
      <w:r>
        <w:rPr/>
        <w:t>2011: 81); en 1969 Dahl la clasificaba dentro de los 26 países del mundo que contaban con una poliarquía o cuasipoliarquía (2002: 221).</w:t>
      </w:r>
    </w:p>
    <w:p>
      <w:pPr>
        <w:pStyle w:val="BodyText"/>
        <w:spacing w:line="360" w:lineRule="auto"/>
        <w:ind w:left="102" w:right="114" w:firstLine="707"/>
        <w:jc w:val="both"/>
      </w:pPr>
      <w:r>
        <w:rPr/>
        <w:t>Partiendo entonces de que ambos países son democráticos procedí al estudio de la calidad de sus elecciones, como elemento sustancial de la calidad de la democracia. Entre los autores que han estudiado la calidad de la democracia se encuentran: O’Donell (2003), Vargas (2004 y 2011), Cansino (2005) y Morlino (2005). Para Cansino la calidad de la democracia es el “conjunto de condiciones mínimas en presencia de las cuales es posible evaluar qué tan buena es una democracia en los hechos” (2005: 33). Por su parte Morlino afirma que una democracia es de calidad cuando presenta “una estructura institucional estable que hace posible la libertad e igualdad de los ciudadanos mediante el funcionamiento legítimo y correcto de sus instituciones y mecanismos” (2005: 38)  y comenta que el concepto de “calidad” es empleado por los sectores industrial y mercantil para referirse a tres aspectos: procedimientos, contenidos y resultados; aspectos que hasta en tanto no se construyan conceptos propios son empleados para evaluar la</w:t>
      </w:r>
      <w:r>
        <w:rPr>
          <w:spacing w:val="-9"/>
        </w:rPr>
        <w:t> </w:t>
      </w:r>
      <w:r>
        <w:rPr/>
        <w:t>democracia.</w:t>
      </w:r>
    </w:p>
    <w:p>
      <w:pPr>
        <w:pStyle w:val="BodyText"/>
        <w:spacing w:line="360" w:lineRule="auto" w:before="2"/>
        <w:ind w:left="102" w:right="116" w:firstLine="707"/>
        <w:jc w:val="both"/>
      </w:pPr>
      <w:r>
        <w:rPr/>
        <w:t>Por su parte, O’Donell asevera que la calidad de la democracia se puede evaluar por sus diferentes grados de democraticidad en una serie de dimensiones, que se pueden considerar como variables, de las cuales uno quiere evaluar su grado de presencia o peso en cada caso (2003: 52). Por otro lado la Auditoría Ciudadana Sobre la Calidad de la Democracia (Varios, 2001) ―el estudio más amplio que se ha realizado en América Latina al respecto ―, utiliza como  concepto de calidad de la democracia el de Vargas Cullell: “grado en que, dentro de un régimen democrático, una convivencia política se acerca a las aspiraciones democráticas de su ciudadanía” (Vargas, 2004: 96). De acuerdo con lo anterior la calidad de la democracia “evalúa los resultados de la democratización en un punto dado en el tiempo. Es un concepto sincrónico. Más específicamente, es la medida en que un sistema político cumple con los atributos constitutivos del concepto de democracia. Al estudiar la calidad de la democracia, mido la brecha (mayor o menor) entre las características observables de un sistema y los parámetros democráticos</w:t>
      </w:r>
      <w:r>
        <w:rPr>
          <w:spacing w:val="28"/>
        </w:rPr>
        <w:t> </w:t>
      </w:r>
      <w:r>
        <w:rPr/>
        <w:t>derivados</w:t>
      </w:r>
      <w:r>
        <w:rPr>
          <w:spacing w:val="30"/>
        </w:rPr>
        <w:t> </w:t>
      </w:r>
      <w:r>
        <w:rPr/>
        <w:t>de</w:t>
      </w:r>
      <w:r>
        <w:rPr>
          <w:spacing w:val="28"/>
        </w:rPr>
        <w:t> </w:t>
      </w:r>
      <w:r>
        <w:rPr/>
        <w:t>un</w:t>
      </w:r>
      <w:r>
        <w:rPr>
          <w:spacing w:val="28"/>
        </w:rPr>
        <w:t> </w:t>
      </w:r>
      <w:r>
        <w:rPr/>
        <w:t>concepto</w:t>
      </w:r>
      <w:r>
        <w:rPr>
          <w:spacing w:val="30"/>
        </w:rPr>
        <w:t> </w:t>
      </w:r>
      <w:r>
        <w:rPr/>
        <w:t>de</w:t>
      </w:r>
      <w:r>
        <w:rPr>
          <w:spacing w:val="28"/>
        </w:rPr>
        <w:t> </w:t>
      </w:r>
      <w:r>
        <w:rPr/>
        <w:t>democracia:</w:t>
      </w:r>
      <w:r>
        <w:rPr>
          <w:spacing w:val="28"/>
        </w:rPr>
        <w:t> </w:t>
      </w:r>
      <w:r>
        <w:rPr/>
        <w:t>qué</w:t>
      </w:r>
      <w:r>
        <w:rPr>
          <w:spacing w:val="30"/>
        </w:rPr>
        <w:t> </w:t>
      </w:r>
      <w:r>
        <w:rPr/>
        <w:t>tanto</w:t>
      </w:r>
      <w:r>
        <w:rPr>
          <w:spacing w:val="28"/>
        </w:rPr>
        <w:t> </w:t>
      </w:r>
      <w:r>
        <w:rPr/>
        <w:t>ha</w:t>
      </w:r>
      <w:r>
        <w:rPr>
          <w:spacing w:val="30"/>
        </w:rPr>
        <w:t> </w:t>
      </w:r>
      <w:r>
        <w:rPr/>
        <w:t>logrado</w:t>
      </w:r>
      <w:r>
        <w:rPr>
          <w:spacing w:val="30"/>
        </w:rPr>
        <w:t> </w:t>
      </w:r>
      <w:r>
        <w:rPr/>
        <w:t>la</w:t>
      </w:r>
    </w:p>
    <w:p>
      <w:pPr>
        <w:spacing w:after="0" w:line="360" w:lineRule="auto"/>
        <w:jc w:val="both"/>
        <w:sectPr>
          <w:footerReference w:type="default" r:id="rId14"/>
          <w:pgSz w:w="12240" w:h="15840"/>
          <w:pgMar w:footer="1003" w:header="749" w:top="960" w:bottom="1200" w:left="1600" w:right="1580"/>
          <w:pgNumType w:start="31"/>
        </w:sectPr>
      </w:pPr>
    </w:p>
    <w:p>
      <w:pPr>
        <w:pStyle w:val="BodyText"/>
        <w:rPr>
          <w:sz w:val="20"/>
        </w:rPr>
      </w:pPr>
    </w:p>
    <w:p>
      <w:pPr>
        <w:pStyle w:val="BodyText"/>
        <w:spacing w:line="360" w:lineRule="auto" w:before="214"/>
        <w:ind w:left="102" w:right="117"/>
        <w:jc w:val="both"/>
      </w:pPr>
      <w:r>
        <w:rPr/>
        <w:t>democratización acoplar un sistema político a una organización democrática de las relaciones de poder. Las brechas entre lo real y lo requerido pueden variar de lugar a lugar y también, como veremos, dentro de un sistema político dado” (Vargas, 2011:</w:t>
      </w:r>
      <w:r>
        <w:rPr>
          <w:spacing w:val="-8"/>
        </w:rPr>
        <w:t> </w:t>
      </w:r>
      <w:r>
        <w:rPr/>
        <w:t>71).</w:t>
      </w:r>
    </w:p>
    <w:p>
      <w:pPr>
        <w:pStyle w:val="BodyText"/>
        <w:spacing w:line="360" w:lineRule="auto" w:before="2"/>
        <w:ind w:left="102" w:right="115" w:firstLine="707"/>
        <w:jc w:val="both"/>
      </w:pPr>
      <w:r>
        <w:rPr/>
        <w:t>Para este trabajo se utilizó el concepto de calidad de la democracia elaborado por Cansino por resultar claro en su relación con el concepto de democracia de Lizcano. Al relacionar ambos conceptos pude estudiar un elemento de la calidad de la democracia: la calidad de las elecciones, a través del mayor o menor acceso al poder de las principales autoridades. Para ello analicé la limpieza y equidad en los procesos electorales objeto de estudio; los cuales constituyen un instrumento importante en todo régimen democrático. Crespo (2001: 31-34) señala que son siete los aspectos mínimos que debe tener una elección para considerarse limpia y equitativamente competida: un padrón electoral confiable, credencialización, autoridades electorales imparciales, vigilancia del proceso, información oportuna sobre el resultado de la elección, un órgano calificador imparcial y, por último, tipificación y penalización de los delitos electorales. Coincido con Crespo en cuanto a que los siete elementos señalados </w:t>
      </w:r>
      <w:r>
        <w:rPr>
          <w:spacing w:val="2"/>
        </w:rPr>
        <w:t>son </w:t>
      </w:r>
      <w:r>
        <w:rPr/>
        <w:t>los mínimos para garantizar la limpieza de las</w:t>
      </w:r>
      <w:r>
        <w:rPr>
          <w:spacing w:val="-22"/>
        </w:rPr>
        <w:t> </w:t>
      </w:r>
      <w:r>
        <w:rPr/>
        <w:t>elecciones.</w:t>
      </w:r>
    </w:p>
    <w:p>
      <w:pPr>
        <w:pStyle w:val="BodyText"/>
        <w:spacing w:line="360" w:lineRule="auto" w:before="2"/>
        <w:ind w:left="102" w:right="117" w:firstLine="707"/>
        <w:jc w:val="both"/>
      </w:pPr>
      <w:r>
        <w:rPr/>
        <w:t>De acuerdo con lo antes expuesto el presente trabajo pretende dar respuesta a la hipótesis general demostrando que las elecciones costarricenses celebradas en 2010 son más democráticas que las mexicanas de 2006 debido, entre otros aspectos, a la larga trayectoria democrática de Costa Rica, la imparcialidad e independencia en la designación y actuación de los integrantes del TSE, el apego a la legalidad financiera de los partidos políticos costarricenses y la equidad en la cobertura del proceso electoral por parte de los medios de comunicación.</w:t>
      </w:r>
    </w:p>
    <w:p>
      <w:pPr>
        <w:pStyle w:val="BodyText"/>
        <w:spacing w:line="360" w:lineRule="auto" w:before="3"/>
        <w:ind w:left="102" w:right="117" w:firstLine="707"/>
        <w:jc w:val="both"/>
      </w:pPr>
      <w:r>
        <w:rPr/>
        <w:t>En las conclusiones se da a conocer el resultado de la hipótesis a través de las evaluaciones obtenidas en las tres dimensiones objeto de estudio y en algunos aspectos del contexto, obteniendo así dos tipos de calificaciones: cuatro parciales, una por cada una de las dimensiones y el contexto; y una general relativa al promedio de las dimensiones; dichas evaluaciones determinan qué país es más</w:t>
      </w:r>
    </w:p>
    <w:p>
      <w:pPr>
        <w:spacing w:after="0" w:line="360" w:lineRule="auto"/>
        <w:jc w:val="both"/>
        <w:sectPr>
          <w:pgSz w:w="12240" w:h="15840"/>
          <w:pgMar w:header="749" w:footer="1003" w:top="960" w:bottom="1200" w:left="1600" w:right="1580"/>
        </w:sectPr>
      </w:pPr>
    </w:p>
    <w:p>
      <w:pPr>
        <w:pStyle w:val="BodyText"/>
        <w:rPr>
          <w:sz w:val="20"/>
        </w:rPr>
      </w:pPr>
    </w:p>
    <w:p>
      <w:pPr>
        <w:pStyle w:val="BodyText"/>
        <w:spacing w:line="362" w:lineRule="auto" w:before="214"/>
        <w:ind w:left="102" w:right="120"/>
      </w:pPr>
      <w:r>
        <w:rPr/>
        <w:t>democrático ―globalmente hablando―, o mejor aún que elecciones tuvieron un mayor grado de calidad y específicamente, en que dimensiones fueron mejores.</w:t>
      </w:r>
    </w:p>
    <w:p>
      <w:pPr>
        <w:pStyle w:val="BodyText"/>
        <w:spacing w:line="360" w:lineRule="auto"/>
        <w:ind w:left="102" w:right="115" w:firstLine="707"/>
        <w:jc w:val="both"/>
      </w:pPr>
      <w:r>
        <w:rPr/>
        <w:t>No quiero concluir estas palabras introductorias sin antes agradecer el apoyo recibido por diversas instituciones: en primer lugar, al Consejo Nacional de Ciencia y Tecnología (Conacyt) por proporcionarme los recursos financieros para mis estudios de doctorado así como para la movilidad a Costa Rica; en segundo lugar a la Universidad Autónoma del Estado de México (UAEM), mi </w:t>
      </w:r>
      <w:r>
        <w:rPr>
          <w:i/>
        </w:rPr>
        <w:t>alma mater</w:t>
      </w:r>
      <w:r>
        <w:rPr/>
        <w:t>, especialmente a la Facultad de Humanidades así como a la Facultad de Filosofía  y Letras de la Universidad Nacional (UNA) de Costa Rica, por su hospitalidad y becas de escolaridad otorgadas; al Centro de Investigación en Ciencias Sociales y Humanidades (CICSyH) por su apoyo durante el tiempo que me desempeñe como auxiliar de investigación pero sobre todo por introducirme en el fascinante universo de la investigación. Finalmente al Instituto Federal Electoral (IFE), al Instituto Electoral del Estado de México (IEEM) y al Tribunal Supremo  de  Elecciones (TSE), por el acceso expedito y transparente a la información. Mi más sincero agradecimiento a todas estas instituciones, ya que sin su apoyo no habría sido posible la realización del presente</w:t>
      </w:r>
      <w:r>
        <w:rPr>
          <w:spacing w:val="-11"/>
        </w:rPr>
        <w:t> </w:t>
      </w:r>
      <w:r>
        <w:rPr/>
        <w:t>trabajo.</w:t>
      </w:r>
    </w:p>
    <w:p>
      <w:pPr>
        <w:spacing w:after="0" w:line="360" w:lineRule="auto"/>
        <w:jc w:val="both"/>
        <w:sectPr>
          <w:pgSz w:w="12240" w:h="15840"/>
          <w:pgMar w:header="749" w:footer="1003" w:top="960" w:bottom="1200" w:left="1600" w:right="1580"/>
        </w:sectPr>
      </w:pPr>
    </w:p>
    <w:p>
      <w:pPr>
        <w:pStyle w:val="BodyText"/>
        <w:rPr>
          <w:sz w:val="20"/>
        </w:rPr>
      </w:pPr>
    </w:p>
    <w:p>
      <w:pPr>
        <w:pStyle w:val="Heading1"/>
        <w:ind w:left="714" w:right="730"/>
        <w:jc w:val="center"/>
      </w:pPr>
      <w:r>
        <w:rPr/>
        <w:t>I CONTEXTO</w:t>
      </w:r>
    </w:p>
    <w:p>
      <w:pPr>
        <w:pStyle w:val="BodyText"/>
        <w:rPr>
          <w:sz w:val="28"/>
        </w:rPr>
      </w:pPr>
    </w:p>
    <w:p>
      <w:pPr>
        <w:pStyle w:val="BodyText"/>
        <w:rPr>
          <w:sz w:val="28"/>
        </w:rPr>
      </w:pPr>
    </w:p>
    <w:p>
      <w:pPr>
        <w:pStyle w:val="BodyText"/>
        <w:spacing w:before="3"/>
        <w:rPr>
          <w:sz w:val="30"/>
        </w:rPr>
      </w:pPr>
    </w:p>
    <w:p>
      <w:pPr>
        <w:pStyle w:val="BodyText"/>
        <w:spacing w:line="360" w:lineRule="auto" w:before="1"/>
        <w:ind w:left="102" w:right="115"/>
        <w:jc w:val="both"/>
      </w:pPr>
      <w:r>
        <w:rPr/>
        <w:t>En el presente capitulo se estudiaron tres aspectos de los países objeto de estudio: el primero, territorio, población y densidad demográfica; el segundo, organización político-territorial; y el tercero, régimen político; todos en sus ámbitos nacionales y estatales o provinciales. Particularmente el régimen político se  analizó a través de dos indicadores: alternancia en el poder ejecutivo y control de la Cámara de Diputados o Asamblea Legislativa. Los dos primeros aspectos no fueron evaluados, a diferencia del tercero (ver Anexo</w:t>
      </w:r>
      <w:r>
        <w:rPr>
          <w:spacing w:val="-17"/>
        </w:rPr>
        <w:t> </w:t>
      </w:r>
      <w:r>
        <w:rPr/>
        <w:t>1).</w:t>
      </w:r>
    </w:p>
    <w:p>
      <w:pPr>
        <w:pStyle w:val="BodyText"/>
        <w:spacing w:line="360" w:lineRule="auto" w:before="2"/>
        <w:ind w:left="102" w:right="118" w:firstLine="707"/>
        <w:jc w:val="both"/>
      </w:pPr>
      <w:r>
        <w:rPr/>
        <w:t>De acuerdo con su contexto la elección costarricense nacional se ubicó en el rango de alta calidad (3.0) al obtener elevadas calificaciones en la alternancia del poder ejecutivo (3.0) así como en el control de la Asamblea Legislativa (3.0). Por su parte la elección nacional mexicana también se situó en el parámetro de alta calidad, pero en promedio su evaluación global fue menor (2.5); pues obtuvo una evaluación más baja (2.0) en la alternancia del poder</w:t>
      </w:r>
      <w:r>
        <w:rPr>
          <w:spacing w:val="-29"/>
        </w:rPr>
        <w:t> </w:t>
      </w:r>
      <w:r>
        <w:rPr/>
        <w:t>ejecutivo.</w:t>
      </w:r>
    </w:p>
    <w:p>
      <w:pPr>
        <w:pStyle w:val="BodyText"/>
        <w:spacing w:line="360" w:lineRule="auto" w:before="5"/>
        <w:ind w:left="102" w:right="116" w:firstLine="707"/>
        <w:jc w:val="both"/>
      </w:pPr>
      <w:r>
        <w:rPr/>
        <w:t>Por lo que respecta a las elecciones celebradas en el Estado de México y en la Provincia de San José, en ambas sólo se evaluó la alternancia en el poder ejecutivo cantonal o municipal pues las provincias costarricenses no tienen la figura de diputado local y por ello no se evaluó el control de la legislatura. Por consiguiente la elección celebrada en el Estado de México se situó en la categoría de alta calidad, al obtener una elevada evaluación (3.0) en lo que respecta a la alternancia en el poder ejecutivo, superando a la elección realizada en la Provincia de San José la cual obtuvo una mediana calificación (2.0) ubicándose en el rango de calidad</w:t>
      </w:r>
      <w:r>
        <w:rPr>
          <w:spacing w:val="-5"/>
        </w:rPr>
        <w:t> </w:t>
      </w:r>
      <w:r>
        <w:rPr/>
        <w:t>media.</w:t>
      </w:r>
    </w:p>
    <w:p>
      <w:pPr>
        <w:pStyle w:val="BodyText"/>
      </w:pPr>
    </w:p>
    <w:p>
      <w:pPr>
        <w:pStyle w:val="Heading1"/>
        <w:numPr>
          <w:ilvl w:val="0"/>
          <w:numId w:val="1"/>
        </w:numPr>
        <w:tabs>
          <w:tab w:pos="822" w:val="left" w:leader="none"/>
        </w:tabs>
        <w:spacing w:line="240" w:lineRule="auto" w:before="141" w:after="0"/>
        <w:ind w:left="822" w:right="0" w:hanging="360"/>
        <w:jc w:val="left"/>
      </w:pPr>
      <w:r>
        <w:rPr/>
        <w:t>México</w:t>
      </w:r>
    </w:p>
    <w:p>
      <w:pPr>
        <w:pStyle w:val="BodyText"/>
        <w:rPr>
          <w:sz w:val="28"/>
        </w:rPr>
      </w:pPr>
    </w:p>
    <w:p>
      <w:pPr>
        <w:pStyle w:val="BodyText"/>
        <w:spacing w:before="2"/>
        <w:rPr>
          <w:sz w:val="22"/>
        </w:rPr>
      </w:pPr>
    </w:p>
    <w:p>
      <w:pPr>
        <w:pStyle w:val="BodyText"/>
        <w:spacing w:line="360" w:lineRule="auto"/>
        <w:ind w:left="102" w:right="117"/>
        <w:jc w:val="both"/>
      </w:pPr>
      <w:r>
        <w:rPr/>
        <w:t>Al ubicar a México en el contexto mundial se tiene que es muy grande en  extensión territorial, grande en población y cuenta con una baja densidad demográfica</w:t>
      </w:r>
      <w:r>
        <w:rPr>
          <w:spacing w:val="22"/>
        </w:rPr>
        <w:t> </w:t>
      </w:r>
      <w:r>
        <w:rPr/>
        <w:t>(Wikipedia,</w:t>
      </w:r>
      <w:r>
        <w:rPr>
          <w:spacing w:val="21"/>
        </w:rPr>
        <w:t> </w:t>
      </w:r>
      <w:r>
        <w:rPr/>
        <w:t>2012d).</w:t>
      </w:r>
      <w:r>
        <w:rPr>
          <w:spacing w:val="21"/>
        </w:rPr>
        <w:t> </w:t>
      </w:r>
      <w:r>
        <w:rPr/>
        <w:t>Por</w:t>
      </w:r>
      <w:r>
        <w:rPr>
          <w:spacing w:val="20"/>
        </w:rPr>
        <w:t> </w:t>
      </w:r>
      <w:r>
        <w:rPr/>
        <w:t>su</w:t>
      </w:r>
      <w:r>
        <w:rPr>
          <w:spacing w:val="19"/>
        </w:rPr>
        <w:t> </w:t>
      </w:r>
      <w:r>
        <w:rPr/>
        <w:t>parte,</w:t>
      </w:r>
      <w:r>
        <w:rPr>
          <w:spacing w:val="22"/>
        </w:rPr>
        <w:t> </w:t>
      </w:r>
      <w:r>
        <w:rPr/>
        <w:t>el</w:t>
      </w:r>
      <w:r>
        <w:rPr>
          <w:spacing w:val="19"/>
        </w:rPr>
        <w:t> </w:t>
      </w:r>
      <w:r>
        <w:rPr/>
        <w:t>Estado</w:t>
      </w:r>
      <w:r>
        <w:rPr>
          <w:spacing w:val="19"/>
        </w:rPr>
        <w:t> </w:t>
      </w:r>
      <w:r>
        <w:rPr/>
        <w:t>de</w:t>
      </w:r>
      <w:r>
        <w:rPr>
          <w:spacing w:val="22"/>
        </w:rPr>
        <w:t> </w:t>
      </w:r>
      <w:r>
        <w:rPr/>
        <w:t>México</w:t>
      </w:r>
      <w:r>
        <w:rPr>
          <w:spacing w:val="21"/>
        </w:rPr>
        <w:t> </w:t>
      </w:r>
      <w:r>
        <w:rPr/>
        <w:t>es</w:t>
      </w:r>
      <w:r>
        <w:rPr>
          <w:spacing w:val="21"/>
        </w:rPr>
        <w:t> </w:t>
      </w:r>
      <w:r>
        <w:rPr/>
        <w:t>la</w:t>
      </w:r>
      <w:r>
        <w:rPr>
          <w:spacing w:val="19"/>
        </w:rPr>
        <w:t> </w:t>
      </w:r>
      <w:r>
        <w:rPr/>
        <w:t>entidad</w:t>
      </w:r>
    </w:p>
    <w:p>
      <w:pPr>
        <w:spacing w:after="0" w:line="360" w:lineRule="auto"/>
        <w:jc w:val="both"/>
        <w:sectPr>
          <w:pgSz w:w="12240" w:h="15840"/>
          <w:pgMar w:header="749" w:footer="1003" w:top="960" w:bottom="1200" w:left="1600" w:right="1580"/>
        </w:sectPr>
      </w:pPr>
    </w:p>
    <w:p>
      <w:pPr>
        <w:pStyle w:val="BodyText"/>
        <w:spacing w:before="6"/>
        <w:rPr>
          <w:sz w:val="28"/>
        </w:rPr>
      </w:pPr>
    </w:p>
    <w:p>
      <w:pPr>
        <w:pStyle w:val="BodyText"/>
        <w:spacing w:line="360" w:lineRule="auto" w:before="81"/>
        <w:ind w:left="122" w:right="117"/>
        <w:jc w:val="both"/>
      </w:pPr>
      <w:r>
        <w:rPr/>
        <w:t>más poblada de la República Mexicana</w:t>
      </w:r>
      <w:r>
        <w:rPr>
          <w:position w:val="11"/>
          <w:sz w:val="16"/>
        </w:rPr>
        <w:t>12</w:t>
      </w:r>
      <w:r>
        <w:rPr/>
        <w:t>; ubicándose como grande en población pero pequeña en territorio, ocasionando que demográficamente sea una entidad muy densamente poblada, sólo rebasada por el Distrito Federal (INEGI, 2012c).</w:t>
      </w:r>
    </w:p>
    <w:p>
      <w:pPr>
        <w:pStyle w:val="BodyText"/>
        <w:spacing w:line="360" w:lineRule="auto" w:before="5"/>
        <w:ind w:left="122" w:right="116" w:firstLine="707"/>
        <w:jc w:val="both"/>
      </w:pPr>
      <w:r>
        <w:rPr/>
        <w:t>La República Mexicana es un Estado federal, de manera ininterrumpida desde 1867, por lo que no resulta extraño que sus 32 entidades federativas, además de poderes legislativos locales tengan instituciones electorales específicas; que, en el caso concreto del Estado de México se denomina Instituto Electoral del Estado de México (IEEM). En el ámbito federal la institución encargada de organizar las elecciones en todo el país es el Instituto Federal Electoral (IFE). Estas dos instituciones, IFE e IEEM, son las protagonistas fundamentales de la presente investigación por lo que se refiere a México.</w:t>
      </w:r>
    </w:p>
    <w:p>
      <w:pPr>
        <w:pStyle w:val="BodyText"/>
        <w:spacing w:line="360" w:lineRule="auto" w:before="5"/>
        <w:ind w:left="122" w:right="115" w:firstLine="707"/>
        <w:jc w:val="both"/>
      </w:pPr>
      <w:r>
        <w:rPr/>
        <w:t>Así mismo enfatizo el cambio de régimen político que se produjo en la República Mexicana entre 1997 (cuando el Partido Revolucionario Institucional perdió la mayoría absoluta en la Cámara de Diputados federal) y 2000 (en cuyas elecciones el representante de un partido de oposición ganó la Presidencia de la República), al pasar de un régimen de partido casi hegemónico, que duró unos 70 años, a otro democrático. La independencia de las legislaturas ante el Ejecutivo, la alternancia en el poder y la celebración de elecciones limpias y competidas son elementos que constatan la transición a la democracia en México.</w:t>
      </w:r>
    </w:p>
    <w:p>
      <w:pPr>
        <w:pStyle w:val="BodyText"/>
        <w:spacing w:line="360" w:lineRule="auto" w:before="5"/>
        <w:ind w:left="122" w:right="118" w:firstLine="707"/>
        <w:jc w:val="both"/>
      </w:pPr>
      <w:r>
        <w:rPr/>
        <w:t>Desde que se concretó dicha transición, tanto en el ámbito federal como en el local se cuenta con legislaturas independientes del poder ejecutivo derivado de su pluralismo. Respecto a la Cámara de Diputados federal, antes de 1997 el PRI tenía una mayoría absoluta pero desde entonces ningún partido ha vuelto a obtenerla; en cuanto a la Legislatura local, en 1996 el PRI perdió dicha mayoría absoluta y hasta 2009 no la obtuvo ningún partido, si bien el PRI recuperó la mayoría absoluta en esta fecha, no se puede hablar de un regreso al sistema de partido hegemónico, pues se mantuvieron las otras características de la democracia que se habían conquistado. Por lo que corresponde al poder ejecutivo, en  las  elecciones  de  2000  se  efectuó  la  alternancia  en  la  presidencia  de  la</w:t>
      </w:r>
    </w:p>
    <w:p>
      <w:pPr>
        <w:pStyle w:val="BodyText"/>
        <w:spacing w:before="10"/>
        <w:rPr>
          <w:sz w:val="13"/>
        </w:rPr>
      </w:pPr>
      <w:r>
        <w:rPr/>
        <w:pict>
          <v:line style="position:absolute;mso-position-horizontal-relative:page;mso-position-vertical-relative:paragraph;z-index:1240;mso-wrap-distance-left:0;mso-wrap-distance-right:0" from="85.103996pt,10.313917pt" to="229.123996pt,10.313917pt" stroked="true" strokeweight=".71997pt" strokecolor="#000000">
            <w10:wrap type="topAndBottom"/>
          </v:line>
        </w:pict>
      </w:r>
    </w:p>
    <w:p>
      <w:pPr>
        <w:spacing w:before="36"/>
        <w:ind w:left="122" w:right="115" w:firstLine="0"/>
        <w:jc w:val="both"/>
        <w:rPr>
          <w:sz w:val="20"/>
        </w:rPr>
      </w:pPr>
      <w:r>
        <w:rPr>
          <w:position w:val="10"/>
          <w:sz w:val="13"/>
        </w:rPr>
        <w:t>12 </w:t>
      </w:r>
      <w:r>
        <w:rPr>
          <w:sz w:val="20"/>
        </w:rPr>
        <w:t>Se utilizan indistintamente los términos República Mexicana (establecido en la Constitución de 1857), Estados Unidos Mexicanos (nombre oficial dado por la Constitución de 1917) y el topónimo México para referirse al país en su totalidad (31 estados y un Distrito Federal).</w:t>
      </w:r>
    </w:p>
    <w:p>
      <w:pPr>
        <w:spacing w:after="0"/>
        <w:jc w:val="both"/>
        <w:rPr>
          <w:sz w:val="20"/>
        </w:rPr>
        <w:sectPr>
          <w:pgSz w:w="12240" w:h="15840"/>
          <w:pgMar w:header="749" w:footer="1003" w:top="960" w:bottom="1200" w:left="1580" w:right="1580"/>
        </w:sectPr>
      </w:pPr>
    </w:p>
    <w:p>
      <w:pPr>
        <w:pStyle w:val="BodyText"/>
        <w:rPr>
          <w:sz w:val="20"/>
        </w:rPr>
      </w:pPr>
    </w:p>
    <w:p>
      <w:pPr>
        <w:pStyle w:val="BodyText"/>
        <w:spacing w:line="360" w:lineRule="auto" w:before="214"/>
        <w:ind w:left="102" w:right="121"/>
        <w:jc w:val="both"/>
      </w:pPr>
      <w:r>
        <w:rPr/>
        <w:t>República; lo cual no ha ocurrido en el Estado de México, ya que el PRI nunca ha perdido la gubernatura del Estado; sin embargo, en los ayuntamientos municipales la alternancia ha sido frecuente desde 1993 y, sobre todo, en 1996, independientemente de que el PRI siempre ha mantenido el poder en más de la mitad de las presidencias salvo en 2006-2009.</w:t>
      </w:r>
    </w:p>
    <w:p>
      <w:pPr>
        <w:pStyle w:val="BodyText"/>
        <w:spacing w:line="360" w:lineRule="auto" w:before="5"/>
        <w:ind w:left="102" w:right="124" w:firstLine="707"/>
        <w:jc w:val="both"/>
      </w:pPr>
      <w:r>
        <w:rPr/>
        <w:t>México de acuerdo con su régimen político se ubicó como un país con una alternancia baja (2.0) pero con un alto (3.0) control de la Cámara de Diputados;  por su parte el Estado de México, en cuanto a su alternancia en el poder ejecutivo municipal se situó como alto</w:t>
      </w:r>
      <w:r>
        <w:rPr>
          <w:spacing w:val="-8"/>
        </w:rPr>
        <w:t> </w:t>
      </w:r>
      <w:r>
        <w:rPr/>
        <w:t>(3.0).</w:t>
      </w:r>
    </w:p>
    <w:p>
      <w:pPr>
        <w:pStyle w:val="BodyText"/>
        <w:spacing w:line="360" w:lineRule="auto" w:before="5"/>
        <w:ind w:left="102" w:right="116" w:firstLine="707"/>
        <w:jc w:val="both"/>
      </w:pPr>
      <w:r>
        <w:rPr/>
        <w:t>Durante el actual régimen político democrático mexicano, que comenzó su andadura, según se indicó, al final del siglo XX, tres han sido los principales partidos políticos tanto en el ámbito nacional como en el estatal: Partido Acción Nacional (PAN), Partido Revolucionario Institucional (PRI) y Partido de la Revolución Democrática (PRD). Lo anterior se comprueba al revisar la composición de los poderes legislativos federal y estatal, así como la alternancia en el Ejecutivo federal y en las presidencias municipales del Estado de México. En concreto, en las elecciones federales de 2006 estos tres partidos (solos o en coalición con otros más pequeños) obtuvieron, conjuntamente, el 93% del total de la votación en las elecciones presidenciales (el PAN le ganó al PRD por menos de un punto porcentual), el 100% de las diputaciones de mayoría relativa, el 90.5% de las diputaciones de representación proporcional y el 91.31% de las senadurías de mayoría relativa, así como el 91.32% de las senadurías de representación proporcional. En cuanto a las elecciones locales de ese mismo año, obtuvieron 80% de las curules y el 81.6% de las presidencias municipales, que sumadas a las obtenidas por las candidaturas comunes formadas entre estos partidos y otros minoritarios representan el</w:t>
      </w:r>
      <w:r>
        <w:rPr>
          <w:spacing w:val="-8"/>
        </w:rPr>
        <w:t> </w:t>
      </w:r>
      <w:r>
        <w:rPr/>
        <w:t>96%.</w:t>
      </w:r>
    </w:p>
    <w:p>
      <w:pPr>
        <w:spacing w:after="0" w:line="360" w:lineRule="auto"/>
        <w:jc w:val="both"/>
        <w:sectPr>
          <w:pgSz w:w="12240" w:h="15840"/>
          <w:pgMar w:header="749" w:footer="1003" w:top="960" w:bottom="1200" w:left="1600" w:right="1580"/>
        </w:sectPr>
      </w:pPr>
    </w:p>
    <w:p>
      <w:pPr>
        <w:pStyle w:val="BodyText"/>
        <w:rPr>
          <w:sz w:val="20"/>
        </w:rPr>
      </w:pPr>
    </w:p>
    <w:p>
      <w:pPr>
        <w:pStyle w:val="BodyText"/>
        <w:rPr>
          <w:sz w:val="20"/>
        </w:rPr>
      </w:pPr>
    </w:p>
    <w:p>
      <w:pPr>
        <w:pStyle w:val="BodyText"/>
        <w:spacing w:before="8"/>
        <w:rPr>
          <w:sz w:val="28"/>
        </w:rPr>
      </w:pPr>
    </w:p>
    <w:p>
      <w:pPr>
        <w:pStyle w:val="Heading2"/>
        <w:tabs>
          <w:tab w:pos="1537" w:val="left" w:leader="none"/>
        </w:tabs>
        <w:spacing w:before="70"/>
        <w:ind w:left="830" w:right="178"/>
        <w:jc w:val="left"/>
      </w:pPr>
      <w:r>
        <w:rPr/>
        <w:t>1</w:t>
        <w:tab/>
        <w:t>Territorio, población y densidad</w:t>
      </w:r>
      <w:r>
        <w:rPr>
          <w:spacing w:val="-8"/>
        </w:rPr>
        <w:t> </w:t>
      </w:r>
      <w:r>
        <w:rPr/>
        <w:t>demográfica</w:t>
      </w:r>
    </w:p>
    <w:p>
      <w:pPr>
        <w:pStyle w:val="BodyText"/>
        <w:rPr>
          <w:b/>
        </w:rPr>
      </w:pPr>
    </w:p>
    <w:p>
      <w:pPr>
        <w:pStyle w:val="BodyText"/>
        <w:rPr>
          <w:b/>
        </w:rPr>
      </w:pPr>
    </w:p>
    <w:p>
      <w:pPr>
        <w:pStyle w:val="BodyText"/>
        <w:spacing w:line="360" w:lineRule="auto"/>
        <w:ind w:left="122" w:right="124"/>
        <w:jc w:val="both"/>
      </w:pPr>
      <w:r>
        <w:rPr/>
        <w:t>En México existe una distribución desigual de la población en el territorio nacional (INEGI, 2012c), pues se tienen estados más densamente poblados que otros.</w:t>
      </w:r>
    </w:p>
    <w:p>
      <w:pPr>
        <w:pStyle w:val="BodyText"/>
      </w:pPr>
    </w:p>
    <w:p>
      <w:pPr>
        <w:pStyle w:val="ListParagraph"/>
        <w:numPr>
          <w:ilvl w:val="1"/>
          <w:numId w:val="1"/>
        </w:numPr>
        <w:tabs>
          <w:tab w:pos="1819" w:val="left" w:leader="none"/>
        </w:tabs>
        <w:spacing w:line="240" w:lineRule="auto" w:before="142" w:after="0"/>
        <w:ind w:left="1818" w:right="0" w:hanging="280"/>
        <w:jc w:val="left"/>
        <w:rPr>
          <w:sz w:val="24"/>
        </w:rPr>
      </w:pPr>
      <w:r>
        <w:rPr>
          <w:sz w:val="24"/>
        </w:rPr>
        <w:t>Territorio</w:t>
      </w:r>
      <w:r>
        <w:rPr>
          <w:spacing w:val="-5"/>
          <w:sz w:val="24"/>
        </w:rPr>
        <w:t> </w:t>
      </w:r>
      <w:r>
        <w:rPr>
          <w:sz w:val="24"/>
        </w:rPr>
        <w:t>nacional</w:t>
      </w:r>
    </w:p>
    <w:p>
      <w:pPr>
        <w:pStyle w:val="BodyText"/>
      </w:pPr>
    </w:p>
    <w:p>
      <w:pPr>
        <w:pStyle w:val="BodyText"/>
        <w:spacing w:before="11"/>
        <w:rPr>
          <w:sz w:val="20"/>
        </w:rPr>
      </w:pPr>
    </w:p>
    <w:p>
      <w:pPr>
        <w:pStyle w:val="BodyText"/>
        <w:spacing w:line="343" w:lineRule="auto"/>
        <w:ind w:left="122" w:right="117"/>
        <w:jc w:val="both"/>
        <w:rPr>
          <w:sz w:val="16"/>
        </w:rPr>
      </w:pPr>
      <w:r>
        <w:rPr/>
        <w:t>La República Mexicana tiene un territorio de casi 2 millones de km</w:t>
      </w:r>
      <w:r>
        <w:rPr>
          <w:position w:val="11"/>
          <w:sz w:val="16"/>
        </w:rPr>
        <w:t>2 </w:t>
      </w:r>
      <w:r>
        <w:rPr/>
        <w:t>(1, 964,375 km</w:t>
      </w:r>
      <w:r>
        <w:rPr>
          <w:position w:val="11"/>
          <w:sz w:val="16"/>
        </w:rPr>
        <w:t>2</w:t>
      </w:r>
      <w:r>
        <w:rPr/>
        <w:t>) por lo que está considerada dentro de la categoría de los países </w:t>
      </w:r>
      <w:r>
        <w:rPr>
          <w:i/>
        </w:rPr>
        <w:t>muy </w:t>
      </w:r>
      <w:r>
        <w:rPr>
          <w:i/>
        </w:rPr>
        <w:t>grandes</w:t>
      </w:r>
      <w:r>
        <w:rPr/>
        <w:t>. En concreto ocupa el décimo cuarto lugar de entre los países con mayor extensión territorial del mundo (INEGI, 2011e)</w:t>
      </w:r>
      <w:r>
        <w:rPr>
          <w:position w:val="11"/>
          <w:sz w:val="16"/>
        </w:rPr>
        <w:t>13</w:t>
      </w:r>
      <w:r>
        <w:rPr/>
        <w:t>. De acuerdo con su extensión territorial, clasifiqué a los 247 países del mundo (Wikipedia, 2012b), en cinco categorías:</w:t>
      </w:r>
      <w:r>
        <w:rPr>
          <w:position w:val="11"/>
          <w:sz w:val="16"/>
        </w:rPr>
        <w:t>14</w:t>
      </w:r>
    </w:p>
    <w:p>
      <w:pPr>
        <w:pStyle w:val="BodyText"/>
        <w:spacing w:before="4"/>
        <w:rPr>
          <w:sz w:val="36"/>
        </w:rPr>
      </w:pPr>
    </w:p>
    <w:p>
      <w:pPr>
        <w:pStyle w:val="ListParagraph"/>
        <w:numPr>
          <w:ilvl w:val="0"/>
          <w:numId w:val="2"/>
        </w:numPr>
        <w:tabs>
          <w:tab w:pos="842" w:val="left" w:leader="none"/>
        </w:tabs>
        <w:spacing w:line="345" w:lineRule="auto" w:before="0" w:after="0"/>
        <w:ind w:left="842" w:right="117" w:hanging="495"/>
        <w:jc w:val="both"/>
        <w:rPr>
          <w:sz w:val="24"/>
        </w:rPr>
      </w:pPr>
      <w:r>
        <w:rPr>
          <w:i/>
          <w:sz w:val="24"/>
        </w:rPr>
        <w:t>Muy grandes </w:t>
      </w:r>
      <w:r>
        <w:rPr>
          <w:sz w:val="24"/>
        </w:rPr>
        <w:t>son los países que tienen una extensión territorial igual o mayor a un millón de km</w:t>
      </w:r>
      <w:r>
        <w:rPr>
          <w:position w:val="11"/>
          <w:sz w:val="16"/>
        </w:rPr>
        <w:t>2</w:t>
      </w:r>
      <w:r>
        <w:rPr>
          <w:sz w:val="24"/>
        </w:rPr>
        <w:t>. Dentro de esta categoría se ubicaron 30 países, entre ellos México, Brasil, Perú y</w:t>
      </w:r>
      <w:r>
        <w:rPr>
          <w:spacing w:val="-14"/>
          <w:sz w:val="24"/>
        </w:rPr>
        <w:t> </w:t>
      </w:r>
      <w:r>
        <w:rPr>
          <w:sz w:val="24"/>
        </w:rPr>
        <w:t>Bolivia.</w:t>
      </w:r>
    </w:p>
    <w:p>
      <w:pPr>
        <w:pStyle w:val="ListParagraph"/>
        <w:numPr>
          <w:ilvl w:val="0"/>
          <w:numId w:val="2"/>
        </w:numPr>
        <w:tabs>
          <w:tab w:pos="842" w:val="left" w:leader="none"/>
        </w:tabs>
        <w:spacing w:line="345" w:lineRule="auto" w:before="16" w:after="0"/>
        <w:ind w:left="842" w:right="118" w:hanging="560"/>
        <w:jc w:val="both"/>
        <w:rPr>
          <w:sz w:val="24"/>
        </w:rPr>
      </w:pPr>
      <w:r>
        <w:rPr>
          <w:i/>
          <w:sz w:val="24"/>
        </w:rPr>
        <w:t>Grandes </w:t>
      </w:r>
      <w:r>
        <w:rPr>
          <w:sz w:val="24"/>
        </w:rPr>
        <w:t>son aquellos países cuya extensión territorial oscila entre 999,999 y 100,000 km</w:t>
      </w:r>
      <w:r>
        <w:rPr>
          <w:position w:val="11"/>
          <w:sz w:val="16"/>
        </w:rPr>
        <w:t>2</w:t>
      </w:r>
      <w:r>
        <w:rPr>
          <w:sz w:val="24"/>
        </w:rPr>
        <w:t>. En esta categoría se situaron 78 países, entre ellos Nicaragua, Venezuela, Chile y</w:t>
      </w:r>
      <w:r>
        <w:rPr>
          <w:spacing w:val="-16"/>
          <w:sz w:val="24"/>
        </w:rPr>
        <w:t> </w:t>
      </w:r>
      <w:r>
        <w:rPr>
          <w:sz w:val="24"/>
        </w:rPr>
        <w:t>Ecuador.</w:t>
      </w:r>
    </w:p>
    <w:p>
      <w:pPr>
        <w:pStyle w:val="ListParagraph"/>
        <w:numPr>
          <w:ilvl w:val="0"/>
          <w:numId w:val="2"/>
        </w:numPr>
        <w:tabs>
          <w:tab w:pos="842" w:val="left" w:leader="none"/>
        </w:tabs>
        <w:spacing w:line="345" w:lineRule="auto" w:before="19" w:after="0"/>
        <w:ind w:left="842" w:right="118" w:hanging="627"/>
        <w:jc w:val="both"/>
        <w:rPr>
          <w:sz w:val="24"/>
        </w:rPr>
      </w:pPr>
      <w:r>
        <w:rPr>
          <w:i/>
          <w:sz w:val="24"/>
        </w:rPr>
        <w:t>Medianos </w:t>
      </w:r>
      <w:r>
        <w:rPr>
          <w:sz w:val="24"/>
        </w:rPr>
        <w:t>se consideran los países cuya extensión territorial fluctúa entre 99,999 y 10,000 km</w:t>
      </w:r>
      <w:r>
        <w:rPr>
          <w:position w:val="11"/>
          <w:sz w:val="16"/>
        </w:rPr>
        <w:t>2</w:t>
      </w:r>
      <w:r>
        <w:rPr>
          <w:sz w:val="24"/>
        </w:rPr>
        <w:t>. En esta categoría se colocaron 60 países, entre ellos Costa Rica, Panamá, Belice y El</w:t>
      </w:r>
      <w:r>
        <w:rPr>
          <w:spacing w:val="-13"/>
          <w:sz w:val="24"/>
        </w:rPr>
        <w:t> </w:t>
      </w:r>
      <w:r>
        <w:rPr>
          <w:sz w:val="24"/>
        </w:rPr>
        <w:t>Salvador.</w:t>
      </w:r>
    </w:p>
    <w:p>
      <w:pPr>
        <w:pStyle w:val="ListParagraph"/>
        <w:numPr>
          <w:ilvl w:val="0"/>
          <w:numId w:val="2"/>
        </w:numPr>
        <w:tabs>
          <w:tab w:pos="842" w:val="left" w:leader="none"/>
        </w:tabs>
        <w:spacing w:line="350" w:lineRule="auto" w:before="16" w:after="0"/>
        <w:ind w:left="842" w:right="116" w:hanging="653"/>
        <w:jc w:val="both"/>
        <w:rPr>
          <w:sz w:val="24"/>
        </w:rPr>
      </w:pPr>
      <w:r>
        <w:rPr>
          <w:i/>
          <w:sz w:val="24"/>
        </w:rPr>
        <w:t>Pequeños </w:t>
      </w:r>
      <w:r>
        <w:rPr>
          <w:sz w:val="24"/>
        </w:rPr>
        <w:t>son los países cuya extensión territorial oscila entre 9,999 y 100 km</w:t>
      </w:r>
      <w:r>
        <w:rPr>
          <w:position w:val="11"/>
          <w:sz w:val="16"/>
        </w:rPr>
        <w:t>2</w:t>
      </w:r>
      <w:r>
        <w:rPr>
          <w:sz w:val="24"/>
        </w:rPr>
        <w:t>. Dentro de esta categoría se situaron 56 países, entre éstos Puerto Rico, Seychelles (país más pequeño de África) y Curazao (país autónomo del Reino de los Países</w:t>
      </w:r>
      <w:r>
        <w:rPr>
          <w:spacing w:val="-8"/>
          <w:sz w:val="24"/>
        </w:rPr>
        <w:t> </w:t>
      </w:r>
      <w:r>
        <w:rPr>
          <w:sz w:val="24"/>
        </w:rPr>
        <w:t>Bajos).</w:t>
      </w:r>
    </w:p>
    <w:p>
      <w:pPr>
        <w:pStyle w:val="BodyText"/>
        <w:spacing w:before="9"/>
        <w:rPr>
          <w:sz w:val="10"/>
        </w:rPr>
      </w:pPr>
      <w:r>
        <w:rPr/>
        <w:pict>
          <v:line style="position:absolute;mso-position-horizontal-relative:page;mso-position-vertical-relative:paragraph;z-index:1264;mso-wrap-distance-left:0;mso-wrap-distance-right:0" from="85.103996pt,8.570167pt" to="229.123996pt,8.570167pt" stroked="true" strokeweight=".71997pt" strokecolor="#000000">
            <w10:wrap type="topAndBottom"/>
          </v:line>
        </w:pict>
      </w:r>
    </w:p>
    <w:p>
      <w:pPr>
        <w:spacing w:before="34"/>
        <w:ind w:left="122" w:right="127" w:firstLine="0"/>
        <w:jc w:val="both"/>
        <w:rPr>
          <w:sz w:val="20"/>
        </w:rPr>
      </w:pPr>
      <w:r>
        <w:rPr>
          <w:position w:val="10"/>
          <w:sz w:val="13"/>
        </w:rPr>
        <w:t>13 </w:t>
      </w:r>
      <w:r>
        <w:rPr>
          <w:sz w:val="20"/>
        </w:rPr>
        <w:t>Los datos proporcionados por el INEGI están actualizados al último Censo de Población y Vivienda de 2010.</w:t>
      </w:r>
    </w:p>
    <w:p>
      <w:pPr>
        <w:spacing w:line="230" w:lineRule="exact" w:before="4"/>
        <w:ind w:left="122" w:right="128" w:firstLine="0"/>
        <w:jc w:val="both"/>
        <w:rPr>
          <w:sz w:val="20"/>
        </w:rPr>
      </w:pPr>
      <w:r>
        <w:rPr>
          <w:position w:val="10"/>
          <w:sz w:val="13"/>
        </w:rPr>
        <w:t>14 </w:t>
      </w:r>
      <w:r>
        <w:rPr>
          <w:sz w:val="20"/>
        </w:rPr>
        <w:t>Esta clasificación se basa en Lizcano (2001), sin embargo, se modificaron algunos rangos. Los ejemplos señalados son de países latinoamericanos debido a que el presente trabajo se desarrolla dentro del área de Estudios Latinoamericanos.</w:t>
      </w:r>
    </w:p>
    <w:p>
      <w:pPr>
        <w:spacing w:after="0" w:line="230" w:lineRule="exact"/>
        <w:jc w:val="both"/>
        <w:rPr>
          <w:sz w:val="20"/>
        </w:rPr>
        <w:sectPr>
          <w:pgSz w:w="12240" w:h="15840"/>
          <w:pgMar w:header="749" w:footer="1003" w:top="960" w:bottom="1200" w:left="1580" w:right="1580"/>
        </w:sectPr>
      </w:pPr>
    </w:p>
    <w:p>
      <w:pPr>
        <w:pStyle w:val="BodyText"/>
        <w:rPr>
          <w:sz w:val="20"/>
        </w:rPr>
      </w:pPr>
    </w:p>
    <w:p>
      <w:pPr>
        <w:pStyle w:val="ListParagraph"/>
        <w:numPr>
          <w:ilvl w:val="0"/>
          <w:numId w:val="2"/>
        </w:numPr>
        <w:tabs>
          <w:tab w:pos="822" w:val="left" w:leader="none"/>
        </w:tabs>
        <w:spacing w:line="345" w:lineRule="auto" w:before="212" w:after="0"/>
        <w:ind w:left="822" w:right="116" w:hanging="586"/>
        <w:jc w:val="both"/>
        <w:rPr>
          <w:sz w:val="24"/>
        </w:rPr>
      </w:pPr>
      <w:r>
        <w:rPr>
          <w:i/>
          <w:sz w:val="24"/>
        </w:rPr>
        <w:t>Muy pequeños </w:t>
      </w:r>
      <w:r>
        <w:rPr>
          <w:sz w:val="24"/>
        </w:rPr>
        <w:t>son los países con una extensión territorial igual o menor a 99 km</w:t>
      </w:r>
      <w:r>
        <w:rPr>
          <w:position w:val="11"/>
          <w:sz w:val="16"/>
        </w:rPr>
        <w:t>2</w:t>
      </w:r>
      <w:r>
        <w:rPr>
          <w:i/>
          <w:sz w:val="24"/>
        </w:rPr>
        <w:t>. </w:t>
      </w:r>
      <w:r>
        <w:rPr>
          <w:sz w:val="24"/>
        </w:rPr>
        <w:t>Aquí se ubicaron 23 países, entre ellos Tuvalu (un </w:t>
      </w:r>
      <w:hyperlink r:id="rId15">
        <w:r>
          <w:rPr>
            <w:sz w:val="24"/>
          </w:rPr>
          <w:t>país insular</w:t>
        </w:r>
      </w:hyperlink>
      <w:r>
        <w:rPr>
          <w:sz w:val="24"/>
        </w:rPr>
        <w:t> perteneciente a la región de la </w:t>
      </w:r>
      <w:hyperlink r:id="rId16">
        <w:r>
          <w:rPr>
            <w:sz w:val="24"/>
          </w:rPr>
          <w:t>Polinesia</w:t>
        </w:r>
      </w:hyperlink>
      <w:r>
        <w:rPr>
          <w:sz w:val="24"/>
        </w:rPr>
        <w:t>), El Vaticano y</w:t>
      </w:r>
      <w:r>
        <w:rPr>
          <w:spacing w:val="-16"/>
          <w:sz w:val="24"/>
        </w:rPr>
        <w:t> </w:t>
      </w:r>
      <w:r>
        <w:rPr>
          <w:sz w:val="24"/>
        </w:rPr>
        <w:t>Mónaco.</w:t>
      </w:r>
    </w:p>
    <w:p>
      <w:pPr>
        <w:pStyle w:val="BodyText"/>
      </w:pPr>
    </w:p>
    <w:p>
      <w:pPr>
        <w:pStyle w:val="ListParagraph"/>
        <w:numPr>
          <w:ilvl w:val="1"/>
          <w:numId w:val="1"/>
        </w:numPr>
        <w:tabs>
          <w:tab w:pos="1799" w:val="left" w:leader="none"/>
        </w:tabs>
        <w:spacing w:line="240" w:lineRule="auto" w:before="158" w:after="0"/>
        <w:ind w:left="1798" w:right="0" w:hanging="280"/>
        <w:jc w:val="left"/>
        <w:rPr>
          <w:sz w:val="24"/>
        </w:rPr>
      </w:pPr>
      <w:r>
        <w:rPr>
          <w:sz w:val="24"/>
        </w:rPr>
        <w:t>Territorio</w:t>
      </w:r>
      <w:r>
        <w:rPr>
          <w:spacing w:val="-2"/>
          <w:sz w:val="24"/>
        </w:rPr>
        <w:t> </w:t>
      </w:r>
      <w:r>
        <w:rPr>
          <w:sz w:val="24"/>
        </w:rPr>
        <w:t>estatal</w:t>
      </w:r>
    </w:p>
    <w:p>
      <w:pPr>
        <w:pStyle w:val="BodyText"/>
      </w:pPr>
    </w:p>
    <w:p>
      <w:pPr>
        <w:pStyle w:val="BodyText"/>
      </w:pPr>
    </w:p>
    <w:p>
      <w:pPr>
        <w:pStyle w:val="BodyText"/>
        <w:spacing w:line="350" w:lineRule="auto"/>
        <w:ind w:left="102" w:right="118"/>
        <w:jc w:val="both"/>
      </w:pPr>
      <w:r>
        <w:rPr/>
        <w:t>La República Mexicana se divide en 32 entidades federativas: 31 estados y un Distrito Federal (D.F.). Una de estas entidades es el Estado de México que cuenta con una superficie de 22,351 km</w:t>
      </w:r>
      <w:r>
        <w:rPr>
          <w:position w:val="11"/>
          <w:sz w:val="16"/>
        </w:rPr>
        <w:t>2 </w:t>
      </w:r>
      <w:r>
        <w:rPr/>
        <w:t>(INEGI, 2012b), por lo que ocupa el lugar 25 en cuanto a extensión territorial se refiere de entre todos los estados que integran  </w:t>
      </w:r>
      <w:r>
        <w:rPr>
          <w:spacing w:val="53"/>
        </w:rPr>
        <w:t> </w:t>
      </w:r>
      <w:r>
        <w:rPr/>
        <w:t>la</w:t>
      </w:r>
    </w:p>
    <w:p>
      <w:pPr>
        <w:pStyle w:val="BodyText"/>
        <w:spacing w:line="360" w:lineRule="auto" w:before="13"/>
        <w:ind w:left="102" w:right="118"/>
        <w:jc w:val="both"/>
      </w:pPr>
      <w:r>
        <w:rPr/>
        <w:t>República Mexicana y representa el 1.1% del territorio nacional (INEGI, 2012b); se ubica dentro de las entidades clasificadas como </w:t>
      </w:r>
      <w:r>
        <w:rPr>
          <w:i/>
        </w:rPr>
        <w:t>pequeñas </w:t>
      </w:r>
      <w:r>
        <w:rPr/>
        <w:t>de acuerdo con su extensión territorial.</w:t>
      </w:r>
    </w:p>
    <w:p>
      <w:pPr>
        <w:pStyle w:val="BodyText"/>
        <w:spacing w:line="360" w:lineRule="auto" w:before="5"/>
        <w:ind w:left="102" w:right="110" w:firstLine="707"/>
      </w:pPr>
      <w:r>
        <w:rPr/>
        <w:t>Clasifiqué las entidades federativas (tomando datos de Wikipedia, 2011ª) de acuerdo con su extensión territorial en cinco grupos:</w:t>
      </w:r>
    </w:p>
    <w:p>
      <w:pPr>
        <w:pStyle w:val="BodyText"/>
      </w:pPr>
    </w:p>
    <w:p>
      <w:pPr>
        <w:pStyle w:val="ListParagraph"/>
        <w:numPr>
          <w:ilvl w:val="0"/>
          <w:numId w:val="3"/>
        </w:numPr>
        <w:tabs>
          <w:tab w:pos="822" w:val="left" w:leader="none"/>
        </w:tabs>
        <w:spacing w:line="345" w:lineRule="auto" w:before="139" w:after="0"/>
        <w:ind w:left="822" w:right="116" w:hanging="495"/>
        <w:jc w:val="both"/>
        <w:rPr>
          <w:sz w:val="24"/>
        </w:rPr>
      </w:pPr>
      <w:r>
        <w:rPr>
          <w:i/>
          <w:sz w:val="24"/>
        </w:rPr>
        <w:t>Muy grandes </w:t>
      </w:r>
      <w:r>
        <w:rPr>
          <w:sz w:val="24"/>
        </w:rPr>
        <w:t>son aquellas entidades que tienen una extensión territorial mayor o igual a los 100,000 km</w:t>
      </w:r>
      <w:r>
        <w:rPr>
          <w:position w:val="11"/>
          <w:sz w:val="16"/>
        </w:rPr>
        <w:t>2</w:t>
      </w:r>
      <w:r>
        <w:rPr>
          <w:sz w:val="24"/>
        </w:rPr>
        <w:t>. En este rango se ubicaron cuatro entidades: Chihuahua, Sonora, Coahuila y</w:t>
      </w:r>
      <w:r>
        <w:rPr>
          <w:spacing w:val="-21"/>
          <w:sz w:val="24"/>
        </w:rPr>
        <w:t> </w:t>
      </w:r>
      <w:r>
        <w:rPr>
          <w:sz w:val="24"/>
        </w:rPr>
        <w:t>Durango.</w:t>
      </w:r>
    </w:p>
    <w:p>
      <w:pPr>
        <w:pStyle w:val="ListParagraph"/>
        <w:numPr>
          <w:ilvl w:val="0"/>
          <w:numId w:val="3"/>
        </w:numPr>
        <w:tabs>
          <w:tab w:pos="822" w:val="left" w:leader="none"/>
        </w:tabs>
        <w:spacing w:line="345" w:lineRule="auto" w:before="19" w:after="0"/>
        <w:ind w:left="822" w:right="122" w:hanging="560"/>
        <w:jc w:val="both"/>
        <w:rPr>
          <w:sz w:val="24"/>
        </w:rPr>
      </w:pPr>
      <w:r>
        <w:rPr>
          <w:i/>
          <w:sz w:val="24"/>
        </w:rPr>
        <w:t>Grandes </w:t>
      </w:r>
      <w:r>
        <w:rPr>
          <w:sz w:val="24"/>
        </w:rPr>
        <w:t>son aquellas entidades cuya extensión territorial oscila entre 99,999 y 60,000 km</w:t>
      </w:r>
      <w:r>
        <w:rPr>
          <w:position w:val="11"/>
          <w:sz w:val="16"/>
        </w:rPr>
        <w:t>2</w:t>
      </w:r>
      <w:r>
        <w:rPr>
          <w:sz w:val="24"/>
        </w:rPr>
        <w:t>. Aquí se situaron 11 entidades, entre ellas Oaxaca, Chiapas y</w:t>
      </w:r>
      <w:r>
        <w:rPr>
          <w:spacing w:val="-8"/>
          <w:sz w:val="24"/>
        </w:rPr>
        <w:t> </w:t>
      </w:r>
      <w:r>
        <w:rPr>
          <w:sz w:val="24"/>
        </w:rPr>
        <w:t>Guerrero.</w:t>
      </w:r>
    </w:p>
    <w:p>
      <w:pPr>
        <w:pStyle w:val="ListParagraph"/>
        <w:numPr>
          <w:ilvl w:val="0"/>
          <w:numId w:val="3"/>
        </w:numPr>
        <w:tabs>
          <w:tab w:pos="822" w:val="left" w:leader="none"/>
        </w:tabs>
        <w:spacing w:line="345" w:lineRule="auto" w:before="16" w:after="0"/>
        <w:ind w:left="822" w:right="118" w:hanging="627"/>
        <w:jc w:val="both"/>
        <w:rPr>
          <w:sz w:val="24"/>
        </w:rPr>
      </w:pPr>
      <w:r>
        <w:rPr>
          <w:i/>
          <w:sz w:val="24"/>
        </w:rPr>
        <w:t>Medianas </w:t>
      </w:r>
      <w:r>
        <w:rPr>
          <w:sz w:val="24"/>
        </w:rPr>
        <w:t>son las entidades que tienen una extensión territorial que fluctúa entre 59,999 y 30,000 km</w:t>
      </w:r>
      <w:r>
        <w:rPr>
          <w:position w:val="11"/>
          <w:sz w:val="16"/>
        </w:rPr>
        <w:t>2</w:t>
      </w:r>
      <w:r>
        <w:rPr>
          <w:sz w:val="24"/>
        </w:rPr>
        <w:t>. En este rubro se ubicaron siete entidades, entre éstas están Michoacán, Guanajuato y</w:t>
      </w:r>
      <w:r>
        <w:rPr>
          <w:spacing w:val="-16"/>
          <w:sz w:val="24"/>
        </w:rPr>
        <w:t> </w:t>
      </w:r>
      <w:r>
        <w:rPr>
          <w:sz w:val="24"/>
        </w:rPr>
        <w:t>Campeche.</w:t>
      </w:r>
    </w:p>
    <w:p>
      <w:pPr>
        <w:pStyle w:val="ListParagraph"/>
        <w:numPr>
          <w:ilvl w:val="0"/>
          <w:numId w:val="3"/>
        </w:numPr>
        <w:tabs>
          <w:tab w:pos="822" w:val="left" w:leader="none"/>
        </w:tabs>
        <w:spacing w:line="345" w:lineRule="auto" w:before="19" w:after="0"/>
        <w:ind w:left="822" w:right="121" w:hanging="653"/>
        <w:jc w:val="both"/>
        <w:rPr>
          <w:sz w:val="24"/>
        </w:rPr>
      </w:pPr>
      <w:r>
        <w:rPr>
          <w:i/>
          <w:sz w:val="24"/>
        </w:rPr>
        <w:t>Pequeñas </w:t>
      </w:r>
      <w:r>
        <w:rPr>
          <w:sz w:val="24"/>
        </w:rPr>
        <w:t>son las entidades cuya superficie territorial oscila entre 29,999 y 5,000 km</w:t>
      </w:r>
      <w:r>
        <w:rPr>
          <w:position w:val="11"/>
          <w:sz w:val="16"/>
        </w:rPr>
        <w:t>2</w:t>
      </w:r>
      <w:r>
        <w:rPr>
          <w:sz w:val="24"/>
        </w:rPr>
        <w:t>. Aquí se situaron siete entidades, entre ellas Nayarit, Colima y el Estado de</w:t>
      </w:r>
      <w:r>
        <w:rPr>
          <w:spacing w:val="-5"/>
          <w:sz w:val="24"/>
        </w:rPr>
        <w:t> </w:t>
      </w:r>
      <w:r>
        <w:rPr>
          <w:sz w:val="24"/>
        </w:rPr>
        <w:t>México.</w:t>
      </w:r>
    </w:p>
    <w:p>
      <w:pPr>
        <w:pStyle w:val="ListParagraph"/>
        <w:numPr>
          <w:ilvl w:val="0"/>
          <w:numId w:val="3"/>
        </w:numPr>
        <w:tabs>
          <w:tab w:pos="822" w:val="left" w:leader="none"/>
        </w:tabs>
        <w:spacing w:line="345" w:lineRule="auto" w:before="16" w:after="0"/>
        <w:ind w:left="822" w:right="120" w:hanging="586"/>
        <w:jc w:val="both"/>
        <w:rPr>
          <w:sz w:val="24"/>
        </w:rPr>
      </w:pPr>
      <w:r>
        <w:rPr>
          <w:i/>
          <w:sz w:val="24"/>
        </w:rPr>
        <w:t>Muy pequeñas </w:t>
      </w:r>
      <w:r>
        <w:rPr>
          <w:sz w:val="24"/>
        </w:rPr>
        <w:t>son las entidades cuya superficie es igual o menor a 4, 999 km</w:t>
      </w:r>
      <w:r>
        <w:rPr>
          <w:position w:val="11"/>
          <w:sz w:val="16"/>
        </w:rPr>
        <w:t>2</w:t>
      </w:r>
      <w:r>
        <w:rPr>
          <w:sz w:val="24"/>
        </w:rPr>
        <w:t>. Aquí se ubicaron dos entidades (Morelos y Tlaxcala) así como el Distrito</w:t>
      </w:r>
      <w:r>
        <w:rPr>
          <w:spacing w:val="-2"/>
          <w:sz w:val="24"/>
        </w:rPr>
        <w:t> </w:t>
      </w:r>
      <w:r>
        <w:rPr>
          <w:sz w:val="24"/>
        </w:rPr>
        <w:t>Federal.</w:t>
      </w:r>
    </w:p>
    <w:p>
      <w:pPr>
        <w:spacing w:after="0" w:line="345" w:lineRule="auto"/>
        <w:jc w:val="both"/>
        <w:rPr>
          <w:sz w:val="24"/>
        </w:rPr>
        <w:sectPr>
          <w:pgSz w:w="12240" w:h="15840"/>
          <w:pgMar w:header="749" w:footer="1003" w:top="960" w:bottom="1200" w:left="1600" w:right="1580"/>
        </w:sectPr>
      </w:pPr>
    </w:p>
    <w:p>
      <w:pPr>
        <w:pStyle w:val="BodyText"/>
        <w:rPr>
          <w:sz w:val="20"/>
        </w:rPr>
      </w:pPr>
    </w:p>
    <w:p>
      <w:pPr>
        <w:pStyle w:val="BodyText"/>
        <w:rPr>
          <w:sz w:val="20"/>
        </w:rPr>
      </w:pPr>
    </w:p>
    <w:p>
      <w:pPr>
        <w:pStyle w:val="BodyText"/>
        <w:spacing w:before="8"/>
        <w:rPr>
          <w:sz w:val="28"/>
        </w:rPr>
      </w:pPr>
    </w:p>
    <w:p>
      <w:pPr>
        <w:pStyle w:val="BodyText"/>
        <w:spacing w:line="360" w:lineRule="auto" w:before="70"/>
        <w:ind w:left="102" w:right="121" w:firstLine="707"/>
        <w:jc w:val="both"/>
      </w:pPr>
      <w:r>
        <w:rPr/>
        <w:t>Ahora bien, si ubico al Estado de México en la clasificación de países presentada en el inciso a), sería catalogado como mediano y, por tanto, en el mismo nivel que Costa Rica.</w:t>
      </w:r>
    </w:p>
    <w:p>
      <w:pPr>
        <w:pStyle w:val="BodyText"/>
        <w:spacing w:line="360" w:lineRule="auto" w:before="2"/>
        <w:ind w:left="102" w:right="119" w:firstLine="707"/>
        <w:jc w:val="both"/>
      </w:pPr>
      <w:r>
        <w:rPr/>
        <w:t>Recapitulando, por lo que respecta a su extensión territorial México es considerado un país muy grande en el contexto mundial; el Estado de México un estado pequeño en relación con las otras entidades que conforman la República Mexicana pero equiparable a la categoría de un país mediano como Belice o El Salvador. De ahí que de acuerdo con su territorio México y el Estado de México son significativos en el contexto mundial debido a sus dimensiones territoriales.</w:t>
      </w:r>
    </w:p>
    <w:p>
      <w:pPr>
        <w:pStyle w:val="BodyText"/>
      </w:pPr>
    </w:p>
    <w:p>
      <w:pPr>
        <w:pStyle w:val="ListParagraph"/>
        <w:numPr>
          <w:ilvl w:val="1"/>
          <w:numId w:val="1"/>
        </w:numPr>
        <w:tabs>
          <w:tab w:pos="2587" w:val="left" w:leader="none"/>
        </w:tabs>
        <w:spacing w:line="240" w:lineRule="auto" w:before="142" w:after="0"/>
        <w:ind w:left="2586" w:right="0" w:hanging="360"/>
        <w:jc w:val="left"/>
        <w:rPr>
          <w:sz w:val="24"/>
        </w:rPr>
      </w:pPr>
      <w:r>
        <w:rPr>
          <w:sz w:val="24"/>
        </w:rPr>
        <w:t>Población</w:t>
      </w:r>
      <w:r>
        <w:rPr>
          <w:spacing w:val="-5"/>
          <w:sz w:val="24"/>
        </w:rPr>
        <w:t> </w:t>
      </w:r>
      <w:r>
        <w:rPr>
          <w:sz w:val="24"/>
        </w:rPr>
        <w:t>nacional</w:t>
      </w:r>
    </w:p>
    <w:p>
      <w:pPr>
        <w:pStyle w:val="BodyText"/>
      </w:pPr>
    </w:p>
    <w:p>
      <w:pPr>
        <w:pStyle w:val="BodyText"/>
      </w:pPr>
    </w:p>
    <w:p>
      <w:pPr>
        <w:pStyle w:val="BodyText"/>
        <w:spacing w:line="360" w:lineRule="auto"/>
        <w:ind w:left="102" w:right="117"/>
        <w:jc w:val="both"/>
      </w:pPr>
      <w:r>
        <w:rPr/>
        <w:t>México es uno de los países más poblados del mundo tiene más de 112 millones de habitantes (112, 336,538) (INEGI, 2011a), por lo que ocupa el lugar número once de entre los países más poblados (INEGI, 2012d); ubicándose como grande poblacionalmente. Sus habitantes representan el 1.65% del total de la población mundial (Wikipedia, 2012c).</w:t>
      </w:r>
    </w:p>
    <w:p>
      <w:pPr>
        <w:pStyle w:val="BodyText"/>
        <w:spacing w:line="360" w:lineRule="auto" w:before="2"/>
        <w:ind w:left="102" w:right="127" w:firstLine="707"/>
        <w:jc w:val="both"/>
      </w:pPr>
      <w:r>
        <w:rPr/>
        <w:t>Clasifiqué a los 242 países del mundo (de los cuales se tienen registros oficiales) de acuerdo con su población, en cinco grupos:</w:t>
      </w:r>
    </w:p>
    <w:p>
      <w:pPr>
        <w:pStyle w:val="BodyText"/>
      </w:pPr>
    </w:p>
    <w:p>
      <w:pPr>
        <w:pStyle w:val="ListParagraph"/>
        <w:numPr>
          <w:ilvl w:val="0"/>
          <w:numId w:val="4"/>
        </w:numPr>
        <w:tabs>
          <w:tab w:pos="822" w:val="left" w:leader="none"/>
        </w:tabs>
        <w:spacing w:line="360" w:lineRule="auto" w:before="139" w:after="0"/>
        <w:ind w:left="822" w:right="117" w:hanging="495"/>
        <w:jc w:val="both"/>
        <w:rPr>
          <w:sz w:val="24"/>
        </w:rPr>
      </w:pPr>
      <w:r>
        <w:rPr>
          <w:i/>
          <w:sz w:val="24"/>
        </w:rPr>
        <w:t>Muy grandes </w:t>
      </w:r>
      <w:r>
        <w:rPr>
          <w:sz w:val="24"/>
        </w:rPr>
        <w:t>son los países que tienen una población igual o mayor a mil millones de habitantes. En este supuesto se ubicaron solo dos países, China y la</w:t>
      </w:r>
      <w:r>
        <w:rPr>
          <w:spacing w:val="-6"/>
          <w:sz w:val="24"/>
        </w:rPr>
        <w:t> </w:t>
      </w:r>
      <w:r>
        <w:rPr>
          <w:sz w:val="24"/>
        </w:rPr>
        <w:t>India.</w:t>
      </w:r>
    </w:p>
    <w:p>
      <w:pPr>
        <w:pStyle w:val="ListParagraph"/>
        <w:numPr>
          <w:ilvl w:val="0"/>
          <w:numId w:val="4"/>
        </w:numPr>
        <w:tabs>
          <w:tab w:pos="822" w:val="left" w:leader="none"/>
        </w:tabs>
        <w:spacing w:line="362" w:lineRule="auto" w:before="0" w:after="0"/>
        <w:ind w:left="822" w:right="116" w:hanging="560"/>
        <w:jc w:val="both"/>
        <w:rPr>
          <w:sz w:val="24"/>
        </w:rPr>
      </w:pPr>
      <w:r>
        <w:rPr>
          <w:i/>
          <w:sz w:val="24"/>
        </w:rPr>
        <w:t>Grandes </w:t>
      </w:r>
      <w:r>
        <w:rPr>
          <w:sz w:val="24"/>
        </w:rPr>
        <w:t>se consideran aquellos países cuya población oscila entre los 999, 999,999 y los 100 millones de habitantes. En este caso se situaron nueve países, ejemplo de éstos son: México, Brasil, Rusia y</w:t>
      </w:r>
      <w:r>
        <w:rPr>
          <w:spacing w:val="-21"/>
          <w:sz w:val="24"/>
        </w:rPr>
        <w:t> </w:t>
      </w:r>
      <w:r>
        <w:rPr>
          <w:sz w:val="24"/>
        </w:rPr>
        <w:t>Japón.</w:t>
      </w:r>
    </w:p>
    <w:p>
      <w:pPr>
        <w:pStyle w:val="ListParagraph"/>
        <w:numPr>
          <w:ilvl w:val="0"/>
          <w:numId w:val="4"/>
        </w:numPr>
        <w:tabs>
          <w:tab w:pos="822" w:val="left" w:leader="none"/>
        </w:tabs>
        <w:spacing w:line="360" w:lineRule="auto" w:before="0" w:after="0"/>
        <w:ind w:left="822" w:right="119" w:hanging="627"/>
        <w:jc w:val="both"/>
        <w:rPr>
          <w:sz w:val="24"/>
        </w:rPr>
      </w:pPr>
      <w:r>
        <w:rPr>
          <w:i/>
          <w:sz w:val="24"/>
        </w:rPr>
        <w:t>Medianos </w:t>
      </w:r>
      <w:r>
        <w:rPr>
          <w:sz w:val="24"/>
        </w:rPr>
        <w:t>se consideran los países que tienen una población que fluctúa entre los 99, 999,999 y los 10 millones de habitantes. En este lugar se ubicaron 72 países, entre ellos Bolivia, Cuba y</w:t>
      </w:r>
      <w:r>
        <w:rPr>
          <w:spacing w:val="-23"/>
          <w:sz w:val="24"/>
        </w:rPr>
        <w:t> </w:t>
      </w:r>
      <w:r>
        <w:rPr>
          <w:sz w:val="24"/>
        </w:rPr>
        <w:t>Argentina.</w:t>
      </w:r>
    </w:p>
    <w:p>
      <w:pPr>
        <w:spacing w:after="0" w:line="360" w:lineRule="auto"/>
        <w:jc w:val="both"/>
        <w:rPr>
          <w:sz w:val="24"/>
        </w:rPr>
        <w:sectPr>
          <w:pgSz w:w="12240" w:h="15840"/>
          <w:pgMar w:header="749" w:footer="1003" w:top="960" w:bottom="1200" w:left="1600" w:right="1580"/>
        </w:sectPr>
      </w:pPr>
    </w:p>
    <w:p>
      <w:pPr>
        <w:pStyle w:val="BodyText"/>
        <w:rPr>
          <w:sz w:val="20"/>
        </w:rPr>
      </w:pPr>
    </w:p>
    <w:p>
      <w:pPr>
        <w:pStyle w:val="ListParagraph"/>
        <w:numPr>
          <w:ilvl w:val="0"/>
          <w:numId w:val="4"/>
        </w:numPr>
        <w:tabs>
          <w:tab w:pos="822" w:val="left" w:leader="none"/>
        </w:tabs>
        <w:spacing w:line="362" w:lineRule="auto" w:before="212" w:after="0"/>
        <w:ind w:left="822" w:right="117" w:hanging="653"/>
        <w:jc w:val="both"/>
        <w:rPr>
          <w:sz w:val="24"/>
        </w:rPr>
      </w:pPr>
      <w:r>
        <w:rPr>
          <w:i/>
          <w:sz w:val="24"/>
        </w:rPr>
        <w:t>Pequeños </w:t>
      </w:r>
      <w:r>
        <w:rPr>
          <w:sz w:val="24"/>
        </w:rPr>
        <w:t>son los países cuyo número de habitantes se encuentra entre los 9, 999,999 y un millón de habitantes. En este grupo se situaron 76 países, ejemplo de éstos son: Costa Rica, Nicaragua y</w:t>
      </w:r>
      <w:r>
        <w:rPr>
          <w:spacing w:val="-15"/>
          <w:sz w:val="24"/>
        </w:rPr>
        <w:t> </w:t>
      </w:r>
      <w:r>
        <w:rPr>
          <w:sz w:val="24"/>
        </w:rPr>
        <w:t>Uruguay.</w:t>
      </w:r>
    </w:p>
    <w:p>
      <w:pPr>
        <w:pStyle w:val="ListParagraph"/>
        <w:numPr>
          <w:ilvl w:val="0"/>
          <w:numId w:val="4"/>
        </w:numPr>
        <w:tabs>
          <w:tab w:pos="810" w:val="left" w:leader="none"/>
        </w:tabs>
        <w:spacing w:line="360" w:lineRule="auto" w:before="0" w:after="0"/>
        <w:ind w:left="810" w:right="121" w:hanging="574"/>
        <w:jc w:val="both"/>
        <w:rPr>
          <w:sz w:val="24"/>
        </w:rPr>
      </w:pPr>
      <w:r>
        <w:rPr>
          <w:i/>
          <w:sz w:val="24"/>
        </w:rPr>
        <w:t>Muy pequeños </w:t>
      </w:r>
      <w:r>
        <w:rPr>
          <w:sz w:val="24"/>
        </w:rPr>
        <w:t>son aquellos países que tienen una población menor a 999,999 habitantes. En este grupo se ecolocaron 83 países, entre ellos: Belice, El Vaticano y</w:t>
      </w:r>
      <w:r>
        <w:rPr>
          <w:spacing w:val="-11"/>
          <w:sz w:val="24"/>
        </w:rPr>
        <w:t> </w:t>
      </w:r>
      <w:r>
        <w:rPr>
          <w:sz w:val="24"/>
        </w:rPr>
        <w:t>Mónaco.</w:t>
      </w:r>
    </w:p>
    <w:p>
      <w:pPr>
        <w:pStyle w:val="BodyText"/>
      </w:pPr>
    </w:p>
    <w:p>
      <w:pPr>
        <w:pStyle w:val="BodyText"/>
        <w:spacing w:line="360" w:lineRule="auto" w:before="142"/>
        <w:ind w:left="102" w:right="115" w:firstLine="359"/>
        <w:jc w:val="both"/>
      </w:pPr>
      <w:r>
        <w:rPr/>
        <w:t>En síntesis, la población de la República Mexicana equivale a la de todos los países centroamericanos (Guatemala, Belice, El Salvador, Honduras, Nicaragua, Costa Rica y Panamá) más Uruguay, Puerto Rico, Paraguay, Bolivia, Cuba, Ecuador y Chile juntos; lo que da un panorama de la importancia de la dimensión poblacional que tiene México con respecto a otros países.</w:t>
      </w:r>
    </w:p>
    <w:p>
      <w:pPr>
        <w:pStyle w:val="BodyText"/>
      </w:pPr>
    </w:p>
    <w:p>
      <w:pPr>
        <w:pStyle w:val="ListParagraph"/>
        <w:numPr>
          <w:ilvl w:val="1"/>
          <w:numId w:val="1"/>
        </w:numPr>
        <w:tabs>
          <w:tab w:pos="2587" w:val="left" w:leader="none"/>
        </w:tabs>
        <w:spacing w:line="240" w:lineRule="auto" w:before="142" w:after="0"/>
        <w:ind w:left="2586" w:right="0" w:hanging="360"/>
        <w:jc w:val="left"/>
        <w:rPr>
          <w:sz w:val="24"/>
        </w:rPr>
      </w:pPr>
      <w:r>
        <w:rPr>
          <w:sz w:val="24"/>
        </w:rPr>
        <w:t>Población</w:t>
      </w:r>
      <w:r>
        <w:rPr>
          <w:spacing w:val="-6"/>
          <w:sz w:val="24"/>
        </w:rPr>
        <w:t> </w:t>
      </w:r>
      <w:r>
        <w:rPr>
          <w:sz w:val="24"/>
        </w:rPr>
        <w:t>estatal</w:t>
      </w:r>
    </w:p>
    <w:p>
      <w:pPr>
        <w:pStyle w:val="BodyText"/>
      </w:pPr>
    </w:p>
    <w:p>
      <w:pPr>
        <w:pStyle w:val="BodyText"/>
      </w:pPr>
    </w:p>
    <w:p>
      <w:pPr>
        <w:pStyle w:val="BodyText"/>
        <w:spacing w:line="360" w:lineRule="auto"/>
        <w:ind w:left="102" w:right="117"/>
        <w:jc w:val="both"/>
      </w:pPr>
      <w:r>
        <w:rPr/>
        <w:t>A nivel estatal la población de la República Mexicana se encuentra distribuida desigualmente. En su caso el Estado de México está clasificado como </w:t>
      </w:r>
      <w:r>
        <w:rPr>
          <w:i/>
        </w:rPr>
        <w:t>muy grande </w:t>
      </w:r>
      <w:r>
        <w:rPr/>
        <w:t>de acuerdo con su número de habitantes, es la entidad más poblada del país (cuenta con 15, 175,862 habitantes) (INEGI, 2012a) y su población representa el 13.5% del total de la población mexicana.</w:t>
      </w:r>
    </w:p>
    <w:p>
      <w:pPr>
        <w:pStyle w:val="BodyText"/>
      </w:pPr>
    </w:p>
    <w:p>
      <w:pPr>
        <w:pStyle w:val="BodyText"/>
        <w:spacing w:line="360" w:lineRule="auto" w:before="142"/>
        <w:ind w:left="102" w:right="120" w:firstLine="707"/>
      </w:pPr>
      <w:r>
        <w:rPr/>
        <w:t>Los estados de la República Mexicana de acuerdo con su población se clasificaron en cinco grupos:</w:t>
      </w:r>
    </w:p>
    <w:p>
      <w:pPr>
        <w:pStyle w:val="BodyText"/>
      </w:pPr>
    </w:p>
    <w:p>
      <w:pPr>
        <w:pStyle w:val="ListParagraph"/>
        <w:numPr>
          <w:ilvl w:val="0"/>
          <w:numId w:val="5"/>
        </w:numPr>
        <w:tabs>
          <w:tab w:pos="822" w:val="left" w:leader="none"/>
        </w:tabs>
        <w:spacing w:line="362" w:lineRule="auto" w:before="139" w:after="0"/>
        <w:ind w:left="822" w:right="113" w:hanging="495"/>
        <w:jc w:val="both"/>
        <w:rPr>
          <w:sz w:val="24"/>
        </w:rPr>
      </w:pPr>
      <w:r>
        <w:rPr>
          <w:i/>
          <w:sz w:val="24"/>
        </w:rPr>
        <w:t>Muy grandes </w:t>
      </w:r>
      <w:r>
        <w:rPr>
          <w:sz w:val="24"/>
        </w:rPr>
        <w:t>son los estados que tienen una población mayor o igual a diez millones de habitantes. En este supuesto sólo se ubicó el Estado de  México.</w:t>
      </w:r>
    </w:p>
    <w:p>
      <w:pPr>
        <w:pStyle w:val="ListParagraph"/>
        <w:numPr>
          <w:ilvl w:val="0"/>
          <w:numId w:val="5"/>
        </w:numPr>
        <w:tabs>
          <w:tab w:pos="822" w:val="left" w:leader="none"/>
        </w:tabs>
        <w:spacing w:line="360" w:lineRule="auto" w:before="0" w:after="0"/>
        <w:ind w:left="822" w:right="114" w:hanging="560"/>
        <w:jc w:val="both"/>
        <w:rPr>
          <w:sz w:val="24"/>
        </w:rPr>
      </w:pPr>
      <w:r>
        <w:rPr>
          <w:i/>
          <w:sz w:val="24"/>
        </w:rPr>
        <w:t>Grandes </w:t>
      </w:r>
      <w:r>
        <w:rPr>
          <w:sz w:val="24"/>
        </w:rPr>
        <w:t>son aquellos estados cuya población oscila entre los 9, 999,999 y los cinco millones de habitantes. En este caso se situaron cuatro estados y el Distrito Federal, entre ellos: Veracruz, Jalisco y</w:t>
      </w:r>
      <w:r>
        <w:rPr>
          <w:spacing w:val="-20"/>
          <w:sz w:val="24"/>
        </w:rPr>
        <w:t> </w:t>
      </w:r>
      <w:r>
        <w:rPr>
          <w:sz w:val="24"/>
        </w:rPr>
        <w:t>Guanajuato.</w:t>
      </w:r>
    </w:p>
    <w:p>
      <w:pPr>
        <w:spacing w:after="0" w:line="360" w:lineRule="auto"/>
        <w:jc w:val="both"/>
        <w:rPr>
          <w:sz w:val="24"/>
        </w:rPr>
        <w:sectPr>
          <w:footerReference w:type="default" r:id="rId17"/>
          <w:pgSz w:w="12240" w:h="15840"/>
          <w:pgMar w:footer="1003" w:header="749" w:top="960" w:bottom="1200" w:left="1600" w:right="1580"/>
        </w:sectPr>
      </w:pPr>
    </w:p>
    <w:p>
      <w:pPr>
        <w:pStyle w:val="BodyText"/>
        <w:rPr>
          <w:sz w:val="20"/>
        </w:rPr>
      </w:pPr>
    </w:p>
    <w:p>
      <w:pPr>
        <w:pStyle w:val="ListParagraph"/>
        <w:numPr>
          <w:ilvl w:val="0"/>
          <w:numId w:val="5"/>
        </w:numPr>
        <w:tabs>
          <w:tab w:pos="822" w:val="left" w:leader="none"/>
        </w:tabs>
        <w:spacing w:line="362" w:lineRule="auto" w:before="212" w:after="0"/>
        <w:ind w:left="822" w:right="125" w:hanging="627"/>
        <w:jc w:val="both"/>
        <w:rPr>
          <w:sz w:val="24"/>
        </w:rPr>
      </w:pPr>
      <w:r>
        <w:rPr>
          <w:i/>
          <w:sz w:val="24"/>
        </w:rPr>
        <w:t>Medianos </w:t>
      </w:r>
      <w:r>
        <w:rPr>
          <w:sz w:val="24"/>
        </w:rPr>
        <w:t>se consideran los estados que tienen una población que fluctúa entre los 4, 999,999 y los tres millones de habitantes. En este lugar se situaron ocho estados, entre ellos: Chiapas, Michoacán y</w:t>
      </w:r>
      <w:r>
        <w:rPr>
          <w:spacing w:val="-26"/>
          <w:sz w:val="24"/>
        </w:rPr>
        <w:t> </w:t>
      </w:r>
      <w:r>
        <w:rPr>
          <w:sz w:val="24"/>
        </w:rPr>
        <w:t>Oaxaca.</w:t>
      </w:r>
    </w:p>
    <w:p>
      <w:pPr>
        <w:pStyle w:val="ListParagraph"/>
        <w:numPr>
          <w:ilvl w:val="0"/>
          <w:numId w:val="5"/>
        </w:numPr>
        <w:tabs>
          <w:tab w:pos="822" w:val="left" w:leader="none"/>
        </w:tabs>
        <w:spacing w:line="360" w:lineRule="auto" w:before="0" w:after="0"/>
        <w:ind w:left="822" w:right="117" w:hanging="653"/>
        <w:jc w:val="both"/>
        <w:rPr>
          <w:sz w:val="24"/>
        </w:rPr>
      </w:pPr>
      <w:r>
        <w:rPr>
          <w:i/>
          <w:sz w:val="24"/>
        </w:rPr>
        <w:t>Pequeños </w:t>
      </w:r>
      <w:r>
        <w:rPr>
          <w:sz w:val="24"/>
        </w:rPr>
        <w:t>son los estados cuyo número de habitantes oscila entre los 2, 999,999 y el millón de habitantes. En este grupo se ubicaron 15 estados, ejemplos de este grupo son: Hidalgo, Yucatán y</w:t>
      </w:r>
      <w:r>
        <w:rPr>
          <w:spacing w:val="-20"/>
          <w:sz w:val="24"/>
        </w:rPr>
        <w:t> </w:t>
      </w:r>
      <w:r>
        <w:rPr>
          <w:sz w:val="24"/>
        </w:rPr>
        <w:t>Morelos.</w:t>
      </w:r>
    </w:p>
    <w:p>
      <w:pPr>
        <w:pStyle w:val="ListParagraph"/>
        <w:numPr>
          <w:ilvl w:val="0"/>
          <w:numId w:val="5"/>
        </w:numPr>
        <w:tabs>
          <w:tab w:pos="822" w:val="left" w:leader="none"/>
        </w:tabs>
        <w:spacing w:line="360" w:lineRule="auto" w:before="0" w:after="0"/>
        <w:ind w:left="822" w:right="119" w:hanging="586"/>
        <w:jc w:val="both"/>
        <w:rPr>
          <w:sz w:val="24"/>
        </w:rPr>
      </w:pPr>
      <w:r>
        <w:rPr>
          <w:i/>
          <w:sz w:val="24"/>
        </w:rPr>
        <w:t>Muy pequeños </w:t>
      </w:r>
      <w:r>
        <w:rPr>
          <w:sz w:val="24"/>
        </w:rPr>
        <w:t>son los estados con una población menor a un millón de habitantes. En este rubro se colocaron tres estados: Campeche, Colima y Baja California</w:t>
      </w:r>
      <w:r>
        <w:rPr>
          <w:spacing w:val="-5"/>
          <w:sz w:val="24"/>
        </w:rPr>
        <w:t> </w:t>
      </w:r>
      <w:r>
        <w:rPr>
          <w:sz w:val="24"/>
        </w:rPr>
        <w:t>Sur.</w:t>
      </w:r>
    </w:p>
    <w:p>
      <w:pPr>
        <w:pStyle w:val="BodyText"/>
      </w:pPr>
    </w:p>
    <w:p>
      <w:pPr>
        <w:pStyle w:val="BodyText"/>
        <w:spacing w:line="360" w:lineRule="auto" w:before="142"/>
        <w:ind w:left="102" w:right="118" w:firstLine="707"/>
        <w:jc w:val="both"/>
      </w:pPr>
      <w:r>
        <w:rPr/>
        <w:t>Si comparamos la población del Estado de México con la de otros países tenemos que su número de habitantes equivale al de países clasificados como medianos (como Guatemala, Ecuador y Bolivia) y triplica la población de Costa Rica (4, 301,712 habitantes). Es decir, la población del Estado de México equivale a la de países como Uruguay, Costa Rica, Trinidad y Tobago, Nicaragua y Belice juntos.</w:t>
      </w:r>
    </w:p>
    <w:p>
      <w:pPr>
        <w:pStyle w:val="BodyText"/>
        <w:spacing w:line="360" w:lineRule="auto" w:before="2"/>
        <w:ind w:left="102" w:right="118" w:firstLine="707"/>
        <w:jc w:val="both"/>
      </w:pPr>
      <w:r>
        <w:rPr/>
        <w:t>A nivel municipal la población del Estado de México se encuentra distribuida de forma inequitativa, lo cual se observa en el número de habitantes con que cuenta cada municipio. De acuerdo con su población los 125 municipios que integran el Estado de México se pueden clasificar en cinco grupos (tomando como base datos de INEGI, 2011b):</w:t>
      </w:r>
    </w:p>
    <w:p>
      <w:pPr>
        <w:pStyle w:val="BodyText"/>
      </w:pPr>
    </w:p>
    <w:p>
      <w:pPr>
        <w:pStyle w:val="ListParagraph"/>
        <w:numPr>
          <w:ilvl w:val="0"/>
          <w:numId w:val="6"/>
        </w:numPr>
        <w:tabs>
          <w:tab w:pos="822" w:val="left" w:leader="none"/>
        </w:tabs>
        <w:spacing w:line="360" w:lineRule="auto" w:before="139" w:after="0"/>
        <w:ind w:left="822" w:right="117" w:hanging="495"/>
        <w:jc w:val="both"/>
        <w:rPr>
          <w:sz w:val="24"/>
        </w:rPr>
      </w:pPr>
      <w:r>
        <w:rPr>
          <w:i/>
          <w:sz w:val="24"/>
        </w:rPr>
        <w:t>Muy grandes </w:t>
      </w:r>
      <w:r>
        <w:rPr>
          <w:sz w:val="24"/>
        </w:rPr>
        <w:t>son los municipios que tienen una población mayor o igual a un millón de habitantes. En este supuesto se ubican sólo dos municipios: Nezahualcóyotl y</w:t>
      </w:r>
      <w:r>
        <w:rPr>
          <w:spacing w:val="-9"/>
          <w:sz w:val="24"/>
        </w:rPr>
        <w:t> </w:t>
      </w:r>
      <w:r>
        <w:rPr>
          <w:sz w:val="24"/>
        </w:rPr>
        <w:t>Ecatepec.</w:t>
      </w:r>
    </w:p>
    <w:p>
      <w:pPr>
        <w:pStyle w:val="ListParagraph"/>
        <w:numPr>
          <w:ilvl w:val="0"/>
          <w:numId w:val="6"/>
        </w:numPr>
        <w:tabs>
          <w:tab w:pos="822" w:val="left" w:leader="none"/>
        </w:tabs>
        <w:spacing w:line="362" w:lineRule="auto" w:before="2" w:after="0"/>
        <w:ind w:left="822" w:right="118" w:hanging="560"/>
        <w:jc w:val="both"/>
        <w:rPr>
          <w:sz w:val="24"/>
        </w:rPr>
      </w:pPr>
      <w:r>
        <w:rPr>
          <w:i/>
          <w:sz w:val="24"/>
        </w:rPr>
        <w:t>Grandes </w:t>
      </w:r>
      <w:r>
        <w:rPr>
          <w:sz w:val="24"/>
        </w:rPr>
        <w:t>son aquellos municipios cuya población oscila entre 999,999 y 100,000 habitantes. En este caso se situaron 27 municipios, entre ellos: Toluca, Ixtapaluca y</w:t>
      </w:r>
      <w:r>
        <w:rPr>
          <w:spacing w:val="-13"/>
          <w:sz w:val="24"/>
        </w:rPr>
        <w:t> </w:t>
      </w:r>
      <w:r>
        <w:rPr>
          <w:sz w:val="24"/>
        </w:rPr>
        <w:t>Chimalhuacán.</w:t>
      </w:r>
    </w:p>
    <w:p>
      <w:pPr>
        <w:pStyle w:val="ListParagraph"/>
        <w:numPr>
          <w:ilvl w:val="0"/>
          <w:numId w:val="6"/>
        </w:numPr>
        <w:tabs>
          <w:tab w:pos="822" w:val="left" w:leader="none"/>
        </w:tabs>
        <w:spacing w:line="360" w:lineRule="auto" w:before="0" w:after="0"/>
        <w:ind w:left="822" w:right="116" w:hanging="627"/>
        <w:jc w:val="both"/>
        <w:rPr>
          <w:sz w:val="24"/>
        </w:rPr>
      </w:pPr>
      <w:r>
        <w:rPr>
          <w:i/>
          <w:sz w:val="24"/>
        </w:rPr>
        <w:t>Medianos, </w:t>
      </w:r>
      <w:r>
        <w:rPr>
          <w:sz w:val="24"/>
        </w:rPr>
        <w:t>se consideran los municipios que tienen una población menor o igual a 99,999 y mayor o igual a 50,000 habitantes. En este lugar se ubicaron 25 municipios, entre ellos: Atenco, Atlacomulco y</w:t>
      </w:r>
      <w:r>
        <w:rPr>
          <w:spacing w:val="-22"/>
          <w:sz w:val="24"/>
        </w:rPr>
        <w:t> </w:t>
      </w:r>
      <w:r>
        <w:rPr>
          <w:sz w:val="24"/>
        </w:rPr>
        <w:t>Jilotepec.</w:t>
      </w:r>
    </w:p>
    <w:p>
      <w:pPr>
        <w:spacing w:after="0" w:line="360" w:lineRule="auto"/>
        <w:jc w:val="both"/>
        <w:rPr>
          <w:sz w:val="24"/>
        </w:rPr>
        <w:sectPr>
          <w:footerReference w:type="default" r:id="rId18"/>
          <w:pgSz w:w="12240" w:h="15840"/>
          <w:pgMar w:footer="1003" w:header="749" w:top="960" w:bottom="1200" w:left="1600" w:right="1580"/>
          <w:pgNumType w:start="41"/>
        </w:sectPr>
      </w:pPr>
    </w:p>
    <w:p>
      <w:pPr>
        <w:pStyle w:val="BodyText"/>
        <w:rPr>
          <w:sz w:val="20"/>
        </w:rPr>
      </w:pPr>
    </w:p>
    <w:p>
      <w:pPr>
        <w:pStyle w:val="ListParagraph"/>
        <w:numPr>
          <w:ilvl w:val="0"/>
          <w:numId w:val="6"/>
        </w:numPr>
        <w:tabs>
          <w:tab w:pos="822" w:val="left" w:leader="none"/>
        </w:tabs>
        <w:spacing w:line="360" w:lineRule="auto" w:before="212" w:after="0"/>
        <w:ind w:left="822" w:right="117" w:hanging="653"/>
        <w:jc w:val="both"/>
        <w:rPr>
          <w:sz w:val="24"/>
        </w:rPr>
      </w:pPr>
      <w:r>
        <w:rPr>
          <w:i/>
          <w:sz w:val="24"/>
        </w:rPr>
        <w:t>Pequeños </w:t>
      </w:r>
      <w:r>
        <w:rPr>
          <w:sz w:val="24"/>
        </w:rPr>
        <w:t>son los municipios cuyo número de habitantes es menor o igual a 49,999 y mayor o igual a 15,000. En este conjunto se ubicaron 46 municipios, ejemplos de este grupo son: Otumba, Sultepec y Temascaltepec.</w:t>
      </w:r>
    </w:p>
    <w:p>
      <w:pPr>
        <w:pStyle w:val="ListParagraph"/>
        <w:numPr>
          <w:ilvl w:val="0"/>
          <w:numId w:val="6"/>
        </w:numPr>
        <w:tabs>
          <w:tab w:pos="822" w:val="left" w:leader="none"/>
        </w:tabs>
        <w:spacing w:line="360" w:lineRule="auto" w:before="0" w:after="0"/>
        <w:ind w:left="822" w:right="118" w:hanging="586"/>
        <w:jc w:val="both"/>
        <w:rPr>
          <w:sz w:val="24"/>
        </w:rPr>
      </w:pPr>
      <w:r>
        <w:rPr>
          <w:i/>
          <w:sz w:val="24"/>
        </w:rPr>
        <w:t>Muy pequeños </w:t>
      </w:r>
      <w:r>
        <w:rPr>
          <w:sz w:val="24"/>
        </w:rPr>
        <w:t>son los municipios que cuentan con una población menor a 14,999 habitantes. En este rubro se situaron 25 municipios, entre ellos: Tonanitla, Zacazonapan y</w:t>
      </w:r>
      <w:r>
        <w:rPr>
          <w:spacing w:val="-20"/>
          <w:sz w:val="24"/>
        </w:rPr>
        <w:t> </w:t>
      </w:r>
      <w:r>
        <w:rPr>
          <w:sz w:val="24"/>
        </w:rPr>
        <w:t>Texcalyacac.</w:t>
      </w:r>
    </w:p>
    <w:p>
      <w:pPr>
        <w:pStyle w:val="BodyText"/>
      </w:pPr>
    </w:p>
    <w:p>
      <w:pPr>
        <w:pStyle w:val="BodyText"/>
        <w:spacing w:line="360" w:lineRule="auto" w:before="142"/>
        <w:ind w:left="102" w:right="116" w:firstLine="707"/>
        <w:jc w:val="both"/>
      </w:pPr>
      <w:r>
        <w:rPr/>
        <w:t>Como se observa municipios como Ecatepec y Netzahualcóyotl tienen una población superior a la de países clasificados como </w:t>
      </w:r>
      <w:r>
        <w:rPr>
          <w:i/>
        </w:rPr>
        <w:t>muy pequeños </w:t>
      </w:r>
      <w:r>
        <w:rPr/>
        <w:t>(en número de habitantes), e incluso su número de habitantes equivale al de países </w:t>
      </w:r>
      <w:r>
        <w:rPr>
          <w:i/>
        </w:rPr>
        <w:t>pequeños </w:t>
      </w:r>
      <w:r>
        <w:rPr/>
        <w:t>como Estonia o Gambia. En conclusión, por lo que se refiere a su población: la República Mexicana y el Estado de México, resultan significativos debido a  su gran número de habitantes.</w:t>
      </w:r>
    </w:p>
    <w:p>
      <w:pPr>
        <w:pStyle w:val="BodyText"/>
      </w:pPr>
    </w:p>
    <w:p>
      <w:pPr>
        <w:pStyle w:val="ListParagraph"/>
        <w:numPr>
          <w:ilvl w:val="1"/>
          <w:numId w:val="1"/>
        </w:numPr>
        <w:tabs>
          <w:tab w:pos="2587" w:val="left" w:leader="none"/>
        </w:tabs>
        <w:spacing w:line="240" w:lineRule="auto" w:before="142" w:after="0"/>
        <w:ind w:left="2586" w:right="0" w:hanging="360"/>
        <w:jc w:val="left"/>
        <w:rPr>
          <w:sz w:val="24"/>
        </w:rPr>
      </w:pPr>
      <w:r>
        <w:rPr>
          <w:sz w:val="24"/>
        </w:rPr>
        <w:t>Densidad demográfica</w:t>
      </w:r>
      <w:r>
        <w:rPr>
          <w:spacing w:val="-6"/>
          <w:sz w:val="24"/>
        </w:rPr>
        <w:t> </w:t>
      </w:r>
      <w:r>
        <w:rPr>
          <w:sz w:val="24"/>
        </w:rPr>
        <w:t>nacional</w:t>
      </w:r>
    </w:p>
    <w:p>
      <w:pPr>
        <w:pStyle w:val="BodyText"/>
      </w:pPr>
    </w:p>
    <w:p>
      <w:pPr>
        <w:pStyle w:val="BodyText"/>
      </w:pPr>
    </w:p>
    <w:p>
      <w:pPr>
        <w:pStyle w:val="BodyText"/>
        <w:spacing w:line="360" w:lineRule="auto"/>
        <w:ind w:left="102" w:right="119"/>
        <w:jc w:val="both"/>
      </w:pPr>
      <w:r>
        <w:rPr/>
        <w:t>La densidad de población se obtiene de dividir el número de habitantes (población) entre el número de kilómetros cuadrados (territorio) que tiene un país, estado o municipio, por lo que para obtener los datos de esta variable fue necesario recurrir a los incisos a) y c).</w:t>
      </w:r>
    </w:p>
    <w:p>
      <w:pPr>
        <w:pStyle w:val="BodyText"/>
        <w:spacing w:line="360" w:lineRule="auto" w:before="5"/>
        <w:ind w:left="102" w:right="118" w:firstLine="707"/>
        <w:jc w:val="both"/>
      </w:pPr>
      <w:r>
        <w:rPr/>
        <w:t>La República Mexicana tiene una densidad de población baja, 57 habitantes por kilómetro cuadrado (INEGI, 2012c). A nivel mundial, ocupa el lugar número  151 de entre 243 países clasificados por su densidad de población (Wikipedia, 2012d). Su baja densidad de población se debe a que cuenta con un territorio </w:t>
      </w:r>
      <w:r>
        <w:rPr>
          <w:i/>
        </w:rPr>
        <w:t>grande </w:t>
      </w:r>
      <w:r>
        <w:rPr/>
        <w:t>en el cual se dispersa la</w:t>
      </w:r>
      <w:r>
        <w:rPr>
          <w:spacing w:val="-11"/>
        </w:rPr>
        <w:t> </w:t>
      </w:r>
      <w:r>
        <w:rPr/>
        <w:t>población.</w:t>
      </w:r>
    </w:p>
    <w:p>
      <w:pPr>
        <w:pStyle w:val="BodyText"/>
        <w:spacing w:before="5"/>
        <w:ind w:left="810" w:right="120"/>
      </w:pPr>
      <w:r>
        <w:rPr/>
        <w:t>De acuerdo con su densidad de población clasifiqué a los países en:</w:t>
      </w:r>
    </w:p>
    <w:p>
      <w:pPr>
        <w:pStyle w:val="BodyText"/>
      </w:pPr>
    </w:p>
    <w:p>
      <w:pPr>
        <w:pStyle w:val="BodyText"/>
        <w:spacing w:before="9"/>
        <w:rPr>
          <w:sz w:val="23"/>
        </w:rPr>
      </w:pPr>
    </w:p>
    <w:p>
      <w:pPr>
        <w:pStyle w:val="ListParagraph"/>
        <w:numPr>
          <w:ilvl w:val="0"/>
          <w:numId w:val="7"/>
        </w:numPr>
        <w:tabs>
          <w:tab w:pos="822" w:val="left" w:leader="none"/>
        </w:tabs>
        <w:spacing w:line="360" w:lineRule="auto" w:before="0" w:after="0"/>
        <w:ind w:left="822" w:right="119" w:hanging="495"/>
        <w:jc w:val="both"/>
        <w:rPr>
          <w:sz w:val="24"/>
        </w:rPr>
      </w:pPr>
      <w:r>
        <w:rPr>
          <w:i/>
          <w:sz w:val="24"/>
        </w:rPr>
        <w:t>Muy densamente poblados </w:t>
      </w:r>
      <w:r>
        <w:rPr>
          <w:sz w:val="24"/>
        </w:rPr>
        <w:t>son los países que tienen una densidad de población igual o mayor a 10,000 habitantes por km2. En este supuesto  </w:t>
      </w:r>
      <w:r>
        <w:rPr>
          <w:spacing w:val="6"/>
          <w:sz w:val="24"/>
        </w:rPr>
        <w:t> </w:t>
      </w:r>
      <w:r>
        <w:rPr>
          <w:sz w:val="24"/>
        </w:rPr>
        <w:t>se</w:t>
      </w:r>
    </w:p>
    <w:p>
      <w:pPr>
        <w:spacing w:after="0" w:line="360" w:lineRule="auto"/>
        <w:jc w:val="both"/>
        <w:rPr>
          <w:sz w:val="24"/>
        </w:rPr>
        <w:sectPr>
          <w:pgSz w:w="12240" w:h="15840"/>
          <w:pgMar w:header="749" w:footer="1003" w:top="960" w:bottom="1200" w:left="1600" w:right="1580"/>
        </w:sectPr>
      </w:pPr>
    </w:p>
    <w:p>
      <w:pPr>
        <w:pStyle w:val="BodyText"/>
        <w:rPr>
          <w:sz w:val="20"/>
        </w:rPr>
      </w:pPr>
    </w:p>
    <w:p>
      <w:pPr>
        <w:pStyle w:val="BodyText"/>
        <w:spacing w:line="362" w:lineRule="auto" w:before="214"/>
        <w:ind w:left="821" w:right="120"/>
      </w:pPr>
      <w:r>
        <w:rPr/>
        <w:t>ubicaron dos países, Macao (región administrativa especial de China) y Mónaco.</w:t>
      </w:r>
    </w:p>
    <w:p>
      <w:pPr>
        <w:pStyle w:val="ListParagraph"/>
        <w:numPr>
          <w:ilvl w:val="0"/>
          <w:numId w:val="7"/>
        </w:numPr>
        <w:tabs>
          <w:tab w:pos="822" w:val="left" w:leader="none"/>
        </w:tabs>
        <w:spacing w:line="360" w:lineRule="auto" w:before="0" w:after="0"/>
        <w:ind w:left="822" w:right="118" w:hanging="560"/>
        <w:jc w:val="both"/>
        <w:rPr>
          <w:sz w:val="24"/>
        </w:rPr>
      </w:pPr>
      <w:r>
        <w:rPr>
          <w:i/>
          <w:sz w:val="24"/>
        </w:rPr>
        <w:t>Densamente poblados </w:t>
      </w:r>
      <w:r>
        <w:rPr>
          <w:sz w:val="24"/>
        </w:rPr>
        <w:t>se consideran aquellos países cuya densidad de población oscila entre los 9,999 y los 1,000 habitantes por km2. En este caso se ubicaron 9 países, ejemplo de éstos son: Singapur, Hong Kong (región administrativa especial de China) y Ciudad del</w:t>
      </w:r>
      <w:r>
        <w:rPr>
          <w:spacing w:val="-17"/>
          <w:sz w:val="24"/>
        </w:rPr>
        <w:t> </w:t>
      </w:r>
      <w:r>
        <w:rPr>
          <w:sz w:val="24"/>
        </w:rPr>
        <w:t>Vaticano.</w:t>
      </w:r>
    </w:p>
    <w:p>
      <w:pPr>
        <w:pStyle w:val="ListParagraph"/>
        <w:numPr>
          <w:ilvl w:val="0"/>
          <w:numId w:val="7"/>
        </w:numPr>
        <w:tabs>
          <w:tab w:pos="822" w:val="left" w:leader="none"/>
        </w:tabs>
        <w:spacing w:line="362" w:lineRule="auto" w:before="0" w:after="0"/>
        <w:ind w:left="822" w:right="117" w:hanging="627"/>
        <w:jc w:val="both"/>
        <w:rPr>
          <w:sz w:val="24"/>
        </w:rPr>
      </w:pPr>
      <w:r>
        <w:rPr>
          <w:sz w:val="24"/>
        </w:rPr>
        <w:t>Entre los países con una </w:t>
      </w:r>
      <w:r>
        <w:rPr>
          <w:i/>
          <w:sz w:val="24"/>
        </w:rPr>
        <w:t>mediana densidad de población </w:t>
      </w:r>
      <w:r>
        <w:rPr>
          <w:sz w:val="24"/>
        </w:rPr>
        <w:t>se consideran aquéllos que tienen una densidad de población que fluctúa entre los 999 y los 100 habitantes por km2. En este lugar se situaron 96 países, entre ellos: El salvador, Guatemala y Puerto</w:t>
      </w:r>
      <w:r>
        <w:rPr>
          <w:spacing w:val="-11"/>
          <w:sz w:val="24"/>
        </w:rPr>
        <w:t> </w:t>
      </w:r>
      <w:r>
        <w:rPr>
          <w:sz w:val="24"/>
        </w:rPr>
        <w:t>Rico.</w:t>
      </w:r>
    </w:p>
    <w:p>
      <w:pPr>
        <w:pStyle w:val="ListParagraph"/>
        <w:numPr>
          <w:ilvl w:val="0"/>
          <w:numId w:val="7"/>
        </w:numPr>
        <w:tabs>
          <w:tab w:pos="822" w:val="left" w:leader="none"/>
        </w:tabs>
        <w:spacing w:line="360" w:lineRule="auto" w:before="0" w:after="0"/>
        <w:ind w:left="822" w:right="113" w:hanging="653"/>
        <w:jc w:val="both"/>
        <w:rPr>
          <w:sz w:val="24"/>
        </w:rPr>
      </w:pPr>
      <w:r>
        <w:rPr>
          <w:sz w:val="24"/>
        </w:rPr>
        <w:t>Entre los países con una </w:t>
      </w:r>
      <w:r>
        <w:rPr>
          <w:i/>
          <w:sz w:val="24"/>
        </w:rPr>
        <w:t>densidad de población baja </w:t>
      </w:r>
      <w:r>
        <w:rPr>
          <w:sz w:val="24"/>
        </w:rPr>
        <w:t>se encuentran  aquéllos cuya densidad de población se encuentra entre los 99 y los diez habitantes por km2. En este grupo se ubicaron 99 países, ejemplo de éstos son: Costa Rica (84 habitantes por km2), México y Ecuador (ambos con 57 habitantes por</w:t>
      </w:r>
      <w:r>
        <w:rPr>
          <w:spacing w:val="-7"/>
          <w:sz w:val="24"/>
        </w:rPr>
        <w:t> </w:t>
      </w:r>
      <w:r>
        <w:rPr>
          <w:sz w:val="24"/>
        </w:rPr>
        <w:t>km2).</w:t>
      </w:r>
    </w:p>
    <w:p>
      <w:pPr>
        <w:pStyle w:val="ListParagraph"/>
        <w:numPr>
          <w:ilvl w:val="0"/>
          <w:numId w:val="7"/>
        </w:numPr>
        <w:tabs>
          <w:tab w:pos="822" w:val="left" w:leader="none"/>
        </w:tabs>
        <w:spacing w:line="362" w:lineRule="auto" w:before="2" w:after="0"/>
        <w:ind w:left="822" w:right="117" w:hanging="586"/>
        <w:jc w:val="both"/>
        <w:rPr>
          <w:sz w:val="24"/>
        </w:rPr>
      </w:pPr>
      <w:r>
        <w:rPr>
          <w:sz w:val="24"/>
        </w:rPr>
        <w:t>Los países con </w:t>
      </w:r>
      <w:r>
        <w:rPr>
          <w:i/>
          <w:sz w:val="24"/>
        </w:rPr>
        <w:t>muy baja densidad de población </w:t>
      </w:r>
      <w:r>
        <w:rPr>
          <w:sz w:val="24"/>
        </w:rPr>
        <w:t>son aquéllos que tienen una densidad de población menor a diez habitantes por km2. En este grupo se situaron 24 países, entre ellos: Bolivia, Canadá, Rusia y</w:t>
      </w:r>
      <w:r>
        <w:rPr>
          <w:spacing w:val="-23"/>
          <w:sz w:val="24"/>
        </w:rPr>
        <w:t> </w:t>
      </w:r>
      <w:r>
        <w:rPr>
          <w:sz w:val="24"/>
        </w:rPr>
        <w:t>Australia.</w:t>
      </w:r>
    </w:p>
    <w:p>
      <w:pPr>
        <w:pStyle w:val="BodyText"/>
      </w:pPr>
    </w:p>
    <w:p>
      <w:pPr>
        <w:pStyle w:val="ListParagraph"/>
        <w:numPr>
          <w:ilvl w:val="1"/>
          <w:numId w:val="1"/>
        </w:numPr>
        <w:tabs>
          <w:tab w:pos="1734" w:val="left" w:leader="none"/>
        </w:tabs>
        <w:spacing w:line="240" w:lineRule="auto" w:before="139" w:after="0"/>
        <w:ind w:left="1734" w:right="0" w:hanging="216"/>
        <w:jc w:val="left"/>
        <w:rPr>
          <w:sz w:val="24"/>
        </w:rPr>
      </w:pPr>
      <w:r>
        <w:rPr>
          <w:sz w:val="24"/>
        </w:rPr>
        <w:t>Densidad demográfica</w:t>
      </w:r>
      <w:r>
        <w:rPr>
          <w:spacing w:val="-8"/>
          <w:sz w:val="24"/>
        </w:rPr>
        <w:t> </w:t>
      </w:r>
      <w:r>
        <w:rPr>
          <w:sz w:val="24"/>
        </w:rPr>
        <w:t>estatal</w:t>
      </w:r>
    </w:p>
    <w:p>
      <w:pPr>
        <w:pStyle w:val="BodyText"/>
      </w:pPr>
    </w:p>
    <w:p>
      <w:pPr>
        <w:pStyle w:val="BodyText"/>
      </w:pPr>
    </w:p>
    <w:p>
      <w:pPr>
        <w:pStyle w:val="BodyText"/>
        <w:spacing w:line="360" w:lineRule="auto"/>
        <w:ind w:left="102" w:right="115"/>
        <w:jc w:val="both"/>
      </w:pPr>
      <w:r>
        <w:rPr/>
        <w:t>A nivel nacional la distribución de la población es desigual, por lo que hay entidades con más densidad poblacional que otras. El Estado de México se ubicó como densamente poblado, al contar con 679 habitantes por kilómetro cuadrado (INEGI, 2012c); ocupa el segundo lugar en densidad de población de entre las entidades que integran la República Mexicana sólo rebasado por el Distrito Federal. De acuerdo con su densidad poblacional clasifiqué a los estados de la República Mexicana en cinco grupos (INEGI, 2011d):</w:t>
      </w:r>
    </w:p>
    <w:p>
      <w:pPr>
        <w:spacing w:after="0" w:line="360" w:lineRule="auto"/>
        <w:jc w:val="both"/>
        <w:sectPr>
          <w:pgSz w:w="12240" w:h="15840"/>
          <w:pgMar w:header="749" w:footer="1003" w:top="960" w:bottom="1200" w:left="1600" w:right="1580"/>
        </w:sectPr>
      </w:pPr>
    </w:p>
    <w:p>
      <w:pPr>
        <w:pStyle w:val="BodyText"/>
        <w:rPr>
          <w:sz w:val="20"/>
        </w:rPr>
      </w:pPr>
    </w:p>
    <w:p>
      <w:pPr>
        <w:pStyle w:val="ListParagraph"/>
        <w:numPr>
          <w:ilvl w:val="0"/>
          <w:numId w:val="8"/>
        </w:numPr>
        <w:tabs>
          <w:tab w:pos="822" w:val="left" w:leader="none"/>
        </w:tabs>
        <w:spacing w:line="362" w:lineRule="auto" w:before="212" w:after="0"/>
        <w:ind w:left="822" w:right="118" w:hanging="495"/>
        <w:jc w:val="both"/>
        <w:rPr>
          <w:sz w:val="24"/>
        </w:rPr>
      </w:pPr>
      <w:r>
        <w:rPr>
          <w:i/>
          <w:sz w:val="24"/>
        </w:rPr>
        <w:t>Muy densamente poblados </w:t>
      </w:r>
      <w:r>
        <w:rPr>
          <w:sz w:val="24"/>
        </w:rPr>
        <w:t>aquellos estados que tienen una densidad de población igual o mayor a 5,000 habitantes por km2. En este supuesto sólo se ubicó el Distrito Federal con 5,920 habitantes por</w:t>
      </w:r>
      <w:r>
        <w:rPr>
          <w:spacing w:val="-18"/>
          <w:sz w:val="24"/>
        </w:rPr>
        <w:t> </w:t>
      </w:r>
      <w:r>
        <w:rPr>
          <w:sz w:val="24"/>
        </w:rPr>
        <w:t>km2.</w:t>
      </w:r>
    </w:p>
    <w:p>
      <w:pPr>
        <w:pStyle w:val="ListParagraph"/>
        <w:numPr>
          <w:ilvl w:val="0"/>
          <w:numId w:val="8"/>
        </w:numPr>
        <w:tabs>
          <w:tab w:pos="822" w:val="left" w:leader="none"/>
        </w:tabs>
        <w:spacing w:line="360" w:lineRule="auto" w:before="0" w:after="0"/>
        <w:ind w:left="822" w:right="118" w:hanging="560"/>
        <w:jc w:val="both"/>
        <w:rPr>
          <w:sz w:val="24"/>
        </w:rPr>
      </w:pPr>
      <w:r>
        <w:rPr>
          <w:i/>
          <w:sz w:val="24"/>
        </w:rPr>
        <w:t>Densamente poblados </w:t>
      </w:r>
      <w:r>
        <w:rPr>
          <w:sz w:val="24"/>
        </w:rPr>
        <w:t>aquéllos cuya densidad de población oscila entre los 4,999 y los 100 habitantes por km2. En este caso se ubicaron diez estados, entre ellos: el Estado de México (679 habitantes/km2), Morelos (364 habitantes/km2) y Tlaxcala (293 habitantes/km2). Siendo estos tres estados los que le siguen en densidad de población al D.F. en ese</w:t>
      </w:r>
      <w:r>
        <w:rPr>
          <w:spacing w:val="-21"/>
          <w:sz w:val="24"/>
        </w:rPr>
        <w:t> </w:t>
      </w:r>
      <w:r>
        <w:rPr>
          <w:sz w:val="24"/>
        </w:rPr>
        <w:t>orden.</w:t>
      </w:r>
    </w:p>
    <w:p>
      <w:pPr>
        <w:pStyle w:val="ListParagraph"/>
        <w:numPr>
          <w:ilvl w:val="0"/>
          <w:numId w:val="8"/>
        </w:numPr>
        <w:tabs>
          <w:tab w:pos="822" w:val="left" w:leader="none"/>
        </w:tabs>
        <w:spacing w:line="362" w:lineRule="auto" w:before="0" w:after="0"/>
        <w:ind w:left="822" w:right="117" w:hanging="627"/>
        <w:jc w:val="both"/>
        <w:rPr>
          <w:sz w:val="24"/>
        </w:rPr>
      </w:pPr>
      <w:r>
        <w:rPr>
          <w:sz w:val="24"/>
        </w:rPr>
        <w:t>Entre los estados con una </w:t>
      </w:r>
      <w:r>
        <w:rPr>
          <w:i/>
          <w:sz w:val="24"/>
        </w:rPr>
        <w:t>mediana densidad de población </w:t>
      </w:r>
      <w:r>
        <w:rPr>
          <w:sz w:val="24"/>
        </w:rPr>
        <w:t>se consideran aquéllos que tienen una densidad que fluctúa entre los 99 y los 50 habitantes por km2. En este lugar se ubicaron seis estados, entre ellos: Tabasco, Nuevo León y</w:t>
      </w:r>
      <w:r>
        <w:rPr>
          <w:spacing w:val="-15"/>
          <w:sz w:val="24"/>
        </w:rPr>
        <w:t> </w:t>
      </w:r>
      <w:r>
        <w:rPr>
          <w:sz w:val="24"/>
        </w:rPr>
        <w:t>Michoacán.</w:t>
      </w:r>
    </w:p>
    <w:p>
      <w:pPr>
        <w:pStyle w:val="ListParagraph"/>
        <w:numPr>
          <w:ilvl w:val="0"/>
          <w:numId w:val="8"/>
        </w:numPr>
        <w:tabs>
          <w:tab w:pos="822" w:val="left" w:leader="none"/>
        </w:tabs>
        <w:spacing w:line="360" w:lineRule="auto" w:before="0" w:after="0"/>
        <w:ind w:left="822" w:right="115" w:hanging="653"/>
        <w:jc w:val="both"/>
        <w:rPr>
          <w:sz w:val="24"/>
        </w:rPr>
      </w:pPr>
      <w:r>
        <w:rPr>
          <w:sz w:val="24"/>
        </w:rPr>
        <w:t>Entre las entidades con una </w:t>
      </w:r>
      <w:r>
        <w:rPr>
          <w:i/>
          <w:sz w:val="24"/>
        </w:rPr>
        <w:t>densidad de población baja </w:t>
      </w:r>
      <w:r>
        <w:rPr>
          <w:sz w:val="24"/>
        </w:rPr>
        <w:t>se encuentran aquéllas cuya densidad de población se ubica entre los 49 y los 15 habitantes por km2. En este grupo se situaron 11 estados, ejemplo de éstos son: Sonora, Zacatecas y</w:t>
      </w:r>
      <w:r>
        <w:rPr>
          <w:spacing w:val="-13"/>
          <w:sz w:val="24"/>
        </w:rPr>
        <w:t> </w:t>
      </w:r>
      <w:r>
        <w:rPr>
          <w:sz w:val="24"/>
        </w:rPr>
        <w:t>Yucatán.</w:t>
      </w:r>
    </w:p>
    <w:p>
      <w:pPr>
        <w:pStyle w:val="ListParagraph"/>
        <w:numPr>
          <w:ilvl w:val="0"/>
          <w:numId w:val="8"/>
        </w:numPr>
        <w:tabs>
          <w:tab w:pos="822" w:val="left" w:leader="none"/>
        </w:tabs>
        <w:spacing w:line="360" w:lineRule="auto" w:before="0" w:after="0"/>
        <w:ind w:left="810" w:right="116" w:hanging="574"/>
        <w:jc w:val="both"/>
        <w:rPr>
          <w:sz w:val="24"/>
        </w:rPr>
      </w:pPr>
      <w:r>
        <w:rPr>
          <w:sz w:val="24"/>
        </w:rPr>
        <w:t>Los estados con </w:t>
      </w:r>
      <w:r>
        <w:rPr>
          <w:i/>
          <w:sz w:val="24"/>
        </w:rPr>
        <w:t>muy baja densidad de población </w:t>
      </w:r>
      <w:r>
        <w:rPr>
          <w:sz w:val="24"/>
        </w:rPr>
        <w:t>son aquéllos que tienen una densidad menor a 15 habitantes por km2. En este grupo se situaron cuatro estados: Baja California Sur (9 habitantes/km2), Durango (13 habitantes/km2), Campeche y Chihuahua (14 habitantes/km2).  Siendo  estos estados los menos poblados de la República Mexicana en ese</w:t>
      </w:r>
      <w:r>
        <w:rPr>
          <w:spacing w:val="-21"/>
          <w:sz w:val="24"/>
        </w:rPr>
        <w:t> </w:t>
      </w:r>
      <w:r>
        <w:rPr>
          <w:sz w:val="24"/>
        </w:rPr>
        <w:t>orden.</w:t>
      </w:r>
    </w:p>
    <w:p>
      <w:pPr>
        <w:pStyle w:val="BodyText"/>
      </w:pPr>
    </w:p>
    <w:p>
      <w:pPr>
        <w:pStyle w:val="BodyText"/>
        <w:spacing w:line="360" w:lineRule="auto" w:before="142"/>
        <w:ind w:left="102" w:right="121" w:firstLine="707"/>
        <w:jc w:val="both"/>
      </w:pPr>
      <w:r>
        <w:rPr/>
        <w:t>Llama la atención la enorme distancia que existe entre la densidad de población del primer y el segundo lugar, ya que va de 5,920 habitantes en el D.F.  a 679 en el Estado de</w:t>
      </w:r>
      <w:r>
        <w:rPr>
          <w:spacing w:val="-14"/>
        </w:rPr>
        <w:t> </w:t>
      </w:r>
      <w:r>
        <w:rPr/>
        <w:t>México.</w:t>
      </w:r>
    </w:p>
    <w:p>
      <w:pPr>
        <w:pStyle w:val="BodyText"/>
        <w:spacing w:line="360" w:lineRule="auto" w:before="5"/>
        <w:ind w:left="102" w:right="117" w:firstLine="707"/>
        <w:jc w:val="both"/>
      </w:pPr>
      <w:r>
        <w:rPr/>
        <w:t>Por su parte la densidad poblacional en los municipios que integran al Estado de México es desigual, por lo que existen municipios más densamente poblados que otros. Para analizar lo relativo a la densidad de población en los municipios del Estado de México es necesario remitirse a </w:t>
      </w:r>
      <w:r>
        <w:rPr>
          <w:spacing w:val="2"/>
        </w:rPr>
        <w:t>los </w:t>
      </w:r>
      <w:r>
        <w:rPr/>
        <w:t>estudios que hace el Gobierno del Estado de México (GEM). El GEM divide a los 125 municipios en </w:t>
      </w:r>
      <w:r>
        <w:rPr>
          <w:spacing w:val="60"/>
        </w:rPr>
        <w:t> </w:t>
      </w:r>
      <w:r>
        <w:rPr/>
        <w:t>16</w:t>
      </w:r>
    </w:p>
    <w:p>
      <w:pPr>
        <w:spacing w:after="0" w:line="360" w:lineRule="auto"/>
        <w:jc w:val="both"/>
        <w:sectPr>
          <w:pgSz w:w="12240" w:h="15840"/>
          <w:pgMar w:header="749" w:footer="1003" w:top="960" w:bottom="1200" w:left="1600" w:right="1580"/>
        </w:sectPr>
      </w:pPr>
    </w:p>
    <w:p>
      <w:pPr>
        <w:pStyle w:val="BodyText"/>
        <w:rPr>
          <w:sz w:val="20"/>
        </w:rPr>
      </w:pPr>
    </w:p>
    <w:p>
      <w:pPr>
        <w:pStyle w:val="BodyText"/>
        <w:spacing w:line="331" w:lineRule="auto" w:before="214"/>
        <w:ind w:left="122" w:right="126"/>
        <w:jc w:val="both"/>
      </w:pPr>
      <w:r>
        <w:rPr/>
        <w:t>regiones, y a través de estas regiones hace análisis de datos y planeaciones. Uno de estos análisis se refiere a la densidad de población</w:t>
      </w:r>
      <w:r>
        <w:rPr>
          <w:position w:val="11"/>
          <w:sz w:val="16"/>
        </w:rPr>
        <w:t>15 </w:t>
      </w:r>
      <w:r>
        <w:rPr/>
        <w:t>(GEM, 2009).</w:t>
      </w:r>
    </w:p>
    <w:p>
      <w:pPr>
        <w:pStyle w:val="BodyText"/>
        <w:spacing w:line="360" w:lineRule="auto" w:before="20"/>
        <w:ind w:left="122" w:right="178" w:firstLine="707"/>
      </w:pPr>
      <w:r>
        <w:rPr/>
        <w:t>Con base en dicho análisis clasifiqué por región la densidad de población  en el Estado de México en cinco</w:t>
      </w:r>
      <w:r>
        <w:rPr>
          <w:spacing w:val="-13"/>
        </w:rPr>
        <w:t> </w:t>
      </w:r>
      <w:r>
        <w:rPr/>
        <w:t>grupos:</w:t>
      </w:r>
    </w:p>
    <w:p>
      <w:pPr>
        <w:pStyle w:val="BodyText"/>
      </w:pPr>
    </w:p>
    <w:p>
      <w:pPr>
        <w:pStyle w:val="ListParagraph"/>
        <w:numPr>
          <w:ilvl w:val="0"/>
          <w:numId w:val="9"/>
        </w:numPr>
        <w:tabs>
          <w:tab w:pos="842" w:val="left" w:leader="none"/>
        </w:tabs>
        <w:spacing w:line="360" w:lineRule="auto" w:before="139" w:after="0"/>
        <w:ind w:left="842" w:right="116" w:hanging="495"/>
        <w:jc w:val="both"/>
        <w:rPr>
          <w:sz w:val="24"/>
        </w:rPr>
      </w:pPr>
      <w:r>
        <w:rPr>
          <w:i/>
          <w:sz w:val="24"/>
        </w:rPr>
        <w:t>Muy densamente pobladas </w:t>
      </w:r>
      <w:r>
        <w:rPr>
          <w:sz w:val="24"/>
        </w:rPr>
        <w:t>son las regiones que tienen una densidad de población igual o mayor a 15,000 habitantes por km2. En este supuesto sólo se ubicó la región IX Nezahualcóyotl (17,978.06</w:t>
      </w:r>
      <w:r>
        <w:rPr>
          <w:spacing w:val="-24"/>
          <w:sz w:val="24"/>
        </w:rPr>
        <w:t> </w:t>
      </w:r>
      <w:r>
        <w:rPr>
          <w:sz w:val="24"/>
        </w:rPr>
        <w:t>habitantes/km2).</w:t>
      </w:r>
    </w:p>
    <w:p>
      <w:pPr>
        <w:pStyle w:val="ListParagraph"/>
        <w:numPr>
          <w:ilvl w:val="0"/>
          <w:numId w:val="9"/>
        </w:numPr>
        <w:tabs>
          <w:tab w:pos="842" w:val="left" w:leader="none"/>
        </w:tabs>
        <w:spacing w:line="362" w:lineRule="auto" w:before="0" w:after="0"/>
        <w:ind w:left="842" w:right="118" w:hanging="560"/>
        <w:jc w:val="both"/>
        <w:rPr>
          <w:sz w:val="24"/>
        </w:rPr>
      </w:pPr>
      <w:r>
        <w:rPr>
          <w:i/>
          <w:sz w:val="24"/>
        </w:rPr>
        <w:t>Densamente pobladas </w:t>
      </w:r>
      <w:r>
        <w:rPr>
          <w:sz w:val="24"/>
        </w:rPr>
        <w:t>se consideran aquellas regiones cuya densidad de población oscila entre los 14,999 y los 1,000 habitantes por km2. En este caso se ubicaron cinco regiones: III Chimalhuacán, V Ecatepec, VIII Naucalpan, XII Tlalnepantla y XIV</w:t>
      </w:r>
      <w:r>
        <w:rPr>
          <w:spacing w:val="-12"/>
          <w:sz w:val="24"/>
        </w:rPr>
        <w:t> </w:t>
      </w:r>
      <w:r>
        <w:rPr>
          <w:sz w:val="24"/>
        </w:rPr>
        <w:t>Tultitlán.</w:t>
      </w:r>
    </w:p>
    <w:p>
      <w:pPr>
        <w:pStyle w:val="ListParagraph"/>
        <w:numPr>
          <w:ilvl w:val="0"/>
          <w:numId w:val="9"/>
        </w:numPr>
        <w:tabs>
          <w:tab w:pos="842" w:val="left" w:leader="none"/>
        </w:tabs>
        <w:spacing w:line="360" w:lineRule="auto" w:before="0" w:after="0"/>
        <w:ind w:left="842" w:right="116" w:hanging="627"/>
        <w:jc w:val="both"/>
        <w:rPr>
          <w:sz w:val="24"/>
        </w:rPr>
      </w:pPr>
      <w:r>
        <w:rPr>
          <w:sz w:val="24"/>
        </w:rPr>
        <w:t>Entre las regiones con una </w:t>
      </w:r>
      <w:r>
        <w:rPr>
          <w:i/>
          <w:sz w:val="24"/>
        </w:rPr>
        <w:t>mediana densidad de población </w:t>
      </w:r>
      <w:r>
        <w:rPr>
          <w:sz w:val="24"/>
        </w:rPr>
        <w:t>se tienen aquéllas que cuentan con una densidad de población que fluctúa entre los 999 y los 500 habitantes por km2. En este lugar se situaron cuatro regiones: I Amecameca, IV Cuautitlán Izcalli, VII Lerma y XII</w:t>
      </w:r>
      <w:r>
        <w:rPr>
          <w:spacing w:val="-23"/>
          <w:sz w:val="24"/>
        </w:rPr>
        <w:t> </w:t>
      </w:r>
      <w:r>
        <w:rPr>
          <w:sz w:val="24"/>
        </w:rPr>
        <w:t>Toluca.</w:t>
      </w:r>
    </w:p>
    <w:p>
      <w:pPr>
        <w:pStyle w:val="ListParagraph"/>
        <w:numPr>
          <w:ilvl w:val="0"/>
          <w:numId w:val="9"/>
        </w:numPr>
        <w:tabs>
          <w:tab w:pos="842" w:val="left" w:leader="none"/>
        </w:tabs>
        <w:spacing w:line="360" w:lineRule="auto" w:before="0" w:after="0"/>
        <w:ind w:left="842" w:right="117" w:hanging="653"/>
        <w:jc w:val="both"/>
        <w:rPr>
          <w:sz w:val="24"/>
        </w:rPr>
      </w:pPr>
      <w:r>
        <w:rPr>
          <w:sz w:val="24"/>
        </w:rPr>
        <w:t>Entre las regiones con una </w:t>
      </w:r>
      <w:r>
        <w:rPr>
          <w:i/>
          <w:sz w:val="24"/>
        </w:rPr>
        <w:t>densidad de población baja </w:t>
      </w:r>
      <w:r>
        <w:rPr>
          <w:sz w:val="24"/>
        </w:rPr>
        <w:t>se encuentran aquéllas cuya densidad se ubica entre los 499 y los 100 habitantes por  km2. En este grupo se localizaron cinco regiones: II Atlacomulco, VI Ixtapan de la Sal, XI Texcoco, XV Valle de Bravo y XVI</w:t>
      </w:r>
      <w:r>
        <w:rPr>
          <w:spacing w:val="-25"/>
          <w:sz w:val="24"/>
        </w:rPr>
        <w:t> </w:t>
      </w:r>
      <w:r>
        <w:rPr>
          <w:sz w:val="24"/>
        </w:rPr>
        <w:t>Zumpango.</w:t>
      </w:r>
    </w:p>
    <w:p>
      <w:pPr>
        <w:pStyle w:val="ListParagraph"/>
        <w:numPr>
          <w:ilvl w:val="0"/>
          <w:numId w:val="9"/>
        </w:numPr>
        <w:tabs>
          <w:tab w:pos="842" w:val="left" w:leader="none"/>
        </w:tabs>
        <w:spacing w:line="360" w:lineRule="auto" w:before="0" w:after="0"/>
        <w:ind w:left="842" w:right="117" w:hanging="586"/>
        <w:jc w:val="both"/>
        <w:rPr>
          <w:sz w:val="24"/>
        </w:rPr>
      </w:pPr>
      <w:r>
        <w:rPr>
          <w:sz w:val="24"/>
        </w:rPr>
        <w:t>Las regiones con </w:t>
      </w:r>
      <w:r>
        <w:rPr>
          <w:i/>
          <w:sz w:val="24"/>
        </w:rPr>
        <w:t>muy baja densidad de población </w:t>
      </w:r>
      <w:r>
        <w:rPr>
          <w:sz w:val="24"/>
        </w:rPr>
        <w:t>son aquéllas que tienen una densidad de población menor a 100 habitantes por km2. En este caso sólo se situó la región X</w:t>
      </w:r>
      <w:r>
        <w:rPr>
          <w:spacing w:val="-6"/>
          <w:sz w:val="24"/>
        </w:rPr>
        <w:t> </w:t>
      </w:r>
      <w:r>
        <w:rPr>
          <w:sz w:val="24"/>
        </w:rPr>
        <w:t>Tejupilco.</w:t>
      </w:r>
    </w:p>
    <w:p>
      <w:pPr>
        <w:pStyle w:val="BodyText"/>
      </w:pPr>
    </w:p>
    <w:p>
      <w:pPr>
        <w:pStyle w:val="Heading2"/>
        <w:numPr>
          <w:ilvl w:val="0"/>
          <w:numId w:val="10"/>
        </w:numPr>
        <w:tabs>
          <w:tab w:pos="676" w:val="left" w:leader="none"/>
          <w:tab w:pos="677" w:val="left" w:leader="none"/>
        </w:tabs>
        <w:spacing w:line="240" w:lineRule="auto" w:before="142" w:after="0"/>
        <w:ind w:left="676" w:right="0" w:hanging="360"/>
        <w:jc w:val="left"/>
      </w:pPr>
      <w:r>
        <w:rPr/>
        <w:t>Organización</w:t>
      </w:r>
      <w:r>
        <w:rPr>
          <w:spacing w:val="-2"/>
        </w:rPr>
        <w:t> </w:t>
      </w:r>
      <w:r>
        <w:rPr/>
        <w:t>político-territorial</w:t>
      </w:r>
    </w:p>
    <w:p>
      <w:pPr>
        <w:pStyle w:val="BodyText"/>
        <w:rPr>
          <w:b/>
        </w:rPr>
      </w:pPr>
    </w:p>
    <w:p>
      <w:pPr>
        <w:pStyle w:val="BodyText"/>
        <w:rPr>
          <w:b/>
        </w:rPr>
      </w:pPr>
    </w:p>
    <w:p>
      <w:pPr>
        <w:pStyle w:val="BodyText"/>
        <w:spacing w:line="345" w:lineRule="auto"/>
        <w:ind w:left="122" w:right="119"/>
        <w:jc w:val="both"/>
      </w:pPr>
      <w:r>
        <w:rPr/>
        <w:t>De acuerdo con Lizcano en cuanto a su “organización y distribución territorial se distinguen dos formas básicas de Estado: unitario</w:t>
      </w:r>
      <w:r>
        <w:rPr>
          <w:position w:val="11"/>
          <w:sz w:val="16"/>
        </w:rPr>
        <w:t>16 </w:t>
      </w:r>
      <w:r>
        <w:rPr/>
        <w:t>y federal, si bien existen  formas  mixtas,  como  las  llamadas  Estado  regional  o  autonómico”  (2003:</w:t>
      </w:r>
      <w:r>
        <w:rPr>
          <w:spacing w:val="47"/>
        </w:rPr>
        <w:t> </w:t>
      </w:r>
      <w:r>
        <w:rPr/>
        <w:t>45).</w:t>
      </w:r>
    </w:p>
    <w:p>
      <w:pPr>
        <w:pStyle w:val="BodyText"/>
        <w:rPr>
          <w:sz w:val="20"/>
        </w:rPr>
      </w:pPr>
    </w:p>
    <w:p>
      <w:pPr>
        <w:pStyle w:val="BodyText"/>
        <w:spacing w:before="3"/>
        <w:rPr>
          <w:sz w:val="15"/>
        </w:rPr>
      </w:pPr>
      <w:r>
        <w:rPr/>
        <w:pict>
          <v:line style="position:absolute;mso-position-horizontal-relative:page;mso-position-vertical-relative:paragraph;z-index:1288;mso-wrap-distance-left:0;mso-wrap-distance-right:0" from="85.103996pt,11.13524pt" to="229.123996pt,11.13524pt" stroked="true" strokeweight=".72003pt" strokecolor="#000000">
            <w10:wrap type="topAndBottom"/>
          </v:line>
        </w:pict>
      </w:r>
    </w:p>
    <w:p>
      <w:pPr>
        <w:spacing w:line="247" w:lineRule="exact" w:before="36"/>
        <w:ind w:left="122" w:right="178" w:firstLine="0"/>
        <w:jc w:val="left"/>
        <w:rPr>
          <w:sz w:val="20"/>
        </w:rPr>
      </w:pPr>
      <w:r>
        <w:rPr>
          <w:position w:val="10"/>
          <w:sz w:val="13"/>
        </w:rPr>
        <w:t>15 </w:t>
      </w:r>
      <w:r>
        <w:rPr>
          <w:sz w:val="20"/>
        </w:rPr>
        <w:t>Datos actualizados a 2005.</w:t>
      </w:r>
    </w:p>
    <w:p>
      <w:pPr>
        <w:spacing w:line="247" w:lineRule="exact" w:before="0"/>
        <w:ind w:left="122" w:right="178" w:firstLine="0"/>
        <w:jc w:val="left"/>
        <w:rPr>
          <w:sz w:val="20"/>
        </w:rPr>
      </w:pPr>
      <w:r>
        <w:rPr>
          <w:position w:val="10"/>
          <w:sz w:val="13"/>
        </w:rPr>
        <w:t>16 </w:t>
      </w:r>
      <w:r>
        <w:rPr>
          <w:sz w:val="20"/>
        </w:rPr>
        <w:t>El Estado unitario suele llamarse centralista.</w:t>
      </w:r>
    </w:p>
    <w:p>
      <w:pPr>
        <w:spacing w:after="0" w:line="247" w:lineRule="exact"/>
        <w:jc w:val="left"/>
        <w:rPr>
          <w:sz w:val="20"/>
        </w:rPr>
        <w:sectPr>
          <w:pgSz w:w="12240" w:h="15840"/>
          <w:pgMar w:header="749" w:footer="1003" w:top="960" w:bottom="1200" w:left="1580" w:right="1580"/>
        </w:sectPr>
      </w:pPr>
    </w:p>
    <w:p>
      <w:pPr>
        <w:pStyle w:val="BodyText"/>
        <w:rPr>
          <w:sz w:val="20"/>
        </w:rPr>
      </w:pPr>
    </w:p>
    <w:p>
      <w:pPr>
        <w:pStyle w:val="BodyText"/>
        <w:spacing w:line="360" w:lineRule="auto" w:before="214"/>
        <w:ind w:left="162" w:right="179"/>
        <w:jc w:val="both"/>
      </w:pPr>
      <w:r>
        <w:rPr/>
        <w:t>México a lo largo de su historia tuvo periodos como estado unitario o centralista y otros como estado federal, sin embargo, desde 1867 ha tenido ininterrumpidamente un sistema de gobierno federal.</w:t>
      </w:r>
    </w:p>
    <w:p>
      <w:pPr>
        <w:pStyle w:val="BodyText"/>
        <w:spacing w:line="360" w:lineRule="auto" w:before="5"/>
        <w:ind w:left="162" w:right="177" w:firstLine="707"/>
        <w:jc w:val="both"/>
      </w:pPr>
      <w:r>
        <w:rPr/>
        <w:t>Debido a su sistema federal México cuenta con instituciones nacionales y locales, así en el ámbito electoral existe el IFE que es el órgano encargado de organizar las elecciones a nivel federal y a nivel local se creó al IEEM  que organiza los procesos electorales en el Estado de México.</w:t>
      </w:r>
    </w:p>
    <w:p>
      <w:pPr>
        <w:pStyle w:val="BodyText"/>
        <w:spacing w:line="360" w:lineRule="auto" w:before="2"/>
        <w:ind w:left="162" w:right="176" w:firstLine="707"/>
        <w:jc w:val="both"/>
      </w:pPr>
      <w:r>
        <w:rPr/>
        <w:t>El término federal proviene de la palabra latina </w:t>
      </w:r>
      <w:r>
        <w:rPr>
          <w:i/>
        </w:rPr>
        <w:t>foedus-eris</w:t>
      </w:r>
      <w:r>
        <w:rPr/>
        <w:t>, que significa pacto o alianza. Un Estado federal está compuesto por estados particulares, cuyos poderes regionales gozan de autonomía e incluso soberanía en algunos aspectos de la política interna. Por contra, comparten instituciones comunes con el resto de la federación y carecen de potestad en ámbitos como defensa o relaciones internacionales (Lozano, 2012). Como ejemplos de estados federales tenemos a Suiza, México y Brasil. Lo referente al Estado centralista se estudió en el apartado correspondiente al contexto de las elecciones en Costa Rica por estar más vinculado con este país.</w:t>
      </w:r>
    </w:p>
    <w:p>
      <w:pPr>
        <w:pStyle w:val="BodyText"/>
        <w:spacing w:line="362" w:lineRule="auto" w:before="2"/>
        <w:ind w:left="162" w:right="182" w:firstLine="707"/>
        <w:jc w:val="both"/>
      </w:pPr>
      <w:r>
        <w:rPr/>
        <w:t>La siguiente es una línea del tiempo que muestra como México ha oscilado entre el centralismo y el federalismo a través de su historia y sus constituciones:</w:t>
      </w:r>
    </w:p>
    <w:p>
      <w:pPr>
        <w:pStyle w:val="BodyText"/>
      </w:pPr>
    </w:p>
    <w:p>
      <w:pPr>
        <w:pStyle w:val="BodyText"/>
        <w:spacing w:before="141"/>
        <w:ind w:left="162"/>
        <w:jc w:val="both"/>
      </w:pPr>
      <w:r>
        <w:rPr/>
        <w:t>Inicio</w:t>
      </w:r>
    </w:p>
    <w:p>
      <w:pPr>
        <w:pStyle w:val="BodyText"/>
        <w:spacing w:before="3"/>
        <w:rPr>
          <w:sz w:val="10"/>
        </w:rPr>
      </w:pPr>
      <w:r>
        <w:rPr/>
        <w:pict>
          <v:line style="position:absolute;mso-position-horizontal-relative:page;mso-position-vertical-relative:paragraph;z-index:1312;mso-wrap-distance-left:0;mso-wrap-distance-right:0" from="83.664001pt,8.617022pt" to="528.574001pt,8.617022pt" stroked="true" strokeweight="1.44pt" strokecolor="#000000">
            <w10:wrap type="topAndBottom"/>
          </v:line>
        </w:pict>
      </w:r>
    </w:p>
    <w:p>
      <w:pPr>
        <w:pStyle w:val="BodyText"/>
        <w:tabs>
          <w:tab w:pos="2485" w:val="left" w:leader="none"/>
          <w:tab w:pos="5339" w:val="left" w:leader="none"/>
          <w:tab w:pos="7458" w:val="left" w:leader="none"/>
        </w:tabs>
        <w:spacing w:after="95"/>
        <w:ind w:left="162"/>
        <w:jc w:val="both"/>
      </w:pPr>
      <w:r>
        <w:rPr/>
        <w:t>↓1821</w:t>
        <w:tab/>
        <w:t>↓1824</w:t>
        <w:tab/>
        <w:t>↓1835</w:t>
        <w:tab/>
        <w:t>↓1846</w:t>
      </w:r>
    </w:p>
    <w:p>
      <w:pPr>
        <w:spacing w:line="240" w:lineRule="auto"/>
        <w:ind w:left="5367" w:right="0" w:firstLine="0"/>
        <w:rPr>
          <w:sz w:val="20"/>
        </w:rPr>
      </w:pPr>
      <w:r>
        <w:rPr>
          <w:rFonts w:ascii="Times New Roman"/>
          <w:spacing w:val="-49"/>
          <w:sz w:val="20"/>
        </w:rPr>
        <w:t> </w:t>
      </w:r>
      <w:r>
        <w:rPr>
          <w:spacing w:val="-49"/>
          <w:sz w:val="20"/>
        </w:rPr>
        <w:pict>
          <v:shape style="width:96pt;height:71.25pt;mso-position-horizontal-relative:char;mso-position-vertical-relative:line" type="#_x0000_t202" filled="false" stroked="true" strokeweight=".75pt" strokecolor="#000000">
            <w10:anchorlock/>
            <v:textbox inset="0,0,0,0">
              <w:txbxContent>
                <w:p>
                  <w:pPr>
                    <w:tabs>
                      <w:tab w:pos="514" w:val="left" w:leader="none"/>
                      <w:tab w:pos="828" w:val="left" w:leader="none"/>
                      <w:tab w:pos="1231" w:val="left" w:leader="none"/>
                      <w:tab w:pos="1684" w:val="left" w:leader="none"/>
                    </w:tabs>
                    <w:spacing w:before="70"/>
                    <w:ind w:left="144" w:right="138" w:firstLine="0"/>
                    <w:jc w:val="left"/>
                    <w:rPr>
                      <w:sz w:val="16"/>
                    </w:rPr>
                  </w:pPr>
                  <w:r>
                    <w:rPr>
                      <w:sz w:val="16"/>
                    </w:rPr>
                    <w:t>El</w:t>
                    <w:tab/>
                    <w:t>3</w:t>
                    <w:tab/>
                    <w:t>de</w:t>
                    <w:tab/>
                    <w:t>octubre mediante un decreto se instauró el sistema centralista, constitucional</w:t>
                    <w:tab/>
                    <w:tab/>
                    <w:t>y moderado (CDHCU L LV, 1991:</w:t>
                  </w:r>
                  <w:r>
                    <w:rPr>
                      <w:spacing w:val="-7"/>
                      <w:sz w:val="16"/>
                    </w:rPr>
                    <w:t> </w:t>
                  </w:r>
                  <w:r>
                    <w:rPr>
                      <w:sz w:val="16"/>
                    </w:rPr>
                    <w:t>97-128).</w:t>
                  </w:r>
                </w:p>
              </w:txbxContent>
            </v:textbox>
          </v:shape>
        </w:pict>
      </w:r>
      <w:r>
        <w:rPr>
          <w:spacing w:val="-49"/>
          <w:sz w:val="20"/>
        </w:rPr>
      </w:r>
      <w:r>
        <w:rPr>
          <w:rFonts w:ascii="Times New Roman"/>
          <w:spacing w:val="125"/>
          <w:sz w:val="20"/>
        </w:rPr>
        <w:t> </w:t>
      </w:r>
      <w:r>
        <w:rPr>
          <w:spacing w:val="125"/>
          <w:position w:val="14"/>
          <w:sz w:val="20"/>
        </w:rPr>
        <w:pict>
          <v:shape style="width:78.75pt;height:64.5pt;mso-position-horizontal-relative:char;mso-position-vertical-relative:line" type="#_x0000_t202" filled="false" stroked="true" strokeweight=".75pt" strokecolor="#000000">
            <w10:anchorlock/>
            <v:textbox inset="0,0,0,0">
              <w:txbxContent>
                <w:p>
                  <w:pPr>
                    <w:spacing w:line="183" w:lineRule="exact" w:before="70"/>
                    <w:ind w:left="143" w:right="0" w:firstLine="0"/>
                    <w:jc w:val="both"/>
                    <w:rPr>
                      <w:sz w:val="16"/>
                    </w:rPr>
                  </w:pPr>
                  <w:r>
                    <w:rPr>
                      <w:sz w:val="16"/>
                    </w:rPr>
                    <w:t>El      federalismo</w:t>
                  </w:r>
                </w:p>
                <w:p>
                  <w:pPr>
                    <w:spacing w:before="0"/>
                    <w:ind w:left="143" w:right="140" w:firstLine="0"/>
                    <w:jc w:val="both"/>
                    <w:rPr>
                      <w:sz w:val="16"/>
                    </w:rPr>
                  </w:pPr>
                  <w:r>
                    <w:rPr>
                      <w:sz w:val="16"/>
                    </w:rPr>
                    <w:t>fue restaurado mediante decreto el 22 de agosto (CDHCU L LV, 1991: 129-152).</w:t>
                  </w:r>
                </w:p>
              </w:txbxContent>
            </v:textbox>
          </v:shape>
        </w:pict>
      </w:r>
      <w:r>
        <w:rPr>
          <w:spacing w:val="125"/>
          <w:position w:val="14"/>
          <w:sz w:val="20"/>
        </w:rPr>
      </w:r>
    </w:p>
    <w:p>
      <w:pPr>
        <w:pStyle w:val="BodyText"/>
        <w:spacing w:before="6"/>
        <w:rPr>
          <w:sz w:val="13"/>
        </w:rPr>
      </w:pPr>
    </w:p>
    <w:p>
      <w:pPr>
        <w:pStyle w:val="BodyText"/>
        <w:spacing w:before="69"/>
        <w:ind w:right="211"/>
        <w:jc w:val="right"/>
      </w:pPr>
      <w:r>
        <w:rPr/>
        <w:pict>
          <v:shape style="position:absolute;margin-left:88.5pt;margin-top:-81.144142pt;width:105pt;height:90.75pt;mso-position-horizontal-relative:page;mso-position-vertical-relative:paragraph;z-index:1576" type="#_x0000_t202" filled="false" stroked="true" strokeweight=".75pt" strokecolor="#000000">
            <v:textbox inset="0,0,0,0">
              <w:txbxContent>
                <w:p>
                  <w:pPr>
                    <w:tabs>
                      <w:tab w:pos="1862" w:val="left" w:leader="none"/>
                    </w:tabs>
                    <w:spacing w:before="70"/>
                    <w:ind w:left="142" w:right="139" w:firstLine="0"/>
                    <w:jc w:val="both"/>
                    <w:rPr>
                      <w:sz w:val="16"/>
                    </w:rPr>
                  </w:pPr>
                  <w:r>
                    <w:rPr>
                      <w:sz w:val="16"/>
                    </w:rPr>
                    <w:t>El 27 de septiembre se acordó la independencia de México en los Tratados de Córdoba y se reconoció como un imperio monárquico, constitucional</w:t>
                    <w:tab/>
                    <w:t>y moderado (Iturbide y O´Donojú,</w:t>
                  </w:r>
                  <w:r>
                    <w:rPr>
                      <w:spacing w:val="-5"/>
                      <w:sz w:val="16"/>
                    </w:rPr>
                    <w:t> </w:t>
                  </w:r>
                  <w:r>
                    <w:rPr>
                      <w:sz w:val="16"/>
                    </w:rPr>
                    <w:t>1821).</w:t>
                  </w:r>
                </w:p>
              </w:txbxContent>
            </v:textbox>
            <w10:wrap type="none"/>
          </v:shape>
        </w:pict>
      </w:r>
      <w:r>
        <w:rPr/>
        <w:pict>
          <v:shape style="position:absolute;margin-left:201.75pt;margin-top:-81.144142pt;width:128.25pt;height:90.75pt;mso-position-horizontal-relative:page;mso-position-vertical-relative:paragraph;z-index:1600" type="#_x0000_t202" filled="false" stroked="true" strokeweight=".75pt" strokecolor="#000000">
            <v:textbox inset="0,0,0,0">
              <w:txbxContent>
                <w:p>
                  <w:pPr>
                    <w:spacing w:before="70"/>
                    <w:ind w:left="144" w:right="137" w:firstLine="0"/>
                    <w:jc w:val="both"/>
                    <w:rPr>
                      <w:sz w:val="16"/>
                    </w:rPr>
                  </w:pPr>
                  <w:r>
                    <w:rPr>
                      <w:sz w:val="16"/>
                    </w:rPr>
                    <w:t>El 31 de enero se expidió el decreto por el cual se creó el </w:t>
                  </w:r>
                  <w:hyperlink r:id="rId19">
                    <w:r>
                      <w:rPr>
                        <w:sz w:val="16"/>
                      </w:rPr>
                      <w:t>Acta Constitutiva de la</w:t>
                    </w:r>
                  </w:hyperlink>
                  <w:r>
                    <w:rPr>
                      <w:sz w:val="16"/>
                    </w:rPr>
                    <w:t> </w:t>
                  </w:r>
                  <w:hyperlink r:id="rId19">
                    <w:r>
                      <w:rPr>
                        <w:sz w:val="16"/>
                      </w:rPr>
                      <w:t>Federación</w:t>
                    </w:r>
                  </w:hyperlink>
                  <w:r>
                    <w:rPr>
                      <w:sz w:val="16"/>
                    </w:rPr>
                    <w:t> (CDHCU, 1991: 69- 73); y el </w:t>
                  </w:r>
                  <w:hyperlink r:id="rId20">
                    <w:r>
                      <w:rPr>
                        <w:sz w:val="16"/>
                      </w:rPr>
                      <w:t>4 de octubre</w:t>
                    </w:r>
                  </w:hyperlink>
                  <w:r>
                    <w:rPr>
                      <w:sz w:val="16"/>
                    </w:rPr>
                    <w:t> se promulgó la </w:t>
                  </w:r>
                  <w:hyperlink r:id="rId21">
                    <w:r>
                      <w:rPr>
                        <w:sz w:val="16"/>
                      </w:rPr>
                      <w:t>Constitución</w:t>
                    </w:r>
                  </w:hyperlink>
                  <w:r>
                    <w:rPr>
                      <w:sz w:val="16"/>
                    </w:rPr>
                    <w:t> </w:t>
                  </w:r>
                  <w:hyperlink r:id="rId21">
                    <w:r>
                      <w:rPr>
                        <w:sz w:val="16"/>
                      </w:rPr>
                      <w:t>Federal</w:t>
                    </w:r>
                  </w:hyperlink>
                  <w:r>
                    <w:rPr>
                      <w:sz w:val="16"/>
                    </w:rPr>
                    <w:t> naciendo así los </w:t>
                  </w:r>
                  <w:hyperlink r:id="rId22">
                    <w:r>
                      <w:rPr>
                        <w:sz w:val="16"/>
                      </w:rPr>
                      <w:t>Estados Unidos Mexicanos</w:t>
                    </w:r>
                  </w:hyperlink>
                  <w:r>
                    <w:rPr>
                      <w:sz w:val="16"/>
                    </w:rPr>
                    <w:t> (CDHCU L LV, 1991: 77-96).</w:t>
                  </w:r>
                </w:p>
              </w:txbxContent>
            </v:textbox>
            <w10:wrap type="none"/>
          </v:shape>
        </w:pict>
      </w:r>
      <w:r>
        <w:rPr/>
        <w:t>Fin</w:t>
      </w:r>
    </w:p>
    <w:p>
      <w:pPr>
        <w:pStyle w:val="BodyText"/>
        <w:spacing w:before="6"/>
        <w:rPr>
          <w:sz w:val="10"/>
        </w:rPr>
      </w:pPr>
      <w:r>
        <w:rPr/>
        <w:pict>
          <v:line style="position:absolute;mso-position-horizontal-relative:page;mso-position-vertical-relative:paragraph;z-index:1384;mso-wrap-distance-left:0;mso-wrap-distance-right:0" from="83.664001pt,8.767031pt" to="528.574001pt,8.767031pt" stroked="true" strokeweight="1.44pt" strokecolor="#000000">
            <w10:wrap type="topAndBottom"/>
          </v:line>
        </w:pict>
      </w:r>
    </w:p>
    <w:p>
      <w:pPr>
        <w:pStyle w:val="BodyText"/>
        <w:tabs>
          <w:tab w:pos="2353" w:val="left" w:leader="none"/>
          <w:tab w:pos="4540" w:val="left" w:leader="none"/>
          <w:tab w:pos="6858" w:val="left" w:leader="none"/>
        </w:tabs>
        <w:spacing w:after="35"/>
        <w:ind w:left="162"/>
      </w:pPr>
      <w:r>
        <w:rPr/>
        <w:t>↓1857</w:t>
        <w:tab/>
        <w:t>↓1864</w:t>
        <w:tab/>
        <w:t>↓</w:t>
      </w:r>
      <w:r>
        <w:rPr>
          <w:spacing w:val="-3"/>
        </w:rPr>
        <w:t> </w:t>
      </w:r>
      <w:r>
        <w:rPr/>
        <w:t>1867</w:t>
        <w:tab/>
        <w:t>↓1917-2012</w:t>
      </w:r>
    </w:p>
    <w:p>
      <w:pPr>
        <w:tabs>
          <w:tab w:pos="2473" w:val="left" w:leader="none"/>
          <w:tab w:pos="4586" w:val="left" w:leader="none"/>
          <w:tab w:pos="6853" w:val="left" w:leader="none"/>
        </w:tabs>
        <w:spacing w:line="240" w:lineRule="auto"/>
        <w:ind w:left="297" w:right="0" w:firstLine="0"/>
        <w:rPr>
          <w:sz w:val="20"/>
        </w:rPr>
      </w:pPr>
      <w:r>
        <w:rPr>
          <w:rFonts w:ascii="Times New Roman"/>
          <w:spacing w:val="-49"/>
          <w:sz w:val="20"/>
        </w:rPr>
        <w:t> </w:t>
      </w:r>
      <w:r>
        <w:rPr>
          <w:spacing w:val="-49"/>
          <w:position w:val="38"/>
          <w:sz w:val="20"/>
        </w:rPr>
        <w:pict>
          <v:shape style="width:96pt;height:44.25pt;mso-position-horizontal-relative:char;mso-position-vertical-relative:line" type="#_x0000_t202" filled="false" stroked="true" strokeweight=".75pt" strokecolor="#000000">
            <w10:anchorlock/>
            <v:textbox inset="0,0,0,0">
              <w:txbxContent>
                <w:p>
                  <w:pPr>
                    <w:spacing w:before="70"/>
                    <w:ind w:left="144" w:right="138" w:firstLine="0"/>
                    <w:jc w:val="both"/>
                    <w:rPr>
                      <w:sz w:val="16"/>
                    </w:rPr>
                  </w:pPr>
                  <w:r>
                    <w:rPr>
                      <w:sz w:val="16"/>
                    </w:rPr>
                    <w:t>El 5 de febrero se promulgó una nueva Constitución (CDHCU L LV, 1991: 161-224).</w:t>
                  </w:r>
                </w:p>
              </w:txbxContent>
            </v:textbox>
          </v:shape>
        </w:pict>
      </w:r>
      <w:r>
        <w:rPr>
          <w:spacing w:val="-49"/>
          <w:position w:val="38"/>
          <w:sz w:val="20"/>
        </w:rPr>
      </w:r>
      <w:r>
        <w:rPr>
          <w:spacing w:val="-49"/>
          <w:position w:val="38"/>
          <w:sz w:val="20"/>
        </w:rPr>
        <w:tab/>
      </w:r>
      <w:r>
        <w:rPr>
          <w:spacing w:val="-49"/>
          <w:position w:val="17"/>
          <w:sz w:val="20"/>
        </w:rPr>
        <w:pict>
          <v:shape style="width:87pt;height:54.75pt;mso-position-horizontal-relative:char;mso-position-vertical-relative:line" type="#_x0000_t202" filled="false" stroked="true" strokeweight=".75pt" strokecolor="#000000">
            <w10:anchorlock/>
            <v:textbox inset="0,0,0,0">
              <w:txbxContent>
                <w:p>
                  <w:pPr>
                    <w:tabs>
                      <w:tab w:pos="852" w:val="left" w:leader="none"/>
                    </w:tabs>
                    <w:spacing w:line="240" w:lineRule="auto" w:before="70"/>
                    <w:ind w:left="144" w:right="138" w:firstLine="0"/>
                    <w:jc w:val="both"/>
                    <w:rPr>
                      <w:sz w:val="16"/>
                    </w:rPr>
                  </w:pPr>
                  <w:r>
                    <w:rPr>
                      <w:sz w:val="16"/>
                    </w:rPr>
                    <w:t>Se restableció el sistema monárquico y</w:t>
                    <w:tab/>
                    <w:t>centralista (CDHCU L LV, 1991:</w:t>
                  </w:r>
                  <w:r>
                    <w:rPr>
                      <w:spacing w:val="-7"/>
                      <w:sz w:val="16"/>
                    </w:rPr>
                    <w:t> </w:t>
                  </w:r>
                  <w:r>
                    <w:rPr>
                      <w:sz w:val="16"/>
                    </w:rPr>
                    <w:t>225-240).</w:t>
                  </w:r>
                </w:p>
              </w:txbxContent>
            </v:textbox>
          </v:shape>
        </w:pict>
      </w:r>
      <w:r>
        <w:rPr>
          <w:spacing w:val="-49"/>
          <w:position w:val="17"/>
          <w:sz w:val="20"/>
        </w:rPr>
      </w:r>
      <w:r>
        <w:rPr>
          <w:spacing w:val="-49"/>
          <w:position w:val="17"/>
          <w:sz w:val="20"/>
        </w:rPr>
        <w:tab/>
      </w:r>
      <w:r>
        <w:rPr>
          <w:spacing w:val="-49"/>
          <w:position w:val="16"/>
          <w:sz w:val="20"/>
        </w:rPr>
        <w:pict>
          <v:group style="width:96.75pt;height:55.5pt;mso-position-horizontal-relative:char;mso-position-vertical-relative:line" coordorigin="0,0" coordsize="1935,1110">
            <v:rect style="position:absolute;left:8;top:7;width:1920;height:1095" filled="false" stroked="true" strokeweight=".75pt" strokecolor="#000000"/>
            <v:shape style="position:absolute;left:160;top:106;width:144;height:161" type="#_x0000_t202" filled="false" stroked="false">
              <v:textbox inset="0,0,0,0">
                <w:txbxContent>
                  <w:p>
                    <w:pPr>
                      <w:spacing w:line="161" w:lineRule="exact" w:before="0"/>
                      <w:ind w:left="0" w:right="-19" w:firstLine="0"/>
                      <w:jc w:val="left"/>
                      <w:rPr>
                        <w:sz w:val="16"/>
                      </w:rPr>
                    </w:pPr>
                    <w:r>
                      <w:rPr>
                        <w:sz w:val="16"/>
                      </w:rPr>
                      <w:t>El</w:t>
                    </w:r>
                  </w:p>
                </w:txbxContent>
              </v:textbox>
              <w10:wrap type="none"/>
            </v:shape>
            <v:shape style="position:absolute;left:953;top:106;width:828;height:161" type="#_x0000_t202" filled="false" stroked="false">
              <v:textbox inset="0,0,0,0">
                <w:txbxContent>
                  <w:p>
                    <w:pPr>
                      <w:spacing w:line="161" w:lineRule="exact" w:before="0"/>
                      <w:ind w:left="0" w:right="-20" w:firstLine="0"/>
                      <w:jc w:val="left"/>
                      <w:rPr>
                        <w:sz w:val="16"/>
                      </w:rPr>
                    </w:pPr>
                    <w:r>
                      <w:rPr>
                        <w:sz w:val="16"/>
                      </w:rPr>
                      <w:t>federalismo</w:t>
                    </w:r>
                  </w:p>
                </w:txbxContent>
              </v:textbox>
              <w10:wrap type="none"/>
            </v:shape>
            <v:shape style="position:absolute;left:160;top:288;width:1621;height:713" type="#_x0000_t202" filled="false" stroked="false">
              <v:textbox inset="0,0,0,0">
                <w:txbxContent>
                  <w:p>
                    <w:pPr>
                      <w:tabs>
                        <w:tab w:pos="1449" w:val="left" w:leader="none"/>
                      </w:tabs>
                      <w:spacing w:line="164" w:lineRule="exact" w:before="0"/>
                      <w:ind w:left="0" w:right="0" w:firstLine="0"/>
                      <w:jc w:val="both"/>
                      <w:rPr>
                        <w:sz w:val="16"/>
                      </w:rPr>
                    </w:pPr>
                    <w:r>
                      <w:rPr>
                        <w:sz w:val="16"/>
                      </w:rPr>
                      <w:t>republicano</w:t>
                      <w:tab/>
                      <w:t>se</w:t>
                    </w:r>
                  </w:p>
                  <w:p>
                    <w:pPr>
                      <w:spacing w:before="1"/>
                      <w:ind w:left="0" w:right="0" w:firstLine="0"/>
                      <w:jc w:val="both"/>
                      <w:rPr>
                        <w:sz w:val="16"/>
                      </w:rPr>
                    </w:pPr>
                    <w:r>
                      <w:rPr>
                        <w:sz w:val="16"/>
                      </w:rPr>
                      <w:t>restauró nuevamente (CDHCU L LV, 1991: 225-240).</w:t>
                    </w:r>
                  </w:p>
                </w:txbxContent>
              </v:textbox>
              <w10:wrap type="none"/>
            </v:shape>
          </v:group>
        </w:pict>
      </w:r>
      <w:r>
        <w:rPr>
          <w:spacing w:val="-49"/>
          <w:position w:val="16"/>
          <w:sz w:val="20"/>
        </w:rPr>
      </w:r>
      <w:r>
        <w:rPr>
          <w:spacing w:val="-49"/>
          <w:position w:val="16"/>
          <w:sz w:val="20"/>
        </w:rPr>
        <w:tab/>
      </w:r>
      <w:r>
        <w:rPr>
          <w:spacing w:val="-49"/>
          <w:sz w:val="20"/>
        </w:rPr>
        <w:pict>
          <v:shape style="width:108pt;height:62.85pt;mso-position-horizontal-relative:char;mso-position-vertical-relative:line" type="#_x0000_t202" filled="false" stroked="true" strokeweight=".75pt" strokecolor="#000000">
            <w10:anchorlock/>
            <v:textbox inset="0,0,0,0">
              <w:txbxContent>
                <w:p>
                  <w:pPr>
                    <w:spacing w:before="70"/>
                    <w:ind w:left="145" w:right="137" w:firstLine="0"/>
                    <w:jc w:val="both"/>
                    <w:rPr>
                      <w:sz w:val="16"/>
                    </w:rPr>
                  </w:pPr>
                  <w:r>
                    <w:rPr>
                      <w:sz w:val="16"/>
                    </w:rPr>
                    <w:t>La </w:t>
                  </w:r>
                  <w:hyperlink r:id="rId23">
                    <w:r>
                      <w:rPr>
                        <w:sz w:val="16"/>
                      </w:rPr>
                      <w:t>Constitución de 1917</w:t>
                    </w:r>
                  </w:hyperlink>
                  <w:r>
                    <w:rPr>
                      <w:sz w:val="16"/>
                    </w:rPr>
                    <w:t> confirmó el sistema federal de gobierno que rige hasta nuestros días (CDHCU L LV, 1991: 241-272).</w:t>
                  </w:r>
                </w:p>
              </w:txbxContent>
            </v:textbox>
          </v:shape>
        </w:pict>
      </w:r>
      <w:r>
        <w:rPr>
          <w:spacing w:val="-49"/>
          <w:sz w:val="20"/>
        </w:rPr>
      </w:r>
    </w:p>
    <w:p>
      <w:pPr>
        <w:spacing w:after="0" w:line="240" w:lineRule="auto"/>
        <w:rPr>
          <w:sz w:val="20"/>
        </w:rPr>
        <w:sectPr>
          <w:pgSz w:w="12240" w:h="15840"/>
          <w:pgMar w:header="749" w:footer="1003" w:top="960" w:bottom="1200" w:left="1540" w:right="1520"/>
        </w:sectPr>
      </w:pPr>
    </w:p>
    <w:p>
      <w:pPr>
        <w:pStyle w:val="BodyText"/>
        <w:rPr>
          <w:sz w:val="20"/>
        </w:rPr>
      </w:pPr>
    </w:p>
    <w:p>
      <w:pPr>
        <w:pStyle w:val="BodyText"/>
        <w:spacing w:line="360" w:lineRule="auto" w:before="214"/>
        <w:ind w:left="102" w:right="120" w:firstLine="707"/>
        <w:jc w:val="both"/>
      </w:pPr>
      <w:r>
        <w:rPr/>
        <w:t>De lo anterior se observa que en 1835 y 1864 México instauró el sistema de estado centralista, sin embargo, desde 1867 México se instituyó como un estado federal hasta nuestros días.</w:t>
      </w:r>
    </w:p>
    <w:p>
      <w:pPr>
        <w:pStyle w:val="BodyText"/>
        <w:spacing w:line="360" w:lineRule="auto" w:before="5"/>
        <w:ind w:left="102" w:right="114" w:firstLine="707"/>
        <w:jc w:val="both"/>
      </w:pPr>
      <w:r>
        <w:rPr/>
        <w:t>Por otro lado, la República Mexicana está integrada por 32 entidades (31 estados y un D.F.) cada uno de ellos cuenta con un poder ejecutivo (gobernadores en los estados y jefe de gobierno en el D.F.) un poder legislativo (Cámaras de Diputados locales y Asamblea Legislativa del Distrito Federal) y uno judicial (Poder Judicial de cada uno de los estados) los cuales tienen jurisdicción sólo en el territorio estatal; entendiéndose en este caso jurisdicción como el ámbito territorial de aplicación de la ley. En el ámbito nacional también se cuenta con tres poderes: Ejecutivo (Presidente de la República), Legislativo (Cámaras de Senadores y Diputados Federales) y Judicial (Suprema Corte de la Justicia de la Nación).</w:t>
      </w:r>
    </w:p>
    <w:p>
      <w:pPr>
        <w:pStyle w:val="BodyText"/>
        <w:spacing w:line="360" w:lineRule="auto" w:before="2"/>
        <w:ind w:left="102" w:right="115" w:firstLine="707"/>
        <w:jc w:val="both"/>
      </w:pPr>
      <w:r>
        <w:rPr/>
        <w:t>Por lo que respecta al ámbito municipal éste cuenta con un poder ejecutivo, sin embargo, no existen poderes legislativo y judicial como tales. Lo más cercano en el municipio al poder legislativo es el cabildo, el cual es un órgano que trabaja de forma colegiada y se considera el máximo órgano de dirección en el ayuntamiento, éste tiene facultad reglamentaria, “por facultad reglamentaria se entiende la posibilidad que tienen los ayuntamientos de traducir las leyes federales y estatales en medidas administrativas adecuadas al municipio” (INAFED, 2012: 27). Debido a esta facultad los municipios crean bandos y reglamentos de observancia municipal.</w:t>
      </w:r>
    </w:p>
    <w:p>
      <w:pPr>
        <w:pStyle w:val="BodyText"/>
        <w:spacing w:line="360" w:lineRule="auto" w:before="5"/>
        <w:ind w:left="102" w:right="116" w:firstLine="707"/>
        <w:jc w:val="both"/>
      </w:pPr>
      <w:r>
        <w:rPr/>
        <w:t>La comandancia en el ayuntamiento hace la función judicial, ésta se encarga de hacer cumplir el bando de policía y buen gobierno, y de brindar servicios de seguridad pública consistentes en: a) policía preventiva municipal y b) tránsito; lo cual le permite imponer infracciones y sanciones por faltas al bando municipal.</w:t>
      </w:r>
    </w:p>
    <w:p>
      <w:pPr>
        <w:pStyle w:val="BodyText"/>
        <w:spacing w:line="360" w:lineRule="auto" w:before="3"/>
        <w:ind w:left="102" w:right="118" w:firstLine="707"/>
        <w:jc w:val="both"/>
      </w:pPr>
      <w:r>
        <w:rPr/>
        <w:t>Cada entidad federativa crea sus constituciones y leyes las cuales están subordinadas a la Constitución y leyes federales (que rigen para toda la República), así mismo los municipios pueden legislar bandos y reglamentos en al ámbito de su jurisdicción.</w:t>
      </w:r>
    </w:p>
    <w:p>
      <w:pPr>
        <w:spacing w:after="0" w:line="360" w:lineRule="auto"/>
        <w:jc w:val="both"/>
        <w:sectPr>
          <w:pgSz w:w="12240" w:h="15840"/>
          <w:pgMar w:header="749" w:footer="1003" w:top="960" w:bottom="1200" w:left="1600" w:right="1580"/>
        </w:sectPr>
      </w:pPr>
    </w:p>
    <w:p>
      <w:pPr>
        <w:pStyle w:val="BodyText"/>
        <w:rPr>
          <w:sz w:val="20"/>
        </w:rPr>
      </w:pPr>
    </w:p>
    <w:p>
      <w:pPr>
        <w:pStyle w:val="BodyText"/>
        <w:spacing w:line="360" w:lineRule="auto" w:before="214"/>
        <w:ind w:left="102" w:right="116" w:firstLine="707"/>
        <w:jc w:val="both"/>
      </w:pPr>
      <w:r>
        <w:rPr/>
        <w:t>De acuerdo con su carácter federal la República Mexicana cuenta con instituciones federales y locales en diversos ámbitos, como el administrativo o el judicial, el político por supuesto no es la excepción. Así existen instituciones encargadas de organizar las elecciones en sus respectivas jurisdicciones: a nivel federal el Instituto Federal Electoral (IFE) es el encargado de organizar las elecciones de Presidente de la República, Senadores y Diputados Federales en todo el territorio nacional. A nivel local existen 32 institutos encargados de organizar las elecciones locales en cada uno de los estados de la República Mexicana y el Distrito Federal, en el Estado de México el Instituto Electoral del Estado de México (IEEM) es el encargado de realizar las elecciones de Presidente Municipal, Diputados Locales y Gobernador del Estado en todo el territorio estatal.</w:t>
      </w:r>
    </w:p>
    <w:p>
      <w:pPr>
        <w:pStyle w:val="BodyText"/>
        <w:spacing w:line="360" w:lineRule="auto" w:before="5"/>
        <w:ind w:left="102" w:right="117" w:firstLine="707"/>
        <w:jc w:val="both"/>
      </w:pPr>
      <w:r>
        <w:rPr/>
        <w:t>En materia judicial electoral la República Mexicana cuenta con el Tribunal Electoral del Poder Judicial de la Federación (TEPJF) y a nivel estatal cada una de las entidades federativas cuenta con un tribunal electoral con jurisdicción en su ámbito territorial; en el Estado de México se creó el Tribunal Electoral del Estado de México (TEEM); encargado de resolver los conflictos suscitados en las elecciones municipales.</w:t>
      </w:r>
    </w:p>
    <w:p>
      <w:pPr>
        <w:pStyle w:val="BodyText"/>
        <w:spacing w:line="360" w:lineRule="auto" w:before="5"/>
        <w:ind w:left="102" w:right="118" w:firstLine="707"/>
        <w:jc w:val="both"/>
      </w:pPr>
      <w:r>
        <w:rPr/>
        <w:t>Existen instituciones que colaboran en la atención a los delitos electorales como son: a nivel federal la Fiscalía Especializada para la Atención de Delitos Electorales (FEPADE): “organismo especializado de la Procuraduría General de la República responsable de atender en forma institucional, especializada y profesional, lo relativo a los delitos electorales federales, contenidos en el Título Vigesimocuarto del Código Penal” (PGR, 2012) y a nivel estatal la Procuraduría General de Justicia del Estado de México (PGJEM) creó la Fiscalía Especializada para la Atención de Delitos contra el Proceso Electoral.</w:t>
      </w:r>
    </w:p>
    <w:p>
      <w:pPr>
        <w:pStyle w:val="BodyText"/>
        <w:spacing w:line="360" w:lineRule="auto" w:before="5"/>
        <w:ind w:left="102" w:right="117" w:firstLine="707"/>
        <w:jc w:val="both"/>
      </w:pPr>
      <w:r>
        <w:rPr/>
        <w:t>Dichas instituciones trabajan en su ámbito jurisdiccional y cuentan con normatividad que las regula y les indica su esfera de competencia. En materia de normatividad electoral, a nivel federal, se creó el Código Federal de Instituciones y Procedimientos Electorales (COFIPE) y a nivel local cada estado cuenta con su código electoral. En el Estado de México dicho código recibe el nombre de Código</w:t>
      </w:r>
    </w:p>
    <w:p>
      <w:pPr>
        <w:spacing w:after="0" w:line="360" w:lineRule="auto"/>
        <w:jc w:val="both"/>
        <w:sectPr>
          <w:pgSz w:w="12240" w:h="15840"/>
          <w:pgMar w:header="749" w:footer="1003" w:top="960" w:bottom="1200" w:left="1600" w:right="1580"/>
        </w:sectPr>
      </w:pPr>
    </w:p>
    <w:p>
      <w:pPr>
        <w:pStyle w:val="BodyText"/>
        <w:rPr>
          <w:sz w:val="20"/>
        </w:rPr>
      </w:pPr>
    </w:p>
    <w:p>
      <w:pPr>
        <w:pStyle w:val="BodyText"/>
        <w:spacing w:line="362" w:lineRule="auto" w:before="214"/>
        <w:ind w:left="102" w:right="116"/>
        <w:jc w:val="both"/>
      </w:pPr>
      <w:r>
        <w:rPr/>
        <w:t>Electoral del Estado de México (CEEM), el cual tiene jurisdicción sólo en dicha entidad.</w:t>
      </w:r>
    </w:p>
    <w:p>
      <w:pPr>
        <w:pStyle w:val="BodyText"/>
        <w:spacing w:line="360" w:lineRule="auto"/>
        <w:ind w:left="102" w:right="114" w:firstLine="707"/>
        <w:jc w:val="both"/>
      </w:pPr>
      <w:r>
        <w:rPr/>
        <w:t>Por lo que respecta a los delitos electorales éstos están regulados en los ámbitos federal y local por los siguientes ordenamientos: a nivel nacional  el Código Penal Federal en su Título Vigesimocuarto señala los delitos electorales y en materia de Registro Nacional de Ciudadanos (del artículo 401 al 413) y a nivel local el Código Penal del Estado de México en su Título Quinto regula el delito contra el proceso electoral (del artículo 316 al 327).</w:t>
      </w:r>
    </w:p>
    <w:p>
      <w:pPr>
        <w:pStyle w:val="BodyText"/>
        <w:spacing w:line="360" w:lineRule="auto" w:before="2"/>
        <w:ind w:left="102" w:right="115" w:firstLine="707"/>
        <w:jc w:val="both"/>
      </w:pPr>
      <w:r>
        <w:rPr/>
        <w:t>En síntesis, el carácter federal del estado mexicano está presente tanto en sus instituciones como en su normatividad, por lo que en materia electoral existen órganos federales y locales encargados de organizar las elecciones (IFE, IEEM), así como con tribunales (TEPJF y TEEM) que tienen facultades para hacer cumplir la justicia electoral a través de normas (como el COFIPE, el CEEM y los códigos penales federal y locales). Dichas instituciones son auxiliadas por fiscalías especializadas en atender los delitos electorales como la FEPADE y las fiscalías especializadas establecidas por las procuradurías de los estados.</w:t>
      </w:r>
    </w:p>
    <w:p>
      <w:pPr>
        <w:pStyle w:val="BodyText"/>
      </w:pPr>
    </w:p>
    <w:p>
      <w:pPr>
        <w:pStyle w:val="Heading2"/>
        <w:numPr>
          <w:ilvl w:val="0"/>
          <w:numId w:val="10"/>
        </w:numPr>
        <w:tabs>
          <w:tab w:pos="656" w:val="left" w:leader="none"/>
          <w:tab w:pos="657" w:val="left" w:leader="none"/>
        </w:tabs>
        <w:spacing w:line="240" w:lineRule="auto" w:before="142" w:after="0"/>
        <w:ind w:left="656" w:right="0" w:hanging="360"/>
        <w:jc w:val="left"/>
      </w:pPr>
      <w:r>
        <w:rPr/>
        <w:t>Régimen</w:t>
      </w:r>
      <w:r>
        <w:rPr>
          <w:spacing w:val="-1"/>
        </w:rPr>
        <w:t> </w:t>
      </w:r>
      <w:r>
        <w:rPr/>
        <w:t>político</w:t>
      </w:r>
    </w:p>
    <w:p>
      <w:pPr>
        <w:pStyle w:val="BodyText"/>
        <w:rPr>
          <w:b/>
        </w:rPr>
      </w:pPr>
    </w:p>
    <w:p>
      <w:pPr>
        <w:pStyle w:val="BodyText"/>
        <w:rPr>
          <w:b/>
        </w:rPr>
      </w:pPr>
    </w:p>
    <w:p>
      <w:pPr>
        <w:pStyle w:val="BodyText"/>
        <w:spacing w:line="360" w:lineRule="auto"/>
        <w:ind w:left="102" w:right="115"/>
        <w:jc w:val="both"/>
      </w:pPr>
      <w:r>
        <w:rPr/>
        <w:t>México tuvo un régimen político de partido casi hegemónico ininterrumpidamente durante siete décadas, pues aun cuando hubo otros partidos el PRI era el único con posibilidades reales de obtener el poder. Dicha situación cambió al perder el PRI la mayoría absoluta de la cámara de diputados, en 1997, así como la presidencia de la República en 2000, dando lugar a un régimen democrático. Lo anterior se estudió a través de dos elementos: a) alternancia en el poder (acceso al poder ejecutivo por parte de los partidos de oposición) y b) control de la legislatura (independencia de la legislatura). De acuerdo con el análisis anterior México se ubicó como un país con una alternancia baja (2.0) toda vez que sólo un partido, además del PRI, ha ganado la Presidencia de la República (el PAN); y la obtuvo de forma reciente. En cuanto al control de la legislatura la Cámara de Diputados</w:t>
      </w:r>
      <w:r>
        <w:rPr>
          <w:spacing w:val="24"/>
        </w:rPr>
        <w:t> </w:t>
      </w:r>
      <w:r>
        <w:rPr/>
        <w:t>logró</w:t>
      </w:r>
      <w:r>
        <w:rPr>
          <w:spacing w:val="24"/>
        </w:rPr>
        <w:t> </w:t>
      </w:r>
      <w:r>
        <w:rPr/>
        <w:t>una</w:t>
      </w:r>
      <w:r>
        <w:rPr>
          <w:spacing w:val="22"/>
        </w:rPr>
        <w:t> </w:t>
      </w:r>
      <w:r>
        <w:rPr/>
        <w:t>evaluación</w:t>
      </w:r>
      <w:r>
        <w:rPr>
          <w:spacing w:val="24"/>
        </w:rPr>
        <w:t> </w:t>
      </w:r>
      <w:r>
        <w:rPr/>
        <w:t>alta</w:t>
      </w:r>
      <w:r>
        <w:rPr>
          <w:spacing w:val="24"/>
        </w:rPr>
        <w:t> </w:t>
      </w:r>
      <w:r>
        <w:rPr/>
        <w:t>(3.0)</w:t>
      </w:r>
      <w:r>
        <w:rPr>
          <w:spacing w:val="22"/>
        </w:rPr>
        <w:t> </w:t>
      </w:r>
      <w:r>
        <w:rPr/>
        <w:t>pues</w:t>
      </w:r>
      <w:r>
        <w:rPr>
          <w:spacing w:val="23"/>
        </w:rPr>
        <w:t> </w:t>
      </w:r>
      <w:r>
        <w:rPr/>
        <w:t>ningún</w:t>
      </w:r>
      <w:r>
        <w:rPr>
          <w:spacing w:val="22"/>
        </w:rPr>
        <w:t> </w:t>
      </w:r>
      <w:r>
        <w:rPr/>
        <w:t>partido</w:t>
      </w:r>
      <w:r>
        <w:rPr>
          <w:spacing w:val="22"/>
        </w:rPr>
        <w:t> </w:t>
      </w:r>
      <w:r>
        <w:rPr/>
        <w:t>obtuvo</w:t>
      </w:r>
      <w:r>
        <w:rPr>
          <w:spacing w:val="24"/>
        </w:rPr>
        <w:t> </w:t>
      </w:r>
      <w:r>
        <w:rPr/>
        <w:t>en</w:t>
      </w:r>
      <w:r>
        <w:rPr>
          <w:spacing w:val="24"/>
        </w:rPr>
        <w:t> </w:t>
      </w:r>
      <w:r>
        <w:rPr/>
        <w:t>2006</w:t>
      </w:r>
      <w:r>
        <w:rPr>
          <w:spacing w:val="22"/>
        </w:rPr>
        <w:t> </w:t>
      </w:r>
      <w:r>
        <w:rPr/>
        <w:t>la</w:t>
      </w:r>
    </w:p>
    <w:p>
      <w:pPr>
        <w:spacing w:after="0" w:line="360" w:lineRule="auto"/>
        <w:jc w:val="both"/>
        <w:sectPr>
          <w:pgSz w:w="12240" w:h="15840"/>
          <w:pgMar w:header="749" w:footer="1003" w:top="960" w:bottom="1200" w:left="1600" w:right="1580"/>
        </w:sectPr>
      </w:pPr>
    </w:p>
    <w:p>
      <w:pPr>
        <w:pStyle w:val="BodyText"/>
        <w:rPr>
          <w:sz w:val="20"/>
        </w:rPr>
      </w:pPr>
    </w:p>
    <w:p>
      <w:pPr>
        <w:pStyle w:val="BodyText"/>
        <w:spacing w:line="360" w:lineRule="auto" w:before="214"/>
        <w:ind w:left="122" w:right="125"/>
        <w:jc w:val="both"/>
      </w:pPr>
      <w:r>
        <w:rPr/>
        <w:t>mayoría absoluta de los curules. Por lo que respecta a la alternancia en el poder ejecutivo municipal, el Estado de México se ubicó como alto (3.0) pues ningún partido obtuvo la mayoría absoluta de las presidencias municipales.</w:t>
      </w:r>
    </w:p>
    <w:p>
      <w:pPr>
        <w:pStyle w:val="BodyText"/>
        <w:spacing w:line="360" w:lineRule="auto" w:before="5"/>
        <w:ind w:left="122" w:right="116" w:firstLine="707"/>
        <w:jc w:val="both"/>
      </w:pPr>
      <w:r>
        <w:rPr/>
        <w:t>Todo régimen que se precie de ser democrático necesariamente cuenta con alternancia en el poder, por ello es fundamental que existan varios partidos políticos compitiendo por la Presidencia de la República; así en las elecciones de 2006 se registraron ante el IFE ocho partidos políticos, tres de ellos contendieron solos: Partido Acción Nacional (PAN) con su candidato Felipe de Jesús  </w:t>
      </w:r>
      <w:r>
        <w:rPr>
          <w:spacing w:val="54"/>
        </w:rPr>
        <w:t> </w:t>
      </w:r>
      <w:r>
        <w:rPr/>
        <w:t>Calderón</w:t>
      </w:r>
    </w:p>
    <w:p>
      <w:pPr>
        <w:pStyle w:val="BodyText"/>
        <w:spacing w:line="279" w:lineRule="exact"/>
        <w:ind w:left="122"/>
        <w:jc w:val="both"/>
      </w:pPr>
      <w:r>
        <w:rPr/>
        <w:t>Hinojosa; Partido Nueva Alianza (PNA)</w:t>
      </w:r>
      <w:r>
        <w:rPr>
          <w:position w:val="11"/>
          <w:sz w:val="16"/>
        </w:rPr>
        <w:t>17</w:t>
      </w:r>
      <w:r>
        <w:rPr/>
        <w:t>, con Roberto Campa Cifrián y el   Partido</w:t>
      </w:r>
    </w:p>
    <w:p>
      <w:pPr>
        <w:pStyle w:val="BodyText"/>
        <w:spacing w:line="360" w:lineRule="auto" w:before="140"/>
        <w:ind w:left="122" w:right="116"/>
        <w:jc w:val="both"/>
      </w:pPr>
      <w:r>
        <w:rPr/>
        <w:t>Alternativa Socialdemócrata y Campesina (PASC), registró a Patricia Mercado Castro; los cinco partidos restantes formaron dos coaliciones: “Alianza por México” integrada por el Partido Revolucionario Institucional (PRI) y el Partido Verde Ecologista de México (PVEM) que registró como candidato a Roberto Madrazo Pintado, así como la “Coalición Por el Bien de Todos (CPBT)” conformada por tres partidos: el Partido de la Revolución Democrática (PRD), el Partido del Trabajo (PT) y Convergencia (C) quienes registraron a Andrés Manuel López Obrador como candidato.</w:t>
      </w:r>
    </w:p>
    <w:p>
      <w:pPr>
        <w:pStyle w:val="BodyText"/>
        <w:spacing w:line="360" w:lineRule="auto" w:before="5"/>
        <w:ind w:left="122" w:right="118" w:firstLine="707"/>
        <w:jc w:val="both"/>
      </w:pPr>
      <w:r>
        <w:rPr/>
        <w:t>Desde finales del siglo XX, tres han sido los principales partidos políticos tanto en México como en el Estado de México: Partido Acción Nacional (PAN), Partido Revolucionario Institucional (PRI) y Partido de la Revolución Democrática (PRD), como se demuestra en la composición de los correspondientes poderes legislativos (tanto federales como locales) y en la alternancia en el Ejecutivo nacional como en el municipal.</w:t>
      </w:r>
    </w:p>
    <w:p>
      <w:pPr>
        <w:pStyle w:val="BodyText"/>
        <w:spacing w:line="360" w:lineRule="auto" w:before="5"/>
        <w:ind w:left="122" w:right="117" w:firstLine="707"/>
        <w:jc w:val="both"/>
      </w:pPr>
      <w:r>
        <w:rPr/>
        <w:t>Estos partidos tienen características comunes: su remota fundación (el PRI tiene sus antecedentes desde 1929, el PAN se fundó en 1939 y el PRD en 1989), el significativo número de curules y gubernaturas obtenidos, así como el  porcentaje de presidencias municipales ganadas y los resultados que han  obtenido en las contiendas a elecciones</w:t>
      </w:r>
      <w:r>
        <w:rPr>
          <w:spacing w:val="-15"/>
        </w:rPr>
        <w:t> </w:t>
      </w:r>
      <w:r>
        <w:rPr/>
        <w:t>presidenciales.</w:t>
      </w:r>
    </w:p>
    <w:p>
      <w:pPr>
        <w:pStyle w:val="BodyText"/>
        <w:spacing w:before="8"/>
        <w:rPr>
          <w:sz w:val="29"/>
        </w:rPr>
      </w:pPr>
      <w:r>
        <w:rPr/>
        <w:pict>
          <v:line style="position:absolute;mso-position-horizontal-relative:page;mso-position-vertical-relative:paragraph;z-index:1624;mso-wrap-distance-left:0;mso-wrap-distance-right:0" from="85.103996pt,19.433887pt" to="229.123996pt,19.433887pt" stroked="true" strokeweight=".72003pt" strokecolor="#000000">
            <w10:wrap type="topAndBottom"/>
          </v:line>
        </w:pict>
      </w:r>
    </w:p>
    <w:p>
      <w:pPr>
        <w:spacing w:before="36"/>
        <w:ind w:left="122" w:right="120" w:firstLine="0"/>
        <w:jc w:val="both"/>
        <w:rPr>
          <w:sz w:val="20"/>
        </w:rPr>
      </w:pPr>
      <w:r>
        <w:rPr>
          <w:position w:val="10"/>
          <w:sz w:val="13"/>
        </w:rPr>
        <w:t>17 </w:t>
      </w:r>
      <w:r>
        <w:rPr>
          <w:sz w:val="20"/>
        </w:rPr>
        <w:t>En ocasiones la prensa y los medios de comunicación hacen referencia al Partido Nueva Alianza por el acrónimo “Panal” y no por sus siglas; sin embargo, a lo largo de la presente investigación se hace alusión a él por sus siglas pues así se registró ante el IFE. Excepcionalmente se le denomina “Panal” cuando así lo señala explícitamente el material hemerográfico.</w:t>
      </w:r>
    </w:p>
    <w:p>
      <w:pPr>
        <w:spacing w:after="0"/>
        <w:jc w:val="both"/>
        <w:rPr>
          <w:sz w:val="20"/>
        </w:rPr>
        <w:sectPr>
          <w:footerReference w:type="default" r:id="rId24"/>
          <w:pgSz w:w="12240" w:h="15840"/>
          <w:pgMar w:footer="1003" w:header="749" w:top="960" w:bottom="1200" w:left="1580" w:right="1580"/>
        </w:sectPr>
      </w:pPr>
    </w:p>
    <w:p>
      <w:pPr>
        <w:pStyle w:val="BodyText"/>
        <w:rPr>
          <w:sz w:val="20"/>
        </w:rPr>
      </w:pPr>
    </w:p>
    <w:p>
      <w:pPr>
        <w:pStyle w:val="BodyText"/>
        <w:rPr>
          <w:sz w:val="20"/>
        </w:rPr>
      </w:pPr>
    </w:p>
    <w:p>
      <w:pPr>
        <w:pStyle w:val="BodyText"/>
        <w:spacing w:before="8"/>
        <w:rPr>
          <w:sz w:val="28"/>
        </w:rPr>
      </w:pPr>
    </w:p>
    <w:p>
      <w:pPr>
        <w:pStyle w:val="ListParagraph"/>
        <w:numPr>
          <w:ilvl w:val="1"/>
          <w:numId w:val="10"/>
        </w:numPr>
        <w:tabs>
          <w:tab w:pos="1170" w:val="left" w:leader="none"/>
        </w:tabs>
        <w:spacing w:line="240" w:lineRule="auto" w:before="70" w:after="0"/>
        <w:ind w:left="1170" w:right="0" w:hanging="360"/>
        <w:jc w:val="left"/>
        <w:rPr>
          <w:sz w:val="24"/>
        </w:rPr>
      </w:pPr>
      <w:r>
        <w:rPr>
          <w:sz w:val="24"/>
        </w:rPr>
        <w:t>Alternancia en el poder ejecutivo</w:t>
      </w:r>
      <w:r>
        <w:rPr>
          <w:spacing w:val="-15"/>
          <w:sz w:val="24"/>
        </w:rPr>
        <w:t> </w:t>
      </w:r>
      <w:r>
        <w:rPr>
          <w:sz w:val="24"/>
        </w:rPr>
        <w:t>nacional</w:t>
      </w:r>
    </w:p>
    <w:p>
      <w:pPr>
        <w:pStyle w:val="BodyText"/>
      </w:pPr>
    </w:p>
    <w:p>
      <w:pPr>
        <w:pStyle w:val="BodyText"/>
      </w:pPr>
    </w:p>
    <w:p>
      <w:pPr>
        <w:pStyle w:val="BodyText"/>
        <w:spacing w:line="360" w:lineRule="auto"/>
        <w:ind w:left="102" w:right="117"/>
        <w:jc w:val="both"/>
      </w:pPr>
      <w:r>
        <w:rPr/>
        <w:t>El mayor o menor acceso al poder ejecutivo por parte de los partidos de oposición es un elemento fundamental para determinar el grado de democracia que existe  en un régimen. En México el acceso al poder ejecutivo nacional tuvo un cambio de régimen al pasar de uno de partido casi hegemónico a otro democrático, dicho cambio tuvo como punto de quiebre la elección presidencial de 2000 (en ella se consumó la alternancia en el poder), al pasar de la permanencia ininterrumpida del PRI durante 70 años como cabeza del poder ejecutivo a la alternancia en el poder, al obtener el PAN por primera vez la Presidencia de la República, la cual volvió a conseguir en</w:t>
      </w:r>
      <w:r>
        <w:rPr>
          <w:spacing w:val="-7"/>
        </w:rPr>
        <w:t> </w:t>
      </w:r>
      <w:r>
        <w:rPr/>
        <w:t>2006.</w:t>
      </w:r>
    </w:p>
    <w:p>
      <w:pPr>
        <w:pStyle w:val="BodyText"/>
        <w:spacing w:line="360" w:lineRule="auto" w:before="2"/>
        <w:ind w:left="102" w:right="116" w:firstLine="707"/>
        <w:jc w:val="both"/>
      </w:pPr>
      <w:r>
        <w:rPr/>
        <w:t>En México el acceso al poder ejecutivo presenta dos periodos: uno de hegemonía priista que va del 4 de marzo de1929 (con la creación del Partido Nacional Revolucionario, antecesor del PRI) al 30 de noviembre de 2000 (fecha en que termina el último sexenio del partido hegemónico); y otro democrático que va del 1º de diciembre de 2000 (fecha en que asume la presidencia el PAN) a la fecha, en el cual se ha dado acceso al poder ejecutivo federal de nuevo al PRI, pero bajo condiciones distintas a las que tuvo en décadas pasadas. El primer periodo se caracteriza por la hegemonía en el poder que ejerció el Partido Revolucionario Institucional (PRI) y sus partidos antecesores, lo cual se manifestó en el nulo acceso al poder ejecutivo federal que tenían los partidos opositores. El segundo, se caracteriza por la alternancia en el poder ejecutivo federal que se dio en 2000, dando así acceso al poder a un partido opositor al PRI así como el regreso posterior del mismo.</w:t>
      </w:r>
    </w:p>
    <w:p>
      <w:pPr>
        <w:pStyle w:val="BodyText"/>
        <w:spacing w:line="360" w:lineRule="auto" w:before="5"/>
        <w:ind w:left="102" w:right="117" w:firstLine="707"/>
        <w:jc w:val="both"/>
      </w:pPr>
      <w:r>
        <w:rPr/>
        <w:t>El Partido Nacional Revolucionario (PNR) se fundó el 4 de marzo de 1929 y en 1938 cambió de nombre a Partido de la Revolución Mexicana (PRM), ambos partidos son antecedentes del Partido Revolucionario Institucional (PRI) que nace como tal en 1946 (PRI, 2011). El PRI y sus partidos antecesores llevan más de 80 años participando activamente en la vida política de México y curiosamente de 1928 a 1994 se celebraron 14 elecciones presidenciales y en todas el PRI </w:t>
      </w:r>
      <w:r>
        <w:rPr>
          <w:spacing w:val="64"/>
        </w:rPr>
        <w:t> </w:t>
      </w:r>
      <w:r>
        <w:rPr/>
        <w:t>obtuvo</w:t>
      </w:r>
    </w:p>
    <w:p>
      <w:pPr>
        <w:spacing w:after="0" w:line="360" w:lineRule="auto"/>
        <w:jc w:val="both"/>
        <w:sectPr>
          <w:footerReference w:type="default" r:id="rId25"/>
          <w:pgSz w:w="12240" w:h="15840"/>
          <w:pgMar w:footer="1003" w:header="749" w:top="960" w:bottom="1200" w:left="1600" w:right="1580"/>
          <w:pgNumType w:start="51"/>
        </w:sectPr>
      </w:pPr>
    </w:p>
    <w:p>
      <w:pPr>
        <w:pStyle w:val="BodyText"/>
        <w:rPr>
          <w:sz w:val="20"/>
        </w:rPr>
      </w:pPr>
    </w:p>
    <w:p>
      <w:pPr>
        <w:pStyle w:val="BodyText"/>
        <w:spacing w:line="360" w:lineRule="auto" w:before="214"/>
        <w:ind w:left="102" w:right="117"/>
        <w:jc w:val="both"/>
      </w:pPr>
      <w:r>
        <w:rPr/>
        <w:t>la presidencia de la República. Esta permanencia ininterrumpida del PRI en la Presidencia de la República impedía el acceso al poder ejecutivo por parte de los partidos políticos opositores a él. La situación cambió en las elecciones de 2000 al conseguir el PAN la presidencia de la República con su candidato Vicente Fox Quezada.</w:t>
      </w:r>
    </w:p>
    <w:p>
      <w:pPr>
        <w:pStyle w:val="BodyText"/>
        <w:spacing w:line="360" w:lineRule="auto" w:before="5"/>
        <w:ind w:left="102" w:right="114" w:firstLine="707"/>
        <w:jc w:val="both"/>
      </w:pPr>
      <w:r>
        <w:rPr/>
        <w:t>La permanencia ininterrumpida en el poder ejecutivo por parte del PRI, observada en el primer periodo, pone de manifiesto un “régimen híbrido entre la democracia y la dictadura; en el cual se ponía límites al disenso, el acceso al  poder se hacía a través de elecciones fraudulentas e inequitativas, pero se toleraba en ocasiones, la competencia de otras organizaciones políticas; por último, la subordinación del Legislativo y el Judicial al Ejecutivo era muy notoria” (Lizcano, 2013b). El segundo período, de acuerdo con Lizcano, corresponde a un “régimen democrático (pese a sus muchas carencias y debilidades) ya que </w:t>
      </w:r>
      <w:r>
        <w:rPr>
          <w:spacing w:val="4"/>
        </w:rPr>
        <w:t>la </w:t>
      </w:r>
      <w:r>
        <w:rPr/>
        <w:t>democracia se caracteriza porque en ella existe libertad de prensa (expresión de  la pluralidad), alternancia en el gobierno (acceso al poder), una composición partidaria en el Congreso de la Unión y una interrelación de los poderes públicos. Este período tuvo una transición a la democracia que culminó en 1997-2000” (2013b).</w:t>
      </w:r>
    </w:p>
    <w:p>
      <w:pPr>
        <w:pStyle w:val="BodyText"/>
        <w:spacing w:line="360" w:lineRule="auto" w:before="2"/>
        <w:ind w:left="102" w:right="115" w:firstLine="707"/>
        <w:jc w:val="both"/>
      </w:pPr>
      <w:r>
        <w:rPr/>
        <w:t>En síntesis, desde las elecciones presidenciales de 2000 México tiene establecido un régimen democrático, el cual es de reciente creación si lo comparamos con otros países latinoamericanos que cuentan con una larga trayectoria democrática como son: Costa Rica (que para algunos teóricos es democrática desde 1889 y para otros desde 1949), Uruguay (que concretó su democracia en 1942, interrumpida de 1973 a1984) y Chile (democrático desde 1990).</w:t>
      </w:r>
    </w:p>
    <w:p>
      <w:pPr>
        <w:pStyle w:val="BodyText"/>
        <w:spacing w:line="360" w:lineRule="auto" w:before="5"/>
        <w:ind w:left="102" w:right="115" w:firstLine="707"/>
        <w:jc w:val="both"/>
      </w:pPr>
      <w:r>
        <w:rPr/>
        <w:t>Actualmente México tiene un régimen democrático pluripartidista, así lo demuestran los resultados electorales de las elecciones presidenciales de 2006, de acuerdo con el cómputo final realizado por el Tribunal Electoral del Poder Judicial de la Federación: la votación total fue de más de 41 millones de votos (41,557,430), de los cuales 14,916,927 votos fueron para el PAN (35.89%), 9,237,000  para  la  coalición  PRI-PVEM  (22.23%),  14,683,096  para  la</w:t>
      </w:r>
      <w:r>
        <w:rPr>
          <w:spacing w:val="10"/>
        </w:rPr>
        <w:t> </w:t>
      </w:r>
      <w:r>
        <w:rPr/>
        <w:t>coalición</w:t>
      </w:r>
    </w:p>
    <w:p>
      <w:pPr>
        <w:spacing w:after="0" w:line="360" w:lineRule="auto"/>
        <w:jc w:val="both"/>
        <w:sectPr>
          <w:pgSz w:w="12240" w:h="15840"/>
          <w:pgMar w:header="749" w:footer="1003" w:top="960" w:bottom="1200" w:left="1600" w:right="1580"/>
        </w:sectPr>
      </w:pPr>
    </w:p>
    <w:p>
      <w:pPr>
        <w:pStyle w:val="BodyText"/>
        <w:rPr>
          <w:sz w:val="20"/>
        </w:rPr>
      </w:pPr>
    </w:p>
    <w:p>
      <w:pPr>
        <w:pStyle w:val="BodyText"/>
        <w:spacing w:before="214"/>
        <w:ind w:left="102"/>
        <w:jc w:val="both"/>
      </w:pPr>
      <w:r>
        <w:rPr/>
        <w:t>PRD-PT-C (35.33%), 397,550 para NA (0.96%), 1,124,280 para   </w:t>
      </w:r>
      <w:r>
        <w:rPr>
          <w:spacing w:val="66"/>
        </w:rPr>
        <w:t> </w:t>
      </w:r>
      <w:r>
        <w:rPr/>
        <w:t>PASC  (2.71%),</w:t>
      </w:r>
    </w:p>
    <w:p>
      <w:pPr>
        <w:pStyle w:val="BodyText"/>
        <w:spacing w:line="360" w:lineRule="auto" w:before="139"/>
        <w:ind w:left="102" w:right="113"/>
        <w:jc w:val="both"/>
      </w:pPr>
      <w:r>
        <w:rPr/>
        <w:t>298,204 para candidatos no registrados (0.72%) y 900,373 nulos (2.17%). Así tenemos que el PAN, el PRI y el PRD (éstos dos últimos en coalición con otros partidos pequeños) son los partidos con más representatividad en el país. De los resultados se desprende que el PAN ganó la presidencia de la República con muy poco margen, al obtener menos de un punto porcentual de ventaja ante el PRD. El PRI se situó como la tercera fuerza partidaria en el país (IFE, 2012b).</w:t>
      </w:r>
    </w:p>
    <w:p>
      <w:pPr>
        <w:pStyle w:val="BodyText"/>
        <w:spacing w:line="360" w:lineRule="auto" w:before="5"/>
        <w:ind w:left="102" w:right="120" w:firstLine="707"/>
        <w:jc w:val="both"/>
      </w:pPr>
      <w:r>
        <w:rPr/>
        <w:t>En conclusión, México se ubicó como un país con una alternancia en el poder baja (2.0) pues sólo un partido, el PAN, además del PRI, han obtenido la Presidencia de la República; hecho que además se ha dado de forma reciente, pues durante siete décadas el PRI tuvo de forma ininterrumpida la Presidencia de la República.</w:t>
      </w:r>
    </w:p>
    <w:p>
      <w:pPr>
        <w:pStyle w:val="BodyText"/>
      </w:pPr>
    </w:p>
    <w:p>
      <w:pPr>
        <w:pStyle w:val="ListParagraph"/>
        <w:numPr>
          <w:ilvl w:val="1"/>
          <w:numId w:val="10"/>
        </w:numPr>
        <w:tabs>
          <w:tab w:pos="1170" w:val="left" w:leader="none"/>
        </w:tabs>
        <w:spacing w:line="240" w:lineRule="auto" w:before="142" w:after="0"/>
        <w:ind w:left="1170" w:right="0" w:hanging="360"/>
        <w:jc w:val="left"/>
        <w:rPr>
          <w:sz w:val="24"/>
        </w:rPr>
      </w:pPr>
      <w:r>
        <w:rPr>
          <w:sz w:val="24"/>
        </w:rPr>
        <w:t>Alternancia en el poder ejecutivo</w:t>
      </w:r>
      <w:r>
        <w:rPr>
          <w:spacing w:val="-15"/>
          <w:sz w:val="24"/>
        </w:rPr>
        <w:t> </w:t>
      </w:r>
      <w:r>
        <w:rPr>
          <w:sz w:val="24"/>
        </w:rPr>
        <w:t>estatal-municipal</w:t>
      </w:r>
    </w:p>
    <w:p>
      <w:pPr>
        <w:pStyle w:val="BodyText"/>
      </w:pPr>
    </w:p>
    <w:p>
      <w:pPr>
        <w:pStyle w:val="BodyText"/>
      </w:pPr>
    </w:p>
    <w:p>
      <w:pPr>
        <w:pStyle w:val="BodyText"/>
        <w:spacing w:line="360" w:lineRule="auto"/>
        <w:ind w:left="102" w:right="115"/>
        <w:jc w:val="both"/>
      </w:pPr>
      <w:r>
        <w:rPr/>
        <w:t>En el Estado de México no se ha dado alternancia en el poder ejecutivo (continúa gobernando el PRI), sin embargo, tiene un régimen democrático, pues la integración de la legislatura y el acceso al poder ejecutivo municipal así lo señalan. Las elecciones de Gobernador y de diputados locales no son objeto de estudio, pues Costa Rica no tiene gobernadores ni diputados en sus provincias, por lo que el análisis se realizará sólo tomando en consideración las elecciones municipales las cuales tienen equivalencia con las elecciones cantonales costarricenses. De acuerdo con lo anterior al respecto de las elecciones de gobernador y de diputados locales sólo se mencionaron algunas generalidades sin dar una evaluación al</w:t>
      </w:r>
      <w:r>
        <w:rPr>
          <w:spacing w:val="-7"/>
        </w:rPr>
        <w:t> </w:t>
      </w:r>
      <w:r>
        <w:rPr/>
        <w:t>respecto.</w:t>
      </w:r>
    </w:p>
    <w:p>
      <w:pPr>
        <w:pStyle w:val="BodyText"/>
        <w:spacing w:line="360" w:lineRule="auto" w:before="5"/>
        <w:ind w:left="102" w:right="116" w:firstLine="707"/>
        <w:jc w:val="both"/>
      </w:pPr>
      <w:r>
        <w:rPr/>
        <w:t>En el Estado de México para las elecciones de gobernador de 2006 se registraron siete partidos políticos: PAN, PRI, PRD, PT, PVEM, Convergencia y el Partido Unidos por México (PUM); en las elecciones de diputados por mayoría relativa dos partidos compitieron solos: PAN y Convergencia; cuatro formaron coaliciones: una de ellas “Alianza por México” integrada por el PRI y el PVEM, y “Por el Bien  de  Todos” integrada  por el PRD  y el  PT.  El PUM intentó    registrar</w:t>
      </w:r>
    </w:p>
    <w:p>
      <w:pPr>
        <w:spacing w:after="0" w:line="360" w:lineRule="auto"/>
        <w:jc w:val="both"/>
        <w:sectPr>
          <w:pgSz w:w="12240" w:h="15840"/>
          <w:pgMar w:header="749" w:footer="1003" w:top="960" w:bottom="1200" w:left="1600" w:right="1580"/>
        </w:sectPr>
      </w:pPr>
    </w:p>
    <w:p>
      <w:pPr>
        <w:pStyle w:val="BodyText"/>
        <w:rPr>
          <w:sz w:val="20"/>
        </w:rPr>
      </w:pPr>
    </w:p>
    <w:p>
      <w:pPr>
        <w:pStyle w:val="BodyText"/>
        <w:spacing w:line="360" w:lineRule="auto" w:before="214"/>
        <w:ind w:left="102" w:right="119"/>
        <w:jc w:val="both"/>
      </w:pPr>
      <w:r>
        <w:rPr/>
        <w:t>candidatos (en 44 de los 125 municipios), pero debido a que al realizar sus nombramientos no cumplió con lo señalado en sus estatutos se le negó su  solicitud y sin candidatos postulados a la elección perdió el registro como partido político.</w:t>
      </w:r>
    </w:p>
    <w:p>
      <w:pPr>
        <w:pStyle w:val="BodyText"/>
        <w:spacing w:line="360" w:lineRule="auto" w:before="2"/>
        <w:ind w:left="102" w:right="116" w:firstLine="707"/>
        <w:jc w:val="both"/>
      </w:pPr>
      <w:r>
        <w:rPr/>
        <w:t>Para las elecciones municipales en el Estado de México se registraron los mismos partidos que participaron en la elección de gobernador, pero se integraron coaliciones distintas, así tenemos que se formaron nueve coaliciones parciales (para 65 de los 125 municipios): PRD-PT (en 26 municipios), PRD-PT-C (en cinco municipios), PRD-C (en cuatro municipios), PT-C (en 23 municipios), PAN-PRD  (en un municipio), PAN-PRD-PT-C (en dos municipios), PAN-PT (en dos municipios), PAN-PRD-PT (en un municipio) y PAN-C (en un municipio); y una total: la conformada por la alianza PRI-PVEM que se estableció en 124 de los 125 municipios del Estado de México (el único municipio en el cual no hubo alianza fue Ocoyoacac). En los 60 municipios en los cuales no hubo coaliciones por parte del PRD, PT, PAN y Convergencia estos partidos compitieron por</w:t>
      </w:r>
      <w:r>
        <w:rPr>
          <w:spacing w:val="-21"/>
        </w:rPr>
        <w:t> </w:t>
      </w:r>
      <w:r>
        <w:rPr/>
        <w:t>separado.</w:t>
      </w:r>
    </w:p>
    <w:p>
      <w:pPr>
        <w:pStyle w:val="BodyText"/>
        <w:spacing w:line="360" w:lineRule="auto" w:before="5"/>
        <w:ind w:left="102" w:right="116" w:firstLine="707"/>
        <w:jc w:val="both"/>
      </w:pPr>
      <w:r>
        <w:rPr/>
        <w:t>En cuanto al acceso al poder ejecutivo en los municipios del Estado de México, se observan dos periodos en las elecciones municipales. El primero de mayoría absoluta priista, denominado de hegemonía priista, va de las elecciones de 1981-1984 a 2003-2006, en el cual el PRI contaba con más del 50% del total  de las presidencias municipales que integraban el Estado de</w:t>
      </w:r>
      <w:r>
        <w:rPr>
          <w:spacing w:val="-20"/>
        </w:rPr>
        <w:t> </w:t>
      </w:r>
      <w:r>
        <w:rPr/>
        <w:t>México.</w:t>
      </w:r>
    </w:p>
    <w:p>
      <w:pPr>
        <w:pStyle w:val="BodyText"/>
        <w:spacing w:line="360" w:lineRule="auto" w:before="2"/>
        <w:ind w:left="102" w:right="113" w:firstLine="707"/>
        <w:jc w:val="both"/>
      </w:pPr>
      <w:r>
        <w:rPr/>
        <w:t>De acuerdo con lo anterior, en las ocho elecciones municipales que se realizaron entre 1981 y 2003 el PRI siempre obtuvo la mayoría absoluta del total de las presidencias municipales en disputa; en 1981 y 1984 obtuvo el 99%, en 1987 el 98%, en 1990 el 96%, en 1993 el 90%, en 1996 el 60%, en 2000 el 57% y en 2003 el 55%, como se observa el número de ayuntamientos gobernados por el PRI fue descendiendo, entre una elección y otra (Jiménez, 2014). El segundo periodo, denominado democrático se caracterizó por la alternancia en el poder y va de las elecciones municipales de 2006-2009 a la fecha, en donde el PRI tuvo durante un trienio (2006-2009) menos del 50% del total de los 125 municipios que integran el Estado de</w:t>
      </w:r>
      <w:r>
        <w:rPr>
          <w:spacing w:val="-11"/>
        </w:rPr>
        <w:t> </w:t>
      </w:r>
      <w:r>
        <w:rPr/>
        <w:t>México.</w:t>
      </w:r>
    </w:p>
    <w:p>
      <w:pPr>
        <w:spacing w:after="0" w:line="360" w:lineRule="auto"/>
        <w:jc w:val="both"/>
        <w:sectPr>
          <w:pgSz w:w="12240" w:h="15840"/>
          <w:pgMar w:header="749" w:footer="1003" w:top="960" w:bottom="1200" w:left="1600" w:right="1580"/>
        </w:sectPr>
      </w:pPr>
    </w:p>
    <w:p>
      <w:pPr>
        <w:pStyle w:val="BodyText"/>
        <w:rPr>
          <w:sz w:val="20"/>
        </w:rPr>
      </w:pPr>
    </w:p>
    <w:p>
      <w:pPr>
        <w:pStyle w:val="BodyText"/>
        <w:spacing w:line="360" w:lineRule="auto" w:before="214"/>
        <w:ind w:left="102" w:right="118" w:firstLine="707"/>
        <w:jc w:val="both"/>
      </w:pPr>
      <w:r>
        <w:rPr/>
        <w:t>En las elecciones municipales de 2006 el PRI perdió la mayoría absoluta  del total de las presidencias municipales en disputa, al obtener únicamente el 44% del total de los ayuntamientos (es decir 55 de 125). En 2009 el PRI recobró la mayoría absoluta de las presidencias municipales en el Estado de México al obtener el 78% de las mismas, sin embargo, esta recuperación se da después de que el PRI había perdido la mayoría absoluta del total de las presidencias municipales, por ello no se considera un retroceso sino una confirmación del carácter democrático de las elecciones al poner de manifiesto que cualquier partido político (incluido el PRI) puede ganar las elecciones en los municipios que integran el Estado de México (Jiménez,</w:t>
      </w:r>
      <w:r>
        <w:rPr>
          <w:spacing w:val="-15"/>
        </w:rPr>
        <w:t> </w:t>
      </w:r>
      <w:r>
        <w:rPr/>
        <w:t>2014).</w:t>
      </w:r>
    </w:p>
    <w:p>
      <w:pPr>
        <w:pStyle w:val="BodyText"/>
        <w:spacing w:line="360" w:lineRule="auto" w:before="2"/>
        <w:ind w:left="102" w:right="116" w:firstLine="707"/>
        <w:jc w:val="both"/>
      </w:pPr>
      <w:r>
        <w:rPr/>
        <w:t>Lo acontecido en el ámbito municipal es un reflejo de lo ocurrido en otros estados y municipios, así el PRI hasta 1989 gobernó las 32 entidades federativas (Wikipedia, 2012), ahora gobierna sólo 20 estados (PRI, 2012), en 1981  gobernaba 120 de los 121 municipios del Estado de México (99%) (Jiménez, 2014), en los años siguientes el porcentaje de municipios representados por el PRI fueron descendiendo hasta 2006 donde sólo obtuvo 55 de los 125 municipios (44%), para 2009 hubo un ascenso considerable del 34%, pues el PRI obtuvo la presidencia de 97 de los 125 municipios</w:t>
      </w:r>
      <w:r>
        <w:rPr>
          <w:spacing w:val="-14"/>
        </w:rPr>
        <w:t> </w:t>
      </w:r>
      <w:r>
        <w:rPr/>
        <w:t>(78%).</w:t>
      </w:r>
    </w:p>
    <w:p>
      <w:pPr>
        <w:pStyle w:val="BodyText"/>
        <w:spacing w:line="360" w:lineRule="auto" w:before="2"/>
        <w:ind w:left="102" w:right="116" w:firstLine="707"/>
        <w:jc w:val="both"/>
      </w:pPr>
      <w:r>
        <w:rPr/>
        <w:t>Destaca que en las elecciones municipales de 2003 el PRI mantuvo una alianza con el Partido Verde Ecologista de México (PVEM), sin embargo, aun con dicha alianza perdió dos puntos porcentuales en relación con la elección anterior (la de 2000) pasando del 57% al 55%; en 2006 continuó con dicha alianza y siguió perdiendo puntos, esta vez perdió 11 puntos porcentuales, ya que pasó del 55% al 44%; para 2009 además del PVEM se aliaron con el PRI los partidos Nueva Alianza (PNA), Alternativa Socialdemócrata y Campesina (PASC) y Futuro Democrático (PFD) lo que le hizo ganar 34 puntos porcentuales, y pasó de 55 municipios ganados en 2006 a 97 en 2009 (Jiménez, 2014).</w:t>
      </w:r>
    </w:p>
    <w:p>
      <w:pPr>
        <w:pStyle w:val="BodyText"/>
        <w:spacing w:line="360" w:lineRule="auto" w:before="5"/>
        <w:ind w:left="102" w:right="117" w:firstLine="707"/>
        <w:jc w:val="both"/>
      </w:pPr>
      <w:r>
        <w:rPr/>
        <w:t>Como se observa el PRI cambió sus estrategias para obtener el poder ejecutivo, recurriendo a alianzas con partidos minoritarios para fortalecer su  acceso</w:t>
      </w:r>
      <w:r>
        <w:rPr>
          <w:spacing w:val="30"/>
        </w:rPr>
        <w:t> </w:t>
      </w:r>
      <w:r>
        <w:rPr/>
        <w:t>al</w:t>
      </w:r>
      <w:r>
        <w:rPr>
          <w:spacing w:val="26"/>
        </w:rPr>
        <w:t> </w:t>
      </w:r>
      <w:r>
        <w:rPr/>
        <w:t>poder</w:t>
      </w:r>
      <w:r>
        <w:rPr>
          <w:spacing w:val="28"/>
        </w:rPr>
        <w:t> </w:t>
      </w:r>
      <w:r>
        <w:rPr/>
        <w:t>en</w:t>
      </w:r>
      <w:r>
        <w:rPr>
          <w:spacing w:val="30"/>
        </w:rPr>
        <w:t> </w:t>
      </w:r>
      <w:r>
        <w:rPr/>
        <w:t>el</w:t>
      </w:r>
      <w:r>
        <w:rPr>
          <w:spacing w:val="26"/>
        </w:rPr>
        <w:t> </w:t>
      </w:r>
      <w:r>
        <w:rPr/>
        <w:t>ámbito</w:t>
      </w:r>
      <w:r>
        <w:rPr>
          <w:spacing w:val="30"/>
        </w:rPr>
        <w:t> </w:t>
      </w:r>
      <w:r>
        <w:rPr/>
        <w:t>estatal</w:t>
      </w:r>
      <w:r>
        <w:rPr>
          <w:spacing w:val="29"/>
        </w:rPr>
        <w:t> </w:t>
      </w:r>
      <w:r>
        <w:rPr/>
        <w:t>y</w:t>
      </w:r>
      <w:r>
        <w:rPr>
          <w:spacing w:val="27"/>
        </w:rPr>
        <w:t> </w:t>
      </w:r>
      <w:r>
        <w:rPr/>
        <w:t>municipal;</w:t>
      </w:r>
      <w:r>
        <w:rPr>
          <w:spacing w:val="29"/>
        </w:rPr>
        <w:t> </w:t>
      </w:r>
      <w:r>
        <w:rPr/>
        <w:t>en</w:t>
      </w:r>
      <w:r>
        <w:rPr>
          <w:spacing w:val="30"/>
        </w:rPr>
        <w:t> </w:t>
      </w:r>
      <w:r>
        <w:rPr/>
        <w:t>cuanto</w:t>
      </w:r>
      <w:r>
        <w:rPr>
          <w:spacing w:val="40"/>
        </w:rPr>
        <w:t> </w:t>
      </w:r>
      <w:r>
        <w:rPr/>
        <w:t>al</w:t>
      </w:r>
      <w:r>
        <w:rPr>
          <w:spacing w:val="29"/>
        </w:rPr>
        <w:t> </w:t>
      </w:r>
      <w:r>
        <w:rPr/>
        <w:t>ámbito</w:t>
      </w:r>
      <w:r>
        <w:rPr>
          <w:spacing w:val="27"/>
        </w:rPr>
        <w:t> </w:t>
      </w:r>
      <w:r>
        <w:rPr/>
        <w:t>federal</w:t>
      </w:r>
      <w:r>
        <w:rPr>
          <w:spacing w:val="29"/>
        </w:rPr>
        <w:t> </w:t>
      </w:r>
      <w:r>
        <w:rPr/>
        <w:t>el</w:t>
      </w:r>
    </w:p>
    <w:p>
      <w:pPr>
        <w:spacing w:after="0" w:line="360" w:lineRule="auto"/>
        <w:jc w:val="both"/>
        <w:sectPr>
          <w:pgSz w:w="12240" w:h="15840"/>
          <w:pgMar w:header="749" w:footer="1003" w:top="960" w:bottom="1200" w:left="1600" w:right="1580"/>
        </w:sectPr>
      </w:pPr>
    </w:p>
    <w:p>
      <w:pPr>
        <w:pStyle w:val="BodyText"/>
        <w:rPr>
          <w:sz w:val="20"/>
        </w:rPr>
      </w:pPr>
    </w:p>
    <w:p>
      <w:pPr>
        <w:pStyle w:val="BodyText"/>
        <w:spacing w:line="362" w:lineRule="auto" w:before="214"/>
        <w:ind w:left="102" w:right="120"/>
      </w:pPr>
      <w:r>
        <w:rPr/>
        <w:t>PRI apostó a la misma fórmula y en las elecciones presidenciales de 2012 fue en coalición con el PVEM.</w:t>
      </w:r>
    </w:p>
    <w:p>
      <w:pPr>
        <w:pStyle w:val="BodyText"/>
        <w:spacing w:line="360" w:lineRule="auto"/>
        <w:ind w:left="102" w:right="116" w:firstLine="707"/>
        <w:jc w:val="both"/>
      </w:pPr>
      <w:r>
        <w:rPr/>
        <w:t>Lo sucedido en los municipios del Estado de México en las elecciones de 2009 es una muestra de la recuperación que tuvo el PRI a nivel nacional. De acuerdo con datos de la Federación Nacional de Municipios de México A.C. (Fenamm) “el PRI gobierna actualmente en 1,510 Municipios del país, los cuales representan el 62% del total nacional y lo cual lo ubica indiscutible y ampliamente como la primera fuerza política municipal del país; en segundo plano se ubica el PAN, al gobernar en 473 Municipios (menos de la tercera parte del PRI) y que representan el 19%; en tercer plano, el PRD gobierna en 322 Municipios, que significan el 13%; finalmente, los partidos políticos minoritarios gobiernan en conjunto en 135 Municipios que representan el 6% del espectro nacional” (Fenamm, 2012).</w:t>
      </w:r>
    </w:p>
    <w:p>
      <w:pPr>
        <w:pStyle w:val="BodyText"/>
        <w:spacing w:line="360" w:lineRule="auto" w:before="5"/>
        <w:ind w:left="102" w:right="117" w:firstLine="359"/>
        <w:jc w:val="both"/>
      </w:pPr>
      <w:r>
        <w:rPr/>
        <w:t>La Fenamm señala que “de los 418 Municipios con autoridades electas bajo el régimen de usos y costumbres, 400 reconocen su adherencia a algún partido político, siendo mayoritaria su filiación hacia el PRI con un total de 336 Municipios” (Fenamm, 2012).</w:t>
      </w:r>
    </w:p>
    <w:p>
      <w:pPr>
        <w:pStyle w:val="BodyText"/>
        <w:spacing w:line="360" w:lineRule="auto" w:before="5"/>
        <w:ind w:left="102" w:right="117" w:firstLine="359"/>
        <w:jc w:val="both"/>
      </w:pPr>
      <w:r>
        <w:rPr/>
        <w:t>Lo anterior nos da una muestra clara de la representatividad que cada partido tiene en el ámbito municipal y de su impacto en el entorno nacional, teniendo así  al PRI, al PAN y al PRD como los partidos con mayor representatividad en cuanto al acceso al poder ejecutivo. En concreto, en las elecciones municipales de 2006 en el Estado de México de los 125 ayuntamientos el PAN ganó 24 (19.2%), Convergencia obtuvo 3 presidencias municipales (2.4%), el PRD 23 (18.4%), el PRI 55 (44%), el PT 2 (1.6%) y las candidaturas comunes (de las nueve coaliciones) obtuvieron 18 presidencias (14.4%) (Jiménez,</w:t>
      </w:r>
      <w:r>
        <w:rPr>
          <w:spacing w:val="-16"/>
        </w:rPr>
        <w:t> </w:t>
      </w:r>
      <w:r>
        <w:rPr/>
        <w:t>2014).</w:t>
      </w:r>
    </w:p>
    <w:p>
      <w:pPr>
        <w:pStyle w:val="BodyText"/>
        <w:spacing w:line="360" w:lineRule="auto" w:before="5"/>
        <w:ind w:left="102" w:right="117" w:firstLine="359"/>
        <w:jc w:val="both"/>
      </w:pPr>
      <w:r>
        <w:rPr/>
        <w:t>En conclusión, el Estado de México se ubicó como una entidad con una alternancia alta (3.0) en el acceso al poder ejecutivo municipal, pues  ningún partido obtuvo la mayoría absoluta de las presidencias municipales en disputa en las elecciones de 2006.</w:t>
      </w:r>
    </w:p>
    <w:p>
      <w:pPr>
        <w:spacing w:after="0" w:line="360" w:lineRule="auto"/>
        <w:jc w:val="both"/>
        <w:sectPr>
          <w:pgSz w:w="12240" w:h="15840"/>
          <w:pgMar w:header="749" w:footer="1003" w:top="960" w:bottom="1200" w:left="1600" w:right="1580"/>
        </w:sectPr>
      </w:pPr>
    </w:p>
    <w:p>
      <w:pPr>
        <w:pStyle w:val="BodyText"/>
        <w:rPr>
          <w:sz w:val="20"/>
        </w:rPr>
      </w:pPr>
    </w:p>
    <w:p>
      <w:pPr>
        <w:pStyle w:val="ListParagraph"/>
        <w:numPr>
          <w:ilvl w:val="1"/>
          <w:numId w:val="10"/>
        </w:numPr>
        <w:tabs>
          <w:tab w:pos="1170" w:val="left" w:leader="none"/>
        </w:tabs>
        <w:spacing w:line="240" w:lineRule="auto" w:before="214" w:after="0"/>
        <w:ind w:left="1170" w:right="0" w:hanging="360"/>
        <w:jc w:val="left"/>
        <w:rPr>
          <w:sz w:val="24"/>
        </w:rPr>
      </w:pPr>
      <w:r>
        <w:rPr>
          <w:sz w:val="24"/>
        </w:rPr>
        <w:t>Control de la legislatura</w:t>
      </w:r>
      <w:r>
        <w:rPr>
          <w:spacing w:val="-9"/>
          <w:sz w:val="24"/>
        </w:rPr>
        <w:t> </w:t>
      </w:r>
      <w:r>
        <w:rPr>
          <w:sz w:val="24"/>
        </w:rPr>
        <w:t>nacional</w:t>
      </w:r>
    </w:p>
    <w:p>
      <w:pPr>
        <w:pStyle w:val="BodyText"/>
      </w:pPr>
    </w:p>
    <w:p>
      <w:pPr>
        <w:pStyle w:val="BodyText"/>
      </w:pPr>
    </w:p>
    <w:p>
      <w:pPr>
        <w:pStyle w:val="BodyText"/>
        <w:spacing w:line="360" w:lineRule="auto"/>
        <w:ind w:left="102" w:right="117"/>
        <w:jc w:val="both"/>
      </w:pPr>
      <w:r>
        <w:rPr/>
        <w:t>La composición de las legislaturas es un parámetro que mide el grado de democracia que tiene un régimen político a través de la independencia o dependencia de las legislaturas ante el poder ejecutivo. De la adecuada integración pluripartidista de las legislaturas depende la equilibrada interrelación  de los poderes públicos, principalmente entre el Ejecutivo y el</w:t>
      </w:r>
      <w:r>
        <w:rPr>
          <w:spacing w:val="-24"/>
        </w:rPr>
        <w:t> </w:t>
      </w:r>
      <w:r>
        <w:rPr/>
        <w:t>Legislativo.</w:t>
      </w:r>
    </w:p>
    <w:p>
      <w:pPr>
        <w:pStyle w:val="BodyText"/>
        <w:spacing w:line="360" w:lineRule="auto" w:before="5"/>
        <w:ind w:left="102" w:right="115" w:firstLine="707"/>
        <w:jc w:val="both"/>
      </w:pPr>
      <w:r>
        <w:rPr/>
        <w:t>En cuanto a la independencia de la legislatura nacional se observó una transición del régimen de partido hegemónico priista, en donde el PRI tenía la mayoría absoluta permanente en las Cámaras de Diputados, a un régimen democrático en el cual ningún partido tiene mayoría absoluta  de  forma permanente en dicha Cámara.</w:t>
      </w:r>
    </w:p>
    <w:p>
      <w:pPr>
        <w:pStyle w:val="BodyText"/>
        <w:spacing w:line="360" w:lineRule="auto" w:before="2"/>
        <w:ind w:left="102" w:right="118" w:firstLine="707"/>
        <w:jc w:val="both"/>
      </w:pPr>
      <w:r>
        <w:rPr/>
        <w:t>Para el presente estudio sólo se evaluó lo concerniente a la Cámara de Diputados, pues la de Senadores no tiene equivalente con Costa Rica; sin embargo, se comentaron algunas generalidades sobre ésta última sin dar una evaluación al respecto. En México la integración de la Honorable Cámara de Diputados del Congreso de la Unión ha pasado por dos periodos: el primero, de hegemonía priista, caracterizado por la dependencia de la legislatura ante el ejecutivo, va de 1929 al 31 de agosto de 1997 (fecha </w:t>
      </w:r>
      <w:r>
        <w:rPr>
          <w:spacing w:val="4"/>
        </w:rPr>
        <w:t>en </w:t>
      </w:r>
      <w:r>
        <w:rPr/>
        <w:t>que la última legislatura de este periodo tuvo mayoría priista absoluta), durante estas casi siete décadas (68 años) el PRI obtuvo la mayoría absoluta en la integración de la Cámara de Diputados de forma ininterrumpida; el segundo período considerado democrático, va del 1º de septiembre de 1997 (fecha en que asume </w:t>
      </w:r>
      <w:r>
        <w:rPr>
          <w:spacing w:val="5"/>
        </w:rPr>
        <w:t>el </w:t>
      </w:r>
      <w:r>
        <w:rPr/>
        <w:t>poder la primera legislatura que no tiene mayoría absoluta priista) a la fecha. Este periodo tuvo como punto de quiebre las elecciones de 1997 en las cuales el PRI perdió la mayoría absoluta en la Cámara de Diputados, después de décadas de hegemonía priista en la dicha cámara. Cabe destacar que el PRI recuperó en las elecciones  de 2009 la mayoría simple en la Cámara de Diputados, pero esto no representó un retroceso sino una confirmación de que cualquier partido político puede integrar la Cámara de Diputados y lograr la</w:t>
      </w:r>
      <w:r>
        <w:rPr>
          <w:spacing w:val="-11"/>
        </w:rPr>
        <w:t> </w:t>
      </w:r>
      <w:r>
        <w:rPr/>
        <w:t>mayoría.</w:t>
      </w:r>
    </w:p>
    <w:p>
      <w:pPr>
        <w:spacing w:after="0" w:line="360" w:lineRule="auto"/>
        <w:jc w:val="both"/>
        <w:sectPr>
          <w:pgSz w:w="12240" w:h="15840"/>
          <w:pgMar w:header="749" w:footer="1003" w:top="960" w:bottom="1200" w:left="1600" w:right="1580"/>
        </w:sectPr>
      </w:pPr>
    </w:p>
    <w:p>
      <w:pPr>
        <w:pStyle w:val="BodyText"/>
        <w:rPr>
          <w:sz w:val="20"/>
        </w:rPr>
      </w:pPr>
    </w:p>
    <w:p>
      <w:pPr>
        <w:pStyle w:val="BodyText"/>
        <w:spacing w:line="360" w:lineRule="auto" w:before="214"/>
        <w:ind w:left="102" w:right="116" w:firstLine="707"/>
        <w:jc w:val="both"/>
      </w:pPr>
      <w:r>
        <w:rPr/>
        <w:t>En la elección federal del 5 de julio de 2009, de los 300 diputados electos por mayoría relativa, 184 fueron priistas, y de los 200 de representación proporcional el PRI obtuvo 53, teniendo así un total de 237 diputados (47%), frente a 142 del PAN( 28%) y 69 del PRD (13%), adquiriendo así el PRI la mayoría en la Cámara de Diputados (sin ser absoluta) lo cual limita al poder ejecutivo, que durante el período de partido hegemónico no tuvo restricciones pues el PRI tenía tanto el poder ejecutivo como la mayoría absoluta de la Cámara de Diputados.</w:t>
      </w:r>
    </w:p>
    <w:p>
      <w:pPr>
        <w:pStyle w:val="BodyText"/>
        <w:spacing w:line="360" w:lineRule="auto" w:before="5"/>
        <w:ind w:left="102" w:right="117" w:firstLine="707"/>
        <w:jc w:val="both"/>
      </w:pPr>
      <w:r>
        <w:rPr/>
        <w:t>En 2009 el PRI recuperó curules y obtuvo la mayoría simple en la Cámara de Diputados Federal y así “volvió a situarse como la primera fuerza política del país, al ganar la mayoría en la Cámara de Diputados del Congreso de la Unión” (Wikipedia, 2012a), sin embargo, hasta la fecha sigue sin tener la mayoría absoluta. La pérdida de la mayoría absoluta de la Cámara de Diputados Federal por parte del PRI, y el hecho de que ningún partido de oposición la tenga, vino a modificar la forma en que se interrelacionaban el poder ejecutivo y el legislativo, otorgándole independencia del ejecutivo a la legislatura.</w:t>
      </w:r>
    </w:p>
    <w:p>
      <w:pPr>
        <w:pStyle w:val="BodyText"/>
        <w:spacing w:line="360" w:lineRule="auto" w:before="5"/>
        <w:ind w:left="102" w:right="116" w:firstLine="707"/>
        <w:jc w:val="right"/>
      </w:pPr>
      <w:r>
        <w:rPr/>
        <w:t>En cuanto a la integración de la Cámara de Senadores (2006-2012), de los</w:t>
      </w:r>
      <w:r>
        <w:rPr>
          <w:w w:val="99"/>
        </w:rPr>
        <w:t> </w:t>
      </w:r>
      <w:r>
        <w:rPr/>
        <w:t>128 curules en disputa, 50 fueron para el PAN (39%), 33 para el PRI (25%) y 26</w:t>
      </w:r>
      <w:r>
        <w:rPr>
          <w:w w:val="99"/>
        </w:rPr>
        <w:t> </w:t>
      </w:r>
      <w:r>
        <w:rPr/>
        <w:t>para el PRD (20%); obteniendo así el PAN el dominio de la Cámara de Senadores. El PRI tuvo ininterrumpidamente durante décadas el dominio en la</w:t>
      </w:r>
      <w:r>
        <w:rPr>
          <w:w w:val="99"/>
        </w:rPr>
        <w:t> </w:t>
      </w:r>
      <w:r>
        <w:rPr/>
        <w:t>integración de la Cámara de Senadores, no obstante en 1997-2000 perdió</w:t>
      </w:r>
      <w:r>
        <w:rPr>
          <w:spacing w:val="60"/>
        </w:rPr>
        <w:t> </w:t>
      </w:r>
      <w:r>
        <w:rPr/>
        <w:t>la</w:t>
      </w:r>
      <w:r>
        <w:rPr>
          <w:w w:val="99"/>
        </w:rPr>
        <w:t> </w:t>
      </w:r>
      <w:r>
        <w:rPr/>
        <w:t>mayoría absoluta, en 2000-2003, la recuperó y en 2006-2012 nuevamente</w:t>
      </w:r>
      <w:r>
        <w:rPr>
          <w:spacing w:val="64"/>
        </w:rPr>
        <w:t> </w:t>
      </w:r>
      <w:r>
        <w:rPr/>
        <w:t>la</w:t>
      </w:r>
      <w:r>
        <w:rPr>
          <w:w w:val="99"/>
        </w:rPr>
        <w:t> </w:t>
      </w:r>
      <w:r>
        <w:rPr/>
        <w:t>perdió,</w:t>
      </w:r>
      <w:r>
        <w:rPr>
          <w:spacing w:val="54"/>
        </w:rPr>
        <w:t> </w:t>
      </w:r>
      <w:r>
        <w:rPr/>
        <w:t>estos</w:t>
      </w:r>
      <w:r>
        <w:rPr>
          <w:spacing w:val="56"/>
        </w:rPr>
        <w:t> </w:t>
      </w:r>
      <w:r>
        <w:rPr/>
        <w:t>cambios</w:t>
      </w:r>
      <w:r>
        <w:rPr>
          <w:spacing w:val="54"/>
        </w:rPr>
        <w:t> </w:t>
      </w:r>
      <w:r>
        <w:rPr/>
        <w:t>confirman</w:t>
      </w:r>
      <w:r>
        <w:rPr>
          <w:spacing w:val="56"/>
        </w:rPr>
        <w:t> </w:t>
      </w:r>
      <w:r>
        <w:rPr/>
        <w:t>el</w:t>
      </w:r>
      <w:r>
        <w:rPr>
          <w:spacing w:val="55"/>
        </w:rPr>
        <w:t> </w:t>
      </w:r>
      <w:r>
        <w:rPr/>
        <w:t>carácter</w:t>
      </w:r>
      <w:r>
        <w:rPr>
          <w:spacing w:val="55"/>
        </w:rPr>
        <w:t> </w:t>
      </w:r>
      <w:r>
        <w:rPr/>
        <w:t>democrático</w:t>
      </w:r>
      <w:r>
        <w:rPr>
          <w:spacing w:val="56"/>
        </w:rPr>
        <w:t> </w:t>
      </w:r>
      <w:r>
        <w:rPr/>
        <w:t>de</w:t>
      </w:r>
      <w:r>
        <w:rPr>
          <w:spacing w:val="56"/>
        </w:rPr>
        <w:t> </w:t>
      </w:r>
      <w:r>
        <w:rPr/>
        <w:t>las</w:t>
      </w:r>
      <w:r>
        <w:rPr>
          <w:spacing w:val="54"/>
        </w:rPr>
        <w:t> </w:t>
      </w:r>
      <w:r>
        <w:rPr/>
        <w:t>elecciones</w:t>
      </w:r>
      <w:r>
        <w:rPr>
          <w:spacing w:val="53"/>
        </w:rPr>
        <w:t> </w:t>
      </w:r>
      <w:r>
        <w:rPr/>
        <w:t>en</w:t>
      </w:r>
    </w:p>
    <w:p>
      <w:pPr>
        <w:pStyle w:val="BodyText"/>
        <w:spacing w:before="2"/>
        <w:ind w:left="102"/>
        <w:jc w:val="both"/>
      </w:pPr>
      <w:r>
        <w:rPr/>
        <w:t>México.</w:t>
      </w:r>
    </w:p>
    <w:p>
      <w:pPr>
        <w:pStyle w:val="BodyText"/>
        <w:spacing w:before="139"/>
        <w:ind w:right="126"/>
        <w:jc w:val="right"/>
      </w:pPr>
      <w:r>
        <w:rPr/>
        <w:t>En las elecciones de diputados federales de 2006 el PAN obtuvo 137 de los</w:t>
      </w:r>
    </w:p>
    <w:p>
      <w:pPr>
        <w:pStyle w:val="BodyText"/>
        <w:spacing w:line="360" w:lineRule="auto" w:before="137"/>
        <w:ind w:left="102" w:right="112"/>
        <w:jc w:val="both"/>
      </w:pPr>
      <w:r>
        <w:rPr/>
        <w:t>300 diputados de mayoría relativa (45.6%), la coalición PRI-PVEM obtuvo 65 curules (21.6%) y la coalición PRD-PT-C obtuvo 98 diputaciones (32.6%). Los tres partidos (solos o en coalición con otros partidos pequeños) obtuvieron los 300 puestos en disputa; NA y PASC no obtuvieron diputaciones (IFE, 2012a). En cuanto a las diputaciones de representación proporcional los resultados de la votación fueron los siguientes: la votación total fue de 41,435,934 votos, de los cuales 13,845,121 fueron para el PAN (33.41%), 11,676,585 para la coalición PRI-</w:t>
      </w:r>
    </w:p>
    <w:p>
      <w:pPr>
        <w:spacing w:after="0" w:line="360" w:lineRule="auto"/>
        <w:jc w:val="both"/>
        <w:sectPr>
          <w:pgSz w:w="12240" w:h="15840"/>
          <w:pgMar w:header="749" w:footer="1003" w:top="960" w:bottom="1200" w:left="1600" w:right="1580"/>
        </w:sectPr>
      </w:pPr>
    </w:p>
    <w:p>
      <w:pPr>
        <w:pStyle w:val="BodyText"/>
        <w:rPr>
          <w:sz w:val="20"/>
        </w:rPr>
      </w:pPr>
    </w:p>
    <w:p>
      <w:pPr>
        <w:pStyle w:val="BodyText"/>
        <w:spacing w:line="360" w:lineRule="auto" w:before="214"/>
        <w:ind w:left="102" w:right="118"/>
        <w:jc w:val="both"/>
      </w:pPr>
      <w:r>
        <w:rPr/>
        <w:t>PVEM (28.18%), 12,013,364 para la coalición PRD-PT-C (28.99%), NA obtuvo 1,883,476 votos (4.55%), el PASC tuvo 850,989 votos (2.05%), 128,825 votos fueron para candidatos no registrados (0.31%) y 1,037,574 votos fueron nulos (2.50%). En esta elección los tres partidos PAN, PRI y PRD (solos o en coalición) obtuvieron más del 90% de los votos (IFE, 2012c).</w:t>
      </w:r>
    </w:p>
    <w:p>
      <w:pPr>
        <w:pStyle w:val="BodyText"/>
        <w:spacing w:line="360" w:lineRule="auto" w:before="5"/>
        <w:ind w:left="102" w:right="116" w:firstLine="707"/>
        <w:jc w:val="both"/>
      </w:pPr>
      <w:r>
        <w:rPr/>
        <w:t>Por lo que respecta a las elecciones de senadores de 2006 los resultados por el principio de mayoría relativa fueron: la votación total fue de 41,403,973 votos, de los cuales 13,889,159 fueron para el PAN (33.55%), 11,622,012 para la coalición PRI-PVEM (28.07%), 12,292,512 para la coalición PRD-PT-C   (29.69%),</w:t>
      </w:r>
    </w:p>
    <w:p>
      <w:pPr>
        <w:pStyle w:val="BodyText"/>
        <w:spacing w:line="360" w:lineRule="auto" w:before="5"/>
        <w:ind w:left="102" w:right="116"/>
        <w:jc w:val="both"/>
      </w:pPr>
      <w:r>
        <w:rPr/>
        <w:t>NA obtuvo 1,677,033 votos (4.05%), el PASC tuvo 787,425 votos (1.90%),  118,835 votos fueron para candidatos no registrados (0.29%) y 1,016,997 votos se declararon nulos (2.46%). En las elecciones de senadores por el principio de mayoría relativa el PAN, el PRI y el PRD juntos obtuvieron la mayoría absoluta de los cargos (IFE,</w:t>
      </w:r>
      <w:r>
        <w:rPr>
          <w:spacing w:val="-8"/>
        </w:rPr>
        <w:t> </w:t>
      </w:r>
      <w:r>
        <w:rPr/>
        <w:t>2012d).</w:t>
      </w:r>
    </w:p>
    <w:p>
      <w:pPr>
        <w:pStyle w:val="BodyText"/>
        <w:spacing w:line="360" w:lineRule="auto" w:before="2"/>
        <w:ind w:left="102" w:right="117" w:firstLine="707"/>
        <w:jc w:val="both"/>
      </w:pPr>
      <w:r>
        <w:rPr/>
        <w:t>En cuanto a las elecciones de senadores de 2006 los resultados por el principio de representación proporcional fueron: la votación total fue de 41,739,188 votos, de los cuales 14,035,503 fueron para el PAN (33.63%), 11,681,395 para la coalición PRI-PVEM (27.99 %), 12,397,008 para la coalición PRD-PT-C (29.70%), NA obtuvo 1,688,198 votos (4.04%), el PASC ganó 795,730 votos (1.91%), 119,442 votos fueron para candidatos no registrados (0.29%) y 1,021,932 fueron nulos (2.45%). En las elecciones de senadores por el principio de representación proporcional el PAN, el PRI y el PRD obtuvieron la mayoría absoluta de los cargos (IFE, 2012e).</w:t>
      </w:r>
    </w:p>
    <w:p>
      <w:pPr>
        <w:pStyle w:val="BodyText"/>
        <w:spacing w:line="360" w:lineRule="auto" w:before="5"/>
        <w:ind w:left="102" w:right="115" w:firstLine="707"/>
        <w:jc w:val="both"/>
      </w:pPr>
      <w:r>
        <w:rPr/>
        <w:t>En síntesis, en las elecciones federales de 2006 el PAN ganó la presidencia de la República y la mayoría simple (sin ser absoluta) de las diputaciones y senadurías en disputa, el PRD se fortaleció como la segunda fuerza partidaria en el país y el PRI ocupó la tercera posición. En conclusión, la Cámara de Diputados se ubicó como una legislatura con una independencia alta (3.0), pues ningún partido tuvo la mayoría absoluta de los curules en</w:t>
      </w:r>
      <w:r>
        <w:rPr>
          <w:spacing w:val="-21"/>
        </w:rPr>
        <w:t> </w:t>
      </w:r>
      <w:r>
        <w:rPr/>
        <w:t>2006.</w:t>
      </w:r>
    </w:p>
    <w:p>
      <w:pPr>
        <w:spacing w:after="0" w:line="360" w:lineRule="auto"/>
        <w:jc w:val="both"/>
        <w:sectPr>
          <w:pgSz w:w="12240" w:h="15840"/>
          <w:pgMar w:header="749" w:footer="1003" w:top="960" w:bottom="1200" w:left="1600" w:right="1580"/>
        </w:sectPr>
      </w:pPr>
    </w:p>
    <w:p>
      <w:pPr>
        <w:pStyle w:val="BodyText"/>
        <w:rPr>
          <w:sz w:val="20"/>
        </w:rPr>
      </w:pPr>
    </w:p>
    <w:p>
      <w:pPr>
        <w:pStyle w:val="ListParagraph"/>
        <w:numPr>
          <w:ilvl w:val="1"/>
          <w:numId w:val="10"/>
        </w:numPr>
        <w:tabs>
          <w:tab w:pos="1170" w:val="left" w:leader="none"/>
        </w:tabs>
        <w:spacing w:line="240" w:lineRule="auto" w:before="214" w:after="0"/>
        <w:ind w:left="1170" w:right="0" w:hanging="360"/>
        <w:jc w:val="left"/>
        <w:rPr>
          <w:sz w:val="24"/>
        </w:rPr>
      </w:pPr>
      <w:r>
        <w:rPr>
          <w:sz w:val="24"/>
        </w:rPr>
        <w:t>Control de la legislatura</w:t>
      </w:r>
      <w:r>
        <w:rPr>
          <w:spacing w:val="-7"/>
          <w:sz w:val="24"/>
        </w:rPr>
        <w:t> </w:t>
      </w:r>
      <w:r>
        <w:rPr>
          <w:sz w:val="24"/>
        </w:rPr>
        <w:t>estatal</w:t>
      </w:r>
    </w:p>
    <w:p>
      <w:pPr>
        <w:pStyle w:val="BodyText"/>
      </w:pPr>
    </w:p>
    <w:p>
      <w:pPr>
        <w:pStyle w:val="BodyText"/>
      </w:pPr>
    </w:p>
    <w:p>
      <w:pPr>
        <w:pStyle w:val="BodyText"/>
        <w:spacing w:line="360" w:lineRule="auto"/>
        <w:ind w:left="102" w:right="119"/>
        <w:jc w:val="both"/>
      </w:pPr>
      <w:r>
        <w:rPr/>
        <w:t>El control de la legislatura en el ámbito estatal se estudió de forma generalizada sin dar una evaluación al respecto, toda vez que no tiene equivalente en Costa Rica, pues las provincias al estar reguladas por el gobierno central no cuentan con poderes.</w:t>
      </w:r>
    </w:p>
    <w:p>
      <w:pPr>
        <w:pStyle w:val="BodyText"/>
        <w:spacing w:line="360" w:lineRule="auto" w:before="2"/>
        <w:ind w:left="102" w:right="114" w:firstLine="707"/>
        <w:jc w:val="both"/>
      </w:pPr>
      <w:r>
        <w:rPr/>
        <w:t>En el Estado de México la independencia o dependencia de la legislatura ante el ejecutivo estatal tiene dos periodos. </w:t>
      </w:r>
      <w:r>
        <w:rPr>
          <w:spacing w:val="2"/>
        </w:rPr>
        <w:t>El </w:t>
      </w:r>
      <w:r>
        <w:rPr/>
        <w:t>primero, de hegemonía priista; en el cual el PRI tenía la mayoría absoluta de los integrantes de la legislatura, este periodo va de 1975-1978 a 1993-1996, durante él se renovaron siete legislaturas (de la XLVI a la LII), en las cuales el PRI fue descendiendo en porcentaje de curules al pasar del 88% en 1975 (siendo este el porcentaje más alto que ha tenido en estas siete legislaturas) a 61% en 1993-1996 (Jiménez, 2014). El segundo, democrático; pues el PRI pierde la mayoría absoluta de los integrantes de la legislatura, este periodo va de 1996-2000 a la fecha, tiene como punto de quiebre la integración de la LIII Legislatura (1996-2000) en la cual el PRI pierde la mayoría absoluta al obtener el 40% del total de los curules, dicho porcentaje va descendiendo en las siguientes legislaturas hasta llegar a tener sólo el 25% de los curules en la Legislatura LVI (2006-2009), en la Legislatura LVII (2009-2012) el PRI recuperó la mayoría absoluta al ganar el 52% de los curules, sin embargo, esto no representó un retroceso hacia el régimen de partido hegemónico, sino una confirmación de que se tiene un régimen democrático en el cual cualquier partido político puede tener acceso a integrar la legislatura</w:t>
      </w:r>
      <w:r>
        <w:rPr>
          <w:spacing w:val="-11"/>
        </w:rPr>
        <w:t> </w:t>
      </w:r>
      <w:r>
        <w:rPr/>
        <w:t>estatal.</w:t>
      </w:r>
    </w:p>
    <w:p>
      <w:pPr>
        <w:pStyle w:val="BodyText"/>
        <w:spacing w:line="360" w:lineRule="auto" w:before="5"/>
        <w:ind w:left="102" w:right="117" w:firstLine="707"/>
        <w:jc w:val="both"/>
      </w:pPr>
      <w:r>
        <w:rPr/>
        <w:t>En concreto, en las elecciones de diputados estatales de 2006 los resultados electorales fueron: de los 75 curules disponibles el PRI obtuvo 19 (25%), el PAN 20 (27%), el PRD 21 (28%) y otros partidos obtuvieron 15 (20%)</w:t>
      </w:r>
    </w:p>
    <w:p>
      <w:pPr>
        <w:pStyle w:val="BodyText"/>
        <w:spacing w:before="3"/>
        <w:ind w:left="102"/>
        <w:jc w:val="both"/>
      </w:pPr>
      <w:r>
        <w:rPr/>
        <w:t>(Jiménez, 2014).</w:t>
      </w:r>
    </w:p>
    <w:p>
      <w:pPr>
        <w:pStyle w:val="BodyText"/>
        <w:spacing w:line="360" w:lineRule="auto" w:before="139"/>
        <w:ind w:left="102" w:right="115" w:firstLine="707"/>
        <w:jc w:val="both"/>
      </w:pPr>
      <w:r>
        <w:rPr/>
        <w:t>La Legislatura LVII del Estado de México (2009-2012) se integró de la siguiente forma: el PRI obtuvo 52% de los curules, el PAN 16 %, el PRD 11% y otros partidos (Convergencia, Nueva alianza y Partido Socialdemócrata) obtuvieron  el  21%,  lo  que  le  representó  al  ejecutivo  una  oposición  del </w:t>
      </w:r>
      <w:r>
        <w:rPr>
          <w:spacing w:val="23"/>
        </w:rPr>
        <w:t> </w:t>
      </w:r>
      <w:r>
        <w:rPr/>
        <w:t>48%,</w:t>
      </w:r>
    </w:p>
    <w:p>
      <w:pPr>
        <w:spacing w:after="0" w:line="360" w:lineRule="auto"/>
        <w:jc w:val="both"/>
        <w:sectPr>
          <w:footerReference w:type="default" r:id="rId26"/>
          <w:pgSz w:w="12240" w:h="15840"/>
          <w:pgMar w:footer="1003" w:header="749" w:top="960" w:bottom="1200" w:left="1600" w:right="1580"/>
        </w:sectPr>
      </w:pPr>
    </w:p>
    <w:p>
      <w:pPr>
        <w:pStyle w:val="BodyText"/>
        <w:rPr>
          <w:sz w:val="20"/>
        </w:rPr>
      </w:pPr>
    </w:p>
    <w:p>
      <w:pPr>
        <w:pStyle w:val="BodyText"/>
        <w:spacing w:line="360" w:lineRule="auto" w:before="214"/>
        <w:ind w:left="102" w:right="115"/>
        <w:jc w:val="both"/>
      </w:pPr>
      <w:r>
        <w:rPr/>
        <w:t>situación que le permitió al PRI dominar en la toma de decisiones a nivel estatal, sin embargo, su poder estuvo limitado pues el poder ejecutivo federal fue ejercido por el PAN. En el ámbito municipal no hay legislatura, se cuenta con un cabildo, el cual no es posible estudiar en los mismos términos de las legislaturas.</w:t>
      </w:r>
    </w:p>
    <w:p>
      <w:pPr>
        <w:pStyle w:val="BodyText"/>
        <w:spacing w:line="360" w:lineRule="auto" w:before="2"/>
        <w:ind w:left="102" w:right="117" w:firstLine="707"/>
        <w:jc w:val="both"/>
      </w:pPr>
      <w:r>
        <w:rPr/>
        <w:t>De acuerdo con lo analizado los partidos políticos han tenido que efectuar cambios en su forma de acceder al poder, así el PRI tuvo que construir alianzas y consensar con otros partidos para tomar acuerdos; por su parte el Presidente de la República dejó de ser omnipotente y tuvo que someter al escrutinio de la oposición sus propuestas; un ejemplo son las elecciones de 2000 en las cuales, al asumir la presidencia el PAN no tenía mayoría en ninguna de las Cámaras, “a esto se le conoce como gobierno dividido, lo que trae como consecuencia una nueva relación entre el Poder Ejecutivo y el Poder Legislativo” (Guzmán,</w:t>
      </w:r>
      <w:r>
        <w:rPr>
          <w:spacing w:val="-25"/>
        </w:rPr>
        <w:t> </w:t>
      </w:r>
      <w:r>
        <w:rPr/>
        <w:t>2005).</w:t>
      </w:r>
    </w:p>
    <w:p>
      <w:pPr>
        <w:pStyle w:val="BodyText"/>
        <w:spacing w:line="360" w:lineRule="auto" w:before="2"/>
        <w:ind w:left="102" w:right="118" w:firstLine="707"/>
        <w:jc w:val="both"/>
      </w:pPr>
      <w:r>
        <w:rPr/>
        <w:t>Tanto en el ámbito nacional como en el estatal las legislaturas han dejado de ser dependientes del poder ejecutivo y han logrado su independencia a través de una mayor representación de la oposición en la integración de las Cámaras, dando paso al cambio de régimen político, de uno de partido casi hegemónico a otro democrático.</w:t>
      </w:r>
    </w:p>
    <w:p>
      <w:pPr>
        <w:pStyle w:val="BodyText"/>
      </w:pPr>
    </w:p>
    <w:p>
      <w:pPr>
        <w:pStyle w:val="BodyText"/>
        <w:spacing w:before="2"/>
        <w:rPr>
          <w:sz w:val="21"/>
        </w:rPr>
      </w:pPr>
    </w:p>
    <w:p>
      <w:pPr>
        <w:pStyle w:val="Heading1"/>
        <w:numPr>
          <w:ilvl w:val="0"/>
          <w:numId w:val="1"/>
        </w:numPr>
        <w:tabs>
          <w:tab w:pos="822" w:val="left" w:leader="none"/>
        </w:tabs>
        <w:spacing w:line="240" w:lineRule="auto" w:before="0" w:after="0"/>
        <w:ind w:left="822" w:right="0" w:hanging="360"/>
        <w:jc w:val="left"/>
      </w:pPr>
      <w:r>
        <w:rPr/>
        <w:t>Costa</w:t>
      </w:r>
      <w:r>
        <w:rPr>
          <w:spacing w:val="-3"/>
        </w:rPr>
        <w:t> </w:t>
      </w:r>
      <w:r>
        <w:rPr/>
        <w:t>Rica</w:t>
      </w:r>
    </w:p>
    <w:p>
      <w:pPr>
        <w:pStyle w:val="BodyText"/>
        <w:spacing w:before="2"/>
        <w:rPr>
          <w:sz w:val="36"/>
        </w:rPr>
      </w:pPr>
    </w:p>
    <w:p>
      <w:pPr>
        <w:pStyle w:val="BodyText"/>
        <w:spacing w:line="360" w:lineRule="auto"/>
        <w:ind w:left="102" w:right="113"/>
        <w:jc w:val="both"/>
      </w:pPr>
      <w:r>
        <w:rPr/>
        <w:t>Costa Rica es un país pequeño en población, mediano en territorio y cuenta con una baja densidad demográfica. Por su parte, la Provincia de San José es muy grande en población (la más poblada de las siete provincias que integran el territorio nacional), cuenta con un territorio pequeño y se ubicó como muy densamente poblada. En cuanto a su organización política la República de Costa Rica es un Estado unitario, de manera ininterrumpida, desde 1949, pues sólo cuenta con un poder ejecutivo, uno legislativo, uno judicial y una institución electoral: el Tribunal Supremo de Elecciones (TSE). Por lo que respecta al poder ejecutivo Costa Rica cuenta con un Presidente de la República, dos vicepresidentes y un alcalde en cada uno de sus municipios. Las provincias sólo</w:t>
      </w:r>
    </w:p>
    <w:p>
      <w:pPr>
        <w:spacing w:after="0" w:line="360" w:lineRule="auto"/>
        <w:jc w:val="both"/>
        <w:sectPr>
          <w:footerReference w:type="default" r:id="rId27"/>
          <w:pgSz w:w="12240" w:h="15840"/>
          <w:pgMar w:footer="1003" w:header="749" w:top="960" w:bottom="1200" w:left="1600" w:right="1580"/>
          <w:pgNumType w:start="61"/>
        </w:sectPr>
      </w:pPr>
    </w:p>
    <w:p>
      <w:pPr>
        <w:pStyle w:val="BodyText"/>
        <w:rPr>
          <w:sz w:val="20"/>
        </w:rPr>
      </w:pPr>
    </w:p>
    <w:p>
      <w:pPr>
        <w:pStyle w:val="BodyText"/>
        <w:spacing w:line="362" w:lineRule="auto" w:before="214"/>
        <w:ind w:left="102" w:right="120"/>
      </w:pPr>
      <w:r>
        <w:rPr/>
        <w:t>son divisiones político-administrativas, no cuentan con un gobernador o jefe de provincia.</w:t>
      </w:r>
    </w:p>
    <w:p>
      <w:pPr>
        <w:pStyle w:val="BodyText"/>
        <w:spacing w:line="360" w:lineRule="auto"/>
        <w:ind w:left="102" w:right="116" w:firstLine="707"/>
        <w:jc w:val="both"/>
      </w:pPr>
      <w:r>
        <w:rPr/>
        <w:t>En cuanto al régimen político costarricense enfatizo la larga trayectoria democrática con que cuenta, ya que desde 1949 es plenamente democrático. Esta tradición democrática se empezó a gestar varias décadas antes con el establecimiento de la alternancia en 1889, sin embargo, estaban presentes características de autoritarismo: presencia de fraudes electorales, el ejecutivo en turno se entrometía en las elecciones para que su partido se perpetuara en la presidencia, se hacía uso de la fuerza militar para imponer candidatos y el partido en el poder tenía la mayoría absoluta en la asamblea legislativa.</w:t>
      </w:r>
    </w:p>
    <w:p>
      <w:pPr>
        <w:pStyle w:val="BodyText"/>
        <w:spacing w:line="360" w:lineRule="auto" w:before="2"/>
        <w:ind w:left="102" w:right="117" w:firstLine="707"/>
        <w:jc w:val="both"/>
      </w:pPr>
      <w:r>
        <w:rPr/>
        <w:t>Por su parte el acceso al poder ejecutivo nacional en las últimas cuatro décadas ha sido controlado por dos partidos políticos principalmente: el Partido Liberación Nacional (PLN) </w:t>
      </w:r>
      <w:r>
        <w:rPr>
          <w:sz w:val="22"/>
        </w:rPr>
        <w:t>y </w:t>
      </w:r>
      <w:r>
        <w:rPr/>
        <w:t>el Partido Unidad Social Cristiana (PUSC), actualmente el PLN ocupa la Presidencia de la República. En cuanto a la composición de la legislatura nacional (2010-2014) ningún partido tiene mayoría absoluta en la asamblea legislativa, sin embargo, el PLN tiene mayoría simple ya que cuenta con 24 de las 57 diputaciones que integraron la asamblea. Desde el establecimiento pleno del régimen democrático hasta la fecha ningún partido ha tenido permanentemente la mayoría absoluta de la Asamblea Legislativa. A nivel cantonal actualmente el PLN tiene la mayoría absoluta en el número de alcaldías.</w:t>
      </w:r>
    </w:p>
    <w:p>
      <w:pPr>
        <w:pStyle w:val="BodyText"/>
        <w:spacing w:line="360" w:lineRule="auto" w:before="2"/>
        <w:ind w:left="102" w:right="116" w:firstLine="707"/>
        <w:jc w:val="both"/>
      </w:pPr>
      <w:r>
        <w:rPr/>
        <w:t>De entre los partidos políticos que han destacado a nivel nacional y cantonal en las últimas décadas se encuentran el PLN y el PUSC debido a la representatividad obtenida en la Asamblea Legislativa, el porcentaje de alcaldías ganadas y las repetidas ocasiones en que han conseguido la presidencia de la República. En síntesis, desde 1949 Costa Rica cuenta con una Asamblea Legislativa independiente y acceso al poder ejecutivo (nacional y cantonal) por parte de la oposición; estos dos elementos constatan que Costa Rica tiene un régimen</w:t>
      </w:r>
      <w:r>
        <w:rPr>
          <w:spacing w:val="-6"/>
        </w:rPr>
        <w:t> </w:t>
      </w:r>
      <w:r>
        <w:rPr/>
        <w:t>democrático.</w:t>
      </w:r>
    </w:p>
    <w:p>
      <w:pPr>
        <w:spacing w:after="0" w:line="360" w:lineRule="auto"/>
        <w:jc w:val="both"/>
        <w:sectPr>
          <w:pgSz w:w="12240" w:h="15840"/>
          <w:pgMar w:header="749" w:footer="1003" w:top="960" w:bottom="1200" w:left="1600" w:right="1580"/>
        </w:sectPr>
      </w:pPr>
    </w:p>
    <w:p>
      <w:pPr>
        <w:pStyle w:val="BodyText"/>
        <w:rPr>
          <w:sz w:val="20"/>
        </w:rPr>
      </w:pPr>
    </w:p>
    <w:p>
      <w:pPr>
        <w:pStyle w:val="Heading2"/>
        <w:numPr>
          <w:ilvl w:val="1"/>
          <w:numId w:val="1"/>
        </w:numPr>
        <w:tabs>
          <w:tab w:pos="1079" w:val="left" w:leader="none"/>
        </w:tabs>
        <w:spacing w:line="240" w:lineRule="auto" w:before="214" w:after="0"/>
        <w:ind w:left="1078" w:right="0" w:hanging="268"/>
        <w:jc w:val="left"/>
      </w:pPr>
      <w:r>
        <w:rPr/>
        <w:t>Territorio, población y densidad</w:t>
      </w:r>
      <w:r>
        <w:rPr>
          <w:spacing w:val="-9"/>
        </w:rPr>
        <w:t> </w:t>
      </w:r>
      <w:r>
        <w:rPr/>
        <w:t>demográfica</w:t>
      </w:r>
    </w:p>
    <w:p>
      <w:pPr>
        <w:pStyle w:val="BodyText"/>
        <w:rPr>
          <w:b/>
        </w:rPr>
      </w:pPr>
    </w:p>
    <w:p>
      <w:pPr>
        <w:pStyle w:val="BodyText"/>
        <w:rPr>
          <w:b/>
        </w:rPr>
      </w:pPr>
    </w:p>
    <w:p>
      <w:pPr>
        <w:pStyle w:val="BodyText"/>
        <w:spacing w:line="360" w:lineRule="auto"/>
        <w:ind w:left="102" w:right="115"/>
        <w:jc w:val="both"/>
      </w:pPr>
      <w:r>
        <w:rPr/>
        <w:t>De acuerdo con las clasificaciones vistas en el capítulo relativo al contexto de México la República de Costa Rica tiene un territorio mediano, una población pequeña y una baja densidad de población. Por su parte, la Provincia de San José en relación con las otras provincias de Costa Rica se situó como pequeña en territorio, muy grande en población (cuenta con el mayor número de habitantes de entre las siete provincias que integran el país) y muy densamente poblada al ser la provincia con la mayor densidad demográfica. Al comparar demográficamente al Estado de México (679 hab/km2) con la Provincia de San José (333.89 hab/km2) se observó que la entidad mexicana duplica en densidad de población a la provincia costarricense.</w:t>
      </w:r>
    </w:p>
    <w:p>
      <w:pPr>
        <w:pStyle w:val="BodyText"/>
        <w:spacing w:line="360" w:lineRule="auto" w:before="2"/>
        <w:ind w:left="102" w:right="121" w:firstLine="707"/>
        <w:jc w:val="both"/>
      </w:pPr>
      <w:r>
        <w:rPr/>
        <w:t>Al igual que en México en Costa Rica existe una distribución desigual de la población en el territorio nacional, de ahí que se tengan provincias o cantones más densamente poblados que otros.</w:t>
      </w:r>
    </w:p>
    <w:p>
      <w:pPr>
        <w:pStyle w:val="BodyText"/>
      </w:pPr>
    </w:p>
    <w:p>
      <w:pPr>
        <w:pStyle w:val="ListParagraph"/>
        <w:numPr>
          <w:ilvl w:val="0"/>
          <w:numId w:val="11"/>
        </w:numPr>
        <w:tabs>
          <w:tab w:pos="1170" w:val="left" w:leader="none"/>
        </w:tabs>
        <w:spacing w:line="240" w:lineRule="auto" w:before="142" w:after="0"/>
        <w:ind w:left="1170" w:right="0" w:hanging="360"/>
        <w:jc w:val="left"/>
        <w:rPr>
          <w:sz w:val="24"/>
        </w:rPr>
      </w:pPr>
      <w:r>
        <w:rPr>
          <w:sz w:val="24"/>
        </w:rPr>
        <w:t>Territorio</w:t>
      </w:r>
      <w:r>
        <w:rPr>
          <w:spacing w:val="-7"/>
          <w:sz w:val="24"/>
        </w:rPr>
        <w:t> </w:t>
      </w:r>
      <w:r>
        <w:rPr>
          <w:sz w:val="24"/>
        </w:rPr>
        <w:t>nacional</w:t>
      </w:r>
    </w:p>
    <w:p>
      <w:pPr>
        <w:pStyle w:val="BodyText"/>
      </w:pPr>
    </w:p>
    <w:p>
      <w:pPr>
        <w:pStyle w:val="BodyText"/>
      </w:pPr>
    </w:p>
    <w:p>
      <w:pPr>
        <w:pStyle w:val="BodyText"/>
        <w:spacing w:line="360" w:lineRule="auto"/>
        <w:ind w:left="102" w:right="118"/>
        <w:jc w:val="both"/>
      </w:pPr>
      <w:r>
        <w:rPr/>
        <w:t>La República de Costa Rica tiene un territorio de 51,100 km2 (INEC, 2012a) por lo que está dentro de la categoría de los países medianos, el territorio mexicano es</w:t>
      </w:r>
    </w:p>
    <w:p>
      <w:pPr>
        <w:pStyle w:val="BodyText"/>
        <w:spacing w:line="360" w:lineRule="auto" w:before="2"/>
        <w:ind w:left="102" w:right="115"/>
        <w:jc w:val="both"/>
      </w:pPr>
      <w:r>
        <w:rPr/>
        <w:t>38 veces más grande que el costarricense; Costa Rica podría representar el territorio de una sola entidad federativa mexicana. En concreto el país centroamericano objeto de estudio ocupa el lugar 129 en la clasificación de los países de acuerdo con su extensión territorial (Wikipedia, 2012a). Dentro de los países territorialmente medianos además de Costa Rica se encuentran Panamá, Belice y El Salvador.</w:t>
      </w:r>
    </w:p>
    <w:p>
      <w:pPr>
        <w:pStyle w:val="BodyText"/>
      </w:pPr>
    </w:p>
    <w:p>
      <w:pPr>
        <w:pStyle w:val="ListParagraph"/>
        <w:numPr>
          <w:ilvl w:val="0"/>
          <w:numId w:val="11"/>
        </w:numPr>
        <w:tabs>
          <w:tab w:pos="1170" w:val="left" w:leader="none"/>
        </w:tabs>
        <w:spacing w:line="240" w:lineRule="auto" w:before="142" w:after="0"/>
        <w:ind w:left="1170" w:right="0" w:hanging="360"/>
        <w:jc w:val="left"/>
        <w:rPr>
          <w:sz w:val="24"/>
        </w:rPr>
      </w:pPr>
      <w:r>
        <w:rPr>
          <w:sz w:val="24"/>
        </w:rPr>
        <w:t>Territorio</w:t>
      </w:r>
      <w:r>
        <w:rPr>
          <w:spacing w:val="-7"/>
          <w:sz w:val="24"/>
        </w:rPr>
        <w:t> </w:t>
      </w:r>
      <w:r>
        <w:rPr>
          <w:sz w:val="24"/>
        </w:rPr>
        <w:t>provincial</w:t>
      </w:r>
    </w:p>
    <w:p>
      <w:pPr>
        <w:pStyle w:val="BodyText"/>
      </w:pPr>
    </w:p>
    <w:p>
      <w:pPr>
        <w:pStyle w:val="BodyText"/>
        <w:spacing w:before="9"/>
        <w:rPr>
          <w:sz w:val="23"/>
        </w:rPr>
      </w:pPr>
    </w:p>
    <w:p>
      <w:pPr>
        <w:pStyle w:val="BodyText"/>
        <w:spacing w:line="360" w:lineRule="auto"/>
        <w:ind w:left="102" w:right="126"/>
        <w:jc w:val="both"/>
      </w:pPr>
      <w:r>
        <w:rPr/>
        <w:t>El territorio de la República de Costa Rica se divide en siete provincias: San José, Heredia,  Alajuela,  Cartago,  Guanacaste,  Limón  y  Puntarenas.  San  José     (la</w:t>
      </w:r>
    </w:p>
    <w:p>
      <w:pPr>
        <w:spacing w:after="0" w:line="360" w:lineRule="auto"/>
        <w:jc w:val="both"/>
        <w:sectPr>
          <w:pgSz w:w="12240" w:h="15840"/>
          <w:pgMar w:header="749" w:footer="1003" w:top="960" w:bottom="1200" w:left="1600" w:right="1580"/>
        </w:sectPr>
      </w:pPr>
    </w:p>
    <w:p>
      <w:pPr>
        <w:pStyle w:val="BodyText"/>
        <w:rPr>
          <w:sz w:val="20"/>
        </w:rPr>
      </w:pPr>
    </w:p>
    <w:p>
      <w:pPr>
        <w:pStyle w:val="BodyText"/>
        <w:spacing w:line="360" w:lineRule="auto" w:before="214"/>
        <w:ind w:left="102" w:right="116"/>
        <w:jc w:val="both"/>
      </w:pPr>
      <w:r>
        <w:rPr/>
        <w:t>provincia objeto de estudio) cuenta con una superficie de 4,965.90 km2 (INEC, 2012a), por lo que de entre las provincias que integran la República de Costa Rica ocupa el quinto lugar en cuanto a extensión territorial se refiere; se ubicó como  una provincia pequeña de acuerdo con su extensión territorial. Clasifiqué las provincias de acuerdo con su extensión territorial en cinco</w:t>
      </w:r>
      <w:r>
        <w:rPr>
          <w:spacing w:val="-18"/>
        </w:rPr>
        <w:t> </w:t>
      </w:r>
      <w:r>
        <w:rPr/>
        <w:t>grupos:</w:t>
      </w:r>
    </w:p>
    <w:p>
      <w:pPr>
        <w:pStyle w:val="BodyText"/>
      </w:pPr>
    </w:p>
    <w:p>
      <w:pPr>
        <w:pStyle w:val="ListParagraph"/>
        <w:numPr>
          <w:ilvl w:val="0"/>
          <w:numId w:val="12"/>
        </w:numPr>
        <w:tabs>
          <w:tab w:pos="810" w:val="left" w:leader="none"/>
        </w:tabs>
        <w:spacing w:line="360" w:lineRule="auto" w:before="139" w:after="0"/>
        <w:ind w:left="810" w:right="117" w:hanging="495"/>
        <w:jc w:val="both"/>
        <w:rPr>
          <w:sz w:val="24"/>
        </w:rPr>
      </w:pPr>
      <w:r>
        <w:rPr>
          <w:i/>
          <w:sz w:val="24"/>
        </w:rPr>
        <w:t>Muy Grandes </w:t>
      </w:r>
      <w:r>
        <w:rPr>
          <w:sz w:val="24"/>
        </w:rPr>
        <w:t>aquellas provincias que tienen una extensión territorial mayor o igual a los 10,000.00 km2. Aquí se ubicaron dos provincias: Puntarenas (11,265.69 km2) y Guanacaste (10,140.71</w:t>
      </w:r>
      <w:r>
        <w:rPr>
          <w:spacing w:val="-17"/>
          <w:sz w:val="24"/>
        </w:rPr>
        <w:t> </w:t>
      </w:r>
      <w:r>
        <w:rPr>
          <w:sz w:val="24"/>
        </w:rPr>
        <w:t>km2).</w:t>
      </w:r>
    </w:p>
    <w:p>
      <w:pPr>
        <w:pStyle w:val="ListParagraph"/>
        <w:numPr>
          <w:ilvl w:val="0"/>
          <w:numId w:val="12"/>
        </w:numPr>
        <w:tabs>
          <w:tab w:pos="810" w:val="left" w:leader="none"/>
        </w:tabs>
        <w:spacing w:line="360" w:lineRule="auto" w:before="3" w:after="0"/>
        <w:ind w:left="810" w:right="117" w:hanging="560"/>
        <w:jc w:val="both"/>
        <w:rPr>
          <w:sz w:val="24"/>
        </w:rPr>
      </w:pPr>
      <w:r>
        <w:rPr>
          <w:i/>
          <w:sz w:val="24"/>
        </w:rPr>
        <w:t>Grandes </w:t>
      </w:r>
      <w:r>
        <w:rPr>
          <w:sz w:val="24"/>
        </w:rPr>
        <w:t>son aquellas provincias cuya extensión territorial oscila entre 9,999.99 km2 y 8,000.00 km2. Aquí se situaron dos provincias: Alajuela (9,757.93 km2) y Limón (9,188.52</w:t>
      </w:r>
      <w:r>
        <w:rPr>
          <w:spacing w:val="-12"/>
          <w:sz w:val="24"/>
        </w:rPr>
        <w:t> </w:t>
      </w:r>
      <w:r>
        <w:rPr>
          <w:sz w:val="24"/>
        </w:rPr>
        <w:t>km2).</w:t>
      </w:r>
    </w:p>
    <w:p>
      <w:pPr>
        <w:pStyle w:val="ListParagraph"/>
        <w:numPr>
          <w:ilvl w:val="0"/>
          <w:numId w:val="12"/>
        </w:numPr>
        <w:tabs>
          <w:tab w:pos="810" w:val="left" w:leader="none"/>
        </w:tabs>
        <w:spacing w:line="362" w:lineRule="auto" w:before="0" w:after="0"/>
        <w:ind w:left="810" w:right="119" w:hanging="627"/>
        <w:jc w:val="both"/>
        <w:rPr>
          <w:sz w:val="24"/>
        </w:rPr>
      </w:pPr>
      <w:r>
        <w:rPr>
          <w:i/>
          <w:sz w:val="24"/>
        </w:rPr>
        <w:t>Medianas </w:t>
      </w:r>
      <w:r>
        <w:rPr>
          <w:sz w:val="24"/>
        </w:rPr>
        <w:t>son aquellas provincias cuya extensión territorial oscila entre 7,999.99 km2 y 6,000.00 km2. Aquí no se ubicaron</w:t>
      </w:r>
      <w:r>
        <w:rPr>
          <w:spacing w:val="-19"/>
          <w:sz w:val="24"/>
        </w:rPr>
        <w:t> </w:t>
      </w:r>
      <w:r>
        <w:rPr>
          <w:sz w:val="24"/>
        </w:rPr>
        <w:t>provincias.</w:t>
      </w:r>
    </w:p>
    <w:p>
      <w:pPr>
        <w:pStyle w:val="ListParagraph"/>
        <w:numPr>
          <w:ilvl w:val="0"/>
          <w:numId w:val="12"/>
        </w:numPr>
        <w:tabs>
          <w:tab w:pos="810" w:val="left" w:leader="none"/>
        </w:tabs>
        <w:spacing w:line="360" w:lineRule="auto" w:before="0" w:after="0"/>
        <w:ind w:left="810" w:right="117" w:hanging="653"/>
        <w:jc w:val="both"/>
        <w:rPr>
          <w:sz w:val="24"/>
        </w:rPr>
      </w:pPr>
      <w:r>
        <w:rPr>
          <w:i/>
          <w:sz w:val="24"/>
        </w:rPr>
        <w:t>Pequeñas </w:t>
      </w:r>
      <w:r>
        <w:rPr>
          <w:sz w:val="24"/>
        </w:rPr>
        <w:t>son aquellas provincias cuya extensión territorial oscila entre 5,999.99 km2 y 4,000.00 km2. Aquí se ubicó sólo la Provincia de San José (4,965.90</w:t>
      </w:r>
      <w:r>
        <w:rPr>
          <w:spacing w:val="-3"/>
          <w:sz w:val="24"/>
        </w:rPr>
        <w:t> </w:t>
      </w:r>
      <w:r>
        <w:rPr>
          <w:sz w:val="24"/>
        </w:rPr>
        <w:t>km2).</w:t>
      </w:r>
    </w:p>
    <w:p>
      <w:pPr>
        <w:pStyle w:val="ListParagraph"/>
        <w:numPr>
          <w:ilvl w:val="0"/>
          <w:numId w:val="12"/>
        </w:numPr>
        <w:tabs>
          <w:tab w:pos="810" w:val="left" w:leader="none"/>
        </w:tabs>
        <w:spacing w:line="360" w:lineRule="auto" w:before="3" w:after="0"/>
        <w:ind w:left="810" w:right="118" w:hanging="586"/>
        <w:jc w:val="both"/>
        <w:rPr>
          <w:sz w:val="24"/>
        </w:rPr>
      </w:pPr>
      <w:r>
        <w:rPr>
          <w:i/>
          <w:sz w:val="24"/>
        </w:rPr>
        <w:t>Muy pequeñas </w:t>
      </w:r>
      <w:r>
        <w:rPr>
          <w:sz w:val="24"/>
        </w:rPr>
        <w:t>son aquellas provincias cuya extensión territorial es igual o menor a 3,999.99 km2. Aquí se ubicaron dos provincias: Cartago (3,124.67 km2) y Heredia (2,656.98</w:t>
      </w:r>
      <w:r>
        <w:rPr>
          <w:spacing w:val="-10"/>
          <w:sz w:val="24"/>
        </w:rPr>
        <w:t> </w:t>
      </w:r>
      <w:r>
        <w:rPr>
          <w:sz w:val="24"/>
        </w:rPr>
        <w:t>km2).</w:t>
      </w:r>
    </w:p>
    <w:p>
      <w:pPr>
        <w:pStyle w:val="BodyText"/>
      </w:pPr>
    </w:p>
    <w:p>
      <w:pPr>
        <w:pStyle w:val="BodyText"/>
        <w:spacing w:line="360" w:lineRule="auto" w:before="142"/>
        <w:ind w:left="102" w:right="122" w:firstLine="347"/>
        <w:jc w:val="both"/>
      </w:pPr>
      <w:r>
        <w:rPr/>
        <w:t>Las siete provincias costarricenses se dividen en 81 cantones, 20 de ellos se ubican en la Provincia de San José. De acuerdo con su extensión territorial clasifiqué a los 81 cantones de Costa Rica en cinco grupos:</w:t>
      </w:r>
    </w:p>
    <w:p>
      <w:pPr>
        <w:pStyle w:val="BodyText"/>
      </w:pPr>
    </w:p>
    <w:p>
      <w:pPr>
        <w:pStyle w:val="ListParagraph"/>
        <w:numPr>
          <w:ilvl w:val="0"/>
          <w:numId w:val="13"/>
        </w:numPr>
        <w:tabs>
          <w:tab w:pos="810" w:val="left" w:leader="none"/>
        </w:tabs>
        <w:spacing w:line="362" w:lineRule="auto" w:before="139" w:after="0"/>
        <w:ind w:left="810" w:right="118" w:hanging="495"/>
        <w:jc w:val="both"/>
        <w:rPr>
          <w:sz w:val="24"/>
        </w:rPr>
      </w:pPr>
      <w:r>
        <w:rPr>
          <w:i/>
          <w:sz w:val="24"/>
        </w:rPr>
        <w:t>Muy grandes </w:t>
      </w:r>
      <w:r>
        <w:rPr>
          <w:sz w:val="24"/>
        </w:rPr>
        <w:t>son aquellos cantones que tienen una extensión territorial mayor o igual a 1000 km2, en este supuesto se situaron 19 cantones, entre ellos: Pérez Zeledón, San Ramón y San</w:t>
      </w:r>
      <w:r>
        <w:rPr>
          <w:spacing w:val="-21"/>
          <w:sz w:val="24"/>
        </w:rPr>
        <w:t> </w:t>
      </w:r>
      <w:r>
        <w:rPr>
          <w:sz w:val="24"/>
        </w:rPr>
        <w:t>Carlos.</w:t>
      </w:r>
    </w:p>
    <w:p>
      <w:pPr>
        <w:pStyle w:val="ListParagraph"/>
        <w:numPr>
          <w:ilvl w:val="0"/>
          <w:numId w:val="13"/>
        </w:numPr>
        <w:tabs>
          <w:tab w:pos="810" w:val="left" w:leader="none"/>
        </w:tabs>
        <w:spacing w:line="360" w:lineRule="auto" w:before="0" w:after="0"/>
        <w:ind w:left="810" w:right="118" w:hanging="560"/>
        <w:jc w:val="both"/>
        <w:rPr>
          <w:sz w:val="24"/>
        </w:rPr>
      </w:pPr>
      <w:r>
        <w:rPr>
          <w:i/>
          <w:sz w:val="24"/>
        </w:rPr>
        <w:t>Grandes </w:t>
      </w:r>
      <w:r>
        <w:rPr>
          <w:sz w:val="24"/>
        </w:rPr>
        <w:t>son aquellos cantones que tienen una extensión territorial que oscila entre 999 y 500 km2, en este grupo se ubicaron 14 cantones, como ejemplo se mencionan: Puriscal, Guatusco y</w:t>
      </w:r>
      <w:r>
        <w:rPr>
          <w:spacing w:val="-18"/>
          <w:sz w:val="24"/>
        </w:rPr>
        <w:t> </w:t>
      </w:r>
      <w:r>
        <w:rPr>
          <w:sz w:val="24"/>
        </w:rPr>
        <w:t>Barva.</w:t>
      </w:r>
    </w:p>
    <w:p>
      <w:pPr>
        <w:spacing w:after="0" w:line="360" w:lineRule="auto"/>
        <w:jc w:val="both"/>
        <w:rPr>
          <w:sz w:val="24"/>
        </w:rPr>
        <w:sectPr>
          <w:pgSz w:w="12240" w:h="15840"/>
          <w:pgMar w:header="749" w:footer="1003" w:top="960" w:bottom="1200" w:left="1600" w:right="1580"/>
        </w:sectPr>
      </w:pPr>
    </w:p>
    <w:p>
      <w:pPr>
        <w:pStyle w:val="BodyText"/>
        <w:rPr>
          <w:sz w:val="20"/>
        </w:rPr>
      </w:pPr>
    </w:p>
    <w:p>
      <w:pPr>
        <w:pStyle w:val="ListParagraph"/>
        <w:numPr>
          <w:ilvl w:val="0"/>
          <w:numId w:val="13"/>
        </w:numPr>
        <w:tabs>
          <w:tab w:pos="810" w:val="left" w:leader="none"/>
        </w:tabs>
        <w:spacing w:line="362" w:lineRule="auto" w:before="212" w:after="0"/>
        <w:ind w:left="810" w:right="117" w:hanging="627"/>
        <w:jc w:val="both"/>
        <w:rPr>
          <w:sz w:val="24"/>
        </w:rPr>
      </w:pPr>
      <w:r>
        <w:rPr>
          <w:i/>
          <w:sz w:val="24"/>
        </w:rPr>
        <w:t>Medianos </w:t>
      </w:r>
      <w:r>
        <w:rPr>
          <w:sz w:val="24"/>
        </w:rPr>
        <w:t>son los cantones cuya superficie territorial fluctúa entre 499 y 300 km2, en este conjunto se situaron 8 cantones, entre éstos: Tarrubares, Dota y</w:t>
      </w:r>
      <w:r>
        <w:rPr>
          <w:spacing w:val="-2"/>
          <w:sz w:val="24"/>
        </w:rPr>
        <w:t> </w:t>
      </w:r>
      <w:r>
        <w:rPr>
          <w:sz w:val="24"/>
        </w:rPr>
        <w:t>Acosta.</w:t>
      </w:r>
    </w:p>
    <w:p>
      <w:pPr>
        <w:pStyle w:val="ListParagraph"/>
        <w:numPr>
          <w:ilvl w:val="0"/>
          <w:numId w:val="13"/>
        </w:numPr>
        <w:tabs>
          <w:tab w:pos="810" w:val="left" w:leader="none"/>
        </w:tabs>
        <w:spacing w:line="360" w:lineRule="auto" w:before="0" w:after="0"/>
        <w:ind w:left="810" w:right="116" w:hanging="653"/>
        <w:jc w:val="both"/>
        <w:rPr>
          <w:sz w:val="24"/>
        </w:rPr>
      </w:pPr>
      <w:r>
        <w:rPr>
          <w:i/>
          <w:sz w:val="24"/>
        </w:rPr>
        <w:t>Pequeños </w:t>
      </w:r>
      <w:r>
        <w:rPr>
          <w:sz w:val="24"/>
        </w:rPr>
        <w:t>son aquellos municipios cuya superficie territorial oscila entre 299 y 100 km2, en este supuesto se encontraron 20 cantones, como ejemplo se señalan: Desamparados, Tarrazú y</w:t>
      </w:r>
      <w:r>
        <w:rPr>
          <w:spacing w:val="-22"/>
          <w:sz w:val="24"/>
        </w:rPr>
        <w:t> </w:t>
      </w:r>
      <w:r>
        <w:rPr>
          <w:sz w:val="24"/>
        </w:rPr>
        <w:t>Aserrí.</w:t>
      </w:r>
    </w:p>
    <w:p>
      <w:pPr>
        <w:pStyle w:val="ListParagraph"/>
        <w:numPr>
          <w:ilvl w:val="0"/>
          <w:numId w:val="13"/>
        </w:numPr>
        <w:tabs>
          <w:tab w:pos="810" w:val="left" w:leader="none"/>
        </w:tabs>
        <w:spacing w:line="360" w:lineRule="auto" w:before="0" w:after="0"/>
        <w:ind w:left="810" w:right="120" w:hanging="586"/>
        <w:jc w:val="both"/>
        <w:rPr>
          <w:sz w:val="24"/>
        </w:rPr>
      </w:pPr>
      <w:r>
        <w:rPr>
          <w:i/>
          <w:sz w:val="24"/>
        </w:rPr>
        <w:t>Muy pequeños </w:t>
      </w:r>
      <w:r>
        <w:rPr>
          <w:sz w:val="24"/>
        </w:rPr>
        <w:t>se consideran los cantones que tienen una superficie igual o menor a 99 km2, aquí se ubicaron 20 cantones, entre ellos: San José, Escazú y</w:t>
      </w:r>
      <w:r>
        <w:rPr>
          <w:spacing w:val="-7"/>
          <w:sz w:val="24"/>
        </w:rPr>
        <w:t> </w:t>
      </w:r>
      <w:r>
        <w:rPr>
          <w:sz w:val="24"/>
        </w:rPr>
        <w:t>Goicoechea.</w:t>
      </w:r>
    </w:p>
    <w:p>
      <w:pPr>
        <w:pStyle w:val="BodyText"/>
      </w:pPr>
    </w:p>
    <w:p>
      <w:pPr>
        <w:pStyle w:val="BodyText"/>
        <w:spacing w:line="360" w:lineRule="auto" w:before="142"/>
        <w:ind w:left="102" w:right="121" w:firstLine="707"/>
        <w:jc w:val="both"/>
      </w:pPr>
      <w:r>
        <w:rPr/>
        <w:t>Por lo que respecta a su extensión territorial Costa Rica es considerado un país mediano en el contexto mundial; y la Provincia de San José es pequeña en el contexto nacional pero equiparable en el contexto mundial con el territorio de países pequeños.</w:t>
      </w:r>
    </w:p>
    <w:p>
      <w:pPr>
        <w:pStyle w:val="BodyText"/>
      </w:pPr>
    </w:p>
    <w:p>
      <w:pPr>
        <w:pStyle w:val="ListParagraph"/>
        <w:numPr>
          <w:ilvl w:val="0"/>
          <w:numId w:val="11"/>
        </w:numPr>
        <w:tabs>
          <w:tab w:pos="2086" w:val="left" w:leader="none"/>
          <w:tab w:pos="2087" w:val="left" w:leader="none"/>
        </w:tabs>
        <w:spacing w:line="240" w:lineRule="auto" w:before="142" w:after="0"/>
        <w:ind w:left="2086" w:right="0" w:hanging="568"/>
        <w:jc w:val="left"/>
        <w:rPr>
          <w:sz w:val="24"/>
        </w:rPr>
      </w:pPr>
      <w:r>
        <w:rPr>
          <w:sz w:val="24"/>
        </w:rPr>
        <w:t>Población</w:t>
      </w:r>
      <w:r>
        <w:rPr>
          <w:spacing w:val="-5"/>
          <w:sz w:val="24"/>
        </w:rPr>
        <w:t> </w:t>
      </w:r>
      <w:r>
        <w:rPr>
          <w:sz w:val="24"/>
        </w:rPr>
        <w:t>nacional</w:t>
      </w:r>
    </w:p>
    <w:p>
      <w:pPr>
        <w:pStyle w:val="BodyText"/>
      </w:pPr>
    </w:p>
    <w:p>
      <w:pPr>
        <w:pStyle w:val="BodyText"/>
      </w:pPr>
    </w:p>
    <w:p>
      <w:pPr>
        <w:pStyle w:val="BodyText"/>
        <w:spacing w:line="360" w:lineRule="auto"/>
        <w:ind w:left="102" w:right="117"/>
        <w:jc w:val="both"/>
      </w:pPr>
      <w:r>
        <w:rPr/>
        <w:t>Por lo que respecta a su población, Costa Rica es un país pequeño tiene más de cuatro millones de habitantes (4,615, 518 habitantes) (INEC, 2012a); ocupa el lugar número 124 de entre los países del mundo de acuerdo con su población (Wikipedia, 2012b); lo anterior se puede observar en el capítulo relativo al contexto de México. La población de Costa Rica supera a la de países como Puerto Rico, Panamá o</w:t>
      </w:r>
      <w:r>
        <w:rPr>
          <w:spacing w:val="-8"/>
        </w:rPr>
        <w:t> </w:t>
      </w:r>
      <w:r>
        <w:rPr/>
        <w:t>Uruguay.</w:t>
      </w:r>
    </w:p>
    <w:p>
      <w:pPr>
        <w:pStyle w:val="BodyText"/>
      </w:pPr>
    </w:p>
    <w:p>
      <w:pPr>
        <w:pStyle w:val="ListParagraph"/>
        <w:numPr>
          <w:ilvl w:val="0"/>
          <w:numId w:val="11"/>
        </w:numPr>
        <w:tabs>
          <w:tab w:pos="2086" w:val="left" w:leader="none"/>
          <w:tab w:pos="2087" w:val="left" w:leader="none"/>
        </w:tabs>
        <w:spacing w:line="240" w:lineRule="auto" w:before="142" w:after="0"/>
        <w:ind w:left="2086" w:right="0" w:hanging="568"/>
        <w:jc w:val="left"/>
        <w:rPr>
          <w:sz w:val="24"/>
        </w:rPr>
      </w:pPr>
      <w:r>
        <w:rPr>
          <w:sz w:val="24"/>
        </w:rPr>
        <w:t>Población</w:t>
      </w:r>
      <w:r>
        <w:rPr>
          <w:spacing w:val="-5"/>
          <w:sz w:val="24"/>
        </w:rPr>
        <w:t> </w:t>
      </w:r>
      <w:r>
        <w:rPr>
          <w:sz w:val="24"/>
        </w:rPr>
        <w:t>provincial</w:t>
      </w:r>
    </w:p>
    <w:p>
      <w:pPr>
        <w:pStyle w:val="BodyText"/>
      </w:pPr>
    </w:p>
    <w:p>
      <w:pPr>
        <w:pStyle w:val="BodyText"/>
      </w:pPr>
    </w:p>
    <w:p>
      <w:pPr>
        <w:pStyle w:val="BodyText"/>
        <w:spacing w:line="360" w:lineRule="auto"/>
        <w:ind w:left="102" w:right="116"/>
        <w:jc w:val="both"/>
      </w:pPr>
      <w:r>
        <w:rPr/>
        <w:t>Al interior de las provincias la población de Costa Rica se encuentra distribuida desigualmente, por lo que unas cuentan con mayor población que otras. En su caso la Provincia de San José está clasificada como muy grande de acuerdo con su número de habitantes y es la más poblada del país (cuenta con 1, 658,075</w:t>
      </w:r>
    </w:p>
    <w:p>
      <w:pPr>
        <w:spacing w:after="0" w:line="360" w:lineRule="auto"/>
        <w:jc w:val="both"/>
        <w:sectPr>
          <w:pgSz w:w="12240" w:h="15840"/>
          <w:pgMar w:header="749" w:footer="1003" w:top="960" w:bottom="1200" w:left="1600" w:right="1580"/>
        </w:sectPr>
      </w:pPr>
    </w:p>
    <w:p>
      <w:pPr>
        <w:pStyle w:val="BodyText"/>
        <w:rPr>
          <w:sz w:val="20"/>
        </w:rPr>
      </w:pPr>
    </w:p>
    <w:p>
      <w:pPr>
        <w:pStyle w:val="BodyText"/>
        <w:spacing w:line="362" w:lineRule="auto" w:before="214"/>
        <w:ind w:left="102" w:right="120"/>
      </w:pPr>
      <w:r>
        <w:rPr/>
        <w:t>habitantes) (INEC, 2012). Las provincias de Costa Rica de acuerdo con su población se pueden clasificar en cinco grupos (INEC, 2012):</w:t>
      </w:r>
    </w:p>
    <w:p>
      <w:pPr>
        <w:pStyle w:val="BodyText"/>
        <w:spacing w:before="10"/>
        <w:rPr>
          <w:sz w:val="35"/>
        </w:rPr>
      </w:pPr>
    </w:p>
    <w:p>
      <w:pPr>
        <w:pStyle w:val="ListParagraph"/>
        <w:numPr>
          <w:ilvl w:val="0"/>
          <w:numId w:val="14"/>
        </w:numPr>
        <w:tabs>
          <w:tab w:pos="810" w:val="left" w:leader="none"/>
        </w:tabs>
        <w:spacing w:line="360" w:lineRule="auto" w:before="0" w:after="0"/>
        <w:ind w:left="810" w:right="118" w:hanging="495"/>
        <w:jc w:val="both"/>
        <w:rPr>
          <w:sz w:val="24"/>
        </w:rPr>
      </w:pPr>
      <w:r>
        <w:rPr>
          <w:i/>
          <w:sz w:val="24"/>
        </w:rPr>
        <w:t>Muy grandes </w:t>
      </w:r>
      <w:r>
        <w:rPr>
          <w:sz w:val="24"/>
        </w:rPr>
        <w:t>son las provincias que tienen una población mayor o igual a  un millón de habitantes. En este supuesto sólo se ubicó la Provincia de San José.</w:t>
      </w:r>
    </w:p>
    <w:p>
      <w:pPr>
        <w:pStyle w:val="ListParagraph"/>
        <w:numPr>
          <w:ilvl w:val="0"/>
          <w:numId w:val="14"/>
        </w:numPr>
        <w:tabs>
          <w:tab w:pos="810" w:val="left" w:leader="none"/>
        </w:tabs>
        <w:spacing w:line="360" w:lineRule="auto" w:before="0" w:after="0"/>
        <w:ind w:left="810" w:right="116" w:hanging="560"/>
        <w:jc w:val="both"/>
        <w:rPr>
          <w:sz w:val="24"/>
        </w:rPr>
      </w:pPr>
      <w:r>
        <w:rPr>
          <w:i/>
          <w:sz w:val="24"/>
        </w:rPr>
        <w:t>Grandes </w:t>
      </w:r>
      <w:r>
        <w:rPr>
          <w:sz w:val="24"/>
        </w:rPr>
        <w:t>son las provincias que tienen una población que oscila entre 999,999 y 800,000 habitantes. En este supuesto sólo se situó la Provincia de</w:t>
      </w:r>
      <w:r>
        <w:rPr>
          <w:spacing w:val="-4"/>
          <w:sz w:val="24"/>
        </w:rPr>
        <w:t> </w:t>
      </w:r>
      <w:r>
        <w:rPr>
          <w:sz w:val="24"/>
        </w:rPr>
        <w:t>Alajuela.</w:t>
      </w:r>
    </w:p>
    <w:p>
      <w:pPr>
        <w:pStyle w:val="ListParagraph"/>
        <w:numPr>
          <w:ilvl w:val="0"/>
          <w:numId w:val="14"/>
        </w:numPr>
        <w:tabs>
          <w:tab w:pos="810" w:val="left" w:leader="none"/>
        </w:tabs>
        <w:spacing w:line="360" w:lineRule="auto" w:before="3" w:after="0"/>
        <w:ind w:left="810" w:right="116" w:hanging="627"/>
        <w:jc w:val="both"/>
        <w:rPr>
          <w:sz w:val="24"/>
        </w:rPr>
      </w:pPr>
      <w:r>
        <w:rPr>
          <w:i/>
          <w:sz w:val="24"/>
        </w:rPr>
        <w:t>Medianas </w:t>
      </w:r>
      <w:r>
        <w:rPr>
          <w:sz w:val="24"/>
        </w:rPr>
        <w:t>son las provincias que tienen una población que oscila entre 799,999 y 600,000 habitantes. En este supuesto no se ubicó ninguna provincia.</w:t>
      </w:r>
    </w:p>
    <w:p>
      <w:pPr>
        <w:pStyle w:val="ListParagraph"/>
        <w:numPr>
          <w:ilvl w:val="0"/>
          <w:numId w:val="14"/>
        </w:numPr>
        <w:tabs>
          <w:tab w:pos="810" w:val="left" w:leader="none"/>
        </w:tabs>
        <w:spacing w:line="360" w:lineRule="auto" w:before="0" w:after="0"/>
        <w:ind w:left="810" w:right="115" w:hanging="653"/>
        <w:jc w:val="both"/>
        <w:rPr>
          <w:sz w:val="24"/>
        </w:rPr>
      </w:pPr>
      <w:r>
        <w:rPr>
          <w:i/>
          <w:sz w:val="24"/>
        </w:rPr>
        <w:t>Pequeñas </w:t>
      </w:r>
      <w:r>
        <w:rPr>
          <w:sz w:val="24"/>
        </w:rPr>
        <w:t>son las provincias que tienen una población que oscila entre 599,999 habitantes y 400,000 habitantes. En este supuesto se ubicaron las provincias de: Heredia, Cartago y Punta</w:t>
      </w:r>
      <w:r>
        <w:rPr>
          <w:spacing w:val="-14"/>
          <w:sz w:val="24"/>
        </w:rPr>
        <w:t> </w:t>
      </w:r>
      <w:r>
        <w:rPr>
          <w:sz w:val="24"/>
        </w:rPr>
        <w:t>Arenas.</w:t>
      </w:r>
    </w:p>
    <w:p>
      <w:pPr>
        <w:pStyle w:val="ListParagraph"/>
        <w:numPr>
          <w:ilvl w:val="0"/>
          <w:numId w:val="14"/>
        </w:numPr>
        <w:tabs>
          <w:tab w:pos="810" w:val="left" w:leader="none"/>
        </w:tabs>
        <w:spacing w:line="362" w:lineRule="auto" w:before="2" w:after="0"/>
        <w:ind w:left="810" w:right="118" w:hanging="586"/>
        <w:jc w:val="both"/>
        <w:rPr>
          <w:sz w:val="24"/>
        </w:rPr>
      </w:pPr>
      <w:r>
        <w:rPr>
          <w:i/>
          <w:sz w:val="24"/>
        </w:rPr>
        <w:t>Muy pequeñas </w:t>
      </w:r>
      <w:r>
        <w:rPr>
          <w:sz w:val="24"/>
        </w:rPr>
        <w:t>son las provincias que tienen una población menor o igual a 399,999 habitantes. En este supuesto se ubicaron dos provincias: Limón y Guanacaste.</w:t>
      </w:r>
    </w:p>
    <w:p>
      <w:pPr>
        <w:pStyle w:val="BodyText"/>
      </w:pPr>
    </w:p>
    <w:p>
      <w:pPr>
        <w:pStyle w:val="BodyText"/>
        <w:spacing w:line="360" w:lineRule="auto" w:before="139"/>
        <w:ind w:left="102" w:right="118" w:firstLine="347"/>
        <w:jc w:val="both"/>
      </w:pPr>
      <w:r>
        <w:rPr/>
        <w:t>Si comparamos la población de la Provincia de San José con la de otros países tenemos que su número de habitantes equivale al de países clasificados como pequeños.</w:t>
      </w:r>
    </w:p>
    <w:p>
      <w:pPr>
        <w:pStyle w:val="BodyText"/>
        <w:spacing w:line="360" w:lineRule="auto" w:before="2"/>
        <w:ind w:left="102" w:right="122" w:firstLine="347"/>
        <w:jc w:val="both"/>
      </w:pPr>
      <w:r>
        <w:rPr/>
        <w:t>En la Provincia de San José, al interior de sus cantones, la población se encuentra distribuida de forma inequitativa, lo cual se observa en el número de habitantes con que cuenta cada cantón. De acuerdo con su población los 20 cantones que integran la Provincia de San José se pueden clasificar en tres  grupos (TSE,</w:t>
      </w:r>
      <w:r>
        <w:rPr>
          <w:spacing w:val="-3"/>
        </w:rPr>
        <w:t> </w:t>
      </w:r>
      <w:r>
        <w:rPr/>
        <w:t>s/f):</w:t>
      </w:r>
    </w:p>
    <w:p>
      <w:pPr>
        <w:pStyle w:val="BodyText"/>
      </w:pPr>
    </w:p>
    <w:p>
      <w:pPr>
        <w:pStyle w:val="ListParagraph"/>
        <w:numPr>
          <w:ilvl w:val="0"/>
          <w:numId w:val="15"/>
        </w:numPr>
        <w:tabs>
          <w:tab w:pos="810" w:val="left" w:leader="none"/>
        </w:tabs>
        <w:spacing w:line="360" w:lineRule="auto" w:before="139" w:after="0"/>
        <w:ind w:left="810" w:right="125" w:hanging="495"/>
        <w:jc w:val="both"/>
        <w:rPr>
          <w:sz w:val="24"/>
        </w:rPr>
      </w:pPr>
      <w:r>
        <w:rPr>
          <w:i/>
          <w:sz w:val="24"/>
        </w:rPr>
        <w:t>Grandes </w:t>
      </w:r>
      <w:r>
        <w:rPr>
          <w:sz w:val="24"/>
        </w:rPr>
        <w:t>son los cantones que tienen una población mayor o igual a 300,000 habitantes. En este supuesto sólo se ubicó el cantón de San</w:t>
      </w:r>
      <w:r>
        <w:rPr>
          <w:spacing w:val="-23"/>
          <w:sz w:val="24"/>
        </w:rPr>
        <w:t> </w:t>
      </w:r>
      <w:r>
        <w:rPr>
          <w:sz w:val="24"/>
        </w:rPr>
        <w:t>José.</w:t>
      </w:r>
    </w:p>
    <w:p>
      <w:pPr>
        <w:spacing w:after="0" w:line="360" w:lineRule="auto"/>
        <w:jc w:val="both"/>
        <w:rPr>
          <w:sz w:val="24"/>
        </w:rPr>
        <w:sectPr>
          <w:pgSz w:w="12240" w:h="15840"/>
          <w:pgMar w:header="749" w:footer="1003" w:top="960" w:bottom="1200" w:left="1600" w:right="1580"/>
        </w:sectPr>
      </w:pPr>
    </w:p>
    <w:p>
      <w:pPr>
        <w:pStyle w:val="BodyText"/>
        <w:rPr>
          <w:sz w:val="20"/>
        </w:rPr>
      </w:pPr>
    </w:p>
    <w:p>
      <w:pPr>
        <w:pStyle w:val="ListParagraph"/>
        <w:numPr>
          <w:ilvl w:val="0"/>
          <w:numId w:val="15"/>
        </w:numPr>
        <w:tabs>
          <w:tab w:pos="810" w:val="left" w:leader="none"/>
        </w:tabs>
        <w:spacing w:line="362" w:lineRule="auto" w:before="212" w:after="0"/>
        <w:ind w:left="810" w:right="117" w:hanging="560"/>
        <w:jc w:val="both"/>
        <w:rPr>
          <w:sz w:val="24"/>
        </w:rPr>
      </w:pPr>
      <w:r>
        <w:rPr>
          <w:i/>
          <w:sz w:val="24"/>
        </w:rPr>
        <w:t>Medianos </w:t>
      </w:r>
      <w:r>
        <w:rPr>
          <w:sz w:val="24"/>
        </w:rPr>
        <w:t>son los cantones que tienen una población que oscila entre los 299,999 y los 100,000 habitantes. En este lugar se ubicaron cinco cantones, entre ellos: Desamparados, Mora y</w:t>
      </w:r>
      <w:r>
        <w:rPr>
          <w:spacing w:val="-17"/>
          <w:sz w:val="24"/>
        </w:rPr>
        <w:t> </w:t>
      </w:r>
      <w:r>
        <w:rPr>
          <w:sz w:val="24"/>
        </w:rPr>
        <w:t>Goicoechea.</w:t>
      </w:r>
    </w:p>
    <w:p>
      <w:pPr>
        <w:pStyle w:val="ListParagraph"/>
        <w:numPr>
          <w:ilvl w:val="0"/>
          <w:numId w:val="15"/>
        </w:numPr>
        <w:tabs>
          <w:tab w:pos="810" w:val="left" w:leader="none"/>
        </w:tabs>
        <w:spacing w:line="360" w:lineRule="auto" w:before="0" w:after="0"/>
        <w:ind w:left="810" w:right="119" w:hanging="627"/>
        <w:jc w:val="both"/>
        <w:rPr>
          <w:sz w:val="24"/>
        </w:rPr>
      </w:pPr>
      <w:r>
        <w:rPr>
          <w:i/>
          <w:sz w:val="24"/>
        </w:rPr>
        <w:t>Pequeños </w:t>
      </w:r>
      <w:r>
        <w:rPr>
          <w:sz w:val="24"/>
        </w:rPr>
        <w:t>son los cantones que tienen una población menor o igual a 99,999 habitantes. En este supuesto se situaron 14 cantones, ejemplo de éstos son: Escazú, Puriscal y</w:t>
      </w:r>
      <w:r>
        <w:rPr>
          <w:spacing w:val="-17"/>
          <w:sz w:val="24"/>
        </w:rPr>
        <w:t> </w:t>
      </w:r>
      <w:r>
        <w:rPr>
          <w:sz w:val="24"/>
        </w:rPr>
        <w:t>Tarrazú.</w:t>
      </w:r>
    </w:p>
    <w:p>
      <w:pPr>
        <w:pStyle w:val="BodyText"/>
      </w:pPr>
    </w:p>
    <w:p>
      <w:pPr>
        <w:pStyle w:val="BodyText"/>
        <w:spacing w:line="360" w:lineRule="auto" w:before="142"/>
        <w:ind w:left="102" w:right="117" w:firstLine="707"/>
        <w:jc w:val="both"/>
      </w:pPr>
      <w:r>
        <w:rPr/>
        <w:t>En síntesis por lo que se refiere a su población: la República de Costa Rica y la Provincia de San José, resultan significativas en el contexto mundial debido a su número de habitantes.</w:t>
      </w:r>
    </w:p>
    <w:p>
      <w:pPr>
        <w:pStyle w:val="BodyText"/>
      </w:pPr>
    </w:p>
    <w:p>
      <w:pPr>
        <w:pStyle w:val="ListParagraph"/>
        <w:numPr>
          <w:ilvl w:val="0"/>
          <w:numId w:val="11"/>
        </w:numPr>
        <w:tabs>
          <w:tab w:pos="2086" w:val="left" w:leader="none"/>
          <w:tab w:pos="2087" w:val="left" w:leader="none"/>
        </w:tabs>
        <w:spacing w:line="240" w:lineRule="auto" w:before="142" w:after="0"/>
        <w:ind w:left="2086" w:right="0" w:hanging="568"/>
        <w:jc w:val="left"/>
        <w:rPr>
          <w:sz w:val="24"/>
        </w:rPr>
      </w:pPr>
      <w:r>
        <w:rPr>
          <w:sz w:val="24"/>
        </w:rPr>
        <w:t>Densidad</w:t>
      </w:r>
      <w:r>
        <w:rPr>
          <w:spacing w:val="-5"/>
          <w:sz w:val="24"/>
        </w:rPr>
        <w:t> </w:t>
      </w:r>
      <w:r>
        <w:rPr>
          <w:sz w:val="24"/>
        </w:rPr>
        <w:t>nacional</w:t>
      </w:r>
    </w:p>
    <w:p>
      <w:pPr>
        <w:pStyle w:val="BodyText"/>
        <w:spacing w:before="10"/>
        <w:rPr>
          <w:sz w:val="35"/>
        </w:rPr>
      </w:pPr>
    </w:p>
    <w:p>
      <w:pPr>
        <w:pStyle w:val="BodyText"/>
        <w:spacing w:line="360" w:lineRule="auto"/>
        <w:ind w:left="102" w:right="115"/>
        <w:jc w:val="both"/>
      </w:pPr>
      <w:r>
        <w:rPr/>
        <w:t>La República de Costa Rica tiene una densidad de población baja, 84 habitantes por kilómetro cuadrado como se indica en la clasificación de países por densidad de población estudiada en el capítulo relativo al contexto de México. Costa Rica ocupa el lugar número 117 de entre 243 países clasificados por su densidad de población (Wikipedia, 2012c). Los datos relativos a la densidad demográfica los elaboré tomando información de los incisos a) y c) vistos anteriormente.</w:t>
      </w:r>
    </w:p>
    <w:p>
      <w:pPr>
        <w:pStyle w:val="BodyText"/>
      </w:pPr>
    </w:p>
    <w:p>
      <w:pPr>
        <w:pStyle w:val="ListParagraph"/>
        <w:numPr>
          <w:ilvl w:val="0"/>
          <w:numId w:val="11"/>
        </w:numPr>
        <w:tabs>
          <w:tab w:pos="2086" w:val="left" w:leader="none"/>
          <w:tab w:pos="2087" w:val="left" w:leader="none"/>
        </w:tabs>
        <w:spacing w:line="240" w:lineRule="auto" w:before="142" w:after="0"/>
        <w:ind w:left="2086" w:right="0" w:hanging="568"/>
        <w:jc w:val="left"/>
        <w:rPr>
          <w:sz w:val="24"/>
        </w:rPr>
      </w:pPr>
      <w:r>
        <w:rPr>
          <w:sz w:val="24"/>
        </w:rPr>
        <w:t>Densidad</w:t>
      </w:r>
      <w:r>
        <w:rPr>
          <w:spacing w:val="-3"/>
          <w:sz w:val="24"/>
        </w:rPr>
        <w:t> </w:t>
      </w:r>
      <w:r>
        <w:rPr>
          <w:sz w:val="24"/>
        </w:rPr>
        <w:t>provincial</w:t>
      </w:r>
    </w:p>
    <w:p>
      <w:pPr>
        <w:pStyle w:val="BodyText"/>
      </w:pPr>
    </w:p>
    <w:p>
      <w:pPr>
        <w:pStyle w:val="BodyText"/>
      </w:pPr>
    </w:p>
    <w:p>
      <w:pPr>
        <w:pStyle w:val="BodyText"/>
        <w:spacing w:line="360" w:lineRule="auto"/>
        <w:ind w:left="102" w:right="115"/>
        <w:jc w:val="both"/>
      </w:pPr>
      <w:r>
        <w:rPr/>
        <w:t>En el ámbito provincial la distribución de la población es desigual, por lo que hay provincias con más densidad poblacional que otras. La Provincia de San José cuenta con una densidad de población de 333.89 habitantes por kilómetro cuadrado (INEC, 2012a), por lo que ocupa el primer lugar en densidad de población de entre las provincias que integran la República de Costa Rica. Dichas provincias de acuerdo con su densidad poblacional, según datos del INEC (2012a) se pueden clasificar en:</w:t>
      </w:r>
    </w:p>
    <w:p>
      <w:pPr>
        <w:spacing w:after="0" w:line="360" w:lineRule="auto"/>
        <w:jc w:val="both"/>
        <w:sectPr>
          <w:pgSz w:w="12240" w:h="15840"/>
          <w:pgMar w:header="749" w:footer="1003" w:top="960" w:bottom="1200" w:left="1600" w:right="1580"/>
        </w:sectPr>
      </w:pPr>
    </w:p>
    <w:p>
      <w:pPr>
        <w:pStyle w:val="BodyText"/>
        <w:rPr>
          <w:sz w:val="20"/>
        </w:rPr>
      </w:pPr>
    </w:p>
    <w:p>
      <w:pPr>
        <w:pStyle w:val="ListParagraph"/>
        <w:numPr>
          <w:ilvl w:val="0"/>
          <w:numId w:val="16"/>
        </w:numPr>
        <w:tabs>
          <w:tab w:pos="810" w:val="left" w:leader="none"/>
        </w:tabs>
        <w:spacing w:line="360" w:lineRule="auto" w:before="214" w:after="0"/>
        <w:ind w:left="810" w:right="117" w:hanging="495"/>
        <w:jc w:val="both"/>
        <w:rPr>
          <w:sz w:val="24"/>
        </w:rPr>
      </w:pPr>
      <w:r>
        <w:rPr>
          <w:sz w:val="24"/>
        </w:rPr>
        <w:t>Muy densamente pobladas se consideran aquellas provincias cuya densidad de población es igual o mayor a los 300 habitantes por km2. En este caso sólo se ubicó la Provincia de San José (333.89</w:t>
      </w:r>
      <w:r>
        <w:rPr>
          <w:spacing w:val="-20"/>
          <w:sz w:val="24"/>
        </w:rPr>
        <w:t> </w:t>
      </w:r>
      <w:r>
        <w:rPr>
          <w:sz w:val="24"/>
        </w:rPr>
        <w:t>habitantes/km2).</w:t>
      </w:r>
    </w:p>
    <w:p>
      <w:pPr>
        <w:pStyle w:val="ListParagraph"/>
        <w:numPr>
          <w:ilvl w:val="0"/>
          <w:numId w:val="16"/>
        </w:numPr>
        <w:tabs>
          <w:tab w:pos="810" w:val="left" w:leader="none"/>
        </w:tabs>
        <w:spacing w:line="360" w:lineRule="auto" w:before="2" w:after="0"/>
        <w:ind w:left="810" w:right="116" w:hanging="560"/>
        <w:jc w:val="both"/>
        <w:rPr>
          <w:sz w:val="24"/>
        </w:rPr>
      </w:pPr>
      <w:r>
        <w:rPr>
          <w:i/>
          <w:sz w:val="24"/>
        </w:rPr>
        <w:t>Densamente pobladas </w:t>
      </w:r>
      <w:r>
        <w:rPr>
          <w:sz w:val="24"/>
        </w:rPr>
        <w:t>se consideran aquellas provincias cuya densidad de población oscila entre 299 y 200 habitantes por km2. En este caso no se situó ninguna</w:t>
      </w:r>
      <w:r>
        <w:rPr>
          <w:spacing w:val="-10"/>
          <w:sz w:val="24"/>
        </w:rPr>
        <w:t> </w:t>
      </w:r>
      <w:r>
        <w:rPr>
          <w:sz w:val="24"/>
        </w:rPr>
        <w:t>provincia.</w:t>
      </w:r>
    </w:p>
    <w:p>
      <w:pPr>
        <w:pStyle w:val="ListParagraph"/>
        <w:numPr>
          <w:ilvl w:val="0"/>
          <w:numId w:val="16"/>
        </w:numPr>
        <w:tabs>
          <w:tab w:pos="810" w:val="left" w:leader="none"/>
        </w:tabs>
        <w:spacing w:line="362" w:lineRule="auto" w:before="0" w:after="0"/>
        <w:ind w:left="810" w:right="118" w:hanging="627"/>
        <w:jc w:val="both"/>
        <w:rPr>
          <w:sz w:val="24"/>
        </w:rPr>
      </w:pPr>
      <w:r>
        <w:rPr>
          <w:sz w:val="24"/>
        </w:rPr>
        <w:t>Con una </w:t>
      </w:r>
      <w:r>
        <w:rPr>
          <w:i/>
          <w:sz w:val="24"/>
        </w:rPr>
        <w:t>densidad media </w:t>
      </w:r>
      <w:r>
        <w:rPr>
          <w:sz w:val="24"/>
        </w:rPr>
        <w:t>se consideraron aquellas provincias cuya densidad de población oscilaba entre los 199 y los 100 habitantes por km2. En este caso se ubicaron dos provincias: Cartago (164.94 hab/km2) y Heredia (171.15</w:t>
      </w:r>
      <w:r>
        <w:rPr>
          <w:spacing w:val="-6"/>
          <w:sz w:val="24"/>
        </w:rPr>
        <w:t> </w:t>
      </w:r>
      <w:r>
        <w:rPr>
          <w:sz w:val="24"/>
        </w:rPr>
        <w:t>hab/km2).</w:t>
      </w:r>
    </w:p>
    <w:p>
      <w:pPr>
        <w:pStyle w:val="ListParagraph"/>
        <w:numPr>
          <w:ilvl w:val="0"/>
          <w:numId w:val="16"/>
        </w:numPr>
        <w:tabs>
          <w:tab w:pos="810" w:val="left" w:leader="none"/>
        </w:tabs>
        <w:spacing w:line="360" w:lineRule="auto" w:before="0" w:after="0"/>
        <w:ind w:left="810" w:right="117" w:hanging="653"/>
        <w:jc w:val="both"/>
        <w:rPr>
          <w:sz w:val="24"/>
        </w:rPr>
      </w:pPr>
      <w:r>
        <w:rPr>
          <w:sz w:val="24"/>
        </w:rPr>
        <w:t>Con una </w:t>
      </w:r>
      <w:r>
        <w:rPr>
          <w:i/>
          <w:sz w:val="24"/>
        </w:rPr>
        <w:t>baja densidad de población </w:t>
      </w:r>
      <w:r>
        <w:rPr>
          <w:sz w:val="24"/>
        </w:rPr>
        <w:t>se consideran  aquellas provincias cuya densidad de población oscila entre 99 y 50 habitantes por km2. En este caso sólo se ubicó Alajuela (90.75</w:t>
      </w:r>
      <w:r>
        <w:rPr>
          <w:spacing w:val="-16"/>
          <w:sz w:val="24"/>
        </w:rPr>
        <w:t> </w:t>
      </w:r>
      <w:r>
        <w:rPr>
          <w:sz w:val="24"/>
        </w:rPr>
        <w:t>habitantes/km2).</w:t>
      </w:r>
    </w:p>
    <w:p>
      <w:pPr>
        <w:pStyle w:val="ListParagraph"/>
        <w:numPr>
          <w:ilvl w:val="0"/>
          <w:numId w:val="16"/>
        </w:numPr>
        <w:tabs>
          <w:tab w:pos="810" w:val="left" w:leader="none"/>
        </w:tabs>
        <w:spacing w:line="360" w:lineRule="auto" w:before="2" w:after="0"/>
        <w:ind w:left="810" w:right="119" w:hanging="586"/>
        <w:jc w:val="both"/>
        <w:rPr>
          <w:sz w:val="24"/>
        </w:rPr>
      </w:pPr>
      <w:r>
        <w:rPr>
          <w:sz w:val="24"/>
        </w:rPr>
        <w:t>Con una </w:t>
      </w:r>
      <w:r>
        <w:rPr>
          <w:i/>
          <w:sz w:val="24"/>
        </w:rPr>
        <w:t>muy baja densidad de población </w:t>
      </w:r>
      <w:r>
        <w:rPr>
          <w:sz w:val="24"/>
        </w:rPr>
        <w:t>se consideran aquellas provincias cuya densidad de población es menor o igual a 49.99 habitantes por km2. En este caso se ubicaron tres provincias: Limón (49.15 hab/km2), Puntarenas (32.70 hab/km2) y Guanacaste (27.63</w:t>
      </w:r>
      <w:r>
        <w:rPr>
          <w:spacing w:val="-22"/>
          <w:sz w:val="24"/>
        </w:rPr>
        <w:t> </w:t>
      </w:r>
      <w:r>
        <w:rPr>
          <w:sz w:val="24"/>
        </w:rPr>
        <w:t>hab/km2).</w:t>
      </w:r>
    </w:p>
    <w:p>
      <w:pPr>
        <w:pStyle w:val="BodyText"/>
      </w:pPr>
    </w:p>
    <w:p>
      <w:pPr>
        <w:pStyle w:val="BodyText"/>
        <w:spacing w:line="360" w:lineRule="auto" w:before="142"/>
        <w:ind w:left="102" w:right="117" w:firstLine="707"/>
        <w:jc w:val="both"/>
      </w:pPr>
      <w:r>
        <w:rPr/>
        <w:t>Llama la atención la distancia que existe entre la densidad de población del primer y el segundo lugar, ya que va de 333.89 habitantes en la Provincia de San José a 171.75 en la Provincia de Heredia (casi el doble), siendo la Provincia de Guanacaste la que tiene la densidad más baja. Por su parte San José, la provincia más poblada, cuenta con las dos ciudades más grandes en población de Costa Rica: la ciudad de San José (cabecera cantonal de San José) y la ciudad de San Juan de Tibás (cabecera del cantón de Tibás), ambas forman parte del área metropolitana de la Provincia de San José.</w:t>
      </w:r>
    </w:p>
    <w:p>
      <w:pPr>
        <w:pStyle w:val="BodyText"/>
        <w:spacing w:line="360" w:lineRule="auto" w:before="3"/>
        <w:ind w:left="102" w:right="117" w:firstLine="707"/>
        <w:jc w:val="both"/>
      </w:pPr>
      <w:r>
        <w:rPr/>
        <w:t>La densidad poblacional en los cantones que integran la Provincia de San José es desigual, por lo que existen cantones más densamente poblados que otros; por ejemplo: el cantón de San José que pertenece a la provincia del mismo nombre, tiene una densidad de población de 6,445.96 habitantes por km2, por lo que está clasificado como muy poblado, es el segundo cantón más poblado de   la</w:t>
      </w:r>
    </w:p>
    <w:p>
      <w:pPr>
        <w:spacing w:after="0" w:line="360" w:lineRule="auto"/>
        <w:jc w:val="both"/>
        <w:sectPr>
          <w:pgSz w:w="12240" w:h="15840"/>
          <w:pgMar w:header="749" w:footer="1003" w:top="960" w:bottom="1200" w:left="1600" w:right="1580"/>
        </w:sectPr>
      </w:pPr>
    </w:p>
    <w:p>
      <w:pPr>
        <w:pStyle w:val="BodyText"/>
        <w:rPr>
          <w:sz w:val="20"/>
        </w:rPr>
      </w:pPr>
    </w:p>
    <w:p>
      <w:pPr>
        <w:pStyle w:val="BodyText"/>
        <w:spacing w:line="362" w:lineRule="auto" w:before="214"/>
        <w:ind w:left="102" w:right="120"/>
      </w:pPr>
      <w:r>
        <w:rPr/>
        <w:t>Provincia de San José y del país, sólo lo supera Tibás con 7,955.09 habitantes por km2.</w:t>
      </w:r>
    </w:p>
    <w:p>
      <w:pPr>
        <w:pStyle w:val="BodyText"/>
        <w:spacing w:line="360" w:lineRule="auto"/>
        <w:ind w:left="102" w:right="118" w:firstLine="707"/>
        <w:jc w:val="both"/>
      </w:pPr>
      <w:r>
        <w:rPr/>
        <w:t>La Provincia de San José tiene 20 cantones, los cuales clasifiqué de acuerdo a su densidad de población en cuatro grupos:</w:t>
      </w:r>
    </w:p>
    <w:p>
      <w:pPr>
        <w:pStyle w:val="BodyText"/>
      </w:pPr>
    </w:p>
    <w:p>
      <w:pPr>
        <w:pStyle w:val="ListParagraph"/>
        <w:numPr>
          <w:ilvl w:val="0"/>
          <w:numId w:val="17"/>
        </w:numPr>
        <w:tabs>
          <w:tab w:pos="810" w:val="left" w:leader="none"/>
        </w:tabs>
        <w:spacing w:line="360" w:lineRule="auto" w:before="139" w:after="0"/>
        <w:ind w:left="810" w:right="117" w:hanging="495"/>
        <w:jc w:val="both"/>
        <w:rPr>
          <w:sz w:val="24"/>
        </w:rPr>
      </w:pPr>
      <w:r>
        <w:rPr>
          <w:i/>
          <w:sz w:val="24"/>
        </w:rPr>
        <w:t>Muy densamente poblados </w:t>
      </w:r>
      <w:r>
        <w:rPr>
          <w:sz w:val="24"/>
        </w:rPr>
        <w:t>se consideran aquellos cantones cuya densidad de población es igual o mayor a los 5,000 habitantes por km2. En este caso se ubicaron dos cantones: Tibás (7,955.09hab/km2) y San José (6,445.96 habitante/km2).</w:t>
      </w:r>
    </w:p>
    <w:p>
      <w:pPr>
        <w:pStyle w:val="ListParagraph"/>
        <w:numPr>
          <w:ilvl w:val="0"/>
          <w:numId w:val="17"/>
        </w:numPr>
        <w:tabs>
          <w:tab w:pos="810" w:val="left" w:leader="none"/>
        </w:tabs>
        <w:spacing w:line="360" w:lineRule="auto" w:before="3" w:after="0"/>
        <w:ind w:left="810" w:right="117" w:hanging="560"/>
        <w:jc w:val="both"/>
        <w:rPr>
          <w:sz w:val="24"/>
        </w:rPr>
      </w:pPr>
      <w:r>
        <w:rPr>
          <w:i/>
          <w:sz w:val="24"/>
        </w:rPr>
        <w:t>Densamente poblados </w:t>
      </w:r>
      <w:r>
        <w:rPr>
          <w:sz w:val="24"/>
        </w:rPr>
        <w:t>se consideran aquellos cantones cuya densidad de población oscila entre los 4,999 y los 2,000 habitantes por km2. En este caso se situaron cuatro cantones: Goicoechea (3,642.41hab/km2), Alajuelita (3,675.05 habitantes/km2), Montes de Oca (3,232.18 habitantes/km2) y Curridabat (4,077.36</w:t>
      </w:r>
      <w:r>
        <w:rPr>
          <w:spacing w:val="-9"/>
          <w:sz w:val="24"/>
        </w:rPr>
        <w:t> </w:t>
      </w:r>
      <w:r>
        <w:rPr>
          <w:sz w:val="24"/>
        </w:rPr>
        <w:t>habitantes/km2).</w:t>
      </w:r>
    </w:p>
    <w:p>
      <w:pPr>
        <w:pStyle w:val="ListParagraph"/>
        <w:numPr>
          <w:ilvl w:val="0"/>
          <w:numId w:val="17"/>
        </w:numPr>
        <w:tabs>
          <w:tab w:pos="810" w:val="left" w:leader="none"/>
        </w:tabs>
        <w:spacing w:line="360" w:lineRule="auto" w:before="0" w:after="0"/>
        <w:ind w:left="810" w:right="117" w:hanging="627"/>
        <w:jc w:val="both"/>
        <w:rPr>
          <w:sz w:val="24"/>
        </w:rPr>
      </w:pPr>
      <w:r>
        <w:rPr>
          <w:sz w:val="24"/>
        </w:rPr>
        <w:t>Con una </w:t>
      </w:r>
      <w:r>
        <w:rPr>
          <w:i/>
          <w:sz w:val="24"/>
        </w:rPr>
        <w:t>densidad media </w:t>
      </w:r>
      <w:r>
        <w:rPr>
          <w:sz w:val="24"/>
        </w:rPr>
        <w:t>se consideran aquellos cantones cuya densidad de población oscila entre los 1,999 y los 100 habitantes por km2. En este caso se localizaron ocho cantones: Escazú (1,644.91hab/km2), Desamparados (1,751.07 habitantes/km2), Aserrí (349 habitantes/km2), Mora (161.89 habitantes/km2), Santa Ana (795.81 habitantes/km2), Vásquez de Coronado (274.9 habitantes/km2), Moravia (1,761.67 habitantes/km2) y León Cortés Castro (101</w:t>
      </w:r>
      <w:r>
        <w:rPr>
          <w:spacing w:val="-15"/>
          <w:sz w:val="24"/>
        </w:rPr>
        <w:t> </w:t>
      </w:r>
      <w:r>
        <w:rPr>
          <w:sz w:val="24"/>
        </w:rPr>
        <w:t>habitantes/km2).</w:t>
      </w:r>
    </w:p>
    <w:p>
      <w:pPr>
        <w:pStyle w:val="ListParagraph"/>
        <w:numPr>
          <w:ilvl w:val="0"/>
          <w:numId w:val="17"/>
        </w:numPr>
        <w:tabs>
          <w:tab w:pos="810" w:val="left" w:leader="none"/>
        </w:tabs>
        <w:spacing w:line="360" w:lineRule="auto" w:before="2" w:after="0"/>
        <w:ind w:left="810" w:right="115" w:hanging="653"/>
        <w:jc w:val="both"/>
        <w:rPr>
          <w:sz w:val="24"/>
        </w:rPr>
      </w:pPr>
      <w:r>
        <w:rPr>
          <w:sz w:val="24"/>
        </w:rPr>
        <w:t>Se ubican como cantones con una </w:t>
      </w:r>
      <w:r>
        <w:rPr>
          <w:i/>
          <w:sz w:val="24"/>
        </w:rPr>
        <w:t>densidad de población baja </w:t>
      </w:r>
      <w:r>
        <w:rPr>
          <w:sz w:val="24"/>
        </w:rPr>
        <w:t>aquéllos cuya densidad demográfica es igual o menor a los 99 habitantes por km2. En este caso se ubicaron seis cantones: Puriscal (59.86 habitantes/km2), Tarrazú (54.72 habitantes/km2), Acosta (59.04 habitantes/km2), Dota (17.35 habitantess/km2), Turrubares (13.27 habitantes/km2) y Pérez Zeledón (71.07</w:t>
      </w:r>
      <w:r>
        <w:rPr>
          <w:spacing w:val="-5"/>
          <w:sz w:val="24"/>
        </w:rPr>
        <w:t> </w:t>
      </w:r>
      <w:r>
        <w:rPr>
          <w:sz w:val="24"/>
        </w:rPr>
        <w:t>habitantes/km2)</w:t>
      </w:r>
    </w:p>
    <w:p>
      <w:pPr>
        <w:pStyle w:val="BodyText"/>
      </w:pPr>
    </w:p>
    <w:p>
      <w:pPr>
        <w:pStyle w:val="BodyText"/>
        <w:spacing w:line="360" w:lineRule="auto" w:before="142"/>
        <w:ind w:left="102" w:right="117" w:firstLine="707"/>
        <w:jc w:val="both"/>
      </w:pPr>
      <w:r>
        <w:rPr/>
        <w:t>Los cantones de San José y Tibás tienen una densidad de población equiparable a la de ciudades del mundo densamente pobladas como: Hong Kong (China) y Gibraltar (Reino Unido). La densidad de población del cantón de San</w:t>
      </w:r>
    </w:p>
    <w:p>
      <w:pPr>
        <w:spacing w:after="0" w:line="360" w:lineRule="auto"/>
        <w:jc w:val="both"/>
        <w:sectPr>
          <w:pgSz w:w="12240" w:h="15840"/>
          <w:pgMar w:header="749" w:footer="1003" w:top="960" w:bottom="1200" w:left="1600" w:right="1580"/>
        </w:sectPr>
      </w:pPr>
    </w:p>
    <w:p>
      <w:pPr>
        <w:pStyle w:val="BodyText"/>
        <w:rPr>
          <w:sz w:val="20"/>
        </w:rPr>
      </w:pPr>
    </w:p>
    <w:p>
      <w:pPr>
        <w:pStyle w:val="BodyText"/>
        <w:spacing w:line="360" w:lineRule="auto" w:before="214"/>
        <w:ind w:left="102" w:right="115"/>
        <w:jc w:val="both"/>
      </w:pPr>
      <w:r>
        <w:rPr/>
        <w:t>José en la Provincia de San José (6, 444.96 hab/km2) es alta, incluso mayor a la que presenta el Distrito Federal en la República Mexicana (5920hab/km2) (INEGI, 2012). Lo anterior pone de manifiesto la alta concentración de personas que existe en la Ciudad de San José.</w:t>
      </w:r>
    </w:p>
    <w:p>
      <w:pPr>
        <w:pStyle w:val="BodyText"/>
      </w:pPr>
    </w:p>
    <w:p>
      <w:pPr>
        <w:pStyle w:val="Heading2"/>
        <w:numPr>
          <w:ilvl w:val="1"/>
          <w:numId w:val="1"/>
        </w:numPr>
        <w:tabs>
          <w:tab w:pos="1079" w:val="left" w:leader="none"/>
        </w:tabs>
        <w:spacing w:line="240" w:lineRule="auto" w:before="142" w:after="0"/>
        <w:ind w:left="1078" w:right="0" w:hanging="268"/>
        <w:jc w:val="left"/>
      </w:pPr>
      <w:r>
        <w:rPr/>
        <w:t>Organización</w:t>
      </w:r>
      <w:r>
        <w:rPr>
          <w:spacing w:val="-6"/>
        </w:rPr>
        <w:t> </w:t>
      </w:r>
      <w:r>
        <w:rPr/>
        <w:t>político-territorial</w:t>
      </w:r>
    </w:p>
    <w:p>
      <w:pPr>
        <w:pStyle w:val="BodyText"/>
        <w:rPr>
          <w:b/>
        </w:rPr>
      </w:pPr>
    </w:p>
    <w:p>
      <w:pPr>
        <w:pStyle w:val="BodyText"/>
        <w:rPr>
          <w:b/>
        </w:rPr>
      </w:pPr>
    </w:p>
    <w:p>
      <w:pPr>
        <w:pStyle w:val="BodyText"/>
        <w:spacing w:line="360" w:lineRule="auto"/>
        <w:ind w:left="102" w:right="120"/>
        <w:jc w:val="both"/>
      </w:pPr>
      <w:r>
        <w:rPr/>
        <w:t>Costa Rica es un Estado unitario, por ello cuenta con instituciones nacionales, las cuales rigen para toda la República. En el ámbito electoral existe sólo un órgano encargado de organizar las elecciones y de velar por la normatividad electoral, el TSE. El estado unitario se define como: “el regido por un gobierno central con poderes iguales y plenos sobre todo el territorio nacional, con unidad legislativa y subordinación provincial y municipal. Ejemplo típico lo constituye Francia” (Ossorio, 2004:</w:t>
      </w:r>
      <w:r>
        <w:rPr>
          <w:spacing w:val="-9"/>
        </w:rPr>
        <w:t> </w:t>
      </w:r>
      <w:r>
        <w:rPr/>
        <w:t>384-385).</w:t>
      </w:r>
    </w:p>
    <w:p>
      <w:pPr>
        <w:pStyle w:val="BodyText"/>
        <w:spacing w:line="360" w:lineRule="auto" w:before="2"/>
        <w:ind w:left="102" w:right="118" w:firstLine="851"/>
        <w:jc w:val="both"/>
      </w:pPr>
      <w:r>
        <w:rPr/>
        <w:t>Costa Rica es un Estado unitario desde 1949 como se estableció en la constitución del 7 de noviembre, en la cual se señaló que su sistema de gobierno es el presidencial. Costa Rica está dividida administrativamente en siete  provincias, éstas se utilizan para designar diputados a la Asamblea Legislativa. Costa Rica cuenta a nivel nacional con tres poderes: ejecutivo, legislativo y  judicial; el primero es representado por un Presidente de la República (se nombran además dos vicepresidentes), el segundo por la Asamblea Legislativa (que legisla para todo el país y está integrada por 57 diputados) y el tercero por la Corte Suprema de Justicia (que como Tribunal Supremo del Poder Judicial sanciona a quienes infringen las leyes y administra justicia en toda la nación, integrada por 22 magistrados); a nivel cantonal el poder ejecutivo está representado por un alcalde y no se tiene un poder legislativo o judicial como</w:t>
      </w:r>
      <w:r>
        <w:rPr>
          <w:spacing w:val="-21"/>
        </w:rPr>
        <w:t> </w:t>
      </w:r>
      <w:r>
        <w:rPr/>
        <w:t>tal.</w:t>
      </w:r>
    </w:p>
    <w:p>
      <w:pPr>
        <w:pStyle w:val="BodyText"/>
        <w:spacing w:line="360" w:lineRule="auto" w:before="3"/>
        <w:ind w:left="102" w:right="116" w:firstLine="707"/>
        <w:jc w:val="both"/>
      </w:pPr>
      <w:r>
        <w:rPr/>
        <w:t>De acuerdo con el carácter unitario de la República de Costa Rica ésta cuenta únicamente con instituciones nacionales en diversos ámbitos, como el administrativo o el judicial, el político por supuesto no es la excepción; así que el único órgano encargado de organizar las elecciones en toda la nación es el TSE, el  cual  como  tribunal   imparte   también  la  justicia  electoral.  En  materia     </w:t>
      </w:r>
      <w:r>
        <w:rPr>
          <w:spacing w:val="34"/>
        </w:rPr>
        <w:t> </w:t>
      </w:r>
      <w:r>
        <w:rPr>
          <w:spacing w:val="3"/>
        </w:rPr>
        <w:t>de</w:t>
      </w:r>
    </w:p>
    <w:p>
      <w:pPr>
        <w:spacing w:after="0" w:line="360" w:lineRule="auto"/>
        <w:jc w:val="both"/>
        <w:sectPr>
          <w:footerReference w:type="default" r:id="rId28"/>
          <w:pgSz w:w="12240" w:h="15840"/>
          <w:pgMar w:footer="1003" w:header="749" w:top="960" w:bottom="1200" w:left="1600" w:right="1580"/>
        </w:sectPr>
      </w:pPr>
    </w:p>
    <w:p>
      <w:pPr>
        <w:pStyle w:val="BodyText"/>
        <w:rPr>
          <w:sz w:val="20"/>
        </w:rPr>
      </w:pPr>
    </w:p>
    <w:p>
      <w:pPr>
        <w:pStyle w:val="BodyText"/>
        <w:spacing w:line="360" w:lineRule="auto" w:before="214"/>
        <w:ind w:left="102" w:right="124"/>
        <w:jc w:val="both"/>
      </w:pPr>
      <w:r>
        <w:rPr/>
        <w:t>normatividad electoral también está presente el carácter unitario de Costa Rica,  por lo que sólo se cuenta con un código electoral que tiene jurisdicción para toda  la nación y en él se establecen los delitos</w:t>
      </w:r>
      <w:r>
        <w:rPr>
          <w:spacing w:val="-17"/>
        </w:rPr>
        <w:t> </w:t>
      </w:r>
      <w:r>
        <w:rPr/>
        <w:t>electorales.</w:t>
      </w:r>
    </w:p>
    <w:p>
      <w:pPr>
        <w:pStyle w:val="BodyText"/>
        <w:spacing w:line="360" w:lineRule="auto" w:before="5"/>
        <w:ind w:left="102" w:right="117" w:firstLine="707"/>
        <w:jc w:val="both"/>
      </w:pPr>
      <w:r>
        <w:rPr/>
        <w:t>De lo anterior se desprende que </w:t>
      </w:r>
      <w:r>
        <w:rPr>
          <w:spacing w:val="2"/>
        </w:rPr>
        <w:t>el </w:t>
      </w:r>
      <w:r>
        <w:rPr/>
        <w:t>carácter unitario o centralista del estado costarricense está presente tanto en sus instituciones como en su normatividad, por lo que en materia electoral sólo existe un órgano encargado de organizar las elecciones: el TSE, el cual aplica la justicia electoral para toda la nación a través de las disposiciones en la</w:t>
      </w:r>
      <w:r>
        <w:rPr>
          <w:spacing w:val="-14"/>
        </w:rPr>
        <w:t> </w:t>
      </w:r>
      <w:r>
        <w:rPr/>
        <w:t>materia.</w:t>
      </w:r>
    </w:p>
    <w:p>
      <w:pPr>
        <w:pStyle w:val="BodyText"/>
      </w:pPr>
    </w:p>
    <w:p>
      <w:pPr>
        <w:pStyle w:val="Heading2"/>
        <w:numPr>
          <w:ilvl w:val="1"/>
          <w:numId w:val="1"/>
        </w:numPr>
        <w:tabs>
          <w:tab w:pos="1079" w:val="left" w:leader="none"/>
        </w:tabs>
        <w:spacing w:line="240" w:lineRule="auto" w:before="142" w:after="0"/>
        <w:ind w:left="1078" w:right="0" w:hanging="268"/>
        <w:jc w:val="left"/>
      </w:pPr>
      <w:r>
        <w:rPr/>
        <w:t>Régimen</w:t>
      </w:r>
      <w:r>
        <w:rPr>
          <w:spacing w:val="-4"/>
        </w:rPr>
        <w:t> </w:t>
      </w:r>
      <w:r>
        <w:rPr/>
        <w:t>político</w:t>
      </w:r>
    </w:p>
    <w:p>
      <w:pPr>
        <w:pStyle w:val="BodyText"/>
        <w:rPr>
          <w:b/>
        </w:rPr>
      </w:pPr>
    </w:p>
    <w:p>
      <w:pPr>
        <w:pStyle w:val="BodyText"/>
        <w:rPr>
          <w:b/>
        </w:rPr>
      </w:pPr>
    </w:p>
    <w:p>
      <w:pPr>
        <w:pStyle w:val="BodyText"/>
        <w:spacing w:line="360" w:lineRule="auto"/>
        <w:ind w:left="102" w:right="116"/>
        <w:jc w:val="both"/>
      </w:pPr>
      <w:r>
        <w:rPr/>
        <w:t>Costa Rica, desde 1949, cuenta con una democracia plena, lo cual se analizó a través de dos elementos: a) alternancia en el poder y b) control de la legislatura.</w:t>
      </w:r>
    </w:p>
    <w:p>
      <w:pPr>
        <w:pStyle w:val="BodyText"/>
        <w:spacing w:line="360" w:lineRule="auto" w:before="5"/>
        <w:ind w:left="102" w:right="118" w:firstLine="707"/>
        <w:jc w:val="both"/>
      </w:pPr>
      <w:r>
        <w:rPr/>
        <w:t>En las elecciones de 2010, a nivel nacional, se registraron seis partidos políticos para contender por los cargos de presidente de la República y Diputados a la Asamblea Legislativa: Partido Accesibilidad Sin Exclusión (PASE), Partido Frente Amplio (PFA), Partido Liberación Nacional (PLN), Partido Movimiento Libertario (PML), Partido Renovación Costarricense (PRC) y Partido Unidad Social Cristiana (PUSC); así como una coalición denominada “Frente Electoral Patriótico Progresista” integrada por los partidos: Acción Ciudadana (PAC),  Alianza Patriótica (AP) e Integración Nacional (PIN). Para la elección de regidores (de ese mismo año) se registraron 30 coaliciones para contender en los 81 cantones.</w:t>
      </w:r>
    </w:p>
    <w:p>
      <w:pPr>
        <w:pStyle w:val="BodyText"/>
        <w:spacing w:line="360" w:lineRule="auto" w:before="2"/>
        <w:ind w:left="102" w:right="117" w:firstLine="707"/>
        <w:jc w:val="both"/>
      </w:pPr>
      <w:r>
        <w:rPr/>
        <w:t>En las elecciones cantonales de 2010 se registraron nueve partidos políticos: PLN, PUSC, PAC, PASE, PML, PIN, PFA, AP y PRC; así como 30 coaliciones para contender por los cargos de alcaldes, síndicos y concejales.</w:t>
      </w:r>
    </w:p>
    <w:p>
      <w:pPr>
        <w:pStyle w:val="BodyText"/>
        <w:spacing w:line="360" w:lineRule="auto" w:before="5"/>
        <w:ind w:left="102" w:right="116" w:firstLine="707"/>
        <w:jc w:val="both"/>
      </w:pPr>
      <w:r>
        <w:rPr/>
        <w:t>Desde hace más de seis décadas, dos han sido los principales partidos políticos tanto en el ámbito nacional como en el cantonal —PLN y PUSC— como se demuestra en la composición de la Asamblea Legislativa y en la alternancia tanto en el Ejecutivo nacional como en el municipal. Ambos partidos tienen características comunes: su remota fundación (el PLN se fundó en 1951 y el  PUSC  en 1983),  el  significativo  número de curules  que ocupan en  la</w:t>
      </w:r>
      <w:r>
        <w:rPr>
          <w:spacing w:val="-1"/>
        </w:rPr>
        <w:t> </w:t>
      </w:r>
      <w:r>
        <w:rPr/>
        <w:t>Asamblea</w:t>
      </w:r>
    </w:p>
    <w:p>
      <w:pPr>
        <w:spacing w:after="0" w:line="360" w:lineRule="auto"/>
        <w:jc w:val="both"/>
        <w:sectPr>
          <w:footerReference w:type="default" r:id="rId29"/>
          <w:pgSz w:w="12240" w:h="15840"/>
          <w:pgMar w:footer="1003" w:header="749" w:top="960" w:bottom="1200" w:left="1600" w:right="1580"/>
          <w:pgNumType w:start="71"/>
        </w:sectPr>
      </w:pPr>
    </w:p>
    <w:p>
      <w:pPr>
        <w:pStyle w:val="BodyText"/>
        <w:rPr>
          <w:sz w:val="20"/>
        </w:rPr>
      </w:pPr>
    </w:p>
    <w:p>
      <w:pPr>
        <w:pStyle w:val="BodyText"/>
        <w:spacing w:line="362" w:lineRule="auto" w:before="214"/>
        <w:ind w:left="102" w:right="126"/>
        <w:jc w:val="both"/>
      </w:pPr>
      <w:r>
        <w:rPr/>
        <w:t>Legislativa, el porcentaje de alcaldías ganadas y las veces que han obtenido la presidencia de la República.</w:t>
      </w:r>
    </w:p>
    <w:p>
      <w:pPr>
        <w:pStyle w:val="BodyText"/>
      </w:pPr>
    </w:p>
    <w:p>
      <w:pPr>
        <w:pStyle w:val="ListParagraph"/>
        <w:numPr>
          <w:ilvl w:val="0"/>
          <w:numId w:val="18"/>
        </w:numPr>
        <w:tabs>
          <w:tab w:pos="1170" w:val="left" w:leader="none"/>
        </w:tabs>
        <w:spacing w:line="240" w:lineRule="auto" w:before="139" w:after="0"/>
        <w:ind w:left="1170" w:right="0" w:hanging="360"/>
        <w:jc w:val="left"/>
        <w:rPr>
          <w:sz w:val="24"/>
        </w:rPr>
      </w:pPr>
      <w:r>
        <w:rPr>
          <w:sz w:val="24"/>
        </w:rPr>
        <w:t>Alternancia en el poder ejecutivo</w:t>
      </w:r>
      <w:r>
        <w:rPr>
          <w:spacing w:val="-15"/>
          <w:sz w:val="24"/>
        </w:rPr>
        <w:t> </w:t>
      </w:r>
      <w:r>
        <w:rPr>
          <w:sz w:val="24"/>
        </w:rPr>
        <w:t>nacional</w:t>
      </w:r>
    </w:p>
    <w:p>
      <w:pPr>
        <w:pStyle w:val="BodyText"/>
      </w:pPr>
    </w:p>
    <w:p>
      <w:pPr>
        <w:pStyle w:val="BodyText"/>
      </w:pPr>
    </w:p>
    <w:p>
      <w:pPr>
        <w:pStyle w:val="BodyText"/>
        <w:spacing w:line="360" w:lineRule="auto"/>
        <w:ind w:left="102" w:right="115"/>
        <w:jc w:val="both"/>
      </w:pPr>
      <w:r>
        <w:rPr/>
        <w:t>En Costa Rica, desde hace ocho elecciones, el poder ejecutivo nacional ha sido controlado en forma alternada por dos partidos principalmente: el PUSC (en tres ocasiones) y el PLN (en cinco). Al remontarse décadas atrás se observó que no sólo hubo alternancia entre el PNL y el PUSC sino que otros dos partidos también ganaron la Presidencia de la República: el Partido Unificación Nacional (PUN) en 1976 y la Coalición Unidad en 1978. Finalmente el PUN creado en 1966 desapareció en 1978 al perder las elecciones ante la Coalición Unidad (CU). La  CU se conformó por los principales grupos </w:t>
      </w:r>
      <w:hyperlink r:id="rId30">
        <w:r>
          <w:rPr/>
          <w:t>democristianos</w:t>
        </w:r>
      </w:hyperlink>
      <w:r>
        <w:rPr/>
        <w:t>, </w:t>
      </w:r>
      <w:hyperlink r:id="rId31">
        <w:r>
          <w:rPr/>
          <w:t>conservadores</w:t>
        </w:r>
      </w:hyperlink>
      <w:r>
        <w:rPr/>
        <w:t>, </w:t>
      </w:r>
      <w:hyperlink r:id="rId32">
        <w:r>
          <w:rPr/>
          <w:t>calderonistas</w:t>
        </w:r>
      </w:hyperlink>
      <w:r>
        <w:rPr/>
        <w:t>, </w:t>
      </w:r>
      <w:hyperlink r:id="rId33">
        <w:r>
          <w:rPr/>
          <w:t>liberales</w:t>
        </w:r>
      </w:hyperlink>
      <w:r>
        <w:rPr/>
        <w:t>, </w:t>
      </w:r>
      <w:hyperlink r:id="rId34">
        <w:r>
          <w:rPr/>
          <w:t>exliberacionistas disidentes</w:t>
        </w:r>
      </w:hyperlink>
      <w:r>
        <w:rPr/>
        <w:t> e incluso </w:t>
      </w:r>
      <w:hyperlink r:id="rId35">
        <w:r>
          <w:rPr/>
          <w:t>socialistas</w:t>
        </w:r>
      </w:hyperlink>
      <w:r>
        <w:rPr/>
        <w:t> </w:t>
      </w:r>
      <w:hyperlink r:id="rId35">
        <w:r>
          <w:rPr/>
          <w:t>democráticos</w:t>
        </w:r>
      </w:hyperlink>
      <w:r>
        <w:rPr/>
        <w:t> opositores al </w:t>
      </w:r>
      <w:hyperlink r:id="rId36">
        <w:r>
          <w:rPr/>
          <w:t>Partido Liberación Nacional</w:t>
        </w:r>
      </w:hyperlink>
      <w:r>
        <w:rPr/>
        <w:t>; pero en 1983 dicha coalición se fusionó al PUSC. Los cuatro partidos antes mencionados ganaron las elecciones en procesos electorales limpios, competidos y periódicos en donde la tolerancia hacia la oposición y la independencia de poderes se manifestaron, pero este panorama no siempre fue así; Costa Rica ha pasado por tres</w:t>
      </w:r>
      <w:r>
        <w:rPr>
          <w:spacing w:val="-25"/>
        </w:rPr>
        <w:t> </w:t>
      </w:r>
      <w:r>
        <w:rPr/>
        <w:t>periodos:</w:t>
      </w:r>
    </w:p>
    <w:p>
      <w:pPr>
        <w:pStyle w:val="BodyText"/>
      </w:pPr>
    </w:p>
    <w:p>
      <w:pPr>
        <w:pStyle w:val="ListParagraph"/>
        <w:numPr>
          <w:ilvl w:val="0"/>
          <w:numId w:val="19"/>
        </w:numPr>
        <w:tabs>
          <w:tab w:pos="822" w:val="left" w:leader="none"/>
        </w:tabs>
        <w:spacing w:line="360" w:lineRule="auto" w:before="142" w:after="0"/>
        <w:ind w:left="822" w:right="115" w:hanging="495"/>
        <w:jc w:val="both"/>
        <w:rPr>
          <w:sz w:val="24"/>
        </w:rPr>
      </w:pPr>
      <w:r>
        <w:rPr>
          <w:sz w:val="24"/>
        </w:rPr>
        <w:t>El primero autoritario de 1848 (año en que asume la presidencia el primer presidente de Costa Rica, José María Castro Madriz) a 1889 (año en que por primera vez un partido de oposición gana la presidencia), en el cual el poder ejecutivo estuvo bajo el dominio del poder militar, carecía de elementos democráticos pues la designación del jefe de estado se realizaba sin la intervención plena y consiente de las clases populares, los Presidentes de la nación se reelegían indefinidamente, etcétera (Molina, 1997 y Molina y Palmer,</w:t>
      </w:r>
      <w:r>
        <w:rPr>
          <w:spacing w:val="-8"/>
          <w:sz w:val="24"/>
        </w:rPr>
        <w:t> </w:t>
      </w:r>
      <w:r>
        <w:rPr>
          <w:sz w:val="24"/>
        </w:rPr>
        <w:t>2007).</w:t>
      </w:r>
    </w:p>
    <w:p>
      <w:pPr>
        <w:pStyle w:val="ListParagraph"/>
        <w:numPr>
          <w:ilvl w:val="0"/>
          <w:numId w:val="19"/>
        </w:numPr>
        <w:tabs>
          <w:tab w:pos="822" w:val="left" w:leader="none"/>
        </w:tabs>
        <w:spacing w:line="360" w:lineRule="auto" w:before="2" w:after="0"/>
        <w:ind w:left="822" w:right="125" w:hanging="560"/>
        <w:jc w:val="both"/>
        <w:rPr>
          <w:sz w:val="24"/>
        </w:rPr>
      </w:pPr>
      <w:r>
        <w:rPr>
          <w:sz w:val="24"/>
        </w:rPr>
        <w:t>El segundo de transición hacia la democracia, a partir de 1889 (año en que se da la alternancia) y hasta 1948 (año en que los ciudadanos hacen valer su  voto  mediante  una  guerra  civil  y  se  establecen  las  bases  para  </w:t>
      </w:r>
      <w:r>
        <w:rPr>
          <w:spacing w:val="5"/>
          <w:sz w:val="24"/>
        </w:rPr>
        <w:t> </w:t>
      </w:r>
      <w:r>
        <w:rPr>
          <w:sz w:val="24"/>
        </w:rPr>
        <w:t>un</w:t>
      </w:r>
    </w:p>
    <w:p>
      <w:pPr>
        <w:spacing w:after="0" w:line="360" w:lineRule="auto"/>
        <w:jc w:val="both"/>
        <w:rPr>
          <w:sz w:val="24"/>
        </w:rPr>
        <w:sectPr>
          <w:pgSz w:w="12240" w:h="15840"/>
          <w:pgMar w:header="749" w:footer="1003" w:top="960" w:bottom="1200" w:left="1600" w:right="1580"/>
        </w:sectPr>
      </w:pPr>
    </w:p>
    <w:p>
      <w:pPr>
        <w:pStyle w:val="BodyText"/>
        <w:rPr>
          <w:sz w:val="20"/>
        </w:rPr>
      </w:pPr>
    </w:p>
    <w:p>
      <w:pPr>
        <w:pStyle w:val="BodyText"/>
        <w:spacing w:line="360" w:lineRule="auto" w:before="214"/>
        <w:ind w:left="821" w:right="115"/>
        <w:jc w:val="both"/>
      </w:pPr>
      <w:r>
        <w:rPr/>
        <w:t>régimen democrático) (Patrick, 1981) en éste se observan semillas democráticas: el establecimiento de elecciones y la apertura hacia los ciudadanos civiles para competir por la Presidencia de la República (pues hubo periodos en que era exclusiva para los militares), sin embargo, las elecciones distaban mucho de ser democráticas ya que estaban presentes varias características de autoritarismo: la oposición era perseguida, había fraudes electorales, los Presidentes de la nación se reelegían, el Presidente de la República en turno tenia injerencia en las elecciones para que su partido se perpetuara en la presidencia, se hacía uso de la fuerza militar para imponer candidatos y coaccionar a los ciudadanos, además de que el partido en el poder tenía la mayoría absoluta en la Asamblea Legislativa  con lo cual podía anular una elección cuando ésta no le</w:t>
      </w:r>
      <w:r>
        <w:rPr>
          <w:spacing w:val="-19"/>
        </w:rPr>
        <w:t> </w:t>
      </w:r>
      <w:r>
        <w:rPr/>
        <w:t>favorecía.</w:t>
      </w:r>
    </w:p>
    <w:p>
      <w:pPr>
        <w:pStyle w:val="ListParagraph"/>
        <w:numPr>
          <w:ilvl w:val="0"/>
          <w:numId w:val="19"/>
        </w:numPr>
        <w:tabs>
          <w:tab w:pos="822" w:val="left" w:leader="none"/>
        </w:tabs>
        <w:spacing w:line="360" w:lineRule="auto" w:before="2" w:after="0"/>
        <w:ind w:left="822" w:right="116" w:hanging="627"/>
        <w:jc w:val="both"/>
        <w:rPr>
          <w:sz w:val="24"/>
        </w:rPr>
      </w:pPr>
      <w:r>
        <w:rPr>
          <w:sz w:val="24"/>
        </w:rPr>
        <w:t>El tercer periodo democrático de 1948-1949 a la fecha (enero de 2014), en el cual se dan elecciones periódicas, limpias, competidas, existe tolerancia ante la oposición e independencia de poderes, estableciéndose así un régimen democrático; el cual se fortaleció con la abolición del ejército en 1948 (el cual imponía candidatos), la creación </w:t>
      </w:r>
      <w:r>
        <w:rPr>
          <w:spacing w:val="2"/>
          <w:sz w:val="24"/>
        </w:rPr>
        <w:t>del </w:t>
      </w:r>
      <w:r>
        <w:rPr>
          <w:sz w:val="24"/>
        </w:rPr>
        <w:t>TSE y la promulgación de una nueva Constitución en</w:t>
      </w:r>
      <w:r>
        <w:rPr>
          <w:spacing w:val="-11"/>
          <w:sz w:val="24"/>
        </w:rPr>
        <w:t> </w:t>
      </w:r>
      <w:r>
        <w:rPr>
          <w:sz w:val="24"/>
        </w:rPr>
        <w:t>1949.</w:t>
      </w:r>
    </w:p>
    <w:p>
      <w:pPr>
        <w:pStyle w:val="BodyText"/>
      </w:pPr>
    </w:p>
    <w:p>
      <w:pPr>
        <w:pStyle w:val="BodyText"/>
        <w:spacing w:line="360" w:lineRule="auto" w:before="142"/>
        <w:ind w:left="102" w:right="116" w:firstLine="707"/>
        <w:jc w:val="both"/>
      </w:pPr>
      <w:r>
        <w:rPr/>
        <w:t>Lo ocurrido en las elecciones del 7 de noviembre de 1889 merece una mención aparte pues constituye un hito en la historia costarricense conocido como “La noche de los machetes”, y que para algunos autores marcó el inicio de la democracia costarricense. Durante este episodio contendieron por la primera magistratura (forma en que se llamaba en ese momento a la Presidencia de la República) el Partido Liberal Progresista (oficialista), representado por Don Ascensión Esquivel (el cual era apoyado por el gobernante en turno Don Bernardo Soto) y el Partido Constitucional Democrático (oposición) representado por Don José Joaquín Rodríguez quién ganó la elección pero el gobierno indicó que triunfó Esquivel, esta noticia molestó a la ciudadanía y se amotinaron siete mil personas armadas con machetes y palos en el cantón de San José exigiendo que se respetara su voto.</w:t>
      </w:r>
    </w:p>
    <w:p>
      <w:pPr>
        <w:spacing w:after="0" w:line="360" w:lineRule="auto"/>
        <w:jc w:val="both"/>
        <w:sectPr>
          <w:pgSz w:w="12240" w:h="15840"/>
          <w:pgMar w:header="749" w:footer="1003" w:top="960" w:bottom="1200" w:left="1600" w:right="1580"/>
        </w:sectPr>
      </w:pPr>
    </w:p>
    <w:p>
      <w:pPr>
        <w:pStyle w:val="BodyText"/>
        <w:rPr>
          <w:sz w:val="20"/>
        </w:rPr>
      </w:pPr>
    </w:p>
    <w:p>
      <w:pPr>
        <w:pStyle w:val="BodyText"/>
        <w:spacing w:line="360" w:lineRule="auto" w:before="214"/>
        <w:ind w:left="122" w:right="117" w:firstLine="707"/>
        <w:jc w:val="both"/>
      </w:pPr>
      <w:r>
        <w:rPr/>
        <w:t>Ante esta situación el presidente Bernardo Soto Alfaro (1885-1889) decidió no imponer a su candidato y se retiró del gobierno, el cual asumió el Dr. Carlos Durán, quien era el tercer designado a la presidencia (nombre que se le daba al segundo vicepresidente). Durante seis meses Duran tomó el poder para posteriormente entregárselo a Don José Joaquín Rodríguez el 8 de mayo de 1890 dando fin a este importante episodio de la historia de Costa Rica.</w:t>
      </w:r>
    </w:p>
    <w:p>
      <w:pPr>
        <w:pStyle w:val="BodyText"/>
        <w:spacing w:line="360" w:lineRule="auto" w:before="2"/>
        <w:ind w:left="122" w:right="116" w:firstLine="707"/>
        <w:jc w:val="both"/>
      </w:pPr>
      <w:r>
        <w:rPr/>
        <w:t>Sin embargo, no comparto la idea de que “La noche de los machetes”  marcó el inicio de la democracia costarricense, pues durante este periodo (1889 a 1948) se presentaron varias características autoritarias en las elecciones como son: la falta de tolerancia ante la oposición (ya que los militantes del partido que antes era el oficialista fueron perseguidos), las elecciones posteriores no fueron limpias (de ello dan cuenta varios estudios realizados por Iván Molina 1997, 1999  y 2008), ni periódicas (los Presidentes de la nación se reelegían o se mantenían en el poder por varios años), el Presidente de la República en turno tenía injerencia en las elecciones (hasta que se creó el TSE en 1949 el cual se convirtió en el organizador y árbitro de las mismas), se hacía uso de la fuerza militar para imponer candidatos y coaccionar a los ciudadanos (hasta la abolición del ejército en 1948), no había equilibrio de poderes: el partido en el poder tenía la mayoría absoluta  en  la  Asamblea  Legislativa  con  lo  cual  podía  anular  una  elección</w:t>
      </w:r>
      <w:r>
        <w:rPr>
          <w:spacing w:val="23"/>
        </w:rPr>
        <w:t> </w:t>
      </w:r>
      <w:r>
        <w:rPr/>
        <w:t>o</w:t>
      </w:r>
    </w:p>
    <w:p>
      <w:pPr>
        <w:pStyle w:val="BodyText"/>
        <w:spacing w:line="328" w:lineRule="auto" w:before="5"/>
        <w:ind w:left="122" w:right="178"/>
      </w:pPr>
      <w:r>
        <w:rPr/>
        <w:t>modificarla cuando ésta no le favorecía como en los procesos electorales de 1889 y 1948</w:t>
      </w:r>
      <w:r>
        <w:rPr>
          <w:position w:val="11"/>
          <w:sz w:val="16"/>
        </w:rPr>
        <w:t>18</w:t>
      </w:r>
      <w:r>
        <w:rPr/>
        <w:t>.</w:t>
      </w:r>
    </w:p>
    <w:p>
      <w:pPr>
        <w:pStyle w:val="BodyText"/>
        <w:spacing w:line="360" w:lineRule="auto" w:before="26"/>
        <w:ind w:left="122" w:right="115" w:firstLine="707"/>
        <w:jc w:val="both"/>
      </w:pPr>
      <w:r>
        <w:rPr/>
        <w:t>Por lo antes expuesto concluyo que el periodo democrático de Costa Rica inició en 1948-1949, porque durante ese proceso electoral y postelectoral los ciudadanos costarricenses hicieron valer su voto a través de una guerra civil, la cual trajo varios cambios: la abolición del ejército, en 1948, que durante décadas tuvo el poder, además de que coaccionaba el voto de los ciudadanos y servía a  los intereses del ejecutivo para imponer candidatos oficialistas; la creación del TSE,  en  1949,  que  actuó  como  órgano  encargado  de  organizar  y  vigilar </w:t>
      </w:r>
      <w:r>
        <w:rPr>
          <w:spacing w:val="24"/>
        </w:rPr>
        <w:t> </w:t>
      </w:r>
      <w:r>
        <w:rPr/>
        <w:t>las</w:t>
      </w:r>
    </w:p>
    <w:p>
      <w:pPr>
        <w:pStyle w:val="BodyText"/>
        <w:spacing w:before="8"/>
        <w:rPr>
          <w:sz w:val="29"/>
        </w:rPr>
      </w:pPr>
      <w:r>
        <w:rPr/>
        <w:pict>
          <v:line style="position:absolute;mso-position-horizontal-relative:page;mso-position-vertical-relative:paragraph;z-index:1648;mso-wrap-distance-left:0;mso-wrap-distance-right:0" from="85.103996pt,19.433887pt" to="229.123996pt,19.433887pt" stroked="true" strokeweight=".72003pt" strokecolor="#000000">
            <w10:wrap type="topAndBottom"/>
          </v:line>
        </w:pict>
      </w:r>
    </w:p>
    <w:p>
      <w:pPr>
        <w:spacing w:before="36"/>
        <w:ind w:left="122" w:right="119" w:firstLine="0"/>
        <w:jc w:val="both"/>
        <w:rPr>
          <w:sz w:val="20"/>
        </w:rPr>
      </w:pPr>
      <w:r>
        <w:rPr>
          <w:position w:val="10"/>
          <w:sz w:val="13"/>
        </w:rPr>
        <w:t>18 </w:t>
      </w:r>
      <w:r>
        <w:rPr>
          <w:sz w:val="20"/>
        </w:rPr>
        <w:t>En el proceso electoral de 1889 datos históricos señalan que la legislatura modificó los  resultados para darle el triunfo a la oposición, y en 1948 se quemaron las boletas de la elección presidencial que no le favorecían al gobierno, anulando por consiguiente la elección de Presidente, no sin antes ratificar la elección legislativa en la cual el gobierno tenía</w:t>
      </w:r>
      <w:r>
        <w:rPr>
          <w:spacing w:val="-19"/>
          <w:sz w:val="20"/>
        </w:rPr>
        <w:t> </w:t>
      </w:r>
      <w:r>
        <w:rPr>
          <w:sz w:val="20"/>
        </w:rPr>
        <w:t>mayoría.</w:t>
      </w:r>
    </w:p>
    <w:p>
      <w:pPr>
        <w:spacing w:after="0"/>
        <w:jc w:val="both"/>
        <w:rPr>
          <w:sz w:val="20"/>
        </w:rPr>
        <w:sectPr>
          <w:pgSz w:w="12240" w:h="15840"/>
          <w:pgMar w:header="749" w:footer="1003" w:top="960" w:bottom="1200" w:left="1580" w:right="1580"/>
        </w:sectPr>
      </w:pPr>
    </w:p>
    <w:p>
      <w:pPr>
        <w:pStyle w:val="BodyText"/>
        <w:rPr>
          <w:sz w:val="20"/>
        </w:rPr>
      </w:pPr>
    </w:p>
    <w:p>
      <w:pPr>
        <w:pStyle w:val="BodyText"/>
        <w:spacing w:line="360" w:lineRule="auto" w:before="214"/>
        <w:ind w:left="102" w:right="125"/>
        <w:jc w:val="both"/>
      </w:pPr>
      <w:r>
        <w:rPr/>
        <w:t>elecciones quitándole al ejecutivo su injerencia en las mismas; la promulgación de una nueva Constitución (1949), la cual en su artículo primero señala que Costa Rica es una República democrática, libre e independiente (ANC,1949: art. 1).</w:t>
      </w:r>
    </w:p>
    <w:p>
      <w:pPr>
        <w:pStyle w:val="BodyText"/>
        <w:spacing w:line="360" w:lineRule="auto" w:before="5"/>
        <w:ind w:left="102" w:right="115" w:firstLine="707"/>
        <w:jc w:val="both"/>
      </w:pPr>
      <w:r>
        <w:rPr/>
        <w:t>Lo anterior tuvo como consecuencia el establecimiento de elecciones periódicas, limpias y competidas; tolerancia ante la oposición e independencia de poderes. Sin embargo, no todas las características democráticas se consiguieron durante este periodo (1948-2012); ya que la alternancia y el establecimiento de elecciones para acceder al poder ejecutivo nacional se habían dado desde 1889, de ahí que señalo que las semillas democráticas se empezaron a gestar en las elecciones costarricenses desde 1889, pero su culminación se dio durante las elecciones de 1948 (debido a los logros antes mencionados).</w:t>
      </w:r>
    </w:p>
    <w:p>
      <w:pPr>
        <w:pStyle w:val="BodyText"/>
        <w:spacing w:line="360" w:lineRule="auto" w:before="5"/>
        <w:ind w:left="102" w:right="116" w:firstLine="707"/>
        <w:jc w:val="both"/>
      </w:pPr>
      <w:r>
        <w:rPr/>
        <w:t>Durante los dos primeros periodos la Asamblea Legislativa no era independiente del poder ejecutivo ya que en varias ocasiones el poder ejecutivo y la mayoría de los diputados integrantes del poder legislativo eran detentados por un mismo partido político, de ahí que el ejecutivo influía en las decisiones de la legislatura (como se observó en las elecciones de 1889 y 1948).</w:t>
      </w:r>
    </w:p>
    <w:p>
      <w:pPr>
        <w:pStyle w:val="BodyText"/>
      </w:pPr>
    </w:p>
    <w:p>
      <w:pPr>
        <w:pStyle w:val="ListParagraph"/>
        <w:numPr>
          <w:ilvl w:val="0"/>
          <w:numId w:val="18"/>
        </w:numPr>
        <w:tabs>
          <w:tab w:pos="1170" w:val="left" w:leader="none"/>
        </w:tabs>
        <w:spacing w:line="240" w:lineRule="auto" w:before="142" w:after="0"/>
        <w:ind w:left="1170" w:right="0" w:hanging="360"/>
        <w:jc w:val="left"/>
        <w:rPr>
          <w:sz w:val="24"/>
        </w:rPr>
      </w:pPr>
      <w:r>
        <w:rPr>
          <w:sz w:val="24"/>
        </w:rPr>
        <w:t>Alternancia en el poder ejecutivo</w:t>
      </w:r>
      <w:r>
        <w:rPr>
          <w:spacing w:val="-17"/>
          <w:sz w:val="24"/>
        </w:rPr>
        <w:t> </w:t>
      </w:r>
      <w:r>
        <w:rPr>
          <w:sz w:val="24"/>
        </w:rPr>
        <w:t>cantonal</w:t>
      </w:r>
    </w:p>
    <w:p>
      <w:pPr>
        <w:pStyle w:val="BodyText"/>
      </w:pPr>
    </w:p>
    <w:p>
      <w:pPr>
        <w:pStyle w:val="BodyText"/>
      </w:pPr>
    </w:p>
    <w:p>
      <w:pPr>
        <w:pStyle w:val="BodyText"/>
        <w:spacing w:line="360" w:lineRule="auto"/>
        <w:ind w:left="102" w:right="116"/>
        <w:jc w:val="both"/>
      </w:pPr>
      <w:r>
        <w:rPr/>
        <w:t>Desde hace varias décadas el poder ejecutivo cantonal ha sido controlado mayoritariamente por dos partidos: el PLN y el PUSC. Actualmente el PLN tiene la mayoría absoluta de las municipalidades, 58 (71.6%) de las 81 alcaldías, le sigue el PUSC con nueve (11.11%).</w:t>
      </w:r>
    </w:p>
    <w:p>
      <w:pPr>
        <w:pStyle w:val="BodyText"/>
      </w:pPr>
    </w:p>
    <w:p>
      <w:pPr>
        <w:pStyle w:val="ListParagraph"/>
        <w:numPr>
          <w:ilvl w:val="0"/>
          <w:numId w:val="18"/>
        </w:numPr>
        <w:tabs>
          <w:tab w:pos="1170" w:val="left" w:leader="none"/>
        </w:tabs>
        <w:spacing w:line="240" w:lineRule="auto" w:before="142" w:after="0"/>
        <w:ind w:left="1170" w:right="0" w:hanging="360"/>
        <w:jc w:val="left"/>
        <w:rPr>
          <w:sz w:val="24"/>
        </w:rPr>
      </w:pPr>
      <w:r>
        <w:rPr>
          <w:sz w:val="24"/>
        </w:rPr>
        <w:t>Control de la Asamblea</w:t>
      </w:r>
      <w:r>
        <w:rPr>
          <w:spacing w:val="-10"/>
          <w:sz w:val="24"/>
        </w:rPr>
        <w:t> </w:t>
      </w:r>
      <w:r>
        <w:rPr>
          <w:sz w:val="24"/>
        </w:rPr>
        <w:t>Legislativa</w:t>
      </w:r>
    </w:p>
    <w:p>
      <w:pPr>
        <w:pStyle w:val="BodyText"/>
      </w:pPr>
    </w:p>
    <w:p>
      <w:pPr>
        <w:pStyle w:val="BodyText"/>
      </w:pPr>
    </w:p>
    <w:p>
      <w:pPr>
        <w:pStyle w:val="BodyText"/>
        <w:spacing w:line="360" w:lineRule="auto"/>
        <w:ind w:left="102" w:right="117"/>
        <w:jc w:val="both"/>
      </w:pPr>
      <w:r>
        <w:rPr/>
        <w:t>En la actual legislatura (2010-2014), ningún partido cuenta con mayoría absoluta, sin embargo, el PLN ostenta la mayoría simple: cuenta con 24 de las 57 diputaciones, lo que representa el 42.10%. Cabe destacar que desde el establecimiento pleno del régimen democrático hasta la fecha ningún partido ha tenido</w:t>
      </w:r>
      <w:r>
        <w:rPr>
          <w:spacing w:val="53"/>
        </w:rPr>
        <w:t> </w:t>
      </w:r>
      <w:r>
        <w:rPr/>
        <w:t>permanente</w:t>
      </w:r>
      <w:r>
        <w:rPr>
          <w:spacing w:val="52"/>
        </w:rPr>
        <w:t> </w:t>
      </w:r>
      <w:r>
        <w:rPr/>
        <w:t>e</w:t>
      </w:r>
      <w:r>
        <w:rPr>
          <w:spacing w:val="50"/>
        </w:rPr>
        <w:t> </w:t>
      </w:r>
      <w:r>
        <w:rPr/>
        <w:t>ininterrumpidamente</w:t>
      </w:r>
      <w:r>
        <w:rPr>
          <w:spacing w:val="53"/>
        </w:rPr>
        <w:t> </w:t>
      </w:r>
      <w:r>
        <w:rPr/>
        <w:t>la</w:t>
      </w:r>
      <w:r>
        <w:rPr>
          <w:spacing w:val="52"/>
        </w:rPr>
        <w:t> </w:t>
      </w:r>
      <w:r>
        <w:rPr/>
        <w:t>mayoría</w:t>
      </w:r>
      <w:r>
        <w:rPr>
          <w:spacing w:val="52"/>
        </w:rPr>
        <w:t> </w:t>
      </w:r>
      <w:r>
        <w:rPr/>
        <w:t>absoluta</w:t>
      </w:r>
      <w:r>
        <w:rPr>
          <w:spacing w:val="50"/>
        </w:rPr>
        <w:t> </w:t>
      </w:r>
      <w:r>
        <w:rPr/>
        <w:t>de</w:t>
      </w:r>
      <w:r>
        <w:rPr>
          <w:spacing w:val="52"/>
        </w:rPr>
        <w:t> </w:t>
      </w:r>
      <w:r>
        <w:rPr/>
        <w:t>la</w:t>
      </w:r>
      <w:r>
        <w:rPr>
          <w:spacing w:val="52"/>
        </w:rPr>
        <w:t> </w:t>
      </w:r>
      <w:r>
        <w:rPr/>
        <w:t>Asamblea</w:t>
      </w:r>
    </w:p>
    <w:p>
      <w:pPr>
        <w:spacing w:after="0" w:line="360" w:lineRule="auto"/>
        <w:jc w:val="both"/>
        <w:sectPr>
          <w:pgSz w:w="12240" w:h="15840"/>
          <w:pgMar w:header="749" w:footer="1003" w:top="960" w:bottom="1200" w:left="1600" w:right="1580"/>
        </w:sectPr>
      </w:pPr>
    </w:p>
    <w:p>
      <w:pPr>
        <w:pStyle w:val="BodyText"/>
        <w:rPr>
          <w:sz w:val="20"/>
        </w:rPr>
      </w:pPr>
    </w:p>
    <w:p>
      <w:pPr>
        <w:pStyle w:val="BodyText"/>
        <w:spacing w:line="362" w:lineRule="auto" w:before="214"/>
        <w:ind w:left="102" w:right="120"/>
      </w:pPr>
      <w:r>
        <w:rPr/>
        <w:t>Legislativa. El PLN y el PUSC son los partidos que han predominado en la integración de la cámara en las últimas décadas.</w:t>
      </w:r>
    </w:p>
    <w:p>
      <w:pPr>
        <w:pStyle w:val="BodyText"/>
        <w:spacing w:line="360" w:lineRule="auto"/>
        <w:ind w:left="102" w:right="117" w:firstLine="707"/>
        <w:jc w:val="both"/>
      </w:pPr>
      <w:r>
        <w:rPr/>
        <w:t>Durante décadas las legislaturas costarricenses han dejado de ser dependientes del poder ejecutivo, lo que se observa en la mayor representación  de la oposición en la integración de la Asamblea Legislativa; lo cual es un elemento más para confirmar que Costa Rica goza de un régimen democrático pleno desde 1949, ya que antes de esta fecha hubo legislaturas que no gozaban de una total independencia del ejecutivo en la toma de</w:t>
      </w:r>
      <w:r>
        <w:rPr>
          <w:spacing w:val="-21"/>
        </w:rPr>
        <w:t> </w:t>
      </w:r>
      <w:r>
        <w:rPr/>
        <w:t>decisiones.</w:t>
      </w:r>
    </w:p>
    <w:p>
      <w:pPr>
        <w:pStyle w:val="BodyText"/>
        <w:spacing w:line="360" w:lineRule="auto" w:before="2"/>
        <w:ind w:left="102" w:right="115" w:firstLine="707"/>
        <w:jc w:val="both"/>
      </w:pPr>
      <w:r>
        <w:rPr/>
        <w:t>En la valoración general emitida por la Auditoría Ciudadana se llegó a las siguientes conclusiones al respecto del presente indicador “en las últimas dos décadas del siglo XX, en Costa Rica se afianzó un sistema bipartidista de partidos políticos. Las principales agrupaciones políticas son el Partido Liberación  Nacional, PLN y el Partido Unidad Social Cristiana, PUSC (antes, la oposición al PLN estaba formada por coaliciones inestables, capaces de ganar elecciones pero no de permanecer unidas como partido). Este sistema ha permitido una alternancia en el dominio de los Poderes Ejecutivo y del Poder Legislativo. En las elecciones presidenciales esto ha generado un sistema estable, con un bajo nivel de volatilidad electoral (una proporción pequeña de electores cambia de bandera política). En las elecciones legislativas, la volatilidad electoral es mayor, por la tendencia histórica de una parte del electorado a dar su voto para diputados a partidos minoritarios” (Varios, 2001:</w:t>
      </w:r>
      <w:r>
        <w:rPr>
          <w:spacing w:val="-15"/>
        </w:rPr>
        <w:t> </w:t>
      </w:r>
      <w:r>
        <w:rPr/>
        <w:t>43).</w:t>
      </w:r>
    </w:p>
    <w:p>
      <w:pPr>
        <w:pStyle w:val="BodyText"/>
        <w:spacing w:line="360" w:lineRule="auto" w:before="5"/>
        <w:ind w:left="102" w:right="114" w:firstLine="707"/>
        <w:jc w:val="both"/>
      </w:pPr>
      <w:r>
        <w:rPr/>
        <w:t>El régimen democrático costarricense se ha mantenido estable desde 1949, debido a tres aspectos. Primero, la realización de elecciones limpias y equitativamente competidas, en las cuales los partidos políticos pueden acceder realmente al poder. Segundo, la tolerancia ante la oposición, que ha dado lugar a la alternancia en la presidencia de la república, la asamblea legislativa y los gobiernos cantonales; teniendo como principales partidos políticos al PNL y al PUSC que han alternado tanto el poder ejecutivo como el legislativo. Tercero, el equilibrio de poderes, pues en la asamblea legislativa desde 1949 no ha habido mayoría absoluta por parte de ningún partido político y la oposición ha estado</w:t>
      </w:r>
    </w:p>
    <w:p>
      <w:pPr>
        <w:spacing w:after="0" w:line="360" w:lineRule="auto"/>
        <w:jc w:val="both"/>
        <w:sectPr>
          <w:pgSz w:w="12240" w:h="15840"/>
          <w:pgMar w:header="749" w:footer="1003" w:top="960" w:bottom="1200" w:left="1600" w:right="1580"/>
        </w:sectPr>
      </w:pPr>
    </w:p>
    <w:p>
      <w:pPr>
        <w:pStyle w:val="BodyText"/>
        <w:rPr>
          <w:sz w:val="20"/>
        </w:rPr>
      </w:pPr>
    </w:p>
    <w:p>
      <w:pPr>
        <w:pStyle w:val="BodyText"/>
        <w:spacing w:line="362" w:lineRule="auto" w:before="214"/>
        <w:ind w:left="162" w:right="158"/>
      </w:pPr>
      <w:r>
        <w:rPr/>
        <w:t>presente, de acuerdo con su mayor o menor fuerza electoral, en la integración de la Asamblea Legislativa.</w:t>
      </w:r>
    </w:p>
    <w:p>
      <w:pPr>
        <w:pStyle w:val="BodyText"/>
      </w:pPr>
    </w:p>
    <w:p>
      <w:pPr>
        <w:pStyle w:val="Heading2"/>
        <w:spacing w:line="360" w:lineRule="auto" w:before="139"/>
        <w:ind w:left="3313" w:right="2586" w:firstLine="1000"/>
        <w:jc w:val="left"/>
      </w:pPr>
      <w:r>
        <w:rPr/>
        <w:t>Cuadro 1.1 Contexto México-Costa Rica</w:t>
      </w:r>
    </w:p>
    <w:p>
      <w:pPr>
        <w:pStyle w:val="BodyText"/>
        <w:rPr>
          <w:b/>
          <w:sz w:val="20"/>
        </w:rPr>
      </w:pPr>
    </w:p>
    <w:p>
      <w:pPr>
        <w:pStyle w:val="BodyText"/>
        <w:spacing w:before="5" w:after="1"/>
        <w:rPr>
          <w:b/>
          <w:sz w:val="16"/>
        </w:rPr>
      </w:pPr>
    </w:p>
    <w:tbl>
      <w:tblPr>
        <w:tblW w:w="0" w:type="auto"/>
        <w:jc w:val="left"/>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94"/>
        <w:gridCol w:w="1135"/>
        <w:gridCol w:w="901"/>
        <w:gridCol w:w="562"/>
        <w:gridCol w:w="1274"/>
        <w:gridCol w:w="569"/>
        <w:gridCol w:w="1140"/>
        <w:gridCol w:w="559"/>
        <w:gridCol w:w="1282"/>
        <w:gridCol w:w="514"/>
      </w:tblGrid>
      <w:tr>
        <w:trPr>
          <w:trHeight w:val="631" w:hRule="exact"/>
        </w:trPr>
        <w:tc>
          <w:tcPr>
            <w:tcW w:w="2129" w:type="dxa"/>
            <w:gridSpan w:val="2"/>
            <w:shd w:val="clear" w:color="auto" w:fill="D9D9D9"/>
          </w:tcPr>
          <w:p>
            <w:pPr>
              <w:pStyle w:val="TableParagraph"/>
              <w:spacing w:line="201" w:lineRule="exact"/>
              <w:ind w:left="657" w:right="101"/>
              <w:rPr>
                <w:b/>
                <w:sz w:val="18"/>
              </w:rPr>
            </w:pPr>
            <w:r>
              <w:rPr>
                <w:b/>
                <w:sz w:val="18"/>
              </w:rPr>
              <w:t>Variables</w:t>
            </w:r>
          </w:p>
        </w:tc>
        <w:tc>
          <w:tcPr>
            <w:tcW w:w="901" w:type="dxa"/>
            <w:shd w:val="clear" w:color="auto" w:fill="D9D9D9"/>
          </w:tcPr>
          <w:p>
            <w:pPr>
              <w:pStyle w:val="TableParagraph"/>
              <w:spacing w:line="242" w:lineRule="auto"/>
              <w:ind w:left="182" w:right="124" w:hanging="46"/>
              <w:rPr>
                <w:b/>
                <w:sz w:val="18"/>
              </w:rPr>
            </w:pPr>
            <w:r>
              <w:rPr>
                <w:b/>
                <w:sz w:val="18"/>
              </w:rPr>
              <w:t>México (2006)</w:t>
            </w:r>
          </w:p>
        </w:tc>
        <w:tc>
          <w:tcPr>
            <w:tcW w:w="562" w:type="dxa"/>
            <w:shd w:val="clear" w:color="auto" w:fill="D9D9D9"/>
          </w:tcPr>
          <w:p>
            <w:pPr>
              <w:pStyle w:val="TableParagraph"/>
              <w:spacing w:line="201" w:lineRule="exact"/>
              <w:ind w:left="124"/>
              <w:rPr>
                <w:b/>
                <w:sz w:val="18"/>
              </w:rPr>
            </w:pPr>
            <w:r>
              <w:rPr>
                <w:b/>
                <w:sz w:val="18"/>
              </w:rPr>
              <w:t>N/E</w:t>
            </w:r>
          </w:p>
        </w:tc>
        <w:tc>
          <w:tcPr>
            <w:tcW w:w="1274" w:type="dxa"/>
            <w:shd w:val="clear" w:color="auto" w:fill="D9D9D9"/>
          </w:tcPr>
          <w:p>
            <w:pPr>
              <w:pStyle w:val="TableParagraph"/>
              <w:ind w:left="199" w:right="203"/>
              <w:jc w:val="center"/>
              <w:rPr>
                <w:b/>
                <w:sz w:val="18"/>
              </w:rPr>
            </w:pPr>
            <w:r>
              <w:rPr>
                <w:b/>
                <w:sz w:val="18"/>
              </w:rPr>
              <w:t>Estado de México (2006)</w:t>
            </w:r>
          </w:p>
        </w:tc>
        <w:tc>
          <w:tcPr>
            <w:tcW w:w="569" w:type="dxa"/>
            <w:shd w:val="clear" w:color="auto" w:fill="D9D9D9"/>
          </w:tcPr>
          <w:p>
            <w:pPr>
              <w:pStyle w:val="TableParagraph"/>
              <w:spacing w:line="201" w:lineRule="exact"/>
              <w:ind w:left="127"/>
              <w:rPr>
                <w:b/>
                <w:sz w:val="18"/>
              </w:rPr>
            </w:pPr>
            <w:r>
              <w:rPr>
                <w:b/>
                <w:sz w:val="18"/>
              </w:rPr>
              <w:t>N/E</w:t>
            </w:r>
          </w:p>
        </w:tc>
        <w:tc>
          <w:tcPr>
            <w:tcW w:w="1140" w:type="dxa"/>
            <w:shd w:val="clear" w:color="auto" w:fill="D9D9D9"/>
          </w:tcPr>
          <w:p>
            <w:pPr>
              <w:pStyle w:val="TableParagraph"/>
              <w:ind w:left="302" w:right="303" w:hanging="3"/>
              <w:jc w:val="center"/>
              <w:rPr>
                <w:b/>
                <w:sz w:val="18"/>
              </w:rPr>
            </w:pPr>
            <w:r>
              <w:rPr>
                <w:b/>
                <w:sz w:val="18"/>
              </w:rPr>
              <w:t>Costa Rica (2010)</w:t>
            </w:r>
          </w:p>
        </w:tc>
        <w:tc>
          <w:tcPr>
            <w:tcW w:w="559" w:type="dxa"/>
            <w:shd w:val="clear" w:color="auto" w:fill="D9D9D9"/>
          </w:tcPr>
          <w:p>
            <w:pPr>
              <w:pStyle w:val="TableParagraph"/>
              <w:spacing w:line="201" w:lineRule="exact"/>
              <w:ind w:left="122"/>
              <w:rPr>
                <w:b/>
                <w:sz w:val="18"/>
              </w:rPr>
            </w:pPr>
            <w:r>
              <w:rPr>
                <w:b/>
                <w:sz w:val="18"/>
              </w:rPr>
              <w:t>N/E</w:t>
            </w:r>
          </w:p>
        </w:tc>
        <w:tc>
          <w:tcPr>
            <w:tcW w:w="1282" w:type="dxa"/>
            <w:shd w:val="clear" w:color="auto" w:fill="D9D9D9"/>
          </w:tcPr>
          <w:p>
            <w:pPr>
              <w:pStyle w:val="TableParagraph"/>
              <w:ind w:left="110" w:right="108" w:hanging="3"/>
              <w:jc w:val="center"/>
              <w:rPr>
                <w:b/>
                <w:sz w:val="18"/>
              </w:rPr>
            </w:pPr>
            <w:r>
              <w:rPr>
                <w:b/>
                <w:sz w:val="18"/>
              </w:rPr>
              <w:t>Provincia de San</w:t>
            </w:r>
            <w:r>
              <w:rPr>
                <w:b/>
                <w:spacing w:val="-3"/>
                <w:sz w:val="18"/>
              </w:rPr>
              <w:t> </w:t>
            </w:r>
            <w:r>
              <w:rPr>
                <w:b/>
                <w:sz w:val="18"/>
              </w:rPr>
              <w:t>José (2010)</w:t>
            </w:r>
          </w:p>
        </w:tc>
        <w:tc>
          <w:tcPr>
            <w:tcW w:w="514" w:type="dxa"/>
            <w:shd w:val="clear" w:color="auto" w:fill="D9D9D9"/>
          </w:tcPr>
          <w:p>
            <w:pPr>
              <w:pStyle w:val="TableParagraph"/>
              <w:spacing w:line="242" w:lineRule="auto"/>
              <w:ind w:left="191" w:right="145" w:hanging="32"/>
              <w:rPr>
                <w:b/>
                <w:sz w:val="18"/>
              </w:rPr>
            </w:pPr>
            <w:r>
              <w:rPr>
                <w:b/>
                <w:sz w:val="18"/>
              </w:rPr>
              <w:t>N/ E</w:t>
            </w:r>
          </w:p>
        </w:tc>
      </w:tr>
      <w:tr>
        <w:trPr>
          <w:trHeight w:val="425" w:hRule="exact"/>
        </w:trPr>
        <w:tc>
          <w:tcPr>
            <w:tcW w:w="2129" w:type="dxa"/>
            <w:gridSpan w:val="2"/>
          </w:tcPr>
          <w:p>
            <w:pPr>
              <w:pStyle w:val="TableParagraph"/>
              <w:spacing w:line="206" w:lineRule="exact"/>
              <w:ind w:right="101"/>
              <w:rPr>
                <w:sz w:val="18"/>
              </w:rPr>
            </w:pPr>
            <w:r>
              <w:rPr>
                <w:sz w:val="18"/>
              </w:rPr>
              <w:t>Territorio</w:t>
            </w:r>
          </w:p>
        </w:tc>
        <w:tc>
          <w:tcPr>
            <w:tcW w:w="901" w:type="dxa"/>
          </w:tcPr>
          <w:p>
            <w:pPr>
              <w:pStyle w:val="TableParagraph"/>
              <w:ind w:left="100" w:right="210"/>
              <w:rPr>
                <w:sz w:val="18"/>
              </w:rPr>
            </w:pPr>
            <w:r>
              <w:rPr>
                <w:sz w:val="18"/>
              </w:rPr>
              <w:t>Muy grande</w:t>
            </w:r>
          </w:p>
        </w:tc>
        <w:tc>
          <w:tcPr>
            <w:tcW w:w="562" w:type="dxa"/>
          </w:tcPr>
          <w:p>
            <w:pPr>
              <w:pStyle w:val="TableParagraph"/>
              <w:spacing w:line="206" w:lineRule="exact"/>
              <w:rPr>
                <w:sz w:val="18"/>
              </w:rPr>
            </w:pPr>
            <w:r>
              <w:rPr>
                <w:w w:val="100"/>
                <w:sz w:val="18"/>
              </w:rPr>
              <w:t>V</w:t>
            </w:r>
          </w:p>
        </w:tc>
        <w:tc>
          <w:tcPr>
            <w:tcW w:w="1274" w:type="dxa"/>
          </w:tcPr>
          <w:p>
            <w:pPr>
              <w:pStyle w:val="TableParagraph"/>
              <w:spacing w:line="206" w:lineRule="exact"/>
              <w:ind w:left="100" w:right="154"/>
              <w:rPr>
                <w:sz w:val="18"/>
              </w:rPr>
            </w:pPr>
            <w:r>
              <w:rPr>
                <w:sz w:val="18"/>
              </w:rPr>
              <w:t>Pequeño</w:t>
            </w:r>
          </w:p>
        </w:tc>
        <w:tc>
          <w:tcPr>
            <w:tcW w:w="569" w:type="dxa"/>
          </w:tcPr>
          <w:p>
            <w:pPr>
              <w:pStyle w:val="TableParagraph"/>
              <w:spacing w:line="206" w:lineRule="exact"/>
              <w:rPr>
                <w:sz w:val="18"/>
              </w:rPr>
            </w:pPr>
            <w:r>
              <w:rPr>
                <w:sz w:val="18"/>
              </w:rPr>
              <w:t>II</w:t>
            </w:r>
          </w:p>
        </w:tc>
        <w:tc>
          <w:tcPr>
            <w:tcW w:w="1140" w:type="dxa"/>
          </w:tcPr>
          <w:p>
            <w:pPr>
              <w:pStyle w:val="TableParagraph"/>
              <w:spacing w:line="206" w:lineRule="exact"/>
              <w:ind w:left="100"/>
              <w:rPr>
                <w:sz w:val="18"/>
              </w:rPr>
            </w:pPr>
            <w:r>
              <w:rPr>
                <w:sz w:val="18"/>
              </w:rPr>
              <w:t>Mediano</w:t>
            </w:r>
          </w:p>
        </w:tc>
        <w:tc>
          <w:tcPr>
            <w:tcW w:w="559" w:type="dxa"/>
          </w:tcPr>
          <w:p>
            <w:pPr>
              <w:pStyle w:val="TableParagraph"/>
              <w:spacing w:line="206" w:lineRule="exact"/>
              <w:ind w:left="100"/>
              <w:rPr>
                <w:sz w:val="18"/>
              </w:rPr>
            </w:pPr>
            <w:r>
              <w:rPr>
                <w:sz w:val="18"/>
              </w:rPr>
              <w:t>III</w:t>
            </w:r>
          </w:p>
        </w:tc>
        <w:tc>
          <w:tcPr>
            <w:tcW w:w="1282" w:type="dxa"/>
          </w:tcPr>
          <w:p>
            <w:pPr>
              <w:pStyle w:val="TableParagraph"/>
              <w:spacing w:line="206" w:lineRule="exact"/>
              <w:ind w:right="158"/>
              <w:rPr>
                <w:sz w:val="18"/>
              </w:rPr>
            </w:pPr>
            <w:r>
              <w:rPr>
                <w:sz w:val="18"/>
              </w:rPr>
              <w:t>Pequeño</w:t>
            </w:r>
          </w:p>
        </w:tc>
        <w:tc>
          <w:tcPr>
            <w:tcW w:w="514" w:type="dxa"/>
          </w:tcPr>
          <w:p>
            <w:pPr>
              <w:pStyle w:val="TableParagraph"/>
              <w:spacing w:line="206" w:lineRule="exact"/>
              <w:ind w:right="145"/>
              <w:rPr>
                <w:sz w:val="18"/>
              </w:rPr>
            </w:pPr>
            <w:r>
              <w:rPr>
                <w:sz w:val="18"/>
              </w:rPr>
              <w:t>IV</w:t>
            </w:r>
          </w:p>
        </w:tc>
      </w:tr>
      <w:tr>
        <w:trPr>
          <w:trHeight w:val="216" w:hRule="exact"/>
        </w:trPr>
        <w:tc>
          <w:tcPr>
            <w:tcW w:w="2129" w:type="dxa"/>
            <w:gridSpan w:val="2"/>
          </w:tcPr>
          <w:p>
            <w:pPr>
              <w:pStyle w:val="TableParagraph"/>
              <w:spacing w:line="206" w:lineRule="exact"/>
              <w:ind w:right="101"/>
              <w:rPr>
                <w:sz w:val="18"/>
              </w:rPr>
            </w:pPr>
            <w:r>
              <w:rPr>
                <w:sz w:val="18"/>
              </w:rPr>
              <w:t>Población</w:t>
            </w:r>
          </w:p>
        </w:tc>
        <w:tc>
          <w:tcPr>
            <w:tcW w:w="901" w:type="dxa"/>
          </w:tcPr>
          <w:p>
            <w:pPr>
              <w:pStyle w:val="TableParagraph"/>
              <w:spacing w:line="206" w:lineRule="exact"/>
              <w:ind w:left="100" w:right="124"/>
              <w:rPr>
                <w:sz w:val="18"/>
              </w:rPr>
            </w:pPr>
            <w:r>
              <w:rPr>
                <w:sz w:val="18"/>
              </w:rPr>
              <w:t>Grande</w:t>
            </w:r>
          </w:p>
        </w:tc>
        <w:tc>
          <w:tcPr>
            <w:tcW w:w="562" w:type="dxa"/>
          </w:tcPr>
          <w:p>
            <w:pPr>
              <w:pStyle w:val="TableParagraph"/>
              <w:spacing w:line="206" w:lineRule="exact"/>
              <w:rPr>
                <w:sz w:val="18"/>
              </w:rPr>
            </w:pPr>
            <w:r>
              <w:rPr>
                <w:sz w:val="18"/>
              </w:rPr>
              <w:t>IV</w:t>
            </w:r>
          </w:p>
        </w:tc>
        <w:tc>
          <w:tcPr>
            <w:tcW w:w="1274" w:type="dxa"/>
          </w:tcPr>
          <w:p>
            <w:pPr>
              <w:pStyle w:val="TableParagraph"/>
              <w:spacing w:line="206" w:lineRule="exact"/>
              <w:ind w:left="100" w:right="154"/>
              <w:rPr>
                <w:sz w:val="18"/>
              </w:rPr>
            </w:pPr>
            <w:r>
              <w:rPr>
                <w:sz w:val="18"/>
              </w:rPr>
              <w:t>Muy grande</w:t>
            </w:r>
          </w:p>
        </w:tc>
        <w:tc>
          <w:tcPr>
            <w:tcW w:w="569" w:type="dxa"/>
          </w:tcPr>
          <w:p>
            <w:pPr>
              <w:pStyle w:val="TableParagraph"/>
              <w:spacing w:line="206" w:lineRule="exact"/>
              <w:rPr>
                <w:sz w:val="18"/>
              </w:rPr>
            </w:pPr>
            <w:r>
              <w:rPr>
                <w:w w:val="100"/>
                <w:sz w:val="18"/>
              </w:rPr>
              <w:t>V</w:t>
            </w:r>
          </w:p>
        </w:tc>
        <w:tc>
          <w:tcPr>
            <w:tcW w:w="1140" w:type="dxa"/>
          </w:tcPr>
          <w:p>
            <w:pPr>
              <w:pStyle w:val="TableParagraph"/>
              <w:spacing w:line="206" w:lineRule="exact"/>
              <w:ind w:left="100"/>
              <w:rPr>
                <w:sz w:val="18"/>
              </w:rPr>
            </w:pPr>
            <w:r>
              <w:rPr>
                <w:sz w:val="18"/>
              </w:rPr>
              <w:t>Pequeña</w:t>
            </w:r>
          </w:p>
        </w:tc>
        <w:tc>
          <w:tcPr>
            <w:tcW w:w="559" w:type="dxa"/>
          </w:tcPr>
          <w:p>
            <w:pPr>
              <w:pStyle w:val="TableParagraph"/>
              <w:spacing w:line="206" w:lineRule="exact"/>
              <w:ind w:left="100"/>
              <w:rPr>
                <w:sz w:val="18"/>
              </w:rPr>
            </w:pPr>
            <w:r>
              <w:rPr>
                <w:sz w:val="18"/>
              </w:rPr>
              <w:t>II</w:t>
            </w:r>
          </w:p>
        </w:tc>
        <w:tc>
          <w:tcPr>
            <w:tcW w:w="1282" w:type="dxa"/>
          </w:tcPr>
          <w:p>
            <w:pPr>
              <w:pStyle w:val="TableParagraph"/>
              <w:spacing w:line="206" w:lineRule="exact"/>
              <w:ind w:right="158"/>
              <w:rPr>
                <w:sz w:val="18"/>
              </w:rPr>
            </w:pPr>
            <w:r>
              <w:rPr>
                <w:sz w:val="18"/>
              </w:rPr>
              <w:t>Muy grande</w:t>
            </w:r>
          </w:p>
        </w:tc>
        <w:tc>
          <w:tcPr>
            <w:tcW w:w="514" w:type="dxa"/>
          </w:tcPr>
          <w:p>
            <w:pPr>
              <w:pStyle w:val="TableParagraph"/>
              <w:spacing w:line="206" w:lineRule="exact"/>
              <w:rPr>
                <w:sz w:val="18"/>
              </w:rPr>
            </w:pPr>
            <w:r>
              <w:rPr>
                <w:w w:val="100"/>
                <w:sz w:val="18"/>
              </w:rPr>
              <w:t>V</w:t>
            </w:r>
          </w:p>
        </w:tc>
      </w:tr>
      <w:tr>
        <w:trPr>
          <w:trHeight w:val="632" w:hRule="exact"/>
        </w:trPr>
        <w:tc>
          <w:tcPr>
            <w:tcW w:w="2129" w:type="dxa"/>
            <w:gridSpan w:val="2"/>
          </w:tcPr>
          <w:p>
            <w:pPr>
              <w:pStyle w:val="TableParagraph"/>
              <w:spacing w:line="207" w:lineRule="exact"/>
              <w:ind w:right="101"/>
              <w:rPr>
                <w:sz w:val="18"/>
              </w:rPr>
            </w:pPr>
            <w:r>
              <w:rPr>
                <w:sz w:val="18"/>
              </w:rPr>
              <w:t>Densidad demográfica</w:t>
            </w:r>
          </w:p>
        </w:tc>
        <w:tc>
          <w:tcPr>
            <w:tcW w:w="901" w:type="dxa"/>
          </w:tcPr>
          <w:p>
            <w:pPr>
              <w:pStyle w:val="TableParagraph"/>
              <w:spacing w:line="207" w:lineRule="exact"/>
              <w:ind w:left="100" w:right="124"/>
              <w:rPr>
                <w:sz w:val="18"/>
              </w:rPr>
            </w:pPr>
            <w:r>
              <w:rPr>
                <w:sz w:val="18"/>
              </w:rPr>
              <w:t>Baja</w:t>
            </w:r>
          </w:p>
        </w:tc>
        <w:tc>
          <w:tcPr>
            <w:tcW w:w="562" w:type="dxa"/>
          </w:tcPr>
          <w:p>
            <w:pPr>
              <w:pStyle w:val="TableParagraph"/>
              <w:spacing w:line="207" w:lineRule="exact"/>
              <w:rPr>
                <w:sz w:val="18"/>
              </w:rPr>
            </w:pPr>
            <w:r>
              <w:rPr>
                <w:sz w:val="18"/>
              </w:rPr>
              <w:t>II</w:t>
            </w:r>
          </w:p>
        </w:tc>
        <w:tc>
          <w:tcPr>
            <w:tcW w:w="1274" w:type="dxa"/>
          </w:tcPr>
          <w:p>
            <w:pPr>
              <w:pStyle w:val="TableParagraph"/>
              <w:ind w:left="100" w:right="154"/>
              <w:rPr>
                <w:sz w:val="18"/>
              </w:rPr>
            </w:pPr>
            <w:r>
              <w:rPr>
                <w:sz w:val="18"/>
              </w:rPr>
              <w:t>Muy densamente poblado</w:t>
            </w:r>
          </w:p>
        </w:tc>
        <w:tc>
          <w:tcPr>
            <w:tcW w:w="569" w:type="dxa"/>
          </w:tcPr>
          <w:p>
            <w:pPr>
              <w:pStyle w:val="TableParagraph"/>
              <w:spacing w:line="207" w:lineRule="exact"/>
              <w:rPr>
                <w:sz w:val="18"/>
              </w:rPr>
            </w:pPr>
            <w:r>
              <w:rPr>
                <w:w w:val="100"/>
                <w:sz w:val="18"/>
              </w:rPr>
              <w:t>V</w:t>
            </w:r>
          </w:p>
        </w:tc>
        <w:tc>
          <w:tcPr>
            <w:tcW w:w="1140" w:type="dxa"/>
          </w:tcPr>
          <w:p>
            <w:pPr>
              <w:pStyle w:val="TableParagraph"/>
              <w:spacing w:line="207" w:lineRule="exact"/>
              <w:ind w:left="100"/>
              <w:rPr>
                <w:sz w:val="18"/>
              </w:rPr>
            </w:pPr>
            <w:r>
              <w:rPr>
                <w:sz w:val="18"/>
              </w:rPr>
              <w:t>Baja</w:t>
            </w:r>
          </w:p>
        </w:tc>
        <w:tc>
          <w:tcPr>
            <w:tcW w:w="559" w:type="dxa"/>
          </w:tcPr>
          <w:p>
            <w:pPr>
              <w:pStyle w:val="TableParagraph"/>
              <w:spacing w:line="207" w:lineRule="exact"/>
              <w:ind w:left="100"/>
              <w:rPr>
                <w:sz w:val="18"/>
              </w:rPr>
            </w:pPr>
            <w:r>
              <w:rPr>
                <w:sz w:val="18"/>
              </w:rPr>
              <w:t>II</w:t>
            </w:r>
          </w:p>
        </w:tc>
        <w:tc>
          <w:tcPr>
            <w:tcW w:w="1282" w:type="dxa"/>
          </w:tcPr>
          <w:p>
            <w:pPr>
              <w:pStyle w:val="TableParagraph"/>
              <w:ind w:right="158"/>
              <w:rPr>
                <w:sz w:val="18"/>
              </w:rPr>
            </w:pPr>
            <w:r>
              <w:rPr>
                <w:sz w:val="18"/>
              </w:rPr>
              <w:t>Muy densamente poblada</w:t>
            </w:r>
          </w:p>
        </w:tc>
        <w:tc>
          <w:tcPr>
            <w:tcW w:w="514" w:type="dxa"/>
          </w:tcPr>
          <w:p>
            <w:pPr>
              <w:pStyle w:val="TableParagraph"/>
              <w:spacing w:line="207" w:lineRule="exact"/>
              <w:rPr>
                <w:sz w:val="18"/>
              </w:rPr>
            </w:pPr>
            <w:r>
              <w:rPr>
                <w:w w:val="100"/>
                <w:sz w:val="18"/>
              </w:rPr>
              <w:t>V</w:t>
            </w:r>
          </w:p>
        </w:tc>
      </w:tr>
      <w:tr>
        <w:trPr>
          <w:trHeight w:val="425" w:hRule="exact"/>
        </w:trPr>
        <w:tc>
          <w:tcPr>
            <w:tcW w:w="2129" w:type="dxa"/>
            <w:gridSpan w:val="2"/>
          </w:tcPr>
          <w:p>
            <w:pPr>
              <w:pStyle w:val="TableParagraph"/>
              <w:tabs>
                <w:tab w:pos="1382" w:val="left" w:leader="none"/>
              </w:tabs>
              <w:ind w:right="101"/>
              <w:rPr>
                <w:sz w:val="18"/>
              </w:rPr>
            </w:pPr>
            <w:r>
              <w:rPr>
                <w:sz w:val="18"/>
              </w:rPr>
              <w:t>Organización</w:t>
              <w:tab/>
              <w:t>político- territorial</w:t>
            </w:r>
          </w:p>
        </w:tc>
        <w:tc>
          <w:tcPr>
            <w:tcW w:w="901" w:type="dxa"/>
          </w:tcPr>
          <w:p>
            <w:pPr>
              <w:pStyle w:val="TableParagraph"/>
              <w:spacing w:line="206" w:lineRule="exact"/>
              <w:ind w:left="100" w:right="124"/>
              <w:rPr>
                <w:sz w:val="18"/>
              </w:rPr>
            </w:pPr>
            <w:r>
              <w:rPr>
                <w:sz w:val="18"/>
              </w:rPr>
              <w:t>Federal</w:t>
            </w:r>
          </w:p>
        </w:tc>
        <w:tc>
          <w:tcPr>
            <w:tcW w:w="562" w:type="dxa"/>
          </w:tcPr>
          <w:p>
            <w:pPr>
              <w:pStyle w:val="TableParagraph"/>
              <w:spacing w:line="206" w:lineRule="exact"/>
              <w:rPr>
                <w:sz w:val="18"/>
              </w:rPr>
            </w:pPr>
            <w:r>
              <w:rPr>
                <w:w w:val="99"/>
                <w:sz w:val="18"/>
              </w:rPr>
              <w:t>-</w:t>
            </w:r>
          </w:p>
        </w:tc>
        <w:tc>
          <w:tcPr>
            <w:tcW w:w="1274" w:type="dxa"/>
          </w:tcPr>
          <w:p>
            <w:pPr>
              <w:pStyle w:val="TableParagraph"/>
              <w:spacing w:line="206" w:lineRule="exact"/>
              <w:ind w:left="100" w:right="154"/>
              <w:rPr>
                <w:sz w:val="18"/>
              </w:rPr>
            </w:pPr>
            <w:r>
              <w:rPr>
                <w:sz w:val="18"/>
              </w:rPr>
              <w:t>Federal</w:t>
            </w:r>
          </w:p>
        </w:tc>
        <w:tc>
          <w:tcPr>
            <w:tcW w:w="569" w:type="dxa"/>
          </w:tcPr>
          <w:p>
            <w:pPr>
              <w:pStyle w:val="TableParagraph"/>
              <w:spacing w:line="206" w:lineRule="exact"/>
              <w:rPr>
                <w:sz w:val="18"/>
              </w:rPr>
            </w:pPr>
            <w:r>
              <w:rPr>
                <w:w w:val="99"/>
                <w:sz w:val="18"/>
              </w:rPr>
              <w:t>-</w:t>
            </w:r>
          </w:p>
        </w:tc>
        <w:tc>
          <w:tcPr>
            <w:tcW w:w="1140" w:type="dxa"/>
          </w:tcPr>
          <w:p>
            <w:pPr>
              <w:pStyle w:val="TableParagraph"/>
              <w:spacing w:line="206" w:lineRule="exact"/>
              <w:ind w:left="100"/>
              <w:rPr>
                <w:sz w:val="18"/>
              </w:rPr>
            </w:pPr>
            <w:r>
              <w:rPr>
                <w:sz w:val="18"/>
              </w:rPr>
              <w:t>Centralista</w:t>
            </w:r>
          </w:p>
        </w:tc>
        <w:tc>
          <w:tcPr>
            <w:tcW w:w="559" w:type="dxa"/>
          </w:tcPr>
          <w:p>
            <w:pPr>
              <w:pStyle w:val="TableParagraph"/>
              <w:spacing w:line="206" w:lineRule="exact"/>
              <w:ind w:left="100"/>
              <w:rPr>
                <w:sz w:val="18"/>
              </w:rPr>
            </w:pPr>
            <w:r>
              <w:rPr>
                <w:w w:val="99"/>
                <w:sz w:val="18"/>
              </w:rPr>
              <w:t>-</w:t>
            </w:r>
          </w:p>
        </w:tc>
        <w:tc>
          <w:tcPr>
            <w:tcW w:w="1282" w:type="dxa"/>
          </w:tcPr>
          <w:p>
            <w:pPr>
              <w:pStyle w:val="TableParagraph"/>
              <w:spacing w:line="206" w:lineRule="exact"/>
              <w:ind w:right="158"/>
              <w:rPr>
                <w:sz w:val="18"/>
              </w:rPr>
            </w:pPr>
            <w:r>
              <w:rPr>
                <w:sz w:val="18"/>
              </w:rPr>
              <w:t>Centralista</w:t>
            </w:r>
          </w:p>
        </w:tc>
        <w:tc>
          <w:tcPr>
            <w:tcW w:w="514" w:type="dxa"/>
          </w:tcPr>
          <w:p>
            <w:pPr>
              <w:pStyle w:val="TableParagraph"/>
              <w:spacing w:line="206" w:lineRule="exact"/>
              <w:rPr>
                <w:sz w:val="18"/>
              </w:rPr>
            </w:pPr>
            <w:r>
              <w:rPr>
                <w:w w:val="99"/>
                <w:sz w:val="18"/>
              </w:rPr>
              <w:t>-</w:t>
            </w:r>
          </w:p>
        </w:tc>
      </w:tr>
      <w:tr>
        <w:trPr>
          <w:trHeight w:val="360" w:hRule="exact"/>
        </w:trPr>
        <w:tc>
          <w:tcPr>
            <w:tcW w:w="994" w:type="dxa"/>
            <w:vMerge w:val="restart"/>
          </w:tcPr>
          <w:p>
            <w:pPr>
              <w:pStyle w:val="TableParagraph"/>
              <w:ind w:right="140"/>
              <w:rPr>
                <w:sz w:val="18"/>
              </w:rPr>
            </w:pPr>
            <w:r>
              <w:rPr>
                <w:sz w:val="18"/>
              </w:rPr>
              <w:t>Régimen político</w:t>
            </w:r>
          </w:p>
        </w:tc>
        <w:tc>
          <w:tcPr>
            <w:tcW w:w="1135" w:type="dxa"/>
            <w:vMerge w:val="restart"/>
            <w:tcBorders>
              <w:right w:val="single" w:sz="41" w:space="0" w:color="F1F1F1"/>
            </w:tcBorders>
          </w:tcPr>
          <w:p>
            <w:pPr>
              <w:pStyle w:val="TableParagraph"/>
              <w:tabs>
                <w:tab w:pos="882" w:val="left" w:leader="none"/>
              </w:tabs>
              <w:ind w:right="55"/>
              <w:rPr>
                <w:sz w:val="18"/>
              </w:rPr>
            </w:pPr>
            <w:r>
              <w:rPr>
                <w:sz w:val="18"/>
              </w:rPr>
              <w:t>Alternancia en</w:t>
              <w:tab/>
              <w:t>el</w:t>
            </w:r>
          </w:p>
          <w:p>
            <w:pPr>
              <w:pStyle w:val="TableParagraph"/>
              <w:spacing w:line="206" w:lineRule="exact"/>
              <w:ind w:right="55"/>
              <w:rPr>
                <w:sz w:val="18"/>
              </w:rPr>
            </w:pPr>
            <w:r>
              <w:rPr>
                <w:sz w:val="18"/>
              </w:rPr>
              <w:t>ejecutivo</w:t>
            </w:r>
          </w:p>
        </w:tc>
        <w:tc>
          <w:tcPr>
            <w:tcW w:w="901" w:type="dxa"/>
            <w:vMerge w:val="restart"/>
            <w:shd w:val="clear" w:color="auto" w:fill="F1F1F1"/>
          </w:tcPr>
          <w:p>
            <w:pPr>
              <w:pStyle w:val="TableParagraph"/>
              <w:spacing w:line="206" w:lineRule="exact"/>
              <w:ind w:left="100" w:right="124"/>
              <w:rPr>
                <w:sz w:val="18"/>
              </w:rPr>
            </w:pPr>
            <w:r>
              <w:rPr>
                <w:sz w:val="18"/>
              </w:rPr>
              <w:t>Baja</w:t>
            </w:r>
          </w:p>
        </w:tc>
        <w:tc>
          <w:tcPr>
            <w:tcW w:w="562" w:type="dxa"/>
            <w:vMerge w:val="restart"/>
            <w:tcBorders>
              <w:left w:val="single" w:sz="41" w:space="0" w:color="F1F1F1"/>
              <w:right w:val="single" w:sz="40" w:space="0" w:color="D9D9D9"/>
            </w:tcBorders>
          </w:tcPr>
          <w:p>
            <w:pPr>
              <w:pStyle w:val="TableParagraph"/>
              <w:spacing w:line="206" w:lineRule="exact"/>
              <w:ind w:left="56"/>
              <w:rPr>
                <w:sz w:val="18"/>
              </w:rPr>
            </w:pPr>
            <w:r>
              <w:rPr>
                <w:sz w:val="18"/>
              </w:rPr>
              <w:t>2.0</w:t>
            </w:r>
          </w:p>
        </w:tc>
        <w:tc>
          <w:tcPr>
            <w:tcW w:w="1274" w:type="dxa"/>
          </w:tcPr>
          <w:p>
            <w:pPr>
              <w:pStyle w:val="TableParagraph"/>
              <w:spacing w:line="206" w:lineRule="exact"/>
              <w:ind w:left="100" w:right="154"/>
              <w:rPr>
                <w:sz w:val="18"/>
              </w:rPr>
            </w:pPr>
            <w:r>
              <w:rPr>
                <w:sz w:val="18"/>
              </w:rPr>
              <w:t>Nula (c)</w:t>
            </w:r>
          </w:p>
        </w:tc>
        <w:tc>
          <w:tcPr>
            <w:tcW w:w="569" w:type="dxa"/>
            <w:tcBorders>
              <w:right w:val="single" w:sz="41" w:space="0" w:color="F1F1F1"/>
            </w:tcBorders>
          </w:tcPr>
          <w:p>
            <w:pPr>
              <w:pStyle w:val="TableParagraph"/>
              <w:spacing w:line="206" w:lineRule="exact"/>
              <w:rPr>
                <w:sz w:val="18"/>
              </w:rPr>
            </w:pPr>
            <w:r>
              <w:rPr>
                <w:w w:val="99"/>
                <w:sz w:val="18"/>
              </w:rPr>
              <w:t>1</w:t>
            </w:r>
          </w:p>
        </w:tc>
        <w:tc>
          <w:tcPr>
            <w:tcW w:w="1140" w:type="dxa"/>
            <w:vMerge w:val="restart"/>
            <w:shd w:val="clear" w:color="auto" w:fill="F1F1F1"/>
          </w:tcPr>
          <w:p>
            <w:pPr>
              <w:pStyle w:val="TableParagraph"/>
              <w:spacing w:line="206" w:lineRule="exact"/>
              <w:ind w:left="100"/>
              <w:rPr>
                <w:sz w:val="18"/>
              </w:rPr>
            </w:pPr>
            <w:r>
              <w:rPr>
                <w:sz w:val="18"/>
              </w:rPr>
              <w:t>Alta</w:t>
            </w:r>
          </w:p>
        </w:tc>
        <w:tc>
          <w:tcPr>
            <w:tcW w:w="559" w:type="dxa"/>
            <w:vMerge w:val="restart"/>
            <w:tcBorders>
              <w:left w:val="single" w:sz="41" w:space="0" w:color="F1F1F1"/>
              <w:right w:val="single" w:sz="41" w:space="0" w:color="D9D9D9"/>
            </w:tcBorders>
          </w:tcPr>
          <w:p>
            <w:pPr>
              <w:pStyle w:val="TableParagraph"/>
              <w:spacing w:line="206" w:lineRule="exact"/>
              <w:ind w:left="54"/>
              <w:rPr>
                <w:sz w:val="18"/>
              </w:rPr>
            </w:pPr>
            <w:r>
              <w:rPr>
                <w:sz w:val="18"/>
              </w:rPr>
              <w:t>3.0</w:t>
            </w:r>
          </w:p>
        </w:tc>
        <w:tc>
          <w:tcPr>
            <w:tcW w:w="1282" w:type="dxa"/>
          </w:tcPr>
          <w:p>
            <w:pPr>
              <w:pStyle w:val="TableParagraph"/>
              <w:spacing w:line="206" w:lineRule="exact"/>
              <w:ind w:left="410" w:right="158"/>
              <w:rPr>
                <w:sz w:val="18"/>
              </w:rPr>
            </w:pPr>
            <w:r>
              <w:rPr>
                <w:sz w:val="18"/>
              </w:rPr>
              <w:t>--- (e)</w:t>
            </w:r>
          </w:p>
        </w:tc>
        <w:tc>
          <w:tcPr>
            <w:tcW w:w="514" w:type="dxa"/>
          </w:tcPr>
          <w:p>
            <w:pPr>
              <w:pStyle w:val="TableParagraph"/>
              <w:spacing w:line="206" w:lineRule="exact"/>
              <w:rPr>
                <w:sz w:val="18"/>
              </w:rPr>
            </w:pPr>
            <w:r>
              <w:rPr>
                <w:w w:val="99"/>
                <w:sz w:val="18"/>
              </w:rPr>
              <w:t>-</w:t>
            </w:r>
          </w:p>
        </w:tc>
      </w:tr>
      <w:tr>
        <w:trPr>
          <w:trHeight w:val="360" w:hRule="exact"/>
        </w:trPr>
        <w:tc>
          <w:tcPr>
            <w:tcW w:w="994" w:type="dxa"/>
            <w:vMerge/>
          </w:tcPr>
          <w:p>
            <w:pPr/>
          </w:p>
        </w:tc>
        <w:tc>
          <w:tcPr>
            <w:tcW w:w="1135" w:type="dxa"/>
            <w:vMerge/>
            <w:tcBorders>
              <w:right w:val="single" w:sz="41" w:space="0" w:color="F1F1F1"/>
            </w:tcBorders>
          </w:tcPr>
          <w:p>
            <w:pPr/>
          </w:p>
        </w:tc>
        <w:tc>
          <w:tcPr>
            <w:tcW w:w="901" w:type="dxa"/>
            <w:vMerge/>
            <w:shd w:val="clear" w:color="auto" w:fill="F1F1F1"/>
          </w:tcPr>
          <w:p>
            <w:pPr/>
          </w:p>
        </w:tc>
        <w:tc>
          <w:tcPr>
            <w:tcW w:w="562" w:type="dxa"/>
            <w:vMerge/>
            <w:tcBorders>
              <w:left w:val="single" w:sz="41" w:space="0" w:color="F1F1F1"/>
              <w:right w:val="single" w:sz="40" w:space="0" w:color="D9D9D9"/>
            </w:tcBorders>
          </w:tcPr>
          <w:p>
            <w:pPr/>
          </w:p>
        </w:tc>
        <w:tc>
          <w:tcPr>
            <w:tcW w:w="1274" w:type="dxa"/>
            <w:shd w:val="clear" w:color="auto" w:fill="D9D9D9"/>
          </w:tcPr>
          <w:p>
            <w:pPr>
              <w:pStyle w:val="TableParagraph"/>
              <w:spacing w:line="206" w:lineRule="exact"/>
              <w:ind w:left="100" w:right="154"/>
              <w:rPr>
                <w:sz w:val="18"/>
              </w:rPr>
            </w:pPr>
            <w:r>
              <w:rPr>
                <w:sz w:val="18"/>
              </w:rPr>
              <w:t>Alta (d)</w:t>
            </w:r>
          </w:p>
        </w:tc>
        <w:tc>
          <w:tcPr>
            <w:tcW w:w="569" w:type="dxa"/>
            <w:tcBorders>
              <w:left w:val="single" w:sz="45" w:space="0" w:color="D9D9D9"/>
            </w:tcBorders>
          </w:tcPr>
          <w:p>
            <w:pPr>
              <w:pStyle w:val="TableParagraph"/>
              <w:spacing w:line="206" w:lineRule="exact"/>
              <w:ind w:left="51"/>
              <w:rPr>
                <w:sz w:val="18"/>
              </w:rPr>
            </w:pPr>
            <w:r>
              <w:rPr>
                <w:sz w:val="18"/>
              </w:rPr>
              <w:t>3.0</w:t>
            </w:r>
          </w:p>
        </w:tc>
        <w:tc>
          <w:tcPr>
            <w:tcW w:w="1140" w:type="dxa"/>
            <w:vMerge/>
            <w:shd w:val="clear" w:color="auto" w:fill="F1F1F1"/>
          </w:tcPr>
          <w:p>
            <w:pPr/>
          </w:p>
        </w:tc>
        <w:tc>
          <w:tcPr>
            <w:tcW w:w="559" w:type="dxa"/>
            <w:vMerge/>
            <w:tcBorders>
              <w:left w:val="single" w:sz="41" w:space="0" w:color="F1F1F1"/>
              <w:right w:val="single" w:sz="41" w:space="0" w:color="D9D9D9"/>
            </w:tcBorders>
          </w:tcPr>
          <w:p>
            <w:pPr/>
          </w:p>
        </w:tc>
        <w:tc>
          <w:tcPr>
            <w:tcW w:w="1282" w:type="dxa"/>
            <w:shd w:val="clear" w:color="auto" w:fill="D9D9D9"/>
          </w:tcPr>
          <w:p>
            <w:pPr>
              <w:pStyle w:val="TableParagraph"/>
              <w:spacing w:line="206" w:lineRule="exact"/>
              <w:ind w:left="345" w:right="158"/>
              <w:rPr>
                <w:sz w:val="18"/>
              </w:rPr>
            </w:pPr>
            <w:r>
              <w:rPr>
                <w:sz w:val="18"/>
              </w:rPr>
              <w:t>Baja (f)</w:t>
            </w:r>
          </w:p>
        </w:tc>
        <w:tc>
          <w:tcPr>
            <w:tcW w:w="514" w:type="dxa"/>
            <w:tcBorders>
              <w:left w:val="single" w:sz="41" w:space="0" w:color="D9D9D9"/>
            </w:tcBorders>
          </w:tcPr>
          <w:p>
            <w:pPr>
              <w:pStyle w:val="TableParagraph"/>
              <w:spacing w:line="206" w:lineRule="exact"/>
              <w:ind w:left="56"/>
              <w:rPr>
                <w:sz w:val="18"/>
              </w:rPr>
            </w:pPr>
            <w:r>
              <w:rPr>
                <w:sz w:val="18"/>
              </w:rPr>
              <w:t>2.0</w:t>
            </w:r>
          </w:p>
        </w:tc>
      </w:tr>
      <w:tr>
        <w:trPr>
          <w:trHeight w:val="269" w:hRule="exact"/>
        </w:trPr>
        <w:tc>
          <w:tcPr>
            <w:tcW w:w="994" w:type="dxa"/>
            <w:vMerge/>
          </w:tcPr>
          <w:p>
            <w:pPr/>
          </w:p>
        </w:tc>
        <w:tc>
          <w:tcPr>
            <w:tcW w:w="1135" w:type="dxa"/>
            <w:vMerge w:val="restart"/>
            <w:tcBorders>
              <w:right w:val="single" w:sz="41" w:space="0" w:color="BEBEBE"/>
            </w:tcBorders>
          </w:tcPr>
          <w:p>
            <w:pPr>
              <w:pStyle w:val="TableParagraph"/>
              <w:ind w:right="55"/>
              <w:rPr>
                <w:sz w:val="18"/>
              </w:rPr>
            </w:pPr>
            <w:r>
              <w:rPr>
                <w:sz w:val="18"/>
              </w:rPr>
              <w:t>Control de la legislatura</w:t>
            </w:r>
          </w:p>
        </w:tc>
        <w:tc>
          <w:tcPr>
            <w:tcW w:w="901" w:type="dxa"/>
            <w:shd w:val="clear" w:color="auto" w:fill="BEBEBE"/>
          </w:tcPr>
          <w:p>
            <w:pPr>
              <w:pStyle w:val="TableParagraph"/>
              <w:spacing w:line="206" w:lineRule="exact"/>
              <w:ind w:left="100" w:right="124"/>
              <w:rPr>
                <w:sz w:val="18"/>
              </w:rPr>
            </w:pPr>
            <w:r>
              <w:rPr>
                <w:sz w:val="18"/>
              </w:rPr>
              <w:t>Alta (a)</w:t>
            </w:r>
          </w:p>
        </w:tc>
        <w:tc>
          <w:tcPr>
            <w:tcW w:w="562" w:type="dxa"/>
            <w:tcBorders>
              <w:left w:val="single" w:sz="45" w:space="0" w:color="BEBEBE"/>
            </w:tcBorders>
          </w:tcPr>
          <w:p>
            <w:pPr>
              <w:pStyle w:val="TableParagraph"/>
              <w:spacing w:line="206" w:lineRule="exact"/>
              <w:ind w:left="51"/>
              <w:rPr>
                <w:sz w:val="18"/>
              </w:rPr>
            </w:pPr>
            <w:r>
              <w:rPr>
                <w:sz w:val="18"/>
              </w:rPr>
              <w:t>3.0</w:t>
            </w:r>
          </w:p>
        </w:tc>
        <w:tc>
          <w:tcPr>
            <w:tcW w:w="1274" w:type="dxa"/>
            <w:vMerge w:val="restart"/>
          </w:tcPr>
          <w:p>
            <w:pPr>
              <w:pStyle w:val="TableParagraph"/>
              <w:spacing w:line="206" w:lineRule="exact"/>
              <w:ind w:left="100" w:right="154"/>
              <w:rPr>
                <w:sz w:val="18"/>
              </w:rPr>
            </w:pPr>
            <w:r>
              <w:rPr>
                <w:sz w:val="18"/>
              </w:rPr>
              <w:t>Alta</w:t>
            </w:r>
          </w:p>
        </w:tc>
        <w:tc>
          <w:tcPr>
            <w:tcW w:w="569" w:type="dxa"/>
            <w:vMerge w:val="restart"/>
            <w:tcBorders>
              <w:right w:val="single" w:sz="41" w:space="0" w:color="BEBEBE"/>
            </w:tcBorders>
          </w:tcPr>
          <w:p>
            <w:pPr>
              <w:pStyle w:val="TableParagraph"/>
              <w:spacing w:line="206" w:lineRule="exact"/>
              <w:rPr>
                <w:sz w:val="18"/>
              </w:rPr>
            </w:pPr>
            <w:r>
              <w:rPr>
                <w:sz w:val="18"/>
              </w:rPr>
              <w:t>3.0</w:t>
            </w:r>
          </w:p>
        </w:tc>
        <w:tc>
          <w:tcPr>
            <w:tcW w:w="1140" w:type="dxa"/>
            <w:shd w:val="clear" w:color="auto" w:fill="BEBEBE"/>
          </w:tcPr>
          <w:p>
            <w:pPr>
              <w:pStyle w:val="TableParagraph"/>
              <w:spacing w:line="206" w:lineRule="exact"/>
              <w:ind w:left="100"/>
              <w:rPr>
                <w:sz w:val="18"/>
              </w:rPr>
            </w:pPr>
            <w:r>
              <w:rPr>
                <w:sz w:val="18"/>
              </w:rPr>
              <w:t>Alta</w:t>
            </w:r>
          </w:p>
        </w:tc>
        <w:tc>
          <w:tcPr>
            <w:tcW w:w="559" w:type="dxa"/>
            <w:tcBorders>
              <w:left w:val="thickThinMediumGap" w:sz="23" w:space="0" w:color="BEBEBE"/>
            </w:tcBorders>
          </w:tcPr>
          <w:p>
            <w:pPr>
              <w:pStyle w:val="TableParagraph"/>
              <w:spacing w:line="206" w:lineRule="exact"/>
              <w:ind w:left="48"/>
              <w:rPr>
                <w:sz w:val="18"/>
              </w:rPr>
            </w:pPr>
            <w:r>
              <w:rPr>
                <w:sz w:val="18"/>
              </w:rPr>
              <w:t>3.0</w:t>
            </w:r>
          </w:p>
        </w:tc>
        <w:tc>
          <w:tcPr>
            <w:tcW w:w="1282" w:type="dxa"/>
            <w:vMerge w:val="restart"/>
          </w:tcPr>
          <w:p>
            <w:pPr>
              <w:pStyle w:val="TableParagraph"/>
              <w:spacing w:line="206" w:lineRule="exact"/>
              <w:ind w:left="410" w:right="158"/>
              <w:rPr>
                <w:sz w:val="18"/>
              </w:rPr>
            </w:pPr>
            <w:r>
              <w:rPr>
                <w:sz w:val="18"/>
              </w:rPr>
              <w:t>--- (h)</w:t>
            </w:r>
          </w:p>
        </w:tc>
        <w:tc>
          <w:tcPr>
            <w:tcW w:w="514" w:type="dxa"/>
            <w:vMerge w:val="restart"/>
          </w:tcPr>
          <w:p>
            <w:pPr>
              <w:pStyle w:val="TableParagraph"/>
              <w:spacing w:line="206" w:lineRule="exact"/>
              <w:rPr>
                <w:sz w:val="18"/>
              </w:rPr>
            </w:pPr>
            <w:r>
              <w:rPr>
                <w:w w:val="99"/>
                <w:sz w:val="18"/>
              </w:rPr>
              <w:t>-</w:t>
            </w:r>
          </w:p>
        </w:tc>
      </w:tr>
      <w:tr>
        <w:trPr>
          <w:trHeight w:val="362" w:hRule="exact"/>
        </w:trPr>
        <w:tc>
          <w:tcPr>
            <w:tcW w:w="994" w:type="dxa"/>
            <w:vMerge/>
          </w:tcPr>
          <w:p>
            <w:pPr/>
          </w:p>
        </w:tc>
        <w:tc>
          <w:tcPr>
            <w:tcW w:w="1135" w:type="dxa"/>
            <w:vMerge/>
            <w:tcBorders>
              <w:right w:val="single" w:sz="41" w:space="0" w:color="BEBEBE"/>
            </w:tcBorders>
          </w:tcPr>
          <w:p>
            <w:pPr/>
          </w:p>
        </w:tc>
        <w:tc>
          <w:tcPr>
            <w:tcW w:w="901" w:type="dxa"/>
            <w:tcBorders>
              <w:top w:val="single" w:sz="20" w:space="0" w:color="BEBEBE"/>
            </w:tcBorders>
          </w:tcPr>
          <w:p>
            <w:pPr>
              <w:pStyle w:val="TableParagraph"/>
              <w:spacing w:line="186" w:lineRule="exact"/>
              <w:ind w:left="100" w:right="124"/>
              <w:rPr>
                <w:sz w:val="18"/>
              </w:rPr>
            </w:pPr>
            <w:r>
              <w:rPr>
                <w:sz w:val="18"/>
              </w:rPr>
              <w:t>Alta (b)</w:t>
            </w:r>
          </w:p>
        </w:tc>
        <w:tc>
          <w:tcPr>
            <w:tcW w:w="562" w:type="dxa"/>
          </w:tcPr>
          <w:p>
            <w:pPr>
              <w:pStyle w:val="TableParagraph"/>
              <w:spacing w:line="206" w:lineRule="exact"/>
              <w:rPr>
                <w:sz w:val="18"/>
              </w:rPr>
            </w:pPr>
            <w:r>
              <w:rPr>
                <w:sz w:val="18"/>
              </w:rPr>
              <w:t>3.0</w:t>
            </w:r>
          </w:p>
        </w:tc>
        <w:tc>
          <w:tcPr>
            <w:tcW w:w="1274" w:type="dxa"/>
            <w:vMerge/>
          </w:tcPr>
          <w:p>
            <w:pPr/>
          </w:p>
        </w:tc>
        <w:tc>
          <w:tcPr>
            <w:tcW w:w="569" w:type="dxa"/>
            <w:vMerge/>
            <w:tcBorders>
              <w:right w:val="single" w:sz="41" w:space="0" w:color="BEBEBE"/>
            </w:tcBorders>
          </w:tcPr>
          <w:p>
            <w:pPr/>
          </w:p>
        </w:tc>
        <w:tc>
          <w:tcPr>
            <w:tcW w:w="1140" w:type="dxa"/>
            <w:tcBorders>
              <w:top w:val="single" w:sz="20" w:space="0" w:color="BEBEBE"/>
            </w:tcBorders>
          </w:tcPr>
          <w:p>
            <w:pPr>
              <w:pStyle w:val="TableParagraph"/>
              <w:spacing w:line="186" w:lineRule="exact"/>
              <w:ind w:left="100"/>
              <w:rPr>
                <w:sz w:val="18"/>
              </w:rPr>
            </w:pPr>
            <w:r>
              <w:rPr>
                <w:sz w:val="18"/>
              </w:rPr>
              <w:t>--- (g)</w:t>
            </w:r>
          </w:p>
        </w:tc>
        <w:tc>
          <w:tcPr>
            <w:tcW w:w="559" w:type="dxa"/>
          </w:tcPr>
          <w:p>
            <w:pPr>
              <w:pStyle w:val="TableParagraph"/>
              <w:spacing w:line="206" w:lineRule="exact"/>
              <w:ind w:left="100"/>
              <w:rPr>
                <w:sz w:val="18"/>
              </w:rPr>
            </w:pPr>
            <w:r>
              <w:rPr>
                <w:w w:val="99"/>
                <w:sz w:val="18"/>
              </w:rPr>
              <w:t>-</w:t>
            </w:r>
          </w:p>
        </w:tc>
        <w:tc>
          <w:tcPr>
            <w:tcW w:w="1282" w:type="dxa"/>
            <w:vMerge/>
          </w:tcPr>
          <w:p>
            <w:pPr/>
          </w:p>
        </w:tc>
        <w:tc>
          <w:tcPr>
            <w:tcW w:w="514" w:type="dxa"/>
            <w:vMerge/>
          </w:tcPr>
          <w:p>
            <w:pPr/>
          </w:p>
        </w:tc>
      </w:tr>
    </w:tbl>
    <w:p>
      <w:pPr>
        <w:spacing w:line="240" w:lineRule="auto" w:before="0"/>
        <w:ind w:left="162" w:right="159" w:firstLine="0"/>
        <w:jc w:val="both"/>
        <w:rPr>
          <w:sz w:val="22"/>
        </w:rPr>
      </w:pPr>
      <w:r>
        <w:rPr>
          <w:sz w:val="22"/>
        </w:rPr>
        <w:t>Nota: N = Nivel, E= Evaluación, - = Sin evaluación o nivel. Muy grande y Muy densamente poblado= Nivel V; Grande y Densamente poblado = Nivel IV; Mediano y Densidad media= Nivel III; Pequeño, Baja = Nivel II; así como Muy pequeño y Muy baja densidad = Nivel   I.</w:t>
      </w:r>
    </w:p>
    <w:p>
      <w:pPr>
        <w:pStyle w:val="ListParagraph"/>
        <w:numPr>
          <w:ilvl w:val="0"/>
          <w:numId w:val="20"/>
        </w:numPr>
        <w:tabs>
          <w:tab w:pos="560" w:val="left" w:leader="none"/>
        </w:tabs>
        <w:spacing w:line="240" w:lineRule="auto" w:before="1" w:after="0"/>
        <w:ind w:left="162" w:right="155" w:firstLine="0"/>
        <w:jc w:val="both"/>
        <w:rPr>
          <w:sz w:val="22"/>
        </w:rPr>
      </w:pPr>
      <w:r>
        <w:rPr>
          <w:sz w:val="22"/>
        </w:rPr>
        <w:t>Cámara de diputados, (b) Cámara de senadores, (c) Ámbito estatal, (d) Ámbito municipal, (e) Ámbito provincial y (f) Ámbito cantonal, (g) Sin Cámara de Senadores y (h) Sin legislaturas en sus provincias. Las celdas relativas a Régimen político que se encuentran sombreadas son las que fueron comparadas, las otras al no tener equivalente en ambos países no fue posible hacer lo correspondiente (ver Anexo</w:t>
      </w:r>
      <w:r>
        <w:rPr>
          <w:spacing w:val="-15"/>
          <w:sz w:val="22"/>
        </w:rPr>
        <w:t> </w:t>
      </w:r>
      <w:r>
        <w:rPr>
          <w:sz w:val="22"/>
        </w:rPr>
        <w:t>1).</w:t>
      </w:r>
    </w:p>
    <w:p>
      <w:pPr>
        <w:pStyle w:val="BodyText"/>
        <w:rPr>
          <w:sz w:val="22"/>
        </w:rPr>
      </w:pPr>
    </w:p>
    <w:p>
      <w:pPr>
        <w:pStyle w:val="BodyText"/>
        <w:spacing w:line="360" w:lineRule="auto" w:before="161"/>
        <w:ind w:left="162" w:right="156" w:firstLine="707"/>
        <w:jc w:val="both"/>
      </w:pPr>
      <w:r>
        <w:rPr/>
        <w:t>Recapitulando (ver cuadro 1.1) señalo que, comparados con el contexto mundial, México es mucho más grande territorialmente que Costa Rica (38 veces); tiene una población 24 veces más grande que la de dicho país centroamericano y ambos países cuentan con una baja densidad de población. En cuanto su organización político territorial México es un estado federal y Costa Rica es, centralista. Con respecto a su régimen político, México tiene una baja alternancia en el ejecutivo nacional ya que hasta las elecciones de 2006 sólo dos partidos han podido obtener la presidencia de la República, PRI y PAN, y el segundo fue reciente, pues antes de 2000 sólo un partido, el PRI, tuvo la Presidencia de la República por siete décadas de forma ininterrumpida. Con relación al control de  la</w:t>
      </w:r>
    </w:p>
    <w:p>
      <w:pPr>
        <w:spacing w:after="0" w:line="360" w:lineRule="auto"/>
        <w:jc w:val="both"/>
        <w:sectPr>
          <w:pgSz w:w="12240" w:h="15840"/>
          <w:pgMar w:header="749" w:footer="1003" w:top="960" w:bottom="1200" w:left="1540" w:right="1540"/>
        </w:sectPr>
      </w:pPr>
    </w:p>
    <w:p>
      <w:pPr>
        <w:pStyle w:val="BodyText"/>
        <w:rPr>
          <w:sz w:val="20"/>
        </w:rPr>
      </w:pPr>
    </w:p>
    <w:p>
      <w:pPr>
        <w:pStyle w:val="BodyText"/>
        <w:spacing w:line="360" w:lineRule="auto" w:before="214"/>
        <w:ind w:left="102" w:right="121"/>
        <w:jc w:val="both"/>
      </w:pPr>
      <w:r>
        <w:rPr/>
        <w:t>legislatura se observó que tanto la Cámara de Diputados como la de Senadores cuentan con una alta independencia pues en las elecciones objeto de estudio (2006) ningún partido obtuvo la mayoría absoluta de los curules.</w:t>
      </w:r>
    </w:p>
    <w:p>
      <w:pPr>
        <w:pStyle w:val="BodyText"/>
        <w:spacing w:line="360" w:lineRule="auto" w:before="5"/>
        <w:ind w:left="102" w:right="116" w:firstLine="707"/>
        <w:jc w:val="both"/>
      </w:pPr>
      <w:r>
        <w:rPr/>
        <w:t>El régimen político costarricense se ubicó como alto en cuanto a su alternancia en el poder ejecutivo toda vez que desde hace varias décadas cuatro partidos han obtenido la Presidencia de la República (PLN, PUSC, PUN y CU), siendo dos los predominantes (PNL y PUSC). En cuanto al control de la legislatura este se ubicó como alto pues ningún partido ostenta la mayoría absoluta de los curules.</w:t>
      </w:r>
    </w:p>
    <w:p>
      <w:pPr>
        <w:pStyle w:val="BodyText"/>
        <w:spacing w:line="360" w:lineRule="auto" w:before="5"/>
        <w:ind w:left="102" w:right="116" w:firstLine="707"/>
        <w:jc w:val="both"/>
      </w:pPr>
      <w:r>
        <w:rPr/>
        <w:t>Ahora bien por lo que corresponde al Estado de México y la Provincia de San José ambos se ubicaron como pequeños en territorio, muy grandes en población y muy densamente poblados, en relación con los otros estados y provincias de sus respectivos países. Tienen organizaciones político-territoriales distintas, el Estado de México forma parte de una federación y la Provincia de San José está integrada a un país centralista. El Estado de México tiene una nula alternancia en poder ejecutivo y la provincia objeto de estudio no cuenta con poderes pues es gobernada por el gobierno central. Con respecto al control de la legislatura la entidad mexiquense se ubicó como alta pues ningún partido obtuvo  la mayoría absoluta de los curules, en cuanto a la provincia costarricense ésta no cuenta, como ya se dijo, con poderes. Por lo que corresponde a los municipios  que integran el Estado de México éstos cuentan con una alta alternancia en el poder ejecutivo, pues ningún partido obtuvo en las elecciones de 2006 la mayoría absoluta de las presidencias municipales; en cambio en los cantones de la Provincia de San José se observó una baja alternancia pues el PNL tuvo la mayoría absoluta de las alcaldías en</w:t>
      </w:r>
      <w:r>
        <w:rPr>
          <w:spacing w:val="-12"/>
        </w:rPr>
        <w:t> </w:t>
      </w:r>
      <w:r>
        <w:rPr/>
        <w:t>disputa.</w:t>
      </w:r>
    </w:p>
    <w:p>
      <w:pPr>
        <w:pStyle w:val="BodyText"/>
        <w:spacing w:line="360" w:lineRule="auto" w:before="5"/>
        <w:ind w:left="102" w:right="116" w:firstLine="707"/>
        <w:jc w:val="both"/>
      </w:pPr>
      <w:r>
        <w:rPr/>
        <w:t>De acuerdo con lo anterior tanto México como Costa Rica así como el Estado de México y la Provincia de San José cuentan con similitudes y diferencias lo cual las hace atractivas para su estudio.</w:t>
      </w:r>
    </w:p>
    <w:p>
      <w:pPr>
        <w:spacing w:after="0" w:line="360" w:lineRule="auto"/>
        <w:jc w:val="both"/>
        <w:sectPr>
          <w:pgSz w:w="12240" w:h="15840"/>
          <w:pgMar w:header="749" w:footer="1003" w:top="960" w:bottom="1200" w:left="1600" w:right="1580"/>
        </w:sectPr>
      </w:pPr>
    </w:p>
    <w:p>
      <w:pPr>
        <w:pStyle w:val="BodyText"/>
        <w:spacing w:before="4"/>
        <w:rPr>
          <w:rFonts w:ascii="Times New Roman"/>
          <w:sz w:val="17"/>
        </w:rPr>
      </w:pPr>
    </w:p>
    <w:p>
      <w:pPr>
        <w:spacing w:after="0"/>
        <w:rPr>
          <w:rFonts w:ascii="Times New Roman"/>
          <w:sz w:val="17"/>
        </w:rPr>
        <w:sectPr>
          <w:pgSz w:w="12240" w:h="15840"/>
          <w:pgMar w:header="749" w:footer="1003" w:top="960" w:bottom="1200" w:left="1720" w:right="1720"/>
        </w:sectPr>
      </w:pPr>
    </w:p>
    <w:p>
      <w:pPr>
        <w:pStyle w:val="BodyText"/>
        <w:rPr>
          <w:rFonts w:ascii="Times New Roman"/>
          <w:sz w:val="20"/>
        </w:rPr>
      </w:pPr>
    </w:p>
    <w:p>
      <w:pPr>
        <w:pStyle w:val="Heading1"/>
        <w:spacing w:line="362" w:lineRule="auto"/>
        <w:ind w:left="3501" w:right="120" w:hanging="2816"/>
      </w:pPr>
      <w:r>
        <w:rPr/>
        <w:t>II INDEPENDENCIA E IMPARCIALIDAD DE LOS ÓRGANOS ELECTORALES</w:t>
      </w:r>
    </w:p>
    <w:p>
      <w:pPr>
        <w:pStyle w:val="BodyText"/>
        <w:spacing w:before="1"/>
        <w:rPr>
          <w:sz w:val="36"/>
        </w:rPr>
      </w:pPr>
    </w:p>
    <w:p>
      <w:pPr>
        <w:pStyle w:val="BodyText"/>
        <w:spacing w:line="360" w:lineRule="auto"/>
        <w:ind w:left="102" w:right="114"/>
        <w:jc w:val="both"/>
      </w:pPr>
      <w:r>
        <w:rPr/>
        <w:t>En este capítulo se estudió la democraticidad de los institutos electorales entendida como el grado de independencia e imparcialidad de los tres órganos electorales objeto de estudio, dos mexicanos: el Instituto Federal Electoral (IFE) y el Instituto Electoral del Estado de México (IEEM) y uno costarricense: el Tribunal Supremo de Elecciones (TSE). Para ello se establecieron dos variables: a)  elección y b) actuación; la primera, evalúo el grado de independencia e imparcialidad con que cuentan los árbitros de la contienda con respecto a la elección de sus consejeros (IFE e IEEM) y magistrados (TSE), a través del análisis de tres indicadores: apego a la ley, origen de las propuestas y votación de la legislatura o de la Corte Suprema de Justicia (CSJ); la segunda, estudió la actuación de los árbitros durante los procesos electorales objeto de estudio ― marzo y julio de 2006 en México y febrero y diciembre de 2010 en Costa Rica― mediante tres indicadores: congruencia con la legalidad, imparcialidad cualitativa en el resultado de la elección e imparcialidad cuantitativa con respecto a las organizaciones políticas. Para el análisis de la variable actuación con respecto al indicador congruencia con la legalidad se estudiaron los acuerdos revocados por los tribunales ―Tribunal Electoral del Poder Judicial de la Federación (TEPJF), Tribunal Electoral del Estado de México (TEEM) y Tribunal Supremo de  Elecciones (TSE) ― según el</w:t>
      </w:r>
      <w:r>
        <w:rPr>
          <w:spacing w:val="-10"/>
        </w:rPr>
        <w:t> </w:t>
      </w:r>
      <w:r>
        <w:rPr/>
        <w:t>caso.</w:t>
      </w:r>
    </w:p>
    <w:p>
      <w:pPr>
        <w:pStyle w:val="BodyText"/>
        <w:spacing w:line="360" w:lineRule="auto" w:before="5"/>
        <w:ind w:left="102" w:right="116" w:firstLine="359"/>
        <w:jc w:val="both"/>
      </w:pPr>
      <w:r>
        <w:rPr/>
        <w:t>La democraticidad hace referencia al grado de calidad de la democracia, la cual ―entre otros aspectos― estudia lo relativo a la calidad de las elecciones; y dos de los elementos principales a evaluar en los procesos electorales son la elección y actuación (imparcial e independiente) de los órganos electorales. Por lo tanto un elemento importante para medir el grado de independencia e imparcialidad con que cuenta un órgano electoral, desde su origen, es su elección; la cual es de “especial relevancia pues en México, desde los tiempos del régimen de partido hegemónico, el grado de imparcialidad en el desempeño de los árbitros electorales   ha   estado   estrechamente   vinculado   con   el   mayor   o     </w:t>
      </w:r>
      <w:r>
        <w:rPr>
          <w:spacing w:val="7"/>
        </w:rPr>
        <w:t> </w:t>
      </w:r>
      <w:r>
        <w:rPr/>
        <w:t>menor</w:t>
      </w:r>
    </w:p>
    <w:p>
      <w:pPr>
        <w:spacing w:after="0" w:line="360" w:lineRule="auto"/>
        <w:jc w:val="both"/>
        <w:sectPr>
          <w:footerReference w:type="default" r:id="rId37"/>
          <w:pgSz w:w="12240" w:h="15840"/>
          <w:pgMar w:footer="1003" w:header="749" w:top="960" w:bottom="1200" w:left="1600" w:right="1580"/>
        </w:sectPr>
      </w:pPr>
    </w:p>
    <w:p>
      <w:pPr>
        <w:pStyle w:val="BodyText"/>
        <w:rPr>
          <w:sz w:val="20"/>
        </w:rPr>
      </w:pPr>
    </w:p>
    <w:p>
      <w:pPr>
        <w:pStyle w:val="BodyText"/>
        <w:spacing w:line="360" w:lineRule="auto" w:before="214"/>
        <w:ind w:left="102" w:right="119"/>
        <w:jc w:val="both"/>
      </w:pPr>
      <w:r>
        <w:rPr/>
        <w:t>involucramiento del ejecutivo estatal en su designación” (Lizcano y otros, 2013a). En algunos estudios (Astudillo y Córdova, 2010; González, 2010) se utiliza el termino árbitros para referirse a los órganos electorales, de ahí que utilizo ambos términos —órganos y árbitros— como sinónimos (aunque en estricto sentido no lo sean) para referirme a los institutos encargados de organizar las elecciones en su respectivo país o jurisdicción, en este caso: IFE, IEEM o TSE.</w:t>
      </w:r>
    </w:p>
    <w:p>
      <w:pPr>
        <w:pStyle w:val="BodyText"/>
        <w:spacing w:line="360" w:lineRule="auto" w:before="2"/>
        <w:ind w:left="102" w:right="116" w:firstLine="359"/>
        <w:jc w:val="both"/>
      </w:pPr>
      <w:r>
        <w:rPr/>
        <w:t>En el presente capítulo se concluyó que los órganos electorales IFE  (2.5) y TSE (2.66), considerados globalmente, se ubicaron en el rango de alta calidad a diferencia del IEEM (2.0) que se colocó en el rango de mediana calidad; este resultado general se obtuvo de promediar las evaluaciones obtenidas en las dos variables estudiadas y para el caso del TSE fue el promedio de las dos elecciones costarricenses analizadas.</w:t>
      </w:r>
    </w:p>
    <w:p>
      <w:pPr>
        <w:pStyle w:val="BodyText"/>
      </w:pPr>
    </w:p>
    <w:p>
      <w:pPr>
        <w:pStyle w:val="Heading1"/>
        <w:numPr>
          <w:ilvl w:val="1"/>
          <w:numId w:val="20"/>
        </w:numPr>
        <w:tabs>
          <w:tab w:pos="822" w:val="left" w:leader="none"/>
        </w:tabs>
        <w:spacing w:line="240" w:lineRule="auto" w:before="140" w:after="0"/>
        <w:ind w:left="822" w:right="0" w:hanging="360"/>
        <w:jc w:val="left"/>
      </w:pPr>
      <w:r>
        <w:rPr/>
        <w:t>México</w:t>
      </w:r>
    </w:p>
    <w:p>
      <w:pPr>
        <w:pStyle w:val="BodyText"/>
        <w:rPr>
          <w:sz w:val="28"/>
        </w:rPr>
      </w:pPr>
    </w:p>
    <w:p>
      <w:pPr>
        <w:pStyle w:val="BodyText"/>
        <w:spacing w:before="5"/>
        <w:rPr>
          <w:sz w:val="39"/>
        </w:rPr>
      </w:pPr>
    </w:p>
    <w:p>
      <w:pPr>
        <w:pStyle w:val="BodyText"/>
        <w:spacing w:line="360" w:lineRule="auto" w:before="1"/>
        <w:ind w:left="102" w:right="115"/>
        <w:jc w:val="both"/>
      </w:pPr>
      <w:r>
        <w:rPr/>
        <w:t>En México las elecciones federales son organizadas por el Instituto Federal Electoral (IFE) órgano encargado de realizar los comicios de presidente de la República, diputados federales y senadores; y a nivel estatal cada una de las entidades cuenta con un órgano electoral encargado de organizar las elecciones locales, en el ámbito de su jurisdicción. En el caso del Estado de México el Instituto Electoral del Estado de México (IEEM) es el órgano encargado de organizar las elecciones de gobernador, diputados locales y presidentes municipales en los 45 distritos electorales así como en los 125 municipios que integran dicha entidad. De acuerdo con lo anterior en el presente apartado se estudia la elección y actuación del IFE y el</w:t>
      </w:r>
      <w:r>
        <w:rPr>
          <w:spacing w:val="-11"/>
        </w:rPr>
        <w:t> </w:t>
      </w:r>
      <w:r>
        <w:rPr/>
        <w:t>IEEM.</w:t>
      </w:r>
    </w:p>
    <w:p>
      <w:pPr>
        <w:pStyle w:val="BodyText"/>
        <w:spacing w:line="360" w:lineRule="auto" w:before="5"/>
        <w:ind w:left="102" w:right="118" w:firstLine="707"/>
        <w:jc w:val="both"/>
      </w:pPr>
      <w:r>
        <w:rPr/>
        <w:t>Además de los institutos encargados de organizar las elecciones existen órganos especializados en impartir justicia en materia electoral como son el Tribunal Electoral del Poder Judicial de la Federación (TEPJF) que dirime asuntos relacionados con elecciones federales, de gobernador y jefe del distrito federal; y los 32 tribunales electorales locales, ejemplo de éstos es el Tribunal Electoral del Estado de México (TEEM) que resuelve controversias en materia de elecciones</w:t>
      </w:r>
    </w:p>
    <w:p>
      <w:pPr>
        <w:spacing w:after="0" w:line="360" w:lineRule="auto"/>
        <w:jc w:val="both"/>
        <w:sectPr>
          <w:footerReference w:type="default" r:id="rId38"/>
          <w:pgSz w:w="12240" w:h="15840"/>
          <w:pgMar w:footer="1003" w:header="749" w:top="960" w:bottom="1200" w:left="1600" w:right="1580"/>
          <w:pgNumType w:start="81"/>
        </w:sectPr>
      </w:pPr>
    </w:p>
    <w:p>
      <w:pPr>
        <w:pStyle w:val="BodyText"/>
        <w:rPr>
          <w:sz w:val="20"/>
        </w:rPr>
      </w:pPr>
    </w:p>
    <w:p>
      <w:pPr>
        <w:pStyle w:val="BodyText"/>
        <w:spacing w:line="360" w:lineRule="auto" w:before="214"/>
        <w:ind w:left="102" w:right="120"/>
        <w:jc w:val="both"/>
      </w:pPr>
      <w:r>
        <w:rPr/>
        <w:t>locales en el Estado de México. A su vez existen otras instituciones que se encargan de la atención de los delitos electorales en sus respectivos ámbitos: la Fiscalía Especializada para la Atención de los Delitos Electorales (FEPADE) de la Procuraduría General de la República (PGR) y la Fiscalía Especializada para la Atención de Delitos contra el Proceso Electoral de la Procuraduría General de Justicia del Estado de México (PGJEM).</w:t>
      </w:r>
    </w:p>
    <w:p>
      <w:pPr>
        <w:pStyle w:val="BodyText"/>
        <w:spacing w:line="360" w:lineRule="auto" w:before="2"/>
        <w:ind w:left="102" w:right="120" w:firstLine="707"/>
        <w:jc w:val="both"/>
      </w:pPr>
      <w:r>
        <w:rPr/>
        <w:t>El IFE y el IEEM tienen una estructura, función e integración similares; lo mismo sucede con el TEPJF y el TEEM; pero lo que los hace distintos (en ambos casos) es su ámbito de competencia, ya sea federal o local.</w:t>
      </w:r>
    </w:p>
    <w:p>
      <w:pPr>
        <w:pStyle w:val="BodyText"/>
        <w:spacing w:line="360" w:lineRule="auto" w:before="5"/>
        <w:ind w:left="102" w:right="115" w:firstLine="707"/>
        <w:jc w:val="both"/>
      </w:pPr>
      <w:r>
        <w:rPr/>
        <w:t>De acuerdo con el artículo 70 del Código Federal de Instituciones y Procedimientos Electorales (COFIPE) el IFE es un “organismo público autónomo, de carácter permanente, independiente en sus decisiones y funcionamiento, con personalidad jurídica y patrimonio propios” (CDHCU L LIX, 2005: 73), lo cual continua sin modificaciones de fondo, sólo cambió el número del artículo actualmente es el 106 (CDHCU L LX, 2008a). El IFE está dividido en órganos centrales y desconcentrados, los primeros son el Consejo General (CGIFE) y la Junta General (JGIFE); los segundos, los 32 Consejos Locales (CLIFE) y las 32 Juntas Locales (JLIFE), así como los 300 Consejos Distritales (CDIFE) y las 300 Juntas Distritales (JDIFE). Todos los anteriores son órganos permanentes, es  decir se encuentran en funciones haya o no proceso electoral. Existen también órganos temporales, como las mesas directivas de casilla, las cuales únicamente se instalan el día de la jornada electoral, al igual que las del</w:t>
      </w:r>
      <w:r>
        <w:rPr>
          <w:spacing w:val="-19"/>
        </w:rPr>
        <w:t> </w:t>
      </w:r>
      <w:r>
        <w:rPr/>
        <w:t>IEEM.</w:t>
      </w:r>
    </w:p>
    <w:p>
      <w:pPr>
        <w:pStyle w:val="BodyText"/>
        <w:spacing w:line="360" w:lineRule="auto" w:before="2"/>
        <w:ind w:left="102" w:right="120" w:firstLine="707"/>
        <w:jc w:val="both"/>
      </w:pPr>
      <w:r>
        <w:rPr/>
        <w:t>En cuanto a su funcionamiento</w:t>
      </w:r>
      <w:r>
        <w:rPr>
          <w:color w:val="00AF50"/>
        </w:rPr>
        <w:t>, </w:t>
      </w:r>
      <w:r>
        <w:rPr/>
        <w:t>el IFE se encuentra regido por lo que establece el artículo 41 de la Constitución Política de los Estados Unidos Mexicanos, el cual señala que el IFE está encargado de la función estatal de organizar las elecciones para renovar los poderes de la Unión (Poder Legislativo y Ejecutivo) (CDHCU L LXI, 2012a: 30). De acuerdo con el artículo 69 del COFIPE los fines del IFE son:</w:t>
      </w:r>
    </w:p>
    <w:p>
      <w:pPr>
        <w:pStyle w:val="BodyText"/>
      </w:pPr>
    </w:p>
    <w:p>
      <w:pPr>
        <w:pStyle w:val="ListParagraph"/>
        <w:numPr>
          <w:ilvl w:val="2"/>
          <w:numId w:val="20"/>
        </w:numPr>
        <w:tabs>
          <w:tab w:pos="1230" w:val="left" w:leader="none"/>
        </w:tabs>
        <w:spacing w:line="362" w:lineRule="auto" w:before="139" w:after="0"/>
        <w:ind w:left="954" w:right="118" w:firstLine="0"/>
        <w:jc w:val="left"/>
        <w:rPr>
          <w:sz w:val="22"/>
        </w:rPr>
      </w:pPr>
      <w:r>
        <w:rPr>
          <w:sz w:val="22"/>
        </w:rPr>
        <w:t>Contribuir al desarrollo de la vida democrática; b) Preservar el fortalecimiento del régimen de partidos políticos; c) Integrar el Registro Federal de Electores;  </w:t>
      </w:r>
      <w:r>
        <w:rPr>
          <w:spacing w:val="24"/>
          <w:sz w:val="22"/>
        </w:rPr>
        <w:t> </w:t>
      </w:r>
      <w:r>
        <w:rPr>
          <w:sz w:val="22"/>
        </w:rPr>
        <w:t>d)</w:t>
      </w:r>
    </w:p>
    <w:p>
      <w:pPr>
        <w:spacing w:after="0" w:line="362" w:lineRule="auto"/>
        <w:jc w:val="left"/>
        <w:rPr>
          <w:sz w:val="22"/>
        </w:rPr>
        <w:sectPr>
          <w:pgSz w:w="12240" w:h="15840"/>
          <w:pgMar w:header="749" w:footer="1003" w:top="960" w:bottom="1200" w:left="1600" w:right="1580"/>
        </w:sectPr>
      </w:pPr>
    </w:p>
    <w:p>
      <w:pPr>
        <w:pStyle w:val="BodyText"/>
        <w:rPr>
          <w:sz w:val="20"/>
        </w:rPr>
      </w:pPr>
    </w:p>
    <w:p>
      <w:pPr>
        <w:spacing w:line="360" w:lineRule="auto" w:before="214"/>
        <w:ind w:left="954" w:right="113" w:firstLine="0"/>
        <w:jc w:val="both"/>
        <w:rPr>
          <w:sz w:val="22"/>
        </w:rPr>
      </w:pPr>
      <w:r>
        <w:rPr>
          <w:sz w:val="22"/>
        </w:rPr>
        <w:t>Asegurar a los ciudadanos el ejercicio de los derechos político-electorales y  vigilar el cumplimiento de sus obligaciones; e) Garantizar la celebración periódica y pacífica de las elecciones para renovar a los integrantes de los Poderes Legislativo y Ejecutivo de la Unión; f) Velar por la autenticidad y efectividad del sufragio; y g) Llevar a cabo la promoción del voto y coadyuvar a la difusión de la educación cívica y la cultura democrática (</w:t>
      </w:r>
      <w:r>
        <w:rPr>
          <w:sz w:val="24"/>
        </w:rPr>
        <w:t>CDHCU L LIX</w:t>
      </w:r>
      <w:r>
        <w:rPr>
          <w:sz w:val="22"/>
        </w:rPr>
        <w:t>, 2005:</w:t>
      </w:r>
      <w:r>
        <w:rPr>
          <w:spacing w:val="-18"/>
          <w:sz w:val="22"/>
        </w:rPr>
        <w:t> </w:t>
      </w:r>
      <w:r>
        <w:rPr>
          <w:sz w:val="22"/>
        </w:rPr>
        <w:t>73).</w:t>
      </w:r>
    </w:p>
    <w:p>
      <w:pPr>
        <w:pStyle w:val="BodyText"/>
        <w:spacing w:before="4"/>
        <w:rPr>
          <w:sz w:val="33"/>
        </w:rPr>
      </w:pPr>
    </w:p>
    <w:p>
      <w:pPr>
        <w:pStyle w:val="BodyText"/>
        <w:spacing w:line="360" w:lineRule="auto" w:before="1"/>
        <w:ind w:left="102" w:right="117" w:firstLine="707"/>
        <w:jc w:val="both"/>
      </w:pPr>
      <w:r>
        <w:rPr/>
        <w:t>El segundo párrafo del artículo 69 del COFIPE establece como principios rectores de las actividades del IFE la certeza, legalidad, independencia, imparcialidad y objetividad (CDHCU L LIX, 2005: 73); y señala que el encargado de que estos principios se cumplan es el Consejo General, máximo órgano de dirección dentro del instituto (artículo 73); el cual está integrado (de acuerdo con el artículo 74 primer párrafo) por un consejero presidente, ocho consejeros electorales, consejeros del Poder Legislativo, representantes de los partidos políticos y el secretario ejecutivo (CDHCU L LIX, 2005:</w:t>
      </w:r>
      <w:r>
        <w:rPr>
          <w:spacing w:val="-15"/>
        </w:rPr>
        <w:t> </w:t>
      </w:r>
      <w:r>
        <w:rPr/>
        <w:t>75).</w:t>
      </w:r>
    </w:p>
    <w:p>
      <w:pPr>
        <w:pStyle w:val="BodyText"/>
        <w:spacing w:line="360" w:lineRule="auto" w:before="2"/>
        <w:ind w:left="102" w:right="115" w:firstLine="707"/>
        <w:jc w:val="both"/>
      </w:pPr>
      <w:r>
        <w:rPr/>
        <w:t>Por lo que respecta al Instituto Electoral del Estado de México</w:t>
      </w:r>
      <w:r>
        <w:rPr>
          <w:color w:val="00AF50"/>
        </w:rPr>
        <w:t>, </w:t>
      </w:r>
      <w:r>
        <w:rPr/>
        <w:t>éste está regulado por el Código Electoral del Estado de México (CEEM)</w:t>
      </w:r>
      <w:r>
        <w:rPr>
          <w:color w:val="00AF50"/>
        </w:rPr>
        <w:t>, </w:t>
      </w:r>
      <w:r>
        <w:rPr/>
        <w:t>el cual lo definía en su artículo 78 como un “organismo público autónomo, dotado de personalidad jurídica y patrimonio propios, responsable de la organización, desarrollo y vigilancia de los procesos electorales” (LEM LV, 2005a: 83), posteriormente se le agregó lo siguiente: “…autónomo, de carácter permanente, independiente en sus decisiones y funcionamiento, dotado…” (LEM LVII, 2012: art. 78), lo que lo dotó de una mayor independencia, y justificó su permanencia aun cuando no haya proceso electoral y a pesar de no tener un Registro Estatal de Electores que es la justificación que tiene el IFE para ser un órgano de carácter permanente. Ambos institutos argumentan su permanencia cuando no hay proceso electoral a la difusión y promoción de la cultura</w:t>
      </w:r>
      <w:r>
        <w:rPr>
          <w:spacing w:val="-12"/>
        </w:rPr>
        <w:t> </w:t>
      </w:r>
      <w:r>
        <w:rPr/>
        <w:t>cívica.</w:t>
      </w:r>
    </w:p>
    <w:p>
      <w:pPr>
        <w:pStyle w:val="BodyText"/>
        <w:spacing w:line="360" w:lineRule="auto" w:before="2"/>
        <w:ind w:left="102" w:right="118" w:firstLine="707"/>
        <w:jc w:val="both"/>
      </w:pPr>
      <w:r>
        <w:rPr/>
        <w:t>El IEEM está dividido en órganos centrales y desconcentrados, los primeros son el Consejo General (CGIEEM) y la Junta General (JGIEEM); los segundos son los 45 Consejos Distritales (CDIEEM) y las 45 Juntas Distritales (JDIEEM), así como  los  125  Consejos  Municipales  (CMIEEM)  y  las  125  Juntas</w:t>
      </w:r>
      <w:r>
        <w:rPr>
          <w:spacing w:val="59"/>
        </w:rPr>
        <w:t> </w:t>
      </w:r>
      <w:r>
        <w:rPr/>
        <w:t>Municipales</w:t>
      </w:r>
    </w:p>
    <w:p>
      <w:pPr>
        <w:spacing w:after="0" w:line="360" w:lineRule="auto"/>
        <w:jc w:val="both"/>
        <w:sectPr>
          <w:pgSz w:w="12240" w:h="15840"/>
          <w:pgMar w:header="749" w:footer="1003" w:top="960" w:bottom="1200" w:left="1600" w:right="1580"/>
        </w:sectPr>
      </w:pPr>
    </w:p>
    <w:p>
      <w:pPr>
        <w:pStyle w:val="BodyText"/>
        <w:rPr>
          <w:sz w:val="20"/>
        </w:rPr>
      </w:pPr>
    </w:p>
    <w:p>
      <w:pPr>
        <w:pStyle w:val="BodyText"/>
        <w:spacing w:line="362" w:lineRule="auto" w:before="214"/>
        <w:ind w:left="102" w:right="120"/>
      </w:pPr>
      <w:r>
        <w:rPr/>
        <w:t>(JMIEEM). Los órganos centrales son permanentes y los desconcentrados son temporales.</w:t>
      </w:r>
    </w:p>
    <w:p>
      <w:pPr>
        <w:pStyle w:val="BodyText"/>
        <w:spacing w:line="360" w:lineRule="auto"/>
        <w:ind w:left="102" w:right="120" w:firstLine="707"/>
        <w:jc w:val="both"/>
      </w:pPr>
      <w:r>
        <w:rPr/>
        <w:t>El IEEM tenía las mismas funciones que el IFE, con excepción de la integración del Registro Federal de Electores, hasta la reforma de 2008 en la cual se agregó como función del IFE la administración del tiempo que corresponda al Estado en radio y televisión.</w:t>
      </w:r>
    </w:p>
    <w:p>
      <w:pPr>
        <w:pStyle w:val="BodyText"/>
        <w:spacing w:line="360" w:lineRule="auto" w:before="2"/>
        <w:ind w:left="102" w:right="116" w:firstLine="707"/>
        <w:jc w:val="both"/>
      </w:pPr>
      <w:r>
        <w:rPr/>
        <w:t>De acuerdo con el CEEM el Consejo General del IEEM está integrado por un consejero presidente y seis consejeros electorales (con voz y voto), un representante (con derecho a voz y sin voto) de cada uno de los partidos políticos con registro y el Secretario Ejecutivo General del Instituto Electoral del Estado de México (quien funge como secretario de acuerdos), además por cada consejero electoral propietario se elegirá un suplente (LEM LVII, 2011: art. 86). Antes de la reforma de 2008 al CEEM se tenían las figuras de Director General y Secretario General los cuales concurrían a las sesiones con voz y sin voto (LEM LV, 2005a: art. 86), posteriormente ambas figuras se aglutinaron en una: el Secretario Ejecutivo de Acuerdos. Durante el proceso electoral objeto de estudio se contaba con las figuras de: Director General y Secretario General, sin embargo, no son objeto del presente estudio ya que eran propuestos por el consejero presidente y aprobados por el consejo general sin mediar un proceso de selección, por lo que no son propiamente electos sino designados.</w:t>
      </w:r>
    </w:p>
    <w:p>
      <w:pPr>
        <w:pStyle w:val="BodyText"/>
        <w:spacing w:line="360" w:lineRule="auto" w:before="2"/>
        <w:ind w:left="102" w:right="116" w:firstLine="707"/>
        <w:jc w:val="both"/>
      </w:pPr>
      <w:r>
        <w:rPr/>
        <w:t>Por su parte el TEPJF es un órgano especializado encargado de resolver controversias en materia electoral y proteger los derechos político-electorales de los ciudadanos. Entre sus funciones está la de resolver las impugnaciones a las elecciones de: presidente de la República, gobernadores, jefe de gobierno del Distrito Federal, diputados federales y senadores electos por el principio de mayoría relativa y representación proporcional; también es responsable, de efectuar el cómputo final de la elección de Presidente de los Estados Unidos Mexicanos, calificar la legalidad de la elección presidencial y declarar al presidente electo; así como conocer y</w:t>
      </w:r>
      <w:r>
        <w:rPr>
          <w:color w:val="00AF50"/>
        </w:rPr>
        <w:t>, </w:t>
      </w:r>
      <w:r>
        <w:rPr/>
        <w:t>en su caso</w:t>
      </w:r>
      <w:r>
        <w:rPr>
          <w:color w:val="00AF50"/>
        </w:rPr>
        <w:t>, </w:t>
      </w:r>
      <w:r>
        <w:rPr/>
        <w:t>recibir las controversias recaídas a los actos o resoluciones de los órganos centrales del Instituto Federal Electoral (TEPJF, 2012a).</w:t>
      </w:r>
    </w:p>
    <w:p>
      <w:pPr>
        <w:spacing w:after="0" w:line="360" w:lineRule="auto"/>
        <w:jc w:val="both"/>
        <w:sectPr>
          <w:pgSz w:w="12240" w:h="15840"/>
          <w:pgMar w:header="749" w:footer="1003" w:top="960" w:bottom="1200" w:left="1600" w:right="1580"/>
        </w:sectPr>
      </w:pPr>
    </w:p>
    <w:p>
      <w:pPr>
        <w:pStyle w:val="BodyText"/>
        <w:rPr>
          <w:sz w:val="20"/>
        </w:rPr>
      </w:pPr>
    </w:p>
    <w:p>
      <w:pPr>
        <w:pStyle w:val="BodyText"/>
        <w:spacing w:line="360" w:lineRule="auto" w:before="214"/>
        <w:ind w:left="102" w:right="115" w:firstLine="707"/>
        <w:jc w:val="both"/>
      </w:pPr>
      <w:r>
        <w:rPr/>
        <w:t>De acuerdo con la Ley Orgánica del Poder Judicial de la Federación (LOPJF)</w:t>
      </w:r>
      <w:r>
        <w:rPr>
          <w:color w:val="00AF50"/>
        </w:rPr>
        <w:t>, </w:t>
      </w:r>
      <w:r>
        <w:rPr/>
        <w:t>el TEPJF funciona en forma permanente con una Sala Superior y cinco Salas Regionales. La Sala Superior está integrada por siete magistrados y entre ellos eligen a su presidente, quien lo será también del tribunal, por un período de cuatro años; las Salas Regionales están integradas por tres magistrados. Ambas salas nombran a un secretario general de acuerdos, secretarios, actuarios, así como al personal administrativo, jurídico y técnico que se requiera; la Sala Superior nombra también a un subsecretario general de acuerdos (CDHCU L LXI, 2012b: artículos 185,</w:t>
      </w:r>
      <w:r>
        <w:rPr>
          <w:spacing w:val="-13"/>
        </w:rPr>
        <w:t> </w:t>
      </w:r>
      <w:r>
        <w:rPr/>
        <w:t>187-190).</w:t>
      </w:r>
    </w:p>
    <w:p>
      <w:pPr>
        <w:pStyle w:val="BodyText"/>
        <w:spacing w:line="360" w:lineRule="auto" w:before="5"/>
        <w:ind w:left="102" w:right="117" w:firstLine="707"/>
        <w:jc w:val="both"/>
      </w:pPr>
      <w:r>
        <w:rPr/>
        <w:t>Por lo que respecta al TEEM el artículo 282 del CEEM lo define como un órgano público autónomo, de carácter permanente con personalidad jurídica y patrimonio propios, independiente en sus decisiones y máxima autoridad jurisdiccional en la materia, con la competencia que determinen la Constitución Política del Estado de México (CPEM) y el propio CEEM. Al TEEM le corresponde resolver de forma definitiva e inatacable las impugnaciones contra actos y resoluciones del IEEM a través de los medios de impugnación establecidos en el CEEM; los conflictos o diferencias laborales entre el TEEM y sus servidores y  entre el IEEM y sus servidores, así como las determinaciones sobre imposición de sanciones por parte del IEEM (LEM LVII, 2011: 87). Antes de la reforma de 2008  el CEEM no dotaba al TEEM de carácter permanente, personalidad jurídica y patrimonio propio, así como de independencia en sus</w:t>
      </w:r>
      <w:r>
        <w:rPr>
          <w:spacing w:val="-23"/>
        </w:rPr>
        <w:t> </w:t>
      </w:r>
      <w:r>
        <w:rPr/>
        <w:t>decisiones.</w:t>
      </w:r>
    </w:p>
    <w:p>
      <w:pPr>
        <w:pStyle w:val="BodyText"/>
        <w:spacing w:line="360" w:lineRule="auto" w:before="5"/>
        <w:ind w:left="102" w:right="118" w:firstLine="707"/>
        <w:jc w:val="both"/>
      </w:pPr>
      <w:r>
        <w:rPr/>
        <w:t>El TEEM se integra con cinco magistrados y en su estructura cuenta con una Contraloría General, una Coordinación de Comunicación Social, una Secretaría General de Acuerdos, una Unidad de Apoyo Administrativo y una Coordinación de Jurisprudencia y Estadística Jurisdiccional.</w:t>
      </w:r>
    </w:p>
    <w:p>
      <w:pPr>
        <w:pStyle w:val="BodyText"/>
        <w:spacing w:line="360" w:lineRule="auto" w:before="5"/>
        <w:ind w:left="102" w:right="119" w:firstLine="707"/>
        <w:jc w:val="both"/>
      </w:pPr>
      <w:r>
        <w:rPr/>
        <w:t>Por su parte, la Fiscalía Especializada Para la Atención de Delitos Electorales (FEPADE) es el organismo especializado de la Procuraduría General de la República responsable de atender en forma institucional, especializada y profesional, lo relativo a los delitos electorales federales, contenidos en el Título Vigesimocuarto del Código Penal Federal. Entre las funciones de la FEPADE están las de prevenir y perseguir los delitos electorales federales para garantizar</w:t>
      </w:r>
      <w:r>
        <w:rPr>
          <w:spacing w:val="-23"/>
        </w:rPr>
        <w:t> </w:t>
      </w:r>
      <w:r>
        <w:rPr/>
        <w:t>la</w:t>
      </w:r>
    </w:p>
    <w:p>
      <w:pPr>
        <w:spacing w:after="0" w:line="360" w:lineRule="auto"/>
        <w:jc w:val="both"/>
        <w:sectPr>
          <w:pgSz w:w="12240" w:h="15840"/>
          <w:pgMar w:header="749" w:footer="1003" w:top="960" w:bottom="1200" w:left="1600" w:right="1580"/>
        </w:sectPr>
      </w:pPr>
    </w:p>
    <w:p>
      <w:pPr>
        <w:pStyle w:val="BodyText"/>
        <w:rPr>
          <w:sz w:val="20"/>
        </w:rPr>
      </w:pPr>
    </w:p>
    <w:p>
      <w:pPr>
        <w:pStyle w:val="BodyText"/>
        <w:spacing w:line="360" w:lineRule="auto" w:before="214"/>
        <w:ind w:left="102" w:right="116"/>
        <w:jc w:val="both"/>
      </w:pPr>
      <w:r>
        <w:rPr/>
        <w:t>libertad del sufragio; está conformada por las siguientes áreas: Fiscalía Especializada para la Atención de Delitos Electorales, Dirección General Jurídica en Materia de Delitos Electorales, Dirección General de Averiguaciones Previas y Control de Procesos en Materia de Delitos Electorales, y la Dirección General de Política Criminal, Coordinación y Desarrollo en Materia de Delitos Electorales. De acuerdo con el artículo 17 del Reglamento de la Ley Orgánica de la Procuraduría General de la República al frente de la FEPADE habrá un fiscal especializado y tendrá el nivel de subprocurador (CDHCU L LX, 2008b: 11).</w:t>
      </w:r>
    </w:p>
    <w:p>
      <w:pPr>
        <w:pStyle w:val="BodyText"/>
        <w:spacing w:line="360" w:lineRule="auto" w:before="2"/>
        <w:ind w:left="102" w:right="119" w:firstLine="707"/>
        <w:jc w:val="both"/>
      </w:pPr>
      <w:r>
        <w:rPr/>
        <w:t>La Fiscalía Especializada para la Atención de Delitos contra el Proceso Electoral de la Procuraduría General de Justicia del Estado de México (PGJEM) sólo se crea durante el proceso electoral, cuenta con un fiscal especializado el cual se auxilia de peritos y médicos legistas, entre sus funciones se encuentra la de coordinar a las agencias del ministerio público que tengan conocimiento de delitos electorales (PGJEM,</w:t>
      </w:r>
      <w:r>
        <w:rPr>
          <w:spacing w:val="-10"/>
        </w:rPr>
        <w:t> </w:t>
      </w:r>
      <w:r>
        <w:rPr/>
        <w:t>2006).</w:t>
      </w:r>
    </w:p>
    <w:p>
      <w:pPr>
        <w:pStyle w:val="BodyText"/>
      </w:pPr>
    </w:p>
    <w:p>
      <w:pPr>
        <w:pStyle w:val="Heading2"/>
        <w:tabs>
          <w:tab w:pos="821" w:val="left" w:leader="none"/>
        </w:tabs>
        <w:ind w:left="461" w:right="120"/>
        <w:jc w:val="left"/>
      </w:pPr>
      <w:r>
        <w:rPr/>
        <w:t>1</w:t>
        <w:tab/>
        <w:t>Elección de consejeros electorales del</w:t>
      </w:r>
      <w:r>
        <w:rPr>
          <w:spacing w:val="-11"/>
        </w:rPr>
        <w:t> </w:t>
      </w:r>
      <w:r>
        <w:rPr/>
        <w:t>IFE</w:t>
      </w:r>
    </w:p>
    <w:p>
      <w:pPr>
        <w:pStyle w:val="BodyText"/>
        <w:rPr>
          <w:b/>
        </w:rPr>
      </w:pPr>
    </w:p>
    <w:p>
      <w:pPr>
        <w:pStyle w:val="BodyText"/>
        <w:rPr>
          <w:b/>
        </w:rPr>
      </w:pPr>
    </w:p>
    <w:p>
      <w:pPr>
        <w:pStyle w:val="BodyText"/>
        <w:spacing w:line="360" w:lineRule="auto"/>
        <w:ind w:left="102" w:right="115"/>
        <w:jc w:val="both"/>
      </w:pPr>
      <w:r>
        <w:rPr/>
        <w:t>La elección de consejeros electorales es un elemento importante para estudiar la actuación del IFE. Dicha variable se analizó a través de tres indicadores: el apego a la norma, el origen de las propuestas de ciudadanos para fungir como  consejeros y la votación de la Legislatura. Como resultado de la evaluación obtenida por cada uno de los tres indicadores el IFE se ubicó, en promedio, como un órgano con una democraticidad media (2.0). Sin embargo, existen diferencias importantes en cada una de las evaluaciones. El IFE obtuvo una evaluación alta (3.0) en cuanto al apego a la ley, baja por lo que respecta al origen de sus propuestas (1.0) debido a que los consejeros fueron propuestos por partidos políticos o grupos parlamentarios y media (2.0) en la votación dada por la Legislatura, al obtener sólo mayoría absoluta de votos. La evaluación  habría tenido calificaciones más altas si la elección de consejeros se hubiera realizado mediante convocatoria pública y con votación</w:t>
      </w:r>
      <w:r>
        <w:rPr>
          <w:spacing w:val="-20"/>
        </w:rPr>
        <w:t> </w:t>
      </w:r>
      <w:r>
        <w:rPr/>
        <w:t>unánime.</w:t>
      </w:r>
    </w:p>
    <w:p>
      <w:pPr>
        <w:spacing w:after="0" w:line="360" w:lineRule="auto"/>
        <w:jc w:val="both"/>
        <w:sectPr>
          <w:pgSz w:w="12240" w:h="15840"/>
          <w:pgMar w:header="749" w:footer="1003" w:top="960" w:bottom="1200" w:left="1600" w:right="1580"/>
        </w:sectPr>
      </w:pPr>
    </w:p>
    <w:p>
      <w:pPr>
        <w:pStyle w:val="BodyText"/>
        <w:rPr>
          <w:sz w:val="20"/>
        </w:rPr>
      </w:pPr>
    </w:p>
    <w:p>
      <w:pPr>
        <w:pStyle w:val="ListParagraph"/>
        <w:numPr>
          <w:ilvl w:val="0"/>
          <w:numId w:val="21"/>
        </w:numPr>
        <w:tabs>
          <w:tab w:pos="1190" w:val="left" w:leader="none"/>
        </w:tabs>
        <w:spacing w:line="240" w:lineRule="auto" w:before="214" w:after="0"/>
        <w:ind w:left="1190" w:right="0" w:hanging="360"/>
        <w:jc w:val="left"/>
        <w:rPr>
          <w:sz w:val="24"/>
        </w:rPr>
      </w:pPr>
      <w:r>
        <w:rPr>
          <w:sz w:val="24"/>
        </w:rPr>
        <w:t>Apego a la</w:t>
      </w:r>
      <w:r>
        <w:rPr>
          <w:spacing w:val="-4"/>
          <w:sz w:val="24"/>
        </w:rPr>
        <w:t> </w:t>
      </w:r>
      <w:r>
        <w:rPr>
          <w:sz w:val="24"/>
        </w:rPr>
        <w:t>ley</w:t>
      </w:r>
    </w:p>
    <w:p>
      <w:pPr>
        <w:pStyle w:val="BodyText"/>
      </w:pPr>
    </w:p>
    <w:p>
      <w:pPr>
        <w:pStyle w:val="BodyText"/>
      </w:pPr>
    </w:p>
    <w:p>
      <w:pPr>
        <w:pStyle w:val="BodyText"/>
        <w:spacing w:line="352" w:lineRule="auto"/>
        <w:ind w:left="122" w:right="114"/>
        <w:jc w:val="both"/>
      </w:pPr>
      <w:r>
        <w:rPr/>
        <w:t>A través de este indicador se analizó en qué medida se cumplió con el (incipiente) procedimiento establecido por la normatividad vigente en dicho proceso para la designación de los consejeros generales del IFE en 2003, pues fueron éstos los responsables de organizar las elecciones de 2006. El procedimiento de elección, en ese año, no era tan complejo como el que se tiene    actualmente</w:t>
      </w:r>
      <w:r>
        <w:rPr>
          <w:position w:val="11"/>
          <w:sz w:val="16"/>
        </w:rPr>
        <w:t>19</w:t>
      </w:r>
      <w:r>
        <w:rPr/>
        <w:t>, así que fue</w:t>
      </w:r>
    </w:p>
    <w:p>
      <w:pPr>
        <w:pStyle w:val="BodyText"/>
        <w:spacing w:line="360" w:lineRule="auto"/>
        <w:ind w:left="122" w:right="116"/>
        <w:jc w:val="both"/>
      </w:pPr>
      <w:r>
        <w:rPr/>
        <w:t>(relativamente) fácil para el IFE obtener una alta calificación en su apego a la ley en cuanto a la elección de consejeros (3.0).</w:t>
      </w:r>
    </w:p>
    <w:p>
      <w:pPr>
        <w:pStyle w:val="BodyText"/>
        <w:spacing w:line="360" w:lineRule="auto" w:before="5"/>
        <w:ind w:left="122" w:right="115" w:firstLine="707"/>
        <w:jc w:val="both"/>
      </w:pPr>
      <w:r>
        <w:rPr/>
        <w:t>Los nueve consejeros propietarios (ocho electorales y un presidente) así como el secretario ejecutivo, cumplieron con los diez requisitos señalados por el Código Federal de instituciones y Procedimientos Electorales (COFIPE) para ser designados consejeros:</w:t>
      </w:r>
    </w:p>
    <w:p>
      <w:pPr>
        <w:pStyle w:val="BodyText"/>
        <w:spacing w:before="4"/>
        <w:rPr>
          <w:sz w:val="33"/>
        </w:rPr>
      </w:pPr>
    </w:p>
    <w:p>
      <w:pPr>
        <w:pStyle w:val="ListParagraph"/>
        <w:numPr>
          <w:ilvl w:val="1"/>
          <w:numId w:val="21"/>
        </w:numPr>
        <w:tabs>
          <w:tab w:pos="1334" w:val="left" w:leader="none"/>
        </w:tabs>
        <w:spacing w:line="360" w:lineRule="auto" w:before="0" w:after="0"/>
        <w:ind w:left="1334" w:right="120" w:hanging="360"/>
        <w:jc w:val="left"/>
        <w:rPr>
          <w:sz w:val="22"/>
        </w:rPr>
      </w:pPr>
      <w:r>
        <w:rPr>
          <w:sz w:val="22"/>
        </w:rPr>
        <w:t>Ser ciudadano mexicano por nacimiento que no adquiera otra nacionalidad, además de estar en pleno goce y ejercicio de sus derechos civiles y</w:t>
      </w:r>
      <w:r>
        <w:rPr>
          <w:spacing w:val="45"/>
          <w:sz w:val="22"/>
        </w:rPr>
        <w:t> </w:t>
      </w:r>
      <w:r>
        <w:rPr>
          <w:sz w:val="22"/>
        </w:rPr>
        <w:t>políticos;</w:t>
      </w:r>
    </w:p>
    <w:p>
      <w:pPr>
        <w:pStyle w:val="ListParagraph"/>
        <w:numPr>
          <w:ilvl w:val="1"/>
          <w:numId w:val="21"/>
        </w:numPr>
        <w:tabs>
          <w:tab w:pos="1615" w:val="left" w:leader="none"/>
        </w:tabs>
        <w:spacing w:line="360" w:lineRule="auto" w:before="3" w:after="0"/>
        <w:ind w:left="1334" w:right="116" w:firstLine="0"/>
        <w:jc w:val="both"/>
        <w:rPr>
          <w:sz w:val="22"/>
        </w:rPr>
      </w:pPr>
      <w:r>
        <w:rPr/>
        <w:pict>
          <v:line style="position:absolute;mso-position-horizontal-relative:page;mso-position-vertical-relative:paragraph;z-index:1672;mso-wrap-distance-left:0;mso-wrap-distance-right:0" from="85.103996pt,250.157883pt" to="229.123996pt,250.157883pt" stroked="true" strokeweight=".71997pt" strokecolor="#000000">
            <w10:wrap type="topAndBottom"/>
          </v:line>
        </w:pict>
      </w:r>
      <w:r>
        <w:rPr>
          <w:sz w:val="22"/>
        </w:rPr>
        <w:t>Estar inscrito en el Registro Federal de Electores y contar con credencial para votar; c) Tener más de treinta años de edad, el día de la designación; d) Poseer al día de la designación, con antigüedad mínima de cinco años, título profesional de nivel licenciatura y contar con los conocimientos y experiencia que les permitan el desempeño de sus funciones; e) Gozar de buena reputación y no haber sido condenado por delito alguno, salvo que hubiese sido de carácter no intencional o imprudencial; f) Haber residido en el país durante los últimos dos años, salvo el caso de ausencia en servicio de la República por un tiempo menor de seis meses; g) No haber sido registrado como candidato a cargo alguno de elección popular en los últimos cuatro años anteriores a la designación; h) No desempeñar ni haber desempeñado cargo de dirección nacional o estatal en algún partido político en los últimos cuatro</w:t>
      </w:r>
      <w:r>
        <w:rPr>
          <w:spacing w:val="35"/>
          <w:sz w:val="22"/>
        </w:rPr>
        <w:t> </w:t>
      </w:r>
      <w:r>
        <w:rPr>
          <w:sz w:val="22"/>
        </w:rPr>
        <w:t>años</w:t>
      </w:r>
      <w:r>
        <w:rPr>
          <w:spacing w:val="35"/>
          <w:sz w:val="22"/>
        </w:rPr>
        <w:t> </w:t>
      </w:r>
      <w:r>
        <w:rPr>
          <w:sz w:val="22"/>
        </w:rPr>
        <w:t>anteriores</w:t>
      </w:r>
      <w:r>
        <w:rPr>
          <w:spacing w:val="36"/>
          <w:sz w:val="22"/>
        </w:rPr>
        <w:t> </w:t>
      </w:r>
      <w:r>
        <w:rPr>
          <w:sz w:val="22"/>
        </w:rPr>
        <w:t>a</w:t>
      </w:r>
      <w:r>
        <w:rPr>
          <w:spacing w:val="35"/>
          <w:sz w:val="22"/>
        </w:rPr>
        <w:t> </w:t>
      </w:r>
      <w:r>
        <w:rPr>
          <w:sz w:val="22"/>
        </w:rPr>
        <w:t>la</w:t>
      </w:r>
      <w:r>
        <w:rPr>
          <w:spacing w:val="35"/>
          <w:sz w:val="22"/>
        </w:rPr>
        <w:t> </w:t>
      </w:r>
      <w:r>
        <w:rPr>
          <w:sz w:val="22"/>
        </w:rPr>
        <w:t>designación;</w:t>
      </w:r>
      <w:r>
        <w:rPr>
          <w:spacing w:val="40"/>
          <w:sz w:val="22"/>
        </w:rPr>
        <w:t> </w:t>
      </w:r>
      <w:r>
        <w:rPr>
          <w:sz w:val="22"/>
        </w:rPr>
        <w:t>i)</w:t>
      </w:r>
      <w:r>
        <w:rPr>
          <w:spacing w:val="36"/>
          <w:sz w:val="22"/>
        </w:rPr>
        <w:t> </w:t>
      </w:r>
      <w:r>
        <w:rPr>
          <w:sz w:val="22"/>
        </w:rPr>
        <w:t>No</w:t>
      </w:r>
      <w:r>
        <w:rPr>
          <w:spacing w:val="40"/>
          <w:sz w:val="22"/>
        </w:rPr>
        <w:t> </w:t>
      </w:r>
      <w:r>
        <w:rPr>
          <w:sz w:val="22"/>
        </w:rPr>
        <w:t>ser</w:t>
      </w:r>
      <w:r>
        <w:rPr>
          <w:spacing w:val="36"/>
          <w:sz w:val="22"/>
        </w:rPr>
        <w:t> </w:t>
      </w:r>
      <w:r>
        <w:rPr>
          <w:sz w:val="22"/>
        </w:rPr>
        <w:t>secretario</w:t>
      </w:r>
      <w:r>
        <w:rPr>
          <w:spacing w:val="35"/>
          <w:sz w:val="22"/>
        </w:rPr>
        <w:t> </w:t>
      </w:r>
      <w:r>
        <w:rPr>
          <w:sz w:val="22"/>
        </w:rPr>
        <w:t>de</w:t>
      </w:r>
      <w:r>
        <w:rPr>
          <w:spacing w:val="35"/>
          <w:sz w:val="22"/>
        </w:rPr>
        <w:t> </w:t>
      </w:r>
      <w:r>
        <w:rPr>
          <w:sz w:val="22"/>
        </w:rPr>
        <w:t>Estado,</w:t>
      </w:r>
      <w:r>
        <w:rPr>
          <w:spacing w:val="36"/>
          <w:sz w:val="22"/>
        </w:rPr>
        <w:t> </w:t>
      </w:r>
      <w:r>
        <w:rPr>
          <w:sz w:val="22"/>
        </w:rPr>
        <w:t>ni</w:t>
      </w:r>
    </w:p>
    <w:p>
      <w:pPr>
        <w:spacing w:before="36"/>
        <w:ind w:left="122" w:right="116" w:firstLine="0"/>
        <w:jc w:val="both"/>
        <w:rPr>
          <w:sz w:val="20"/>
        </w:rPr>
      </w:pPr>
      <w:r>
        <w:rPr>
          <w:position w:val="10"/>
          <w:sz w:val="13"/>
        </w:rPr>
        <w:t>19 </w:t>
      </w:r>
      <w:r>
        <w:rPr>
          <w:sz w:val="20"/>
        </w:rPr>
        <w:t>Después de las reformas electorales de 2007 el procedimiento para designar a los consejeros  del IFE fue ampliado, creándose distintas fases: convocatoria, registro de aspirantes, cotejo y valoración de la documentación, entrevistas, integración de las propuestas, votación y aprobación de las propuestas de la Legislatura, protesta de los consejeros elegidos y toma de posesión de sus cargos.</w:t>
      </w:r>
    </w:p>
    <w:p>
      <w:pPr>
        <w:spacing w:after="0"/>
        <w:jc w:val="both"/>
        <w:rPr>
          <w:sz w:val="20"/>
        </w:rPr>
        <w:sectPr>
          <w:pgSz w:w="12240" w:h="15840"/>
          <w:pgMar w:header="749" w:footer="1003" w:top="960" w:bottom="1200" w:left="1580" w:right="1580"/>
        </w:sectPr>
      </w:pPr>
    </w:p>
    <w:p>
      <w:pPr>
        <w:pStyle w:val="BodyText"/>
        <w:rPr>
          <w:sz w:val="20"/>
        </w:rPr>
      </w:pPr>
    </w:p>
    <w:p>
      <w:pPr>
        <w:pStyle w:val="BodyText"/>
        <w:spacing w:before="7"/>
        <w:rPr>
          <w:sz w:val="18"/>
        </w:rPr>
      </w:pPr>
    </w:p>
    <w:p>
      <w:pPr>
        <w:spacing w:line="360" w:lineRule="auto" w:before="0"/>
        <w:ind w:left="1313" w:right="115" w:firstLine="0"/>
        <w:jc w:val="both"/>
        <w:rPr>
          <w:sz w:val="22"/>
        </w:rPr>
      </w:pPr>
      <w:r>
        <w:rPr>
          <w:sz w:val="22"/>
        </w:rPr>
        <w:t>procurador general de la República o del Distrito Federal, subsecretario u oficial mayor en la administración pública federal, jefe de Gobierno del Distrito Federal, ni gobernador ni secretario de Gobierno, a menos que se separe de su encargo con cuatro años de anticipación al día de su nombramiento; y j) No ser ni haber sido miembro del Servicio Profesional Electoral durante el último proceso electoral federal ordinario. 2. El secretario ejecutivo del Consejo General deberá reunir los mismos requisitos que se exigen para ser consejero electoral, con excepción del dispuesto en el inciso j) del párrafo 1 anterior </w:t>
      </w:r>
      <w:r>
        <w:rPr>
          <w:color w:val="221F1F"/>
          <w:sz w:val="22"/>
        </w:rPr>
        <w:t>(</w:t>
      </w:r>
      <w:r>
        <w:rPr>
          <w:sz w:val="22"/>
        </w:rPr>
        <w:t>CDHCU L LIX, </w:t>
      </w:r>
      <w:r>
        <w:rPr>
          <w:color w:val="221F1F"/>
          <w:sz w:val="22"/>
        </w:rPr>
        <w:t>2003b: art.</w:t>
      </w:r>
      <w:r>
        <w:rPr>
          <w:color w:val="221F1F"/>
          <w:spacing w:val="-13"/>
          <w:sz w:val="22"/>
        </w:rPr>
        <w:t> </w:t>
      </w:r>
      <w:r>
        <w:rPr>
          <w:color w:val="221F1F"/>
          <w:sz w:val="22"/>
        </w:rPr>
        <w:t>76).</w:t>
      </w:r>
    </w:p>
    <w:p>
      <w:pPr>
        <w:pStyle w:val="BodyText"/>
        <w:spacing w:before="5"/>
        <w:rPr>
          <w:sz w:val="30"/>
        </w:rPr>
      </w:pPr>
    </w:p>
    <w:p>
      <w:pPr>
        <w:pStyle w:val="BodyText"/>
        <w:spacing w:line="360" w:lineRule="auto"/>
        <w:ind w:left="102" w:right="120" w:firstLine="707"/>
      </w:pPr>
      <w:r>
        <w:rPr/>
        <w:t>Así el 30 de octubre de 2003 fueron designados los Consejeros Generales del IFE, con excepción del Secretario Ejecutivo que fue nombrado en 2005:</w:t>
      </w:r>
    </w:p>
    <w:p>
      <w:pPr>
        <w:pStyle w:val="BodyText"/>
      </w:pPr>
    </w:p>
    <w:p>
      <w:pPr>
        <w:pStyle w:val="Heading2"/>
        <w:ind w:right="731"/>
      </w:pPr>
      <w:r>
        <w:rPr/>
        <w:t>Cuadro 2.1</w:t>
      </w:r>
    </w:p>
    <w:p>
      <w:pPr>
        <w:spacing w:before="137"/>
        <w:ind w:left="714" w:right="729" w:firstLine="0"/>
        <w:jc w:val="center"/>
        <w:rPr>
          <w:b/>
          <w:sz w:val="24"/>
        </w:rPr>
      </w:pPr>
      <w:r>
        <w:rPr>
          <w:b/>
          <w:sz w:val="24"/>
        </w:rPr>
        <w:t>Consejeros electorales designados (IFE 2003)</w:t>
      </w:r>
    </w:p>
    <w:p>
      <w:pPr>
        <w:pStyle w:val="BodyText"/>
        <w:rPr>
          <w:b/>
          <w:sz w:val="20"/>
        </w:rPr>
      </w:pPr>
    </w:p>
    <w:p>
      <w:pPr>
        <w:pStyle w:val="BodyText"/>
        <w:spacing w:before="2"/>
        <w:rPr>
          <w:b/>
          <w:sz w:val="28"/>
        </w:rPr>
      </w:pPr>
    </w:p>
    <w:tbl>
      <w:tblPr>
        <w:tblW w:w="0" w:type="auto"/>
        <w:jc w:val="left"/>
        <w:tblInd w:w="8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645"/>
        <w:gridCol w:w="2693"/>
      </w:tblGrid>
      <w:tr>
        <w:trPr>
          <w:trHeight w:val="286" w:hRule="exact"/>
        </w:trPr>
        <w:tc>
          <w:tcPr>
            <w:tcW w:w="4645" w:type="dxa"/>
            <w:shd w:val="clear" w:color="auto" w:fill="D9D9D9"/>
          </w:tcPr>
          <w:p>
            <w:pPr>
              <w:pStyle w:val="TableParagraph"/>
              <w:spacing w:line="272" w:lineRule="exact"/>
              <w:ind w:left="1841" w:right="1847"/>
              <w:jc w:val="center"/>
              <w:rPr>
                <w:b/>
                <w:sz w:val="24"/>
              </w:rPr>
            </w:pPr>
            <w:r>
              <w:rPr>
                <w:b/>
                <w:sz w:val="24"/>
              </w:rPr>
              <w:t>Nombre</w:t>
            </w:r>
          </w:p>
        </w:tc>
        <w:tc>
          <w:tcPr>
            <w:tcW w:w="2693" w:type="dxa"/>
            <w:shd w:val="clear" w:color="auto" w:fill="D9D9D9"/>
          </w:tcPr>
          <w:p>
            <w:pPr>
              <w:pStyle w:val="TableParagraph"/>
              <w:spacing w:line="272" w:lineRule="exact"/>
              <w:ind w:left="972" w:right="978"/>
              <w:jc w:val="center"/>
              <w:rPr>
                <w:b/>
                <w:sz w:val="24"/>
              </w:rPr>
            </w:pPr>
            <w:r>
              <w:rPr>
                <w:b/>
                <w:sz w:val="24"/>
              </w:rPr>
              <w:t>Cargo</w:t>
            </w:r>
          </w:p>
        </w:tc>
      </w:tr>
      <w:tr>
        <w:trPr>
          <w:trHeight w:val="286" w:hRule="exact"/>
        </w:trPr>
        <w:tc>
          <w:tcPr>
            <w:tcW w:w="4645" w:type="dxa"/>
          </w:tcPr>
          <w:p>
            <w:pPr>
              <w:pStyle w:val="TableParagraph"/>
              <w:spacing w:line="272" w:lineRule="exact"/>
              <w:ind w:left="100" w:right="379"/>
              <w:rPr>
                <w:sz w:val="24"/>
              </w:rPr>
            </w:pPr>
            <w:r>
              <w:rPr>
                <w:sz w:val="24"/>
              </w:rPr>
              <w:t>Luis Carlos Ugalde</w:t>
            </w:r>
          </w:p>
        </w:tc>
        <w:tc>
          <w:tcPr>
            <w:tcW w:w="2693" w:type="dxa"/>
          </w:tcPr>
          <w:p>
            <w:pPr>
              <w:pStyle w:val="TableParagraph"/>
              <w:spacing w:line="272" w:lineRule="exact"/>
              <w:ind w:left="100" w:right="118"/>
              <w:rPr>
                <w:sz w:val="24"/>
              </w:rPr>
            </w:pPr>
            <w:r>
              <w:rPr>
                <w:sz w:val="24"/>
              </w:rPr>
              <w:t>Consejero Presidente</w:t>
            </w:r>
          </w:p>
        </w:tc>
      </w:tr>
      <w:tr>
        <w:trPr>
          <w:trHeight w:val="288" w:hRule="exact"/>
        </w:trPr>
        <w:tc>
          <w:tcPr>
            <w:tcW w:w="4645" w:type="dxa"/>
          </w:tcPr>
          <w:p>
            <w:pPr>
              <w:pStyle w:val="TableParagraph"/>
              <w:spacing w:line="274" w:lineRule="exact"/>
              <w:ind w:left="100" w:right="379"/>
              <w:rPr>
                <w:sz w:val="24"/>
              </w:rPr>
            </w:pPr>
            <w:r>
              <w:rPr>
                <w:sz w:val="24"/>
              </w:rPr>
              <w:t>Manuel López Bernal</w:t>
            </w:r>
          </w:p>
        </w:tc>
        <w:tc>
          <w:tcPr>
            <w:tcW w:w="2693" w:type="dxa"/>
          </w:tcPr>
          <w:p>
            <w:pPr>
              <w:pStyle w:val="TableParagraph"/>
              <w:spacing w:line="274" w:lineRule="exact"/>
              <w:ind w:left="100" w:right="118"/>
              <w:rPr>
                <w:sz w:val="24"/>
              </w:rPr>
            </w:pPr>
            <w:r>
              <w:rPr>
                <w:sz w:val="24"/>
              </w:rPr>
              <w:t>Secretario Ejecutivo</w:t>
            </w:r>
          </w:p>
        </w:tc>
      </w:tr>
      <w:tr>
        <w:trPr>
          <w:trHeight w:val="286" w:hRule="exact"/>
        </w:trPr>
        <w:tc>
          <w:tcPr>
            <w:tcW w:w="4645" w:type="dxa"/>
          </w:tcPr>
          <w:p>
            <w:pPr>
              <w:pStyle w:val="TableParagraph"/>
              <w:spacing w:line="272" w:lineRule="exact"/>
              <w:ind w:left="100" w:right="379"/>
              <w:rPr>
                <w:sz w:val="24"/>
              </w:rPr>
            </w:pPr>
            <w:r>
              <w:rPr>
                <w:sz w:val="24"/>
              </w:rPr>
              <w:t>Andrés Albo Márquez</w:t>
            </w:r>
          </w:p>
        </w:tc>
        <w:tc>
          <w:tcPr>
            <w:tcW w:w="2693" w:type="dxa"/>
          </w:tcPr>
          <w:p>
            <w:pPr>
              <w:pStyle w:val="TableParagraph"/>
              <w:spacing w:line="272" w:lineRule="exact"/>
              <w:ind w:left="100" w:right="118"/>
              <w:rPr>
                <w:sz w:val="24"/>
              </w:rPr>
            </w:pPr>
            <w:r>
              <w:rPr>
                <w:sz w:val="24"/>
              </w:rPr>
              <w:t>Consejero Electoral</w:t>
            </w:r>
          </w:p>
        </w:tc>
      </w:tr>
      <w:tr>
        <w:trPr>
          <w:trHeight w:val="562" w:hRule="exact"/>
        </w:trPr>
        <w:tc>
          <w:tcPr>
            <w:tcW w:w="4645" w:type="dxa"/>
          </w:tcPr>
          <w:p>
            <w:pPr>
              <w:pStyle w:val="TableParagraph"/>
              <w:ind w:left="100" w:right="379"/>
              <w:rPr>
                <w:sz w:val="24"/>
              </w:rPr>
            </w:pPr>
            <w:r>
              <w:rPr>
                <w:sz w:val="24"/>
              </w:rPr>
              <w:t>María Teresa de Jesús González Luna Corvera</w:t>
            </w:r>
          </w:p>
        </w:tc>
        <w:tc>
          <w:tcPr>
            <w:tcW w:w="2693" w:type="dxa"/>
          </w:tcPr>
          <w:p>
            <w:pPr>
              <w:pStyle w:val="TableParagraph"/>
              <w:spacing w:line="272" w:lineRule="exact"/>
              <w:ind w:left="100" w:right="118"/>
              <w:rPr>
                <w:sz w:val="24"/>
              </w:rPr>
            </w:pPr>
            <w:r>
              <w:rPr>
                <w:sz w:val="24"/>
              </w:rPr>
              <w:t>Consejero Electoral</w:t>
            </w:r>
          </w:p>
        </w:tc>
      </w:tr>
      <w:tr>
        <w:trPr>
          <w:trHeight w:val="286" w:hRule="exact"/>
        </w:trPr>
        <w:tc>
          <w:tcPr>
            <w:tcW w:w="4645" w:type="dxa"/>
          </w:tcPr>
          <w:p>
            <w:pPr>
              <w:pStyle w:val="TableParagraph"/>
              <w:spacing w:line="272" w:lineRule="exact"/>
              <w:ind w:left="100" w:right="379"/>
              <w:rPr>
                <w:sz w:val="24"/>
              </w:rPr>
            </w:pPr>
            <w:r>
              <w:rPr>
                <w:sz w:val="24"/>
              </w:rPr>
              <w:t>Luisa Alejandra Latapi Renner</w:t>
            </w:r>
          </w:p>
        </w:tc>
        <w:tc>
          <w:tcPr>
            <w:tcW w:w="2693" w:type="dxa"/>
          </w:tcPr>
          <w:p>
            <w:pPr>
              <w:pStyle w:val="TableParagraph"/>
              <w:spacing w:line="272" w:lineRule="exact"/>
              <w:ind w:left="100" w:right="118"/>
              <w:rPr>
                <w:sz w:val="24"/>
              </w:rPr>
            </w:pPr>
            <w:r>
              <w:rPr>
                <w:sz w:val="24"/>
              </w:rPr>
              <w:t>Consejero Electoral</w:t>
            </w:r>
          </w:p>
        </w:tc>
      </w:tr>
      <w:tr>
        <w:trPr>
          <w:trHeight w:val="286" w:hRule="exact"/>
        </w:trPr>
        <w:tc>
          <w:tcPr>
            <w:tcW w:w="4645" w:type="dxa"/>
          </w:tcPr>
          <w:p>
            <w:pPr>
              <w:pStyle w:val="TableParagraph"/>
              <w:spacing w:line="272" w:lineRule="exact"/>
              <w:ind w:left="100"/>
              <w:rPr>
                <w:sz w:val="24"/>
              </w:rPr>
            </w:pPr>
            <w:r>
              <w:rPr>
                <w:sz w:val="24"/>
              </w:rPr>
              <w:t>María Lourdes del Refugio López Flores</w:t>
            </w:r>
          </w:p>
        </w:tc>
        <w:tc>
          <w:tcPr>
            <w:tcW w:w="2693" w:type="dxa"/>
          </w:tcPr>
          <w:p>
            <w:pPr>
              <w:pStyle w:val="TableParagraph"/>
              <w:spacing w:line="272" w:lineRule="exact"/>
              <w:ind w:left="100" w:right="118"/>
              <w:rPr>
                <w:sz w:val="24"/>
              </w:rPr>
            </w:pPr>
            <w:r>
              <w:rPr>
                <w:sz w:val="24"/>
              </w:rPr>
              <w:t>Consejero Electoral</w:t>
            </w:r>
          </w:p>
        </w:tc>
      </w:tr>
      <w:tr>
        <w:trPr>
          <w:trHeight w:val="286" w:hRule="exact"/>
        </w:trPr>
        <w:tc>
          <w:tcPr>
            <w:tcW w:w="4645" w:type="dxa"/>
          </w:tcPr>
          <w:p>
            <w:pPr>
              <w:pStyle w:val="TableParagraph"/>
              <w:spacing w:line="272" w:lineRule="exact"/>
              <w:ind w:left="100" w:right="379"/>
              <w:rPr>
                <w:sz w:val="24"/>
              </w:rPr>
            </w:pPr>
            <w:r>
              <w:rPr>
                <w:sz w:val="24"/>
              </w:rPr>
              <w:t>Rodrigo Morales Manzanares</w:t>
            </w:r>
          </w:p>
        </w:tc>
        <w:tc>
          <w:tcPr>
            <w:tcW w:w="2693" w:type="dxa"/>
          </w:tcPr>
          <w:p>
            <w:pPr>
              <w:pStyle w:val="TableParagraph"/>
              <w:spacing w:line="272" w:lineRule="exact"/>
              <w:ind w:left="100" w:right="118"/>
              <w:rPr>
                <w:sz w:val="24"/>
              </w:rPr>
            </w:pPr>
            <w:r>
              <w:rPr>
                <w:sz w:val="24"/>
              </w:rPr>
              <w:t>Consejero Electoral</w:t>
            </w:r>
          </w:p>
        </w:tc>
      </w:tr>
      <w:tr>
        <w:trPr>
          <w:trHeight w:val="286" w:hRule="exact"/>
        </w:trPr>
        <w:tc>
          <w:tcPr>
            <w:tcW w:w="4645" w:type="dxa"/>
          </w:tcPr>
          <w:p>
            <w:pPr>
              <w:pStyle w:val="TableParagraph"/>
              <w:spacing w:line="272" w:lineRule="exact"/>
              <w:ind w:left="100" w:right="379"/>
              <w:rPr>
                <w:sz w:val="24"/>
              </w:rPr>
            </w:pPr>
            <w:r>
              <w:rPr>
                <w:sz w:val="24"/>
              </w:rPr>
              <w:t>Virgilio Andrade Martínez</w:t>
            </w:r>
          </w:p>
        </w:tc>
        <w:tc>
          <w:tcPr>
            <w:tcW w:w="2693" w:type="dxa"/>
          </w:tcPr>
          <w:p>
            <w:pPr>
              <w:pStyle w:val="TableParagraph"/>
              <w:spacing w:line="272" w:lineRule="exact"/>
              <w:ind w:left="100" w:right="118"/>
              <w:rPr>
                <w:sz w:val="24"/>
              </w:rPr>
            </w:pPr>
            <w:r>
              <w:rPr>
                <w:sz w:val="24"/>
              </w:rPr>
              <w:t>Consejero Electoral</w:t>
            </w:r>
          </w:p>
        </w:tc>
      </w:tr>
      <w:tr>
        <w:trPr>
          <w:trHeight w:val="288" w:hRule="exact"/>
        </w:trPr>
        <w:tc>
          <w:tcPr>
            <w:tcW w:w="4645" w:type="dxa"/>
          </w:tcPr>
          <w:p>
            <w:pPr>
              <w:pStyle w:val="TableParagraph"/>
              <w:spacing w:line="274" w:lineRule="exact"/>
              <w:ind w:left="100" w:right="379"/>
              <w:rPr>
                <w:sz w:val="24"/>
              </w:rPr>
            </w:pPr>
            <w:r>
              <w:rPr>
                <w:sz w:val="24"/>
              </w:rPr>
              <w:t>Marco Antonio Gómez Alcántara</w:t>
            </w:r>
          </w:p>
        </w:tc>
        <w:tc>
          <w:tcPr>
            <w:tcW w:w="2693" w:type="dxa"/>
          </w:tcPr>
          <w:p>
            <w:pPr>
              <w:pStyle w:val="TableParagraph"/>
              <w:spacing w:line="274" w:lineRule="exact"/>
              <w:ind w:left="100" w:right="118"/>
              <w:rPr>
                <w:sz w:val="24"/>
              </w:rPr>
            </w:pPr>
            <w:r>
              <w:rPr>
                <w:sz w:val="24"/>
              </w:rPr>
              <w:t>Consejero Electoral</w:t>
            </w:r>
          </w:p>
        </w:tc>
      </w:tr>
      <w:tr>
        <w:trPr>
          <w:trHeight w:val="286" w:hRule="exact"/>
        </w:trPr>
        <w:tc>
          <w:tcPr>
            <w:tcW w:w="4645" w:type="dxa"/>
          </w:tcPr>
          <w:p>
            <w:pPr>
              <w:pStyle w:val="TableParagraph"/>
              <w:spacing w:line="272" w:lineRule="exact"/>
              <w:ind w:left="100" w:right="379"/>
              <w:rPr>
                <w:sz w:val="24"/>
              </w:rPr>
            </w:pPr>
            <w:r>
              <w:rPr>
                <w:sz w:val="24"/>
              </w:rPr>
              <w:t>Arturo Sánchez Gutiérrez</w:t>
            </w:r>
          </w:p>
        </w:tc>
        <w:tc>
          <w:tcPr>
            <w:tcW w:w="2693" w:type="dxa"/>
          </w:tcPr>
          <w:p>
            <w:pPr>
              <w:pStyle w:val="TableParagraph"/>
              <w:spacing w:line="272" w:lineRule="exact"/>
              <w:ind w:left="100" w:right="118"/>
              <w:rPr>
                <w:sz w:val="24"/>
              </w:rPr>
            </w:pPr>
            <w:r>
              <w:rPr>
                <w:sz w:val="24"/>
              </w:rPr>
              <w:t>Consejero Electoral</w:t>
            </w:r>
          </w:p>
        </w:tc>
      </w:tr>
    </w:tbl>
    <w:p>
      <w:pPr>
        <w:spacing w:line="251" w:lineRule="exact" w:before="0"/>
        <w:ind w:left="810" w:right="120" w:firstLine="0"/>
        <w:jc w:val="left"/>
        <w:rPr>
          <w:sz w:val="22"/>
        </w:rPr>
      </w:pPr>
      <w:r>
        <w:rPr>
          <w:sz w:val="22"/>
        </w:rPr>
        <w:t>Fuente: GCEUM (2003).</w:t>
      </w:r>
    </w:p>
    <w:p>
      <w:pPr>
        <w:pStyle w:val="BodyText"/>
        <w:rPr>
          <w:sz w:val="22"/>
        </w:rPr>
      </w:pPr>
    </w:p>
    <w:p>
      <w:pPr>
        <w:pStyle w:val="BodyText"/>
        <w:spacing w:before="1"/>
        <w:rPr>
          <w:sz w:val="25"/>
        </w:rPr>
      </w:pPr>
    </w:p>
    <w:p>
      <w:pPr>
        <w:pStyle w:val="ListParagraph"/>
        <w:numPr>
          <w:ilvl w:val="0"/>
          <w:numId w:val="21"/>
        </w:numPr>
        <w:tabs>
          <w:tab w:pos="1182" w:val="left" w:leader="none"/>
        </w:tabs>
        <w:spacing w:line="240" w:lineRule="auto" w:before="0" w:after="0"/>
        <w:ind w:left="1182" w:right="0" w:hanging="360"/>
        <w:jc w:val="left"/>
        <w:rPr>
          <w:sz w:val="24"/>
        </w:rPr>
      </w:pPr>
      <w:r>
        <w:rPr>
          <w:sz w:val="24"/>
        </w:rPr>
        <w:t>Origen de las</w:t>
      </w:r>
      <w:r>
        <w:rPr>
          <w:spacing w:val="-8"/>
          <w:sz w:val="24"/>
        </w:rPr>
        <w:t> </w:t>
      </w:r>
      <w:r>
        <w:rPr>
          <w:sz w:val="24"/>
        </w:rPr>
        <w:t>propuestas</w:t>
      </w:r>
    </w:p>
    <w:p>
      <w:pPr>
        <w:pStyle w:val="BodyText"/>
      </w:pPr>
    </w:p>
    <w:p>
      <w:pPr>
        <w:pStyle w:val="BodyText"/>
      </w:pPr>
    </w:p>
    <w:p>
      <w:pPr>
        <w:pStyle w:val="BodyText"/>
        <w:spacing w:line="360" w:lineRule="auto" w:before="200"/>
        <w:ind w:left="102" w:right="119"/>
        <w:jc w:val="both"/>
      </w:pPr>
      <w:r>
        <w:rPr/>
        <w:t>Un aspecto importante en el proceso de selección de los consejeros electorales es determinar el origen (legal y real) de las propuestas, pues entre menos injerencia se  tenga  del  Ejecutivo  o  de  los  partidos  políticos  mayor  será  su  grado     de</w:t>
      </w:r>
    </w:p>
    <w:p>
      <w:pPr>
        <w:spacing w:after="0" w:line="360" w:lineRule="auto"/>
        <w:jc w:val="both"/>
        <w:sectPr>
          <w:pgSz w:w="12240" w:h="15840"/>
          <w:pgMar w:header="749" w:footer="1003" w:top="960" w:bottom="1200" w:left="1600" w:right="1580"/>
        </w:sectPr>
      </w:pPr>
    </w:p>
    <w:p>
      <w:pPr>
        <w:pStyle w:val="BodyText"/>
        <w:rPr>
          <w:sz w:val="20"/>
        </w:rPr>
      </w:pPr>
    </w:p>
    <w:p>
      <w:pPr>
        <w:pStyle w:val="BodyText"/>
        <w:spacing w:line="360" w:lineRule="auto" w:before="214"/>
        <w:ind w:left="102" w:right="122"/>
        <w:jc w:val="both"/>
      </w:pPr>
      <w:r>
        <w:rPr/>
        <w:t>independencia e imparcialidad. De acuerdo con lo anterior el IFE se ubicó como bajamente democrático (1.0) debido a que las propuestas de consejeros fueron realizadas por los grupos parlamentarios, teniendo total injerencia los partidos políticos; al respecto Ugalde (ex presidente del consejo general del IFE) señaló:</w:t>
      </w:r>
    </w:p>
    <w:p>
      <w:pPr>
        <w:pStyle w:val="BodyText"/>
      </w:pPr>
    </w:p>
    <w:p>
      <w:pPr>
        <w:pStyle w:val="BodyText"/>
        <w:spacing w:line="360" w:lineRule="auto" w:before="142"/>
        <w:ind w:left="954" w:right="118"/>
        <w:jc w:val="both"/>
      </w:pPr>
      <w:r>
        <w:rPr/>
        <w:t>Todo era informal, discreto, poco transparente. Lo escribo años después con plena conciencia de que yo mismo fui beneficiario de ese método (haberlo sido no me impide reconocerlo). Desde el primer día como presidente del IFE, padecí sus consecuencias, que dieron pie a la sospecha y a la descalificación. Ya intuía desde entonces que el método de negociación podría causar, tiempo después, estragos y conflictos (Ugalde, 2010).</w:t>
      </w:r>
    </w:p>
    <w:p>
      <w:pPr>
        <w:pStyle w:val="BodyText"/>
      </w:pPr>
    </w:p>
    <w:p>
      <w:pPr>
        <w:pStyle w:val="BodyText"/>
        <w:spacing w:line="360" w:lineRule="auto" w:before="142"/>
        <w:ind w:left="102" w:right="115" w:firstLine="707"/>
        <w:jc w:val="both"/>
      </w:pPr>
      <w:r>
        <w:rPr/>
        <w:t>Ugalde menciona que el método utilizado para designar a los consejeros del IFE (en 2003) fue el de la negociación, calificándolo de: informal, discreto y poco transparente; por lo que se desprende que el origen de las propuestas de consejeros emana más de una designación de los grupos parlamentarios (partidos políticos) que de una selección de los candidatos más idóneos. De Ugalde (2010) se deduce que la designación de consejeros corresponde más a una negociación entre fuerzas parlamentarias que a una selección, lo cual tiene una doble connotación; por un lado es positivo pues se llega a consensos entre los diferentes grupos parlamentarios y así los consejeros elegidos gozan de la aprobación de los diferentes partidos políticos, en ocasiones de todos (como en 1996) y otras veces de la mayoría (como en 2003 y 2008); pero por otro lado es negativo debido a que los ciudadanos elegidos no son producto de una verdadera selección de ciudadanos imparciales, por el contrario son ciudadanos que de alguna forma son propuestos por un partido político con el cual simpatizan. Sin embargo, el hecho  de que durante la designación se observe el apoyo de un partido político hacia algún ciudadano no quiere decir que éste al ser nombrado consejero será parcial en su desempeño (como se verá más</w:t>
      </w:r>
      <w:r>
        <w:rPr>
          <w:spacing w:val="-14"/>
        </w:rPr>
        <w:t> </w:t>
      </w:r>
      <w:r>
        <w:rPr/>
        <w:t>adelante).</w:t>
      </w:r>
    </w:p>
    <w:p>
      <w:pPr>
        <w:spacing w:after="0" w:line="360" w:lineRule="auto"/>
        <w:jc w:val="both"/>
        <w:sectPr>
          <w:pgSz w:w="12240" w:h="15840"/>
          <w:pgMar w:header="749" w:footer="1003" w:top="960" w:bottom="1200" w:left="1600" w:right="1580"/>
        </w:sectPr>
      </w:pPr>
    </w:p>
    <w:p>
      <w:pPr>
        <w:pStyle w:val="BodyText"/>
        <w:rPr>
          <w:sz w:val="20"/>
        </w:rPr>
      </w:pPr>
    </w:p>
    <w:p>
      <w:pPr>
        <w:pStyle w:val="BodyText"/>
        <w:spacing w:line="360" w:lineRule="auto" w:before="214"/>
        <w:ind w:left="122" w:right="115" w:firstLine="707"/>
        <w:jc w:val="both"/>
      </w:pPr>
      <w:r>
        <w:rPr/>
        <w:t>Los consejeros fueron propuestos por los grupos parlamentarios que integraban la LIX Legislatura de la Cámara de Diputados del Congreso de la  Unión, su designación tuvo algunas dificultades, ya que los diferentes grupos no llegaron a un consenso para hacer una propuesta única y se tuvieron tres propuestas, resultando ganadora </w:t>
      </w:r>
      <w:r>
        <w:rPr>
          <w:color w:val="00AF50"/>
        </w:rPr>
        <w:t>(</w:t>
      </w:r>
      <w:r>
        <w:rPr/>
        <w:t>por mayoría absoluta de votos) la planilla presentada por los grupos parlamentarios del PRI, PAN, PVEM y Convergencia</w:t>
      </w:r>
      <w:r>
        <w:rPr>
          <w:color w:val="00AF50"/>
        </w:rPr>
        <w:t>, </w:t>
      </w:r>
      <w:r>
        <w:rPr/>
        <w:t>integrada por los ciudadanos antes mencionados; ante el rechazo del grupo del PRD que no resultó favorecido con su</w:t>
      </w:r>
      <w:r>
        <w:rPr>
          <w:spacing w:val="-14"/>
        </w:rPr>
        <w:t> </w:t>
      </w:r>
      <w:r>
        <w:rPr/>
        <w:t>propuesta.</w:t>
      </w:r>
    </w:p>
    <w:p>
      <w:pPr>
        <w:pStyle w:val="BodyText"/>
        <w:spacing w:line="350" w:lineRule="auto" w:before="2"/>
        <w:ind w:left="122" w:right="118" w:firstLine="707"/>
        <w:jc w:val="both"/>
      </w:pPr>
      <w:r>
        <w:rPr/>
        <w:t>Resulta inusual que para la designación de consejeros generales en 2003 se hayan presentado tres planillas, ya que en la designación anterior a ésta, la del 30 de octubre de 1996</w:t>
      </w:r>
      <w:r>
        <w:rPr>
          <w:position w:val="11"/>
          <w:sz w:val="16"/>
        </w:rPr>
        <w:t>20 </w:t>
      </w:r>
      <w:r>
        <w:rPr/>
        <w:t>(CDHCU L LVI, 1996) sólo se presentó una planilla y lo mismo ocurrió en la designación posterior, la del 7 de febrero de 2008 (CDHCU  </w:t>
      </w:r>
      <w:r>
        <w:rPr>
          <w:spacing w:val="21"/>
        </w:rPr>
        <w:t> </w:t>
      </w:r>
      <w:r>
        <w:rPr/>
        <w:t>L</w:t>
      </w:r>
    </w:p>
    <w:p>
      <w:pPr>
        <w:pStyle w:val="BodyText"/>
        <w:spacing w:line="360" w:lineRule="auto" w:before="13"/>
        <w:ind w:left="122" w:right="124"/>
        <w:jc w:val="both"/>
      </w:pPr>
      <w:r>
        <w:rPr/>
        <w:t>LX, 2008c), por lo que es evidente la falta de consenso entre los distintos grupos parlamentarios en las propuestas para la designación de consejeros de 2003.</w:t>
      </w:r>
    </w:p>
    <w:p>
      <w:pPr>
        <w:pStyle w:val="BodyText"/>
      </w:pPr>
    </w:p>
    <w:p>
      <w:pPr>
        <w:pStyle w:val="ListParagraph"/>
        <w:numPr>
          <w:ilvl w:val="0"/>
          <w:numId w:val="21"/>
        </w:numPr>
        <w:tabs>
          <w:tab w:pos="1202" w:val="left" w:leader="none"/>
        </w:tabs>
        <w:spacing w:line="240" w:lineRule="auto" w:before="142" w:after="0"/>
        <w:ind w:left="1202" w:right="0" w:hanging="360"/>
        <w:jc w:val="left"/>
        <w:rPr>
          <w:sz w:val="24"/>
        </w:rPr>
      </w:pPr>
      <w:r>
        <w:rPr>
          <w:sz w:val="24"/>
        </w:rPr>
        <w:t>Votación de la</w:t>
      </w:r>
      <w:r>
        <w:rPr>
          <w:spacing w:val="-6"/>
          <w:sz w:val="24"/>
        </w:rPr>
        <w:t> </w:t>
      </w:r>
      <w:r>
        <w:rPr>
          <w:sz w:val="24"/>
        </w:rPr>
        <w:t>legislatura</w:t>
      </w:r>
    </w:p>
    <w:p>
      <w:pPr>
        <w:pStyle w:val="BodyText"/>
      </w:pPr>
    </w:p>
    <w:p>
      <w:pPr>
        <w:pStyle w:val="BodyText"/>
      </w:pPr>
    </w:p>
    <w:p>
      <w:pPr>
        <w:pStyle w:val="BodyText"/>
        <w:spacing w:line="360" w:lineRule="auto" w:before="199"/>
        <w:ind w:left="122" w:right="116"/>
        <w:jc w:val="both"/>
      </w:pPr>
      <w:r>
        <w:rPr/>
        <w:t>Un elemento fundamental para designar a los consejeros electorales del IFE es la votación dada por la legislatura pues es necesario contar con un determinado número de votos para ser designado.</w:t>
      </w:r>
    </w:p>
    <w:p>
      <w:pPr>
        <w:pStyle w:val="BodyText"/>
        <w:spacing w:line="360" w:lineRule="auto" w:before="2"/>
        <w:ind w:left="122" w:right="117" w:firstLine="707"/>
        <w:jc w:val="both"/>
      </w:pPr>
      <w:r>
        <w:rPr/>
        <w:t>Las Legislaturas pueden aprobar sus acuerdos de cuatro formas: de  manera unánime (ningún voto en contra), por mayoría calificada (2/3 o 3/4 partes de los votos), mayoría absoluta (50% más uno), así como mayoría relativa (mayoría simple de votos) (Berlín, 1998). Los consejeros elegidos en 2003 obtuvieron mayoría absoluta de votos: de los 440 diputados presentes en la</w:t>
      </w:r>
      <w:r>
        <w:rPr>
          <w:spacing w:val="-4"/>
        </w:rPr>
        <w:t> </w:t>
      </w:r>
      <w:r>
        <w:rPr/>
        <w:t>sesión</w:t>
      </w:r>
    </w:p>
    <w:p>
      <w:pPr>
        <w:pStyle w:val="BodyText"/>
        <w:spacing w:line="360" w:lineRule="auto" w:before="5"/>
        <w:ind w:left="122" w:right="118"/>
        <w:jc w:val="both"/>
      </w:pPr>
      <w:r>
        <w:rPr/>
        <w:t>5 votaron a favor de la planilla que presento el Grupo Parlamentario de Convergencia; 79 a favor de la planilla que registró el Grupo Parlamentario del</w:t>
      </w:r>
    </w:p>
    <w:p>
      <w:pPr>
        <w:pStyle w:val="BodyText"/>
        <w:spacing w:before="8"/>
        <w:rPr>
          <w:sz w:val="28"/>
        </w:rPr>
      </w:pPr>
      <w:r>
        <w:rPr/>
        <w:pict>
          <v:line style="position:absolute;mso-position-horizontal-relative:page;mso-position-vertical-relative:paragraph;z-index:1696;mso-wrap-distance-left:0;mso-wrap-distance-right:0" from="85.103996pt,18.83392pt" to="229.123996pt,18.83392pt" stroked="true" strokeweight=".71997pt" strokecolor="#000000">
            <w10:wrap type="topAndBottom"/>
          </v:line>
        </w:pict>
      </w:r>
    </w:p>
    <w:p>
      <w:pPr>
        <w:spacing w:before="34"/>
        <w:ind w:left="122" w:right="116" w:firstLine="0"/>
        <w:jc w:val="both"/>
        <w:rPr>
          <w:sz w:val="20"/>
        </w:rPr>
      </w:pPr>
      <w:r>
        <w:rPr>
          <w:position w:val="10"/>
          <w:sz w:val="13"/>
        </w:rPr>
        <w:t>20 </w:t>
      </w:r>
      <w:r>
        <w:rPr>
          <w:sz w:val="20"/>
        </w:rPr>
        <w:t>Cabe aclarar que desde el 30 de octubre de 1996 a la fecha el consejero presidente del IFE es elegido por las dos terceras partes de la Cámara de Diputados del Honorable Congreso de la Unión, a propuesta de los grupos parlamentarios, ya que antes, desde el 11 de octubre de 1990 y hasta el 29 de octubre de 1996 el Secretario de Gobernación del Poder Ejecutivo federal era el presidente del Consejo General por mandato de ley.</w:t>
      </w:r>
    </w:p>
    <w:p>
      <w:pPr>
        <w:spacing w:after="0"/>
        <w:jc w:val="both"/>
        <w:rPr>
          <w:sz w:val="20"/>
        </w:rPr>
        <w:sectPr>
          <w:footerReference w:type="default" r:id="rId39"/>
          <w:pgSz w:w="12240" w:h="15840"/>
          <w:pgMar w:footer="1003" w:header="749" w:top="960" w:bottom="1200" w:left="1580" w:right="1580"/>
        </w:sectPr>
      </w:pPr>
    </w:p>
    <w:p>
      <w:pPr>
        <w:pStyle w:val="BodyText"/>
        <w:rPr>
          <w:sz w:val="20"/>
        </w:rPr>
      </w:pPr>
    </w:p>
    <w:p>
      <w:pPr>
        <w:pStyle w:val="BodyText"/>
        <w:spacing w:line="360" w:lineRule="auto" w:before="214"/>
        <w:ind w:left="102" w:right="118"/>
        <w:jc w:val="both"/>
      </w:pPr>
      <w:r>
        <w:rPr/>
        <w:t>PRD; 355 a favor de la planilla que presentaron los Grupos Parlamentarios del PRI, PAN, PVEM y Convergencia, y se emitió un voto para otro ciudadano. La designación del consejero presidente se realizó por mayoría absoluta con un total de 360 votos de los 441 diputados presentes </w:t>
      </w:r>
      <w:r>
        <w:rPr>
          <w:sz w:val="22"/>
        </w:rPr>
        <w:t>(</w:t>
      </w:r>
      <w:r>
        <w:rPr/>
        <w:t>CDHCU L LIX,</w:t>
      </w:r>
      <w:r>
        <w:rPr>
          <w:spacing w:val="-36"/>
        </w:rPr>
        <w:t> </w:t>
      </w:r>
      <w:r>
        <w:rPr/>
        <w:t>2003a).</w:t>
      </w:r>
    </w:p>
    <w:p>
      <w:pPr>
        <w:pStyle w:val="BodyText"/>
        <w:spacing w:line="360" w:lineRule="auto" w:before="2"/>
        <w:ind w:left="102" w:right="118" w:firstLine="707"/>
        <w:jc w:val="both"/>
      </w:pPr>
      <w:r>
        <w:rPr/>
        <w:t>En el proceso anterior, el de 1996, la votación dada por la legislatura a la propuesta de consejeros fue aprobada por unanimidad; y en 2008 la designación fue aprobada por mayoría. Dichas designaciones tuvieron repercusiones durante  el proceso electoral ya que en las elecciones celebradas en 2000 (con los consejeros nombrados en 1996, por unanimidad) no hubo especulaciones con respecto a la imparcialidad de los consejeros del IFE, en cambio en las elecciones de 2006 (organizadas por los consejeros designados en 2003, por mayoría) hubo especulación con respecto a la parcialidad de los consejeros, dicha acusación se dio por parte del grupo parlamentario del PRD, el cual no resultó favorecido con la designación de su planilla de consejeros. Destaca el hecho de que los consejeros elegidos en 2003 no terminaron el periodo para el que fueron designados, ya que tanto el presidente como cinco consejeros más fueron destituidos al modificarse el régimen de nombramientos del Consejo General del Instituto, que a partir de entonces sería</w:t>
      </w:r>
      <w:r>
        <w:rPr>
          <w:spacing w:val="-10"/>
        </w:rPr>
        <w:t> </w:t>
      </w:r>
      <w:r>
        <w:rPr/>
        <w:t>escalonado.</w:t>
      </w:r>
    </w:p>
    <w:p>
      <w:pPr>
        <w:pStyle w:val="BodyText"/>
        <w:spacing w:line="360" w:lineRule="auto" w:before="2"/>
        <w:ind w:left="102" w:right="117" w:firstLine="707"/>
        <w:jc w:val="both"/>
      </w:pPr>
      <w:r>
        <w:rPr/>
        <w:t>Como resultado del análisis anterior el IFE obtuvo una mediana evaluación (2.0) al designar la Legislatura a sus funcionarios por mayoría absoluta de votos; sin embargo, a pesar de no contar con unanimidad de votos en su designación, su desempeño fue aceptable (como se observará más adelante).</w:t>
      </w:r>
    </w:p>
    <w:p>
      <w:pPr>
        <w:pStyle w:val="BodyText"/>
      </w:pPr>
    </w:p>
    <w:p>
      <w:pPr>
        <w:pStyle w:val="BodyText"/>
        <w:spacing w:before="7"/>
        <w:rPr>
          <w:sz w:val="29"/>
        </w:rPr>
      </w:pPr>
    </w:p>
    <w:p>
      <w:pPr>
        <w:pStyle w:val="Heading2"/>
        <w:tabs>
          <w:tab w:pos="821" w:val="left" w:leader="none"/>
        </w:tabs>
        <w:spacing w:before="0"/>
        <w:ind w:left="461" w:right="120"/>
        <w:jc w:val="left"/>
      </w:pPr>
      <w:r>
        <w:rPr/>
        <w:t>2</w:t>
        <w:tab/>
        <w:t>Actuación de los consejeros electorales del</w:t>
      </w:r>
      <w:r>
        <w:rPr>
          <w:spacing w:val="-9"/>
        </w:rPr>
        <w:t> </w:t>
      </w:r>
      <w:r>
        <w:rPr/>
        <w:t>IFE</w:t>
      </w:r>
    </w:p>
    <w:p>
      <w:pPr>
        <w:pStyle w:val="BodyText"/>
        <w:rPr>
          <w:b/>
        </w:rPr>
      </w:pPr>
    </w:p>
    <w:p>
      <w:pPr>
        <w:pStyle w:val="BodyText"/>
        <w:rPr>
          <w:b/>
        </w:rPr>
      </w:pPr>
    </w:p>
    <w:p>
      <w:pPr>
        <w:pStyle w:val="BodyText"/>
        <w:spacing w:line="360" w:lineRule="auto" w:before="200"/>
        <w:ind w:left="102" w:right="119"/>
        <w:jc w:val="both"/>
      </w:pPr>
      <w:r>
        <w:rPr/>
        <w:t>Esta variable analiza la actuación que tuvieron los consejeros generales del IFE, durante el proceso electoral de 2006, mediante el estudio de tres indicadores: a) congruencia con la legalidad, b) imparcialidad cualitativa en el resultado de la elección y c) imparcialidad cuantitativa con respecto a las organizaciones políticas. Como resultado del estudio el Consejo General del IFE obtuvo una calificación alta</w:t>
      </w:r>
    </w:p>
    <w:p>
      <w:pPr>
        <w:spacing w:after="0" w:line="360" w:lineRule="auto"/>
        <w:jc w:val="both"/>
        <w:sectPr>
          <w:footerReference w:type="default" r:id="rId40"/>
          <w:pgSz w:w="12240" w:h="15840"/>
          <w:pgMar w:footer="1003" w:header="749" w:top="960" w:bottom="1200" w:left="1600" w:right="1580"/>
          <w:pgNumType w:start="91"/>
        </w:sectPr>
      </w:pPr>
    </w:p>
    <w:p>
      <w:pPr>
        <w:pStyle w:val="BodyText"/>
        <w:rPr>
          <w:sz w:val="20"/>
        </w:rPr>
      </w:pPr>
    </w:p>
    <w:p>
      <w:pPr>
        <w:pStyle w:val="BodyText"/>
        <w:spacing w:line="360" w:lineRule="auto" w:before="214"/>
        <w:ind w:left="102" w:right="118"/>
        <w:jc w:val="both"/>
      </w:pPr>
      <w:r>
        <w:rPr/>
        <w:t>en promedio (3.0) lo cual lo ubica como un órgano con una democraticidad alta en su actuación. Ahora bien si se tuviera que medir cualitativamente la elección y la actuación de los funcionarios electorales seguramente tendría mayor peso, para el proceso electoral, la actuación; porque de ella depende que los comicios se lleven a cabo de forma independiente e imparcial (más que de la elección de los funcionarios); de ahí la importancia de su estudio.</w:t>
      </w:r>
    </w:p>
    <w:p>
      <w:pPr>
        <w:pStyle w:val="BodyText"/>
        <w:spacing w:line="360" w:lineRule="auto" w:before="2"/>
        <w:ind w:left="102" w:right="116" w:firstLine="707"/>
        <w:jc w:val="both"/>
      </w:pPr>
      <w:r>
        <w:rPr/>
        <w:t>La conclusión fundamental de esta variable es que la imparcialidad e independencia de los árbitros electorales en su actuación ubicó en promedio al  IFE como un órgano altamente democrático (3.0). Lo anterior como resultado del promedio de las altas calificaciones obtenidas en los tres indicadores objeto de estudio.</w:t>
      </w:r>
    </w:p>
    <w:p>
      <w:pPr>
        <w:pStyle w:val="BodyText"/>
      </w:pPr>
    </w:p>
    <w:p>
      <w:pPr>
        <w:pStyle w:val="BodyText"/>
        <w:spacing w:before="10"/>
        <w:rPr>
          <w:sz w:val="29"/>
        </w:rPr>
      </w:pPr>
    </w:p>
    <w:p>
      <w:pPr>
        <w:pStyle w:val="ListParagraph"/>
        <w:numPr>
          <w:ilvl w:val="0"/>
          <w:numId w:val="22"/>
        </w:numPr>
        <w:tabs>
          <w:tab w:pos="1182" w:val="left" w:leader="none"/>
        </w:tabs>
        <w:spacing w:line="240" w:lineRule="auto" w:before="0" w:after="0"/>
        <w:ind w:left="1182" w:right="0" w:hanging="360"/>
        <w:jc w:val="left"/>
        <w:rPr>
          <w:sz w:val="24"/>
        </w:rPr>
      </w:pPr>
      <w:r>
        <w:rPr>
          <w:sz w:val="24"/>
        </w:rPr>
        <w:t>Congruencia con la</w:t>
      </w:r>
      <w:r>
        <w:rPr>
          <w:spacing w:val="-9"/>
          <w:sz w:val="24"/>
        </w:rPr>
        <w:t> </w:t>
      </w:r>
      <w:r>
        <w:rPr>
          <w:sz w:val="24"/>
        </w:rPr>
        <w:t>legalidad</w:t>
      </w:r>
    </w:p>
    <w:p>
      <w:pPr>
        <w:pStyle w:val="BodyText"/>
      </w:pPr>
    </w:p>
    <w:p>
      <w:pPr>
        <w:pStyle w:val="BodyText"/>
      </w:pPr>
    </w:p>
    <w:p>
      <w:pPr>
        <w:pStyle w:val="BodyText"/>
        <w:spacing w:line="360" w:lineRule="auto"/>
        <w:ind w:left="102" w:right="125"/>
        <w:jc w:val="both"/>
      </w:pPr>
      <w:r>
        <w:rPr/>
        <w:t>La congruencia con la legalidad se evalúa, en este caso, obteniendo el promedio de acuerdos revocados (los que indican una deficiente actuación del órgano electoral) sobre los acuerdos impugnados (los objetados ante los tribunales).</w:t>
      </w:r>
    </w:p>
    <w:p>
      <w:pPr>
        <w:pStyle w:val="BodyText"/>
        <w:spacing w:line="360" w:lineRule="auto" w:before="3"/>
        <w:ind w:left="102" w:right="112" w:firstLine="707"/>
        <w:jc w:val="both"/>
      </w:pPr>
      <w:r>
        <w:rPr/>
        <w:t>En el caso del IFE los acuerdos son impugnados ante el Tribunal Electoral de Poder Judicial de la Federación (TEPJF). Durante el proceso electoral 2005- 2006 el Consejo General del IFE celebró 27 sesiones (10 ordinarias, 13 extraordinarias y cuatro especiales), en ellas aprobó </w:t>
      </w:r>
      <w:r>
        <w:rPr>
          <w:spacing w:val="2"/>
        </w:rPr>
        <w:t>118 </w:t>
      </w:r>
      <w:r>
        <w:rPr/>
        <w:t>acuerdos, dos resoluciones y dos informes. Los acuerdos del CGIFE fueron altamente impugnados, el 88% de ellos (104) fueron objeto de algún medio de impugnación, y sólo 14 recibieron sentencias revocatorias, lo que equivale a que de todos los acuerdos impugnados ante el TEPJF sólo el 13.46% obtuvo una sentencia revocatoria; ubicándose la actuación del IFE como altamente congruente con la legalidad (3.0) (TEPJF,</w:t>
      </w:r>
      <w:r>
        <w:rPr>
          <w:spacing w:val="-9"/>
        </w:rPr>
        <w:t> </w:t>
      </w:r>
      <w:r>
        <w:rPr/>
        <w:t>2012b).</w:t>
      </w:r>
    </w:p>
    <w:p>
      <w:pPr>
        <w:pStyle w:val="BodyText"/>
        <w:spacing w:line="360" w:lineRule="auto" w:before="5"/>
        <w:ind w:left="102" w:right="118" w:firstLine="707"/>
        <w:jc w:val="both"/>
      </w:pPr>
      <w:r>
        <w:rPr/>
        <w:t>De los 104 acuerdos del IFE que fueron impugnados: 52 obtuvieron sentencias confirmatorias (50%), 11 modificatorias (10.57%), 14 revocatorias (13.46%) y 27 (25.96%) fueron declarados en otro sentido (desechados, declarados  infundados  o  improcedentes);  si  sumamos  el  porcentaje  de      las</w:t>
      </w:r>
    </w:p>
    <w:p>
      <w:pPr>
        <w:spacing w:after="0" w:line="360" w:lineRule="auto"/>
        <w:jc w:val="both"/>
        <w:sectPr>
          <w:pgSz w:w="12240" w:h="15840"/>
          <w:pgMar w:header="749" w:footer="1003" w:top="960" w:bottom="1200" w:left="1600" w:right="1580"/>
        </w:sectPr>
      </w:pPr>
    </w:p>
    <w:p>
      <w:pPr>
        <w:pStyle w:val="BodyText"/>
        <w:rPr>
          <w:sz w:val="20"/>
        </w:rPr>
      </w:pPr>
    </w:p>
    <w:p>
      <w:pPr>
        <w:pStyle w:val="BodyText"/>
        <w:spacing w:line="360" w:lineRule="auto" w:before="214"/>
        <w:ind w:left="102" w:right="116"/>
        <w:jc w:val="both"/>
      </w:pPr>
      <w:r>
        <w:rPr/>
        <w:t>sentencias confirmatorias y los acuerdos en otro sentido suman el 75.96% del total de las impugnaciones, lo cual señala que tres cuartas partes de las impugnaciones no tuvo razón de interponerse pues el TEPJF avaló lo acordado por el IFE. De lo anterior se observa que los acuerdos emitidos por el CGIFE, son altamente impugnados por los partidos políticos, candidatos o ciudadanos, los cuales aluden desapego a la legalidad; sin embargo, del estudio de las sentencias emitidas por el TEPJF se desprende que la actuación del CGIFE es altamente apegada a la legalidad, sólo 14 acuerdos fueron revocados, de ahí que se señala que existe una percepción errónea con respecto a la legalidad de los acuerdos del IFE.</w:t>
      </w:r>
    </w:p>
    <w:p>
      <w:pPr>
        <w:pStyle w:val="BodyText"/>
        <w:spacing w:line="360" w:lineRule="auto" w:before="5"/>
        <w:ind w:left="102" w:right="116" w:firstLine="707"/>
        <w:jc w:val="both"/>
      </w:pPr>
      <w:r>
        <w:rPr/>
        <w:t>Para analizar esta variable fue necesario identificar los tipos de medios de impugnación que existen en materia electoral federal, con el único fin de conocerlos sin adentrarse en su análisis pues eso sería materia de otra investigación. Así tenemos que en el ámbito federal de acuerdo con la Ley  General del Sistema de Medios de Impugnación en Materia Electoral (LGSMIME) </w:t>
      </w:r>
      <w:r>
        <w:rPr>
          <w:color w:val="221F1F"/>
        </w:rPr>
        <w:t>el sistema de medios de impugnación se integra</w:t>
      </w:r>
      <w:r>
        <w:rPr>
          <w:color w:val="221F1F"/>
          <w:spacing w:val="-16"/>
        </w:rPr>
        <w:t> </w:t>
      </w:r>
      <w:r>
        <w:rPr>
          <w:color w:val="221F1F"/>
        </w:rPr>
        <w:t>por:</w:t>
      </w:r>
    </w:p>
    <w:p>
      <w:pPr>
        <w:pStyle w:val="BodyText"/>
        <w:spacing w:before="4"/>
        <w:rPr>
          <w:sz w:val="33"/>
        </w:rPr>
      </w:pPr>
    </w:p>
    <w:p>
      <w:pPr>
        <w:pStyle w:val="ListParagraph"/>
        <w:numPr>
          <w:ilvl w:val="1"/>
          <w:numId w:val="22"/>
        </w:numPr>
        <w:tabs>
          <w:tab w:pos="1226" w:val="left" w:leader="none"/>
        </w:tabs>
        <w:spacing w:line="360" w:lineRule="auto" w:before="0" w:after="0"/>
        <w:ind w:left="954" w:right="114" w:firstLine="0"/>
        <w:jc w:val="both"/>
        <w:rPr>
          <w:color w:val="221F1F"/>
          <w:sz w:val="22"/>
        </w:rPr>
      </w:pPr>
      <w:r>
        <w:rPr>
          <w:color w:val="221F1F"/>
          <w:sz w:val="22"/>
        </w:rPr>
        <w:t>El recurso de revisión, para garantizar la legalidad de actos y resoluciones de la autoridad electoral federal; b) El recurso de apelación, el juicio de inconformidad y el recurso de reconsideración, para garantizar la constitucionalidad y legalidad de actos y resoluciones de la autoridad electoral federal; c) El juicio para la protección de los derechos político-electorales del ciudadano; d) El juicio de revisión constitucional electoral, para garantizar la constitucionalidad de actos o resoluciones definitivos y firmes de las autoridades competentes de las entidades federativas para organizar y calificar los comicios o resolver las controversias que surjan durante los mismos. e) El juicio para dirimir los conflictos o diferencias laborales entre el Instituto Federal Electoral y sus servidores (</w:t>
      </w:r>
      <w:r>
        <w:rPr>
          <w:sz w:val="22"/>
        </w:rPr>
        <w:t>CDHCU </w:t>
      </w:r>
      <w:r>
        <w:rPr>
          <w:color w:val="221F1F"/>
          <w:sz w:val="22"/>
        </w:rPr>
        <w:t>L LXI, 2011: artículo 3 párrafo</w:t>
      </w:r>
      <w:r>
        <w:rPr>
          <w:color w:val="221F1F"/>
          <w:spacing w:val="-11"/>
          <w:sz w:val="22"/>
        </w:rPr>
        <w:t> </w:t>
      </w:r>
      <w:r>
        <w:rPr>
          <w:color w:val="221F1F"/>
          <w:sz w:val="22"/>
        </w:rPr>
        <w:t>2).</w:t>
      </w:r>
    </w:p>
    <w:p>
      <w:pPr>
        <w:pStyle w:val="BodyText"/>
        <w:rPr>
          <w:sz w:val="22"/>
        </w:rPr>
      </w:pPr>
    </w:p>
    <w:p>
      <w:pPr>
        <w:pStyle w:val="BodyText"/>
        <w:spacing w:line="360" w:lineRule="auto" w:before="130"/>
        <w:ind w:left="102" w:right="115" w:firstLine="707"/>
        <w:jc w:val="both"/>
      </w:pPr>
      <w:r>
        <w:rPr/>
        <w:t>Cabe aclarar que los órganos del IFE se encargan de resolver el recurso de revisión y los demás recursos son competencia del TEPJF (CDHCU L LXI, 2011: artículo 4), aunque éste puede conocer de ellos si el partido queda inconforme con la  resolución  dada  por  el  IFE,  de  ahí  que  determine  no  analizar  en  primera</w:t>
      </w:r>
    </w:p>
    <w:p>
      <w:pPr>
        <w:spacing w:after="0" w:line="360" w:lineRule="auto"/>
        <w:jc w:val="both"/>
        <w:sectPr>
          <w:pgSz w:w="12240" w:h="15840"/>
          <w:pgMar w:header="749" w:footer="1003" w:top="960" w:bottom="1200" w:left="1600" w:right="1580"/>
        </w:sectPr>
      </w:pPr>
    </w:p>
    <w:p>
      <w:pPr>
        <w:pStyle w:val="BodyText"/>
        <w:rPr>
          <w:sz w:val="20"/>
        </w:rPr>
      </w:pPr>
    </w:p>
    <w:p>
      <w:pPr>
        <w:pStyle w:val="BodyText"/>
        <w:spacing w:line="360" w:lineRule="auto" w:before="214"/>
        <w:ind w:left="122" w:right="117"/>
        <w:jc w:val="both"/>
      </w:pPr>
      <w:r>
        <w:rPr/>
        <w:t>instancia los recursos de revisión ya que éstos no son objeto directo (sino indirecto) de estudio del TEPJF, y de lo que trata el presente estudio es de evaluar la actividad del IFE a través de la revisión que hace de su trabajo un órgano superior, en este caso el</w:t>
      </w:r>
      <w:r>
        <w:rPr>
          <w:spacing w:val="-10"/>
        </w:rPr>
        <w:t> </w:t>
      </w:r>
      <w:r>
        <w:rPr/>
        <w:t>TEPJF.</w:t>
      </w:r>
    </w:p>
    <w:p>
      <w:pPr>
        <w:pStyle w:val="BodyText"/>
        <w:spacing w:line="360" w:lineRule="auto" w:before="2"/>
        <w:ind w:left="122" w:right="115" w:firstLine="707"/>
        <w:jc w:val="both"/>
      </w:pPr>
      <w:r>
        <w:rPr>
          <w:color w:val="221F1F"/>
        </w:rPr>
        <w:t>De los recursos que sí son competencia del TEPJF sólo tres dirimen asuntos relativos a nuestro objeto de estudio (la actividad del CGIFE durante el proceso electoral): el recurso de apelación, el juicio de inconformidad y el recurso de reconsideración, estos recursos se analizarán para evaluar la actividad del CGIFE. Los otros tres medios de impugnación no se estudiarán debido a que no dirimen asuntos relativos al CGIFE, ya que el juicio para la protección de los derechos político-electorales del ciudadano se encarga de resolver asuntos de interés privado, el juicio de revisión constitucional electoral aborda asuntos de comicios locales y el juicio para dirimir controversias laborales como su nombre lo indica no tiene relación con la materia</w:t>
      </w:r>
      <w:r>
        <w:rPr>
          <w:color w:val="221F1F"/>
          <w:spacing w:val="-18"/>
        </w:rPr>
        <w:t> </w:t>
      </w:r>
      <w:r>
        <w:rPr>
          <w:color w:val="221F1F"/>
        </w:rPr>
        <w:t>electoral.</w:t>
      </w:r>
    </w:p>
    <w:p>
      <w:pPr>
        <w:pStyle w:val="BodyText"/>
      </w:pPr>
    </w:p>
    <w:p>
      <w:pPr>
        <w:pStyle w:val="ListParagraph"/>
        <w:numPr>
          <w:ilvl w:val="0"/>
          <w:numId w:val="23"/>
        </w:numPr>
        <w:tabs>
          <w:tab w:pos="1032" w:val="left" w:leader="none"/>
        </w:tabs>
        <w:spacing w:line="240" w:lineRule="auto" w:before="142" w:after="0"/>
        <w:ind w:left="1031" w:right="0" w:hanging="201"/>
        <w:jc w:val="left"/>
        <w:rPr>
          <w:sz w:val="24"/>
        </w:rPr>
      </w:pPr>
      <w:r>
        <w:rPr>
          <w:sz w:val="24"/>
        </w:rPr>
        <w:t>Recurso de</w:t>
      </w:r>
      <w:r>
        <w:rPr>
          <w:spacing w:val="-8"/>
          <w:sz w:val="24"/>
        </w:rPr>
        <w:t> </w:t>
      </w:r>
      <w:r>
        <w:rPr>
          <w:sz w:val="24"/>
        </w:rPr>
        <w:t>apelación</w:t>
      </w:r>
    </w:p>
    <w:p>
      <w:pPr>
        <w:pStyle w:val="BodyText"/>
      </w:pPr>
    </w:p>
    <w:p>
      <w:pPr>
        <w:pStyle w:val="BodyText"/>
      </w:pPr>
    </w:p>
    <w:p>
      <w:pPr>
        <w:pStyle w:val="BodyText"/>
        <w:spacing w:line="360" w:lineRule="auto"/>
        <w:ind w:left="122" w:right="117"/>
        <w:jc w:val="both"/>
      </w:pPr>
      <w:r>
        <w:rPr/>
        <w:t>El recurso de apelación se interpone para garantizar la constitucionalidad y legalidad de los actos y resoluciones electorales, se puede promover en cualquier momento, es decir durante el tiempo que transcurra entre dos procesos  electorales</w:t>
      </w:r>
      <w:r>
        <w:rPr>
          <w:spacing w:val="23"/>
        </w:rPr>
        <w:t> </w:t>
      </w:r>
      <w:r>
        <w:rPr/>
        <w:t>federales</w:t>
      </w:r>
      <w:r>
        <w:rPr>
          <w:spacing w:val="23"/>
        </w:rPr>
        <w:t> </w:t>
      </w:r>
      <w:r>
        <w:rPr/>
        <w:t>así</w:t>
      </w:r>
      <w:r>
        <w:rPr>
          <w:spacing w:val="25"/>
        </w:rPr>
        <w:t> </w:t>
      </w:r>
      <w:r>
        <w:rPr/>
        <w:t>como</w:t>
      </w:r>
      <w:r>
        <w:rPr>
          <w:spacing w:val="29"/>
        </w:rPr>
        <w:t> </w:t>
      </w:r>
      <w:r>
        <w:rPr/>
        <w:t>en</w:t>
      </w:r>
      <w:r>
        <w:rPr>
          <w:spacing w:val="25"/>
        </w:rPr>
        <w:t> </w:t>
      </w:r>
      <w:r>
        <w:rPr/>
        <w:t>el</w:t>
      </w:r>
      <w:r>
        <w:rPr>
          <w:spacing w:val="26"/>
        </w:rPr>
        <w:t> </w:t>
      </w:r>
      <w:r>
        <w:rPr/>
        <w:t>transcurso</w:t>
      </w:r>
      <w:r>
        <w:rPr>
          <w:spacing w:val="27"/>
        </w:rPr>
        <w:t> </w:t>
      </w:r>
      <w:r>
        <w:rPr/>
        <w:t>del</w:t>
      </w:r>
      <w:r>
        <w:rPr>
          <w:spacing w:val="26"/>
        </w:rPr>
        <w:t> </w:t>
      </w:r>
      <w:r>
        <w:rPr/>
        <w:t>proceso</w:t>
      </w:r>
      <w:r>
        <w:rPr>
          <w:spacing w:val="25"/>
        </w:rPr>
        <w:t> </w:t>
      </w:r>
      <w:r>
        <w:rPr/>
        <w:t>electoral</w:t>
      </w:r>
      <w:r>
        <w:rPr>
          <w:spacing w:val="26"/>
        </w:rPr>
        <w:t> </w:t>
      </w:r>
      <w:r>
        <w:rPr/>
        <w:t>(CDHCU</w:t>
      </w:r>
      <w:r>
        <w:rPr>
          <w:spacing w:val="29"/>
        </w:rPr>
        <w:t> </w:t>
      </w:r>
      <w:r>
        <w:rPr/>
        <w:t>L</w:t>
      </w:r>
    </w:p>
    <w:p>
      <w:pPr>
        <w:pStyle w:val="BodyText"/>
        <w:spacing w:line="350" w:lineRule="auto" w:before="5"/>
        <w:ind w:right="117"/>
        <w:jc w:val="right"/>
      </w:pPr>
      <w:r>
        <w:rPr/>
        <w:t>LXI, 2011: art. 34). Durante el proceso electoral 2005-2006 la Sala Superior del</w:t>
      </w:r>
      <w:r>
        <w:rPr>
          <w:w w:val="99"/>
        </w:rPr>
        <w:t> </w:t>
      </w:r>
      <w:r>
        <w:rPr/>
        <w:t>TEPJF recibió 169 recursos de apelación, 80 presentados en 2005 y 89 en 2006</w:t>
      </w:r>
      <w:r>
        <w:rPr>
          <w:position w:val="11"/>
          <w:sz w:val="16"/>
        </w:rPr>
        <w:t>21</w:t>
      </w:r>
      <w:r>
        <w:rPr/>
        <w:t>.</w:t>
      </w:r>
      <w:r>
        <w:rPr>
          <w:w w:val="100"/>
        </w:rPr>
        <w:t> </w:t>
      </w:r>
      <w:r>
        <w:rPr/>
        <w:t>De los recursos de apelación presentados en 2005 únicamente 34 fueron</w:t>
      </w:r>
      <w:r>
        <w:rPr>
          <w:w w:val="99"/>
        </w:rPr>
        <w:t> </w:t>
      </w:r>
      <w:r>
        <w:rPr/>
        <w:t>interpuestos entre octubre y diciembre de ese año (es decir, durante el proceso</w:t>
      </w:r>
    </w:p>
    <w:p>
      <w:pPr>
        <w:pStyle w:val="BodyText"/>
        <w:spacing w:before="7"/>
        <w:rPr>
          <w:sz w:val="15"/>
        </w:rPr>
      </w:pPr>
      <w:r>
        <w:rPr/>
        <w:pict>
          <v:line style="position:absolute;mso-position-horizontal-relative:page;mso-position-vertical-relative:paragraph;z-index:1720;mso-wrap-distance-left:0;mso-wrap-distance-right:0" from="85.103996pt,11.33017pt" to="229.123996pt,11.33017pt" stroked="true" strokeweight=".71997pt" strokecolor="#000000">
            <w10:wrap type="topAndBottom"/>
          </v:line>
        </w:pict>
      </w:r>
    </w:p>
    <w:p>
      <w:pPr>
        <w:spacing w:line="240" w:lineRule="auto" w:before="47"/>
        <w:ind w:left="122" w:right="117" w:firstLine="0"/>
        <w:jc w:val="both"/>
        <w:rPr>
          <w:sz w:val="20"/>
        </w:rPr>
      </w:pPr>
      <w:r>
        <w:rPr>
          <w:position w:val="10"/>
          <w:sz w:val="14"/>
        </w:rPr>
        <w:t>21 </w:t>
      </w:r>
      <w:r>
        <w:rPr>
          <w:sz w:val="20"/>
        </w:rPr>
        <w:t>El proceso electoral federal inicio el 6 de octubre de 2005 con la sesión extraordinaria que  realizó el CGIFE y culminó el 23 de agosto de 2006 en una sesión extraordinaria que declaró la validez de la elección de Diputados por el principio de representación proporcional y Senadores por ambos principios (representación proporcional y mayoría relativa). Por otro lado el TEPJF declaró  la validez de la elección Presidencial mediante el dictamen de fecha 5 de septiembre de 2006. </w:t>
      </w:r>
      <w:hyperlink r:id="rId41">
        <w:r>
          <w:rPr>
            <w:sz w:val="20"/>
          </w:rPr>
          <w:t>http://portal.te.gob.mx/sites/default/files/publicaciones/file/Dictamen_relativo_eleccion_presidencial</w:t>
        </w:r>
      </w:hyperlink>
    </w:p>
    <w:p>
      <w:pPr>
        <w:spacing w:before="0"/>
        <w:ind w:left="122" w:right="127" w:firstLine="0"/>
        <w:jc w:val="both"/>
        <w:rPr>
          <w:sz w:val="20"/>
        </w:rPr>
      </w:pPr>
      <w:hyperlink r:id="rId41">
        <w:r>
          <w:rPr>
            <w:sz w:val="20"/>
          </w:rPr>
          <w:t>_2006.pdf.</w:t>
        </w:r>
      </w:hyperlink>
      <w:r>
        <w:rPr>
          <w:sz w:val="20"/>
        </w:rPr>
        <w:t> Cabe señalar que los consejos distritales fueron los encargados de emitir la declaración de validez de las elecciones de diputados de mayoría relativa y de expedirles sus constancias de mayoría.</w:t>
      </w:r>
    </w:p>
    <w:p>
      <w:pPr>
        <w:spacing w:after="0"/>
        <w:jc w:val="both"/>
        <w:rPr>
          <w:sz w:val="20"/>
        </w:rPr>
        <w:sectPr>
          <w:pgSz w:w="12240" w:h="15840"/>
          <w:pgMar w:header="749" w:footer="1003" w:top="960" w:bottom="1200" w:left="1580" w:right="1580"/>
        </w:sectPr>
      </w:pPr>
    </w:p>
    <w:p>
      <w:pPr>
        <w:pStyle w:val="BodyText"/>
        <w:rPr>
          <w:sz w:val="20"/>
        </w:rPr>
      </w:pPr>
    </w:p>
    <w:p>
      <w:pPr>
        <w:pStyle w:val="BodyText"/>
        <w:spacing w:line="360" w:lineRule="auto" w:before="214"/>
        <w:ind w:left="102" w:right="115"/>
        <w:jc w:val="both"/>
      </w:pPr>
      <w:r>
        <w:rPr/>
        <w:t>electoral recién iniciado) ; estos recursos van del número 47 al 80. De su estudio tenemos que 28 son contra actos del CGIFE. En 2006 de acuerdo con el TEPJF  se interpusieron 89 recursos de apelación, pero cabe aclarar que el número 45 no fue utilizado y permaneció así, por lo que en total se presentaron 88 recursos, de éstos 71 impugnaban actos relativos al CGIFE, si sumamos tenemos que en total se presentaron 122 recursos de apelación de los cuales 99 eran relativos al CGIFE. Para obtener el porcentaje de acuerdos apelados se multiplicó por cien el número de acuerdos (99) y se dividió entre el número total de acuerdos (118), lo que dio como resultado que el 83.89% de los acuerdos del CGIFE fueron objeto  de una apelación. Concluyendo que es alto el número de apelaciones a los acuerdos del</w:t>
      </w:r>
      <w:r>
        <w:rPr>
          <w:spacing w:val="-5"/>
        </w:rPr>
        <w:t> </w:t>
      </w:r>
      <w:r>
        <w:rPr/>
        <w:t>CGIFE.</w:t>
      </w:r>
    </w:p>
    <w:p>
      <w:pPr>
        <w:pStyle w:val="BodyText"/>
      </w:pPr>
    </w:p>
    <w:p>
      <w:pPr>
        <w:pStyle w:val="ListParagraph"/>
        <w:numPr>
          <w:ilvl w:val="0"/>
          <w:numId w:val="23"/>
        </w:numPr>
        <w:tabs>
          <w:tab w:pos="1012" w:val="left" w:leader="none"/>
        </w:tabs>
        <w:spacing w:line="240" w:lineRule="auto" w:before="142" w:after="0"/>
        <w:ind w:left="1011" w:right="0" w:hanging="201"/>
        <w:jc w:val="left"/>
        <w:rPr>
          <w:sz w:val="24"/>
        </w:rPr>
      </w:pPr>
      <w:r>
        <w:rPr>
          <w:sz w:val="24"/>
        </w:rPr>
        <w:t>Juicio de</w:t>
      </w:r>
      <w:r>
        <w:rPr>
          <w:spacing w:val="-10"/>
          <w:sz w:val="24"/>
        </w:rPr>
        <w:t> </w:t>
      </w:r>
      <w:r>
        <w:rPr>
          <w:sz w:val="24"/>
        </w:rPr>
        <w:t>inconformidad</w:t>
      </w:r>
    </w:p>
    <w:p>
      <w:pPr>
        <w:pStyle w:val="BodyText"/>
      </w:pPr>
    </w:p>
    <w:p>
      <w:pPr>
        <w:pStyle w:val="BodyText"/>
      </w:pPr>
    </w:p>
    <w:p>
      <w:pPr>
        <w:pStyle w:val="BodyText"/>
        <w:spacing w:line="360" w:lineRule="auto"/>
        <w:ind w:left="102" w:right="117"/>
        <w:jc w:val="both"/>
      </w:pPr>
      <w:r>
        <w:rPr/>
        <w:t>El juicio de inconformidad sólo se interpone </w:t>
      </w:r>
      <w:r>
        <w:rPr>
          <w:color w:val="221F1F"/>
        </w:rPr>
        <w:t>durante el proceso electoral federal y exclusivamente en la etapa de resultados y declaraciones de validez, procede  para impugnar las determinaciones de las autoridades electorales federales que violen normas constitucionales o legales relativas a las elecciones de Presidente de los Estados Unidos Mexicanos, senadores y diputados (CDHCU L LXI, 2011: art.</w:t>
      </w:r>
      <w:r>
        <w:rPr>
          <w:color w:val="221F1F"/>
          <w:spacing w:val="1"/>
        </w:rPr>
        <w:t> </w:t>
      </w:r>
      <w:r>
        <w:rPr>
          <w:color w:val="221F1F"/>
        </w:rPr>
        <w:t>40).</w:t>
      </w:r>
    </w:p>
    <w:p>
      <w:pPr>
        <w:pStyle w:val="BodyText"/>
        <w:spacing w:line="360" w:lineRule="auto" w:before="2"/>
        <w:ind w:left="102" w:right="116" w:firstLine="707"/>
        <w:jc w:val="both"/>
      </w:pPr>
      <w:r>
        <w:rPr>
          <w:color w:val="221F1F"/>
        </w:rPr>
        <w:t>Debido a que el juicio de inconformidad únicamente se interpone </w:t>
      </w:r>
      <w:r>
        <w:rPr>
          <w:color w:val="221F1F"/>
          <w:spacing w:val="5"/>
        </w:rPr>
        <w:t>en </w:t>
      </w:r>
      <w:r>
        <w:rPr>
          <w:color w:val="221F1F"/>
        </w:rPr>
        <w:t>la  etapa de resultados y declaraciones de validez y </w:t>
      </w:r>
      <w:r>
        <w:rPr/>
        <w:t>ésta </w:t>
      </w:r>
      <w:r>
        <w:rPr>
          <w:color w:val="221F1F"/>
        </w:rPr>
        <w:t>se dio en 2006, en 2005 no se tiene interpuesto ningún juicio de este tipo. En cambio en 2006 el TEPJF recibió 377 juicios de inconformidad y de éstos sólo 4 eran relativos a actos del</w:t>
      </w:r>
      <w:r>
        <w:rPr>
          <w:color w:val="221F1F"/>
          <w:spacing w:val="-22"/>
        </w:rPr>
        <w:t> </w:t>
      </w:r>
      <w:r>
        <w:rPr>
          <w:color w:val="221F1F"/>
        </w:rPr>
        <w:t>CGIFE.</w:t>
      </w:r>
    </w:p>
    <w:p>
      <w:pPr>
        <w:pStyle w:val="BodyText"/>
      </w:pPr>
    </w:p>
    <w:p>
      <w:pPr>
        <w:pStyle w:val="ListParagraph"/>
        <w:numPr>
          <w:ilvl w:val="0"/>
          <w:numId w:val="23"/>
        </w:numPr>
        <w:tabs>
          <w:tab w:pos="1012" w:val="left" w:leader="none"/>
        </w:tabs>
        <w:spacing w:line="240" w:lineRule="auto" w:before="142" w:after="0"/>
        <w:ind w:left="1011" w:right="0" w:hanging="201"/>
        <w:jc w:val="left"/>
        <w:rPr>
          <w:color w:val="221F1F"/>
          <w:sz w:val="24"/>
        </w:rPr>
      </w:pPr>
      <w:r>
        <w:rPr>
          <w:color w:val="221F1F"/>
          <w:sz w:val="24"/>
        </w:rPr>
        <w:t>Recurso de</w:t>
      </w:r>
      <w:r>
        <w:rPr>
          <w:color w:val="221F1F"/>
          <w:spacing w:val="-6"/>
          <w:sz w:val="24"/>
        </w:rPr>
        <w:t> </w:t>
      </w:r>
      <w:r>
        <w:rPr>
          <w:color w:val="221F1F"/>
          <w:sz w:val="24"/>
        </w:rPr>
        <w:t>reconsideración</w:t>
      </w:r>
    </w:p>
    <w:p>
      <w:pPr>
        <w:pStyle w:val="BodyText"/>
      </w:pPr>
    </w:p>
    <w:p>
      <w:pPr>
        <w:pStyle w:val="BodyText"/>
      </w:pPr>
    </w:p>
    <w:p>
      <w:pPr>
        <w:pStyle w:val="BodyText"/>
        <w:spacing w:line="360" w:lineRule="auto"/>
        <w:ind w:left="102" w:right="116"/>
        <w:jc w:val="both"/>
      </w:pPr>
      <w:r>
        <w:rPr>
          <w:color w:val="221F1F"/>
        </w:rPr>
        <w:t>De acuerdo con el artículo 61 de la LGSMIME el recurso de reconsideración sólo procede para impugnar las sentencias de fondo dictadas por las Salas Regionales en los casos siguientes:</w:t>
      </w:r>
    </w:p>
    <w:p>
      <w:pPr>
        <w:spacing w:after="0" w:line="360" w:lineRule="auto"/>
        <w:jc w:val="both"/>
        <w:sectPr>
          <w:pgSz w:w="12240" w:h="15840"/>
          <w:pgMar w:header="749" w:footer="1003" w:top="960" w:bottom="1200" w:left="1600" w:right="1580"/>
        </w:sectPr>
      </w:pPr>
    </w:p>
    <w:p>
      <w:pPr>
        <w:pStyle w:val="BodyText"/>
        <w:rPr>
          <w:sz w:val="20"/>
        </w:rPr>
      </w:pPr>
    </w:p>
    <w:p>
      <w:pPr>
        <w:pStyle w:val="BodyText"/>
        <w:spacing w:before="7"/>
        <w:rPr>
          <w:sz w:val="18"/>
        </w:rPr>
      </w:pPr>
    </w:p>
    <w:p>
      <w:pPr>
        <w:pStyle w:val="ListParagraph"/>
        <w:numPr>
          <w:ilvl w:val="1"/>
          <w:numId w:val="23"/>
        </w:numPr>
        <w:tabs>
          <w:tab w:pos="1290" w:val="left" w:leader="none"/>
        </w:tabs>
        <w:spacing w:line="360" w:lineRule="auto" w:before="0" w:after="0"/>
        <w:ind w:left="954" w:right="114" w:firstLine="0"/>
        <w:jc w:val="both"/>
        <w:rPr>
          <w:sz w:val="22"/>
        </w:rPr>
      </w:pPr>
      <w:r>
        <w:rPr>
          <w:color w:val="221F1F"/>
          <w:sz w:val="22"/>
        </w:rPr>
        <w:t>En juicios de inconformidad que se hayan promovido en contra de los resultados de las elecciones de diputados y senadores, así como las asignaciones por el principio de representación proporcional que respecto de dichas elecciones realice el Consejo General del Instituto, siempre y cuando se cumplan los presupuestos y requisitos establecidos en este ordenamiento, y </w:t>
      </w:r>
      <w:r>
        <w:rPr>
          <w:color w:val="221F1F"/>
          <w:spacing w:val="-3"/>
          <w:sz w:val="22"/>
        </w:rPr>
        <w:t>b) </w:t>
      </w:r>
      <w:r>
        <w:rPr>
          <w:color w:val="221F1F"/>
          <w:sz w:val="22"/>
        </w:rPr>
        <w:t>En los demás medios de impugnación de la competencia de las  Salas Regionales, cuando hayan determinado la no aplicación de una ley electoral por considerarla contraria a la Constitución (CDHCU L LXI, 2011:</w:t>
      </w:r>
      <w:r>
        <w:rPr>
          <w:color w:val="221F1F"/>
          <w:spacing w:val="-21"/>
          <w:sz w:val="22"/>
        </w:rPr>
        <w:t> </w:t>
      </w:r>
      <w:r>
        <w:rPr>
          <w:color w:val="221F1F"/>
          <w:sz w:val="22"/>
        </w:rPr>
        <w:t>49).</w:t>
      </w:r>
    </w:p>
    <w:p>
      <w:pPr>
        <w:pStyle w:val="BodyText"/>
        <w:rPr>
          <w:sz w:val="22"/>
        </w:rPr>
      </w:pPr>
    </w:p>
    <w:p>
      <w:pPr>
        <w:pStyle w:val="BodyText"/>
        <w:spacing w:line="360" w:lineRule="auto" w:before="166"/>
        <w:ind w:left="102" w:right="117" w:firstLine="707"/>
        <w:jc w:val="both"/>
      </w:pPr>
      <w:r>
        <w:rPr>
          <w:color w:val="221F1F"/>
        </w:rPr>
        <w:t>En 2006 el TEPJF recibió 52 recursos de reconsideración, de éstos sólo  uno era relativo a actos del CGIFE</w:t>
      </w:r>
      <w:r>
        <w:rPr>
          <w:color w:val="221F1F"/>
          <w:spacing w:val="-10"/>
        </w:rPr>
        <w:t> </w:t>
      </w:r>
      <w:r>
        <w:rPr>
          <w:color w:val="221F1F"/>
        </w:rPr>
        <w:t>(REC-52-2006.</w:t>
      </w:r>
    </w:p>
    <w:p>
      <w:pPr>
        <w:pStyle w:val="BodyText"/>
        <w:spacing w:line="360" w:lineRule="auto" w:before="5"/>
        <w:ind w:left="102" w:right="115" w:firstLine="707"/>
        <w:jc w:val="both"/>
      </w:pPr>
      <w:r>
        <w:rPr>
          <w:color w:val="221F1F"/>
        </w:rPr>
        <w:t>Del estudio de los recursos se observó que la etapa que tuvo más impugnaciones fue la de organización del proceso electoral derivado del alto número de acuerdos que se toman en dicho periodo; y la que menos impugnaciones obtuvo fue la de resultados electorales, pues fueron pocos los juicios de inconformidad interpuestos, así como pocos los acuerdos en este sentido pues tienen que ver con el resultado de la elección y no con cada una de las determinaciones que se toman durante el desarrollo del proceso</w:t>
      </w:r>
      <w:r>
        <w:rPr>
          <w:color w:val="221F1F"/>
          <w:spacing w:val="-25"/>
        </w:rPr>
        <w:t> </w:t>
      </w:r>
      <w:r>
        <w:rPr>
          <w:color w:val="221F1F"/>
        </w:rPr>
        <w:t>electoral.</w:t>
      </w:r>
    </w:p>
    <w:p>
      <w:pPr>
        <w:pStyle w:val="BodyText"/>
        <w:spacing w:line="360" w:lineRule="auto" w:before="3"/>
        <w:ind w:left="102" w:right="117" w:firstLine="707"/>
        <w:jc w:val="both"/>
      </w:pPr>
      <w:r>
        <w:rPr>
          <w:color w:val="221F1F"/>
        </w:rPr>
        <w:t>Con la suma de todos los recursos y juicios anteriores se obtuvo el dato total de acuerdos impugnados ante el </w:t>
      </w:r>
      <w:r>
        <w:rPr/>
        <w:t>TEPJF contra actos o resoluciones del CGIFE, siendo 104 (28 recursos de apelación en 2005, 71 en 2006, 4 juicios de inconformidad y un recurso de</w:t>
      </w:r>
      <w:r>
        <w:rPr>
          <w:spacing w:val="-11"/>
        </w:rPr>
        <w:t> </w:t>
      </w:r>
      <w:r>
        <w:rPr/>
        <w:t>reconsideración).</w:t>
      </w:r>
    </w:p>
    <w:p>
      <w:pPr>
        <w:pStyle w:val="BodyText"/>
        <w:spacing w:line="360" w:lineRule="auto" w:before="2"/>
        <w:ind w:left="102" w:right="118" w:firstLine="707"/>
        <w:jc w:val="both"/>
      </w:pPr>
      <w:r>
        <w:rPr/>
        <w:t>Es necesario aclarar que algunos de estos 104 actos impugnados en ocasiones no se refieren a un solo acuerdo del CGIFE puede ser que se refieran a varios acuerdos que tienen relación entre sí, o que distintos partidos políticos,  APN, candidatos o ciudadanos hayan interpuesto su propio recurso contra un mismo acto o resolución del CGIFE, en este caso el TEPJF los acumula en uno sólo y emite una sentencia para ambos, de ahí que el dato de 104 actos o resoluciones del CGIFE impugnados sea referente al número </w:t>
      </w:r>
      <w:r>
        <w:rPr>
          <w:spacing w:val="4"/>
        </w:rPr>
        <w:t>de </w:t>
      </w:r>
      <w:r>
        <w:rPr/>
        <w:t>sentencias que dirimen asuntos relativos al CGIFE, por lo que no se debe tomar en estricto sentido  como  el  número  de  actos  o  resoluciones  del  CGIFE  impugnados,</w:t>
      </w:r>
      <w:r>
        <w:rPr>
          <w:spacing w:val="-11"/>
        </w:rPr>
        <w:t> </w:t>
      </w:r>
      <w:r>
        <w:rPr/>
        <w:t>sin</w:t>
      </w:r>
    </w:p>
    <w:p>
      <w:pPr>
        <w:spacing w:after="0" w:line="360" w:lineRule="auto"/>
        <w:jc w:val="both"/>
        <w:sectPr>
          <w:pgSz w:w="12240" w:h="15840"/>
          <w:pgMar w:header="749" w:footer="1003" w:top="960" w:bottom="1200" w:left="1600" w:right="1580"/>
        </w:sectPr>
      </w:pPr>
    </w:p>
    <w:p>
      <w:pPr>
        <w:pStyle w:val="BodyText"/>
        <w:rPr>
          <w:sz w:val="20"/>
        </w:rPr>
      </w:pPr>
    </w:p>
    <w:p>
      <w:pPr>
        <w:pStyle w:val="BodyText"/>
        <w:spacing w:line="362" w:lineRule="auto" w:before="214"/>
        <w:ind w:left="102" w:right="126"/>
        <w:jc w:val="both"/>
      </w:pPr>
      <w:r>
        <w:rPr/>
        <w:t>embargo, se tomó el dato así ya que son pocas las excepciones encontradas en este sentido.</w:t>
      </w:r>
    </w:p>
    <w:p>
      <w:pPr>
        <w:pStyle w:val="BodyText"/>
        <w:spacing w:line="360" w:lineRule="auto"/>
        <w:ind w:left="102" w:right="117" w:firstLine="707"/>
        <w:jc w:val="both"/>
      </w:pPr>
      <w:r>
        <w:rPr/>
        <w:t>En cuanto a sentencias del TEPJF que hacen referencia a acumulación de actos tenemos la siguiente: el RAP-34-2006 y el RAP-36-2006, el primero fue interpuesto por el PAN y el segundo por la CPBT, ambos recibieron una sentencia común, la cual modificó el acuerdo del CGIFE.</w:t>
      </w:r>
    </w:p>
    <w:p>
      <w:pPr>
        <w:pStyle w:val="BodyText"/>
        <w:spacing w:line="360" w:lineRule="auto" w:before="2"/>
        <w:ind w:left="102" w:right="117" w:firstLine="707"/>
        <w:jc w:val="both"/>
      </w:pPr>
      <w:r>
        <w:rPr>
          <w:color w:val="221F1F"/>
        </w:rPr>
        <w:t>Los medios de impugnación (juicios o recursos) reciben sentencias que ponen fin al asunto. En el recurso de apelación la sentencia tiene como efecto confirmar, modificar o revocar el acto o resolución impugnado (CDHCU L LXI, 2011: art. 47); en el juicio de inconformidad las sentencias tienen como efecto confirmar el acto impugnado, declarar la nulidad de la votación, revocar constancias de mayoría, de validez o de asignación de primera minoría y declarar la nulidad de la elección (CDHCU L LXI, 2011: art. 56); y en el recurso de reconsideración la sentencia tiene como efecto confirmar el acto o sentencia impugnado, modificar o revocar la sentencia impugnada y modificar la asignación de diputados o senadores electos por el principio de representación proporcional (CDHCU L LXI, 2011: art. 69).</w:t>
      </w:r>
    </w:p>
    <w:p>
      <w:pPr>
        <w:pStyle w:val="BodyText"/>
        <w:spacing w:line="360" w:lineRule="auto" w:before="5"/>
        <w:ind w:left="102" w:right="118" w:firstLine="707"/>
        <w:jc w:val="both"/>
      </w:pPr>
      <w:r>
        <w:rPr>
          <w:color w:val="221F1F"/>
        </w:rPr>
        <w:t>Para entender el sentido de las sentencias es necesario remitirse a su definición y de acuerdo con el Diccionario de la Lengua Española confirmar significa “corroborar la verdad, certeza o el grado de probabilidad de algo. Revalidar lo ya aprobado”. Por su parte modificar se define como “</w:t>
      </w:r>
      <w:r>
        <w:rPr/>
        <w:t>transformar o cambiar algo mudando alguno de sus accidentes. Reducir algo a los términos justos, templando el exceso o exorbitancia” y revocar es “dejar sin efecto una concesión, un mandato o una resolución” </w:t>
      </w:r>
      <w:r>
        <w:rPr>
          <w:color w:val="221F1F"/>
        </w:rPr>
        <w:t>(RAE, 2001).</w:t>
      </w:r>
    </w:p>
    <w:p>
      <w:pPr>
        <w:pStyle w:val="BodyText"/>
      </w:pPr>
    </w:p>
    <w:p>
      <w:pPr>
        <w:pStyle w:val="ListParagraph"/>
        <w:numPr>
          <w:ilvl w:val="0"/>
          <w:numId w:val="23"/>
        </w:numPr>
        <w:tabs>
          <w:tab w:pos="1012" w:val="left" w:leader="none"/>
        </w:tabs>
        <w:spacing w:line="240" w:lineRule="auto" w:before="142" w:after="0"/>
        <w:ind w:left="1011" w:right="0" w:hanging="201"/>
        <w:jc w:val="left"/>
        <w:rPr>
          <w:color w:val="221F1F"/>
          <w:sz w:val="24"/>
        </w:rPr>
      </w:pPr>
      <w:r>
        <w:rPr>
          <w:color w:val="221F1F"/>
          <w:sz w:val="24"/>
        </w:rPr>
        <w:t>Otras</w:t>
      </w:r>
      <w:r>
        <w:rPr>
          <w:color w:val="221F1F"/>
          <w:spacing w:val="-6"/>
          <w:sz w:val="24"/>
        </w:rPr>
        <w:t> </w:t>
      </w:r>
      <w:r>
        <w:rPr>
          <w:color w:val="221F1F"/>
          <w:sz w:val="24"/>
        </w:rPr>
        <w:t>resoluciones</w:t>
      </w:r>
    </w:p>
    <w:p>
      <w:pPr>
        <w:pStyle w:val="BodyText"/>
      </w:pPr>
    </w:p>
    <w:p>
      <w:pPr>
        <w:pStyle w:val="BodyText"/>
      </w:pPr>
    </w:p>
    <w:p>
      <w:pPr>
        <w:pStyle w:val="BodyText"/>
        <w:spacing w:line="360" w:lineRule="auto"/>
        <w:ind w:left="102" w:right="118"/>
        <w:jc w:val="both"/>
      </w:pPr>
      <w:r>
        <w:rPr>
          <w:color w:val="221F1F"/>
        </w:rPr>
        <w:t>En ocasiones el TEPJF no puede dictar una sentencia revocando, modificando o confirmando el acuerdo que dio origen a la impugnación, ya sea por carecer de información sobre el acto impugnado o porque el hecho que dio origen al acto ya se </w:t>
      </w:r>
      <w:r>
        <w:rPr/>
        <w:t>modificó y </w:t>
      </w:r>
      <w:r>
        <w:rPr>
          <w:color w:val="221F1F"/>
        </w:rPr>
        <w:t>en ese caso puede resolver en cinco sentidos:</w:t>
      </w:r>
    </w:p>
    <w:p>
      <w:pPr>
        <w:spacing w:after="0" w:line="360" w:lineRule="auto"/>
        <w:jc w:val="both"/>
        <w:sectPr>
          <w:pgSz w:w="12240" w:h="15840"/>
          <w:pgMar w:header="749" w:footer="1003" w:top="960" w:bottom="1200" w:left="1600" w:right="1580"/>
        </w:sectPr>
      </w:pPr>
    </w:p>
    <w:p>
      <w:pPr>
        <w:pStyle w:val="BodyText"/>
        <w:rPr>
          <w:sz w:val="20"/>
        </w:rPr>
      </w:pPr>
    </w:p>
    <w:p>
      <w:pPr>
        <w:pStyle w:val="Heading2"/>
        <w:spacing w:before="214"/>
        <w:ind w:right="494"/>
      </w:pPr>
      <w:r>
        <w:rPr>
          <w:color w:val="221F1F"/>
        </w:rPr>
        <w:t>Cuadro 2.2</w:t>
      </w:r>
    </w:p>
    <w:p>
      <w:pPr>
        <w:spacing w:before="139"/>
        <w:ind w:left="714" w:right="494" w:firstLine="0"/>
        <w:jc w:val="center"/>
        <w:rPr>
          <w:b/>
          <w:sz w:val="24"/>
        </w:rPr>
      </w:pPr>
      <w:r>
        <w:rPr>
          <w:b/>
          <w:color w:val="221F1F"/>
          <w:sz w:val="24"/>
        </w:rPr>
        <w:t>Otras resoluciones en materia electoral mexicana</w:t>
      </w:r>
    </w:p>
    <w:p>
      <w:pPr>
        <w:pStyle w:val="BodyText"/>
        <w:rPr>
          <w:b/>
          <w:sz w:val="20"/>
        </w:rPr>
      </w:pPr>
    </w:p>
    <w:p>
      <w:pPr>
        <w:pStyle w:val="BodyText"/>
        <w:spacing w:before="2"/>
        <w:rPr>
          <w:b/>
          <w:sz w:val="28"/>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16"/>
        <w:gridCol w:w="8013"/>
      </w:tblGrid>
      <w:tr>
        <w:trPr>
          <w:trHeight w:val="240" w:hRule="exact"/>
        </w:trPr>
        <w:tc>
          <w:tcPr>
            <w:tcW w:w="816" w:type="dxa"/>
            <w:shd w:val="clear" w:color="auto" w:fill="D9D9D9"/>
          </w:tcPr>
          <w:p>
            <w:pPr>
              <w:pStyle w:val="TableParagraph"/>
              <w:spacing w:line="225" w:lineRule="exact"/>
              <w:ind w:left="0"/>
              <w:jc w:val="center"/>
              <w:rPr>
                <w:b/>
                <w:sz w:val="20"/>
              </w:rPr>
            </w:pPr>
            <w:r>
              <w:rPr>
                <w:b/>
                <w:color w:val="221F1F"/>
                <w:w w:val="99"/>
                <w:sz w:val="20"/>
              </w:rPr>
              <w:t>R</w:t>
            </w:r>
          </w:p>
        </w:tc>
        <w:tc>
          <w:tcPr>
            <w:tcW w:w="8013" w:type="dxa"/>
            <w:shd w:val="clear" w:color="auto" w:fill="D9D9D9"/>
          </w:tcPr>
          <w:p>
            <w:pPr>
              <w:pStyle w:val="TableParagraph"/>
              <w:spacing w:line="225" w:lineRule="exact"/>
              <w:ind w:left="3525" w:right="3527"/>
              <w:jc w:val="center"/>
              <w:rPr>
                <w:b/>
                <w:sz w:val="20"/>
              </w:rPr>
            </w:pPr>
            <w:r>
              <w:rPr>
                <w:b/>
                <w:color w:val="221F1F"/>
                <w:sz w:val="20"/>
              </w:rPr>
              <w:t>Supuesto</w:t>
            </w:r>
          </w:p>
        </w:tc>
      </w:tr>
      <w:tr>
        <w:trPr>
          <w:trHeight w:val="1390" w:hRule="exact"/>
        </w:trPr>
        <w:tc>
          <w:tcPr>
            <w:tcW w:w="816" w:type="dxa"/>
            <w:shd w:val="clear" w:color="auto" w:fill="D9D9D9"/>
            <w:textDirection w:val="btLr"/>
          </w:tcPr>
          <w:p>
            <w:pPr>
              <w:pStyle w:val="TableParagraph"/>
              <w:spacing w:line="247" w:lineRule="auto" w:before="105"/>
              <w:ind w:left="112" w:right="114"/>
              <w:rPr>
                <w:b/>
                <w:sz w:val="20"/>
              </w:rPr>
            </w:pPr>
            <w:r>
              <w:rPr>
                <w:b/>
                <w:color w:val="221F1F"/>
                <w:w w:val="99"/>
                <w:sz w:val="20"/>
              </w:rPr>
              <w:t>Des</w:t>
            </w:r>
            <w:r>
              <w:rPr>
                <w:b/>
                <w:color w:val="221F1F"/>
                <w:spacing w:val="1"/>
                <w:w w:val="99"/>
                <w:sz w:val="20"/>
              </w:rPr>
              <w:t>e</w:t>
            </w:r>
            <w:r>
              <w:rPr>
                <w:b/>
                <w:color w:val="221F1F"/>
                <w:w w:val="99"/>
                <w:sz w:val="20"/>
              </w:rPr>
              <w:t>char </w:t>
            </w:r>
            <w:r>
              <w:rPr>
                <w:b/>
                <w:color w:val="221F1F"/>
                <w:w w:val="99"/>
                <w:sz w:val="20"/>
              </w:rPr>
              <w:t>d</w:t>
            </w:r>
            <w:r>
              <w:rPr>
                <w:b/>
                <w:color w:val="221F1F"/>
                <w:w w:val="99"/>
                <w:sz w:val="20"/>
              </w:rPr>
              <w:t>e</w:t>
            </w:r>
            <w:r>
              <w:rPr>
                <w:b/>
                <w:color w:val="221F1F"/>
                <w:sz w:val="20"/>
              </w:rPr>
              <w:t> </w:t>
            </w:r>
            <w:r>
              <w:rPr>
                <w:b/>
                <w:color w:val="221F1F"/>
                <w:spacing w:val="-2"/>
                <w:sz w:val="20"/>
              </w:rPr>
              <w:t> </w:t>
            </w:r>
            <w:r>
              <w:rPr>
                <w:b/>
                <w:color w:val="221F1F"/>
                <w:w w:val="99"/>
                <w:sz w:val="20"/>
              </w:rPr>
              <w:t>plano</w:t>
            </w:r>
            <w:r>
              <w:rPr>
                <w:b/>
                <w:color w:val="221F1F"/>
                <w:sz w:val="20"/>
              </w:rPr>
              <w:t> </w:t>
            </w:r>
            <w:r>
              <w:rPr>
                <w:b/>
                <w:color w:val="221F1F"/>
                <w:spacing w:val="-1"/>
                <w:sz w:val="20"/>
              </w:rPr>
              <w:t> </w:t>
            </w:r>
            <w:r>
              <w:rPr>
                <w:b/>
                <w:color w:val="221F1F"/>
                <w:w w:val="99"/>
                <w:sz w:val="20"/>
              </w:rPr>
              <w:t>el </w:t>
            </w:r>
            <w:r>
              <w:rPr>
                <w:b/>
                <w:color w:val="221F1F"/>
                <w:spacing w:val="-1"/>
                <w:w w:val="99"/>
                <w:sz w:val="20"/>
              </w:rPr>
              <w:t>r</w:t>
            </w:r>
            <w:r>
              <w:rPr>
                <w:b/>
                <w:color w:val="221F1F"/>
                <w:w w:val="99"/>
                <w:sz w:val="20"/>
              </w:rPr>
              <w:t>e</w:t>
            </w:r>
            <w:r>
              <w:rPr>
                <w:b/>
                <w:color w:val="221F1F"/>
                <w:spacing w:val="-1"/>
                <w:w w:val="99"/>
                <w:sz w:val="20"/>
              </w:rPr>
              <w:t>c</w:t>
            </w:r>
            <w:r>
              <w:rPr>
                <w:b/>
                <w:color w:val="221F1F"/>
                <w:w w:val="99"/>
                <w:sz w:val="20"/>
              </w:rPr>
              <w:t>u</w:t>
            </w:r>
            <w:r>
              <w:rPr>
                <w:b/>
                <w:color w:val="221F1F"/>
                <w:spacing w:val="1"/>
                <w:w w:val="99"/>
                <w:sz w:val="20"/>
              </w:rPr>
              <w:t>r</w:t>
            </w:r>
            <w:r>
              <w:rPr>
                <w:b/>
                <w:color w:val="221F1F"/>
                <w:w w:val="99"/>
                <w:sz w:val="20"/>
              </w:rPr>
              <w:t>so</w:t>
            </w:r>
          </w:p>
        </w:tc>
        <w:tc>
          <w:tcPr>
            <w:tcW w:w="8013" w:type="dxa"/>
          </w:tcPr>
          <w:p>
            <w:pPr>
              <w:pStyle w:val="TableParagraph"/>
              <w:ind w:right="104"/>
              <w:jc w:val="both"/>
              <w:rPr>
                <w:sz w:val="20"/>
              </w:rPr>
            </w:pPr>
            <w:r>
              <w:rPr>
                <w:sz w:val="20"/>
              </w:rPr>
              <w:t>Cuando no se presenta por escrito ante la autoridad correspondiente, se incumplen requisitos previstos por la ley, resulta evidentemente frívolo o cuya notoria improcedencia se derive de las disposiciones de la LGSMIME. También operará el desechamiento cuando no existan hechos y agravios expuestos o habiéndose</w:t>
            </w:r>
            <w:r>
              <w:rPr>
                <w:spacing w:val="-23"/>
                <w:sz w:val="20"/>
              </w:rPr>
              <w:t> </w:t>
            </w:r>
            <w:r>
              <w:rPr>
                <w:sz w:val="20"/>
              </w:rPr>
              <w:t>señalado sólo hechos, de ellos no se pueda deducir agravio alguno (artículo 9 párrafo 3)  (CDHCU L LXI, 2011:</w:t>
            </w:r>
            <w:r>
              <w:rPr>
                <w:spacing w:val="-8"/>
                <w:sz w:val="20"/>
              </w:rPr>
              <w:t> </w:t>
            </w:r>
            <w:r>
              <w:rPr>
                <w:sz w:val="20"/>
              </w:rPr>
              <w:t>10).</w:t>
            </w:r>
          </w:p>
        </w:tc>
      </w:tr>
      <w:tr>
        <w:trPr>
          <w:trHeight w:val="5531" w:hRule="exact"/>
        </w:trPr>
        <w:tc>
          <w:tcPr>
            <w:tcW w:w="816" w:type="dxa"/>
            <w:shd w:val="clear" w:color="auto" w:fill="D9D9D9"/>
            <w:textDirection w:val="btLr"/>
          </w:tcPr>
          <w:p>
            <w:pPr>
              <w:pStyle w:val="TableParagraph"/>
              <w:spacing w:before="105"/>
              <w:ind w:left="112"/>
              <w:rPr>
                <w:b/>
                <w:sz w:val="20"/>
              </w:rPr>
            </w:pPr>
            <w:r>
              <w:rPr>
                <w:b/>
                <w:color w:val="221F1F"/>
                <w:w w:val="99"/>
                <w:sz w:val="20"/>
              </w:rPr>
              <w:t>Dec</w:t>
            </w:r>
            <w:r>
              <w:rPr>
                <w:b/>
                <w:color w:val="221F1F"/>
                <w:spacing w:val="-1"/>
                <w:w w:val="99"/>
                <w:sz w:val="20"/>
              </w:rPr>
              <w:t>l</w:t>
            </w:r>
            <w:r>
              <w:rPr>
                <w:b/>
                <w:color w:val="221F1F"/>
                <w:spacing w:val="1"/>
                <w:w w:val="99"/>
                <w:sz w:val="20"/>
              </w:rPr>
              <w:t>a</w:t>
            </w:r>
            <w:r>
              <w:rPr>
                <w:b/>
                <w:color w:val="221F1F"/>
                <w:spacing w:val="-1"/>
                <w:w w:val="99"/>
                <w:sz w:val="20"/>
              </w:rPr>
              <w:t>r</w:t>
            </w:r>
            <w:r>
              <w:rPr>
                <w:b/>
                <w:color w:val="221F1F"/>
                <w:spacing w:val="1"/>
                <w:w w:val="99"/>
                <w:sz w:val="20"/>
              </w:rPr>
              <w:t>a</w:t>
            </w:r>
            <w:r>
              <w:rPr>
                <w:b/>
                <w:color w:val="221F1F"/>
                <w:spacing w:val="-1"/>
                <w:w w:val="99"/>
                <w:sz w:val="20"/>
              </w:rPr>
              <w:t>r</w:t>
            </w:r>
            <w:r>
              <w:rPr>
                <w:b/>
                <w:color w:val="221F1F"/>
                <w:w w:val="99"/>
                <w:sz w:val="20"/>
              </w:rPr>
              <w:t>lo</w:t>
            </w:r>
            <w:r>
              <w:rPr>
                <w:b/>
                <w:color w:val="221F1F"/>
                <w:spacing w:val="-1"/>
                <w:sz w:val="20"/>
              </w:rPr>
              <w:t> </w:t>
            </w:r>
            <w:r>
              <w:rPr>
                <w:b/>
                <w:color w:val="221F1F"/>
                <w:w w:val="99"/>
                <w:sz w:val="20"/>
              </w:rPr>
              <w:t>noto</w:t>
            </w:r>
            <w:r>
              <w:rPr>
                <w:b/>
                <w:color w:val="221F1F"/>
                <w:spacing w:val="-1"/>
                <w:w w:val="99"/>
                <w:sz w:val="20"/>
              </w:rPr>
              <w:t>r</w:t>
            </w:r>
            <w:r>
              <w:rPr>
                <w:b/>
                <w:color w:val="221F1F"/>
                <w:w w:val="99"/>
                <w:sz w:val="20"/>
              </w:rPr>
              <w:t>ia</w:t>
            </w:r>
            <w:r>
              <w:rPr>
                <w:b/>
                <w:color w:val="221F1F"/>
                <w:spacing w:val="2"/>
                <w:w w:val="99"/>
                <w:sz w:val="20"/>
              </w:rPr>
              <w:t>m</w:t>
            </w:r>
            <w:r>
              <w:rPr>
                <w:b/>
                <w:color w:val="221F1F"/>
                <w:w w:val="99"/>
                <w:sz w:val="20"/>
              </w:rPr>
              <w:t>en</w:t>
            </w:r>
            <w:r>
              <w:rPr>
                <w:b/>
                <w:color w:val="221F1F"/>
                <w:spacing w:val="1"/>
                <w:w w:val="99"/>
                <w:sz w:val="20"/>
              </w:rPr>
              <w:t>t</w:t>
            </w:r>
            <w:r>
              <w:rPr>
                <w:b/>
                <w:color w:val="221F1F"/>
                <w:w w:val="99"/>
                <w:sz w:val="20"/>
              </w:rPr>
              <w:t>e</w:t>
            </w:r>
            <w:r>
              <w:rPr>
                <w:b/>
                <w:color w:val="221F1F"/>
                <w:spacing w:val="-1"/>
                <w:sz w:val="20"/>
              </w:rPr>
              <w:t> </w:t>
            </w:r>
            <w:r>
              <w:rPr>
                <w:b/>
                <w:color w:val="221F1F"/>
                <w:spacing w:val="1"/>
                <w:w w:val="99"/>
                <w:sz w:val="20"/>
              </w:rPr>
              <w:t>i</w:t>
            </w:r>
            <w:r>
              <w:rPr>
                <w:b/>
                <w:color w:val="221F1F"/>
                <w:w w:val="99"/>
                <w:sz w:val="20"/>
              </w:rPr>
              <w:t>m</w:t>
            </w:r>
            <w:r>
              <w:rPr>
                <w:b/>
                <w:color w:val="221F1F"/>
                <w:spacing w:val="1"/>
                <w:w w:val="99"/>
                <w:sz w:val="20"/>
              </w:rPr>
              <w:t>p</w:t>
            </w:r>
            <w:r>
              <w:rPr>
                <w:b/>
                <w:color w:val="221F1F"/>
                <w:spacing w:val="-1"/>
                <w:w w:val="99"/>
                <w:sz w:val="20"/>
              </w:rPr>
              <w:t>r</w:t>
            </w:r>
            <w:r>
              <w:rPr>
                <w:b/>
                <w:color w:val="221F1F"/>
                <w:w w:val="99"/>
                <w:sz w:val="20"/>
              </w:rPr>
              <w:t>o</w:t>
            </w:r>
            <w:r>
              <w:rPr>
                <w:b/>
                <w:color w:val="221F1F"/>
                <w:w w:val="99"/>
                <w:sz w:val="20"/>
              </w:rPr>
              <w:t>c</w:t>
            </w:r>
            <w:r>
              <w:rPr>
                <w:b/>
                <w:color w:val="221F1F"/>
                <w:spacing w:val="-1"/>
                <w:w w:val="99"/>
                <w:sz w:val="20"/>
              </w:rPr>
              <w:t>e</w:t>
            </w:r>
            <w:r>
              <w:rPr>
                <w:b/>
                <w:color w:val="221F1F"/>
                <w:w w:val="99"/>
                <w:sz w:val="20"/>
              </w:rPr>
              <w:t>d</w:t>
            </w:r>
            <w:r>
              <w:rPr>
                <w:b/>
                <w:color w:val="221F1F"/>
                <w:w w:val="99"/>
                <w:sz w:val="20"/>
              </w:rPr>
              <w:t>en</w:t>
            </w:r>
            <w:r>
              <w:rPr>
                <w:b/>
                <w:color w:val="221F1F"/>
                <w:spacing w:val="1"/>
                <w:w w:val="99"/>
                <w:sz w:val="20"/>
              </w:rPr>
              <w:t>t</w:t>
            </w:r>
            <w:r>
              <w:rPr>
                <w:b/>
                <w:color w:val="221F1F"/>
                <w:w w:val="99"/>
                <w:sz w:val="20"/>
              </w:rPr>
              <w:t>e</w:t>
            </w:r>
          </w:p>
        </w:tc>
        <w:tc>
          <w:tcPr>
            <w:tcW w:w="8013" w:type="dxa"/>
          </w:tcPr>
          <w:p>
            <w:pPr>
              <w:pStyle w:val="TableParagraph"/>
              <w:ind w:right="102"/>
              <w:jc w:val="both"/>
              <w:rPr>
                <w:sz w:val="20"/>
              </w:rPr>
            </w:pPr>
            <w:r>
              <w:rPr>
                <w:sz w:val="20"/>
              </w:rPr>
              <w:t>a) Cuando se pretenda impugnar la no conformidad </w:t>
            </w:r>
            <w:r>
              <w:rPr>
                <w:color w:val="221F1F"/>
                <w:sz w:val="20"/>
              </w:rPr>
              <w:t>a la Constitución de leyes federales o locales; b) Cuando se pretenda impugnar actos o resoluciones: que no afecten el interés jurídico del actor; que se hayan consumado de un modo irreparable; que se hubiesen consentido expresamente, entendiéndose por éstos, las manifestaciones de voluntad que entrañen ese consentimiento; o aquellos contra los cuales no se hubiese interpuesto el medio de impugnación respectivo, dentro de los plazos señalados en esta ley; c) Que el promovente carezca de legitimación en los términos de la presente ley; d) Cuando no se hayan agotado las instancias previas establecidas por las leyes, federales o locales, o por las normas internas de los partidos políticos, según corresponda, para combatir los actos o resoluciones electorales o las determinaciones de éstos últimos, en virtud de las cuales se pudieran haber modificado, revocado o anulado, salvo que se considere que los actos o resoluciones del partido político violen derechos político-electorales o los órganos partidistas competentes no estuvieren integrados e instalados con antelación a los hechos litigiosos, o dichos órganos  incurran en violaciones graves de procedimiento que dejen sin defensa al quejoso; e) Cuando en un mismo escrito se pretenda impugnar más de una elección, salvo los casos señalados en los párrafos 2 y 3 del artículo 52 del presente ordenamiento. f) Cuando en el medio de impugnación se solicite, en forma exclusiva, la no aplicación de una norma general en materia electoral, cuya validez haya sido declarada por la Suprema</w:t>
            </w:r>
            <w:r>
              <w:rPr>
                <w:color w:val="221F1F"/>
                <w:spacing w:val="21"/>
                <w:sz w:val="20"/>
              </w:rPr>
              <w:t> </w:t>
            </w:r>
            <w:r>
              <w:rPr>
                <w:color w:val="221F1F"/>
                <w:sz w:val="20"/>
              </w:rPr>
              <w:t>Corte</w:t>
            </w:r>
            <w:r>
              <w:rPr>
                <w:color w:val="221F1F"/>
                <w:spacing w:val="23"/>
                <w:sz w:val="20"/>
              </w:rPr>
              <w:t> </w:t>
            </w:r>
            <w:r>
              <w:rPr>
                <w:color w:val="221F1F"/>
                <w:sz w:val="20"/>
              </w:rPr>
              <w:t>de</w:t>
            </w:r>
            <w:r>
              <w:rPr>
                <w:color w:val="221F1F"/>
                <w:spacing w:val="20"/>
                <w:sz w:val="20"/>
              </w:rPr>
              <w:t> </w:t>
            </w:r>
            <w:r>
              <w:rPr>
                <w:color w:val="221F1F"/>
                <w:sz w:val="20"/>
              </w:rPr>
              <w:t>Justicia</w:t>
            </w:r>
            <w:r>
              <w:rPr>
                <w:color w:val="221F1F"/>
                <w:spacing w:val="23"/>
                <w:sz w:val="20"/>
              </w:rPr>
              <w:t> </w:t>
            </w:r>
            <w:r>
              <w:rPr>
                <w:color w:val="221F1F"/>
                <w:sz w:val="20"/>
              </w:rPr>
              <w:t>de</w:t>
            </w:r>
            <w:r>
              <w:rPr>
                <w:color w:val="221F1F"/>
                <w:spacing w:val="20"/>
                <w:sz w:val="20"/>
              </w:rPr>
              <w:t> </w:t>
            </w:r>
            <w:r>
              <w:rPr>
                <w:color w:val="221F1F"/>
                <w:sz w:val="20"/>
              </w:rPr>
              <w:t>la</w:t>
            </w:r>
            <w:r>
              <w:rPr>
                <w:color w:val="221F1F"/>
                <w:spacing w:val="21"/>
                <w:sz w:val="20"/>
              </w:rPr>
              <w:t> </w:t>
            </w:r>
            <w:r>
              <w:rPr>
                <w:color w:val="221F1F"/>
                <w:sz w:val="20"/>
              </w:rPr>
              <w:t>Nación,</w:t>
            </w:r>
            <w:r>
              <w:rPr>
                <w:color w:val="221F1F"/>
                <w:spacing w:val="23"/>
                <w:sz w:val="20"/>
              </w:rPr>
              <w:t> </w:t>
            </w:r>
            <w:r>
              <w:rPr>
                <w:color w:val="221F1F"/>
                <w:sz w:val="20"/>
              </w:rPr>
              <w:t>en</w:t>
            </w:r>
            <w:r>
              <w:rPr>
                <w:color w:val="221F1F"/>
                <w:spacing w:val="23"/>
                <w:sz w:val="20"/>
              </w:rPr>
              <w:t> </w:t>
            </w:r>
            <w:r>
              <w:rPr>
                <w:color w:val="221F1F"/>
                <w:sz w:val="20"/>
              </w:rPr>
              <w:t>los</w:t>
            </w:r>
            <w:r>
              <w:rPr>
                <w:color w:val="221F1F"/>
                <w:spacing w:val="22"/>
                <w:sz w:val="20"/>
              </w:rPr>
              <w:t> </w:t>
            </w:r>
            <w:r>
              <w:rPr>
                <w:color w:val="221F1F"/>
                <w:sz w:val="20"/>
              </w:rPr>
              <w:t>términos</w:t>
            </w:r>
            <w:r>
              <w:rPr>
                <w:color w:val="221F1F"/>
                <w:spacing w:val="22"/>
                <w:sz w:val="20"/>
              </w:rPr>
              <w:t> </w:t>
            </w:r>
            <w:r>
              <w:rPr>
                <w:color w:val="221F1F"/>
                <w:sz w:val="20"/>
              </w:rPr>
              <w:t>de</w:t>
            </w:r>
            <w:r>
              <w:rPr>
                <w:color w:val="221F1F"/>
                <w:spacing w:val="23"/>
                <w:sz w:val="20"/>
              </w:rPr>
              <w:t> </w:t>
            </w:r>
            <w:r>
              <w:rPr>
                <w:color w:val="221F1F"/>
                <w:sz w:val="20"/>
              </w:rPr>
              <w:t>la</w:t>
            </w:r>
            <w:r>
              <w:rPr>
                <w:color w:val="221F1F"/>
                <w:spacing w:val="21"/>
                <w:sz w:val="20"/>
              </w:rPr>
              <w:t> </w:t>
            </w:r>
            <w:r>
              <w:rPr>
                <w:color w:val="221F1F"/>
                <w:sz w:val="20"/>
              </w:rPr>
              <w:t>fracción</w:t>
            </w:r>
            <w:r>
              <w:rPr>
                <w:color w:val="221F1F"/>
                <w:spacing w:val="20"/>
                <w:sz w:val="20"/>
              </w:rPr>
              <w:t> </w:t>
            </w:r>
            <w:r>
              <w:rPr>
                <w:color w:val="221F1F"/>
                <w:sz w:val="20"/>
              </w:rPr>
              <w:t>II</w:t>
            </w:r>
            <w:r>
              <w:rPr>
                <w:color w:val="221F1F"/>
                <w:spacing w:val="23"/>
                <w:sz w:val="20"/>
              </w:rPr>
              <w:t> </w:t>
            </w:r>
            <w:r>
              <w:rPr>
                <w:color w:val="221F1F"/>
                <w:sz w:val="20"/>
              </w:rPr>
              <w:t>del</w:t>
            </w:r>
            <w:r>
              <w:rPr>
                <w:color w:val="221F1F"/>
                <w:spacing w:val="20"/>
                <w:sz w:val="20"/>
              </w:rPr>
              <w:t> </w:t>
            </w:r>
            <w:r>
              <w:rPr>
                <w:color w:val="221F1F"/>
                <w:sz w:val="20"/>
              </w:rPr>
              <w:t>artículo</w:t>
            </w:r>
          </w:p>
          <w:p>
            <w:pPr>
              <w:pStyle w:val="TableParagraph"/>
              <w:ind w:right="103"/>
              <w:jc w:val="both"/>
              <w:rPr>
                <w:sz w:val="20"/>
              </w:rPr>
            </w:pPr>
            <w:r>
              <w:rPr>
                <w:color w:val="221F1F"/>
                <w:sz w:val="20"/>
              </w:rPr>
              <w:t>105 de la Constitución Política de los Estados Unidos Mexicanos, y g) Cuando se pretenda impugnar resoluciones dictadas por las Salas del Tribunal en los medios de impugnación que son de su exclusiva competencia (artículo 10) (</w:t>
            </w:r>
            <w:r>
              <w:rPr>
                <w:sz w:val="20"/>
              </w:rPr>
              <w:t>CDHCU </w:t>
            </w:r>
            <w:r>
              <w:rPr>
                <w:color w:val="221F1F"/>
                <w:sz w:val="20"/>
              </w:rPr>
              <w:t>L LXI, 2011: 10-11).</w:t>
            </w:r>
          </w:p>
        </w:tc>
      </w:tr>
      <w:tr>
        <w:trPr>
          <w:trHeight w:val="1850" w:hRule="exact"/>
        </w:trPr>
        <w:tc>
          <w:tcPr>
            <w:tcW w:w="816" w:type="dxa"/>
            <w:shd w:val="clear" w:color="auto" w:fill="D9D9D9"/>
            <w:textDirection w:val="btLr"/>
          </w:tcPr>
          <w:p>
            <w:pPr>
              <w:pStyle w:val="TableParagraph"/>
              <w:spacing w:before="105"/>
              <w:ind w:left="112"/>
              <w:rPr>
                <w:b/>
                <w:sz w:val="20"/>
              </w:rPr>
            </w:pPr>
            <w:r>
              <w:rPr>
                <w:b/>
                <w:color w:val="221F1F"/>
                <w:spacing w:val="-1"/>
                <w:w w:val="99"/>
                <w:sz w:val="20"/>
              </w:rPr>
              <w:t>S</w:t>
            </w:r>
            <w:r>
              <w:rPr>
                <w:b/>
                <w:color w:val="221F1F"/>
                <w:w w:val="99"/>
                <w:sz w:val="20"/>
              </w:rPr>
              <w:t>ob</w:t>
            </w:r>
            <w:r>
              <w:rPr>
                <w:b/>
                <w:color w:val="221F1F"/>
                <w:spacing w:val="-1"/>
                <w:w w:val="99"/>
                <w:sz w:val="20"/>
              </w:rPr>
              <w:t>r</w:t>
            </w:r>
            <w:r>
              <w:rPr>
                <w:b/>
                <w:color w:val="221F1F"/>
                <w:spacing w:val="1"/>
                <w:w w:val="99"/>
                <w:sz w:val="20"/>
              </w:rPr>
              <w:t>e</w:t>
            </w:r>
            <w:r>
              <w:rPr>
                <w:b/>
                <w:color w:val="221F1F"/>
                <w:w w:val="99"/>
                <w:sz w:val="20"/>
              </w:rPr>
              <w:t>s</w:t>
            </w:r>
            <w:r>
              <w:rPr>
                <w:b/>
                <w:color w:val="221F1F"/>
                <w:spacing w:val="-1"/>
                <w:w w:val="99"/>
                <w:sz w:val="20"/>
              </w:rPr>
              <w:t>e</w:t>
            </w:r>
            <w:r>
              <w:rPr>
                <w:b/>
                <w:color w:val="221F1F"/>
                <w:w w:val="99"/>
                <w:sz w:val="20"/>
              </w:rPr>
              <w:t>ído</w:t>
            </w:r>
          </w:p>
        </w:tc>
        <w:tc>
          <w:tcPr>
            <w:tcW w:w="8013" w:type="dxa"/>
          </w:tcPr>
          <w:p>
            <w:pPr>
              <w:pStyle w:val="TableParagraph"/>
              <w:ind w:right="100"/>
              <w:jc w:val="both"/>
              <w:rPr>
                <w:sz w:val="20"/>
              </w:rPr>
            </w:pPr>
            <w:r>
              <w:rPr>
                <w:sz w:val="20"/>
              </w:rPr>
              <w:t>a) El promovente se desista expresamente por escrito; b) La autoridad u órgano partidista responsable del acto o resolución impugnado lo modifique o revoque, de tal manera que quede totalmente sin materia el medio de impugnación respectivo antes de que se dicte resolución o sentencia; c) Habiendo sido admitido </w:t>
            </w:r>
            <w:r>
              <w:rPr>
                <w:spacing w:val="2"/>
                <w:sz w:val="20"/>
              </w:rPr>
              <w:t>el </w:t>
            </w:r>
            <w:r>
              <w:rPr>
                <w:sz w:val="20"/>
              </w:rPr>
              <w:t>medio de  impugnación correspondiente, aparezca o sobrevenga alguna causal de improcedencia en los términos de la presente ley; y d) El ciudadano agraviado fallezca o sea suspendido o privado de sus derechos político-electorales (artículo 11 primer párrafo) </w:t>
            </w:r>
            <w:r>
              <w:rPr>
                <w:color w:val="221F1F"/>
                <w:sz w:val="20"/>
              </w:rPr>
              <w:t>(</w:t>
            </w:r>
            <w:r>
              <w:rPr>
                <w:sz w:val="20"/>
              </w:rPr>
              <w:t>CDHCU </w:t>
            </w:r>
            <w:r>
              <w:rPr>
                <w:color w:val="221F1F"/>
                <w:sz w:val="20"/>
              </w:rPr>
              <w:t>L LXI, 2011:</w:t>
            </w:r>
            <w:r>
              <w:rPr>
                <w:color w:val="221F1F"/>
                <w:spacing w:val="-9"/>
                <w:sz w:val="20"/>
              </w:rPr>
              <w:t> </w:t>
            </w:r>
            <w:r>
              <w:rPr>
                <w:sz w:val="20"/>
              </w:rPr>
              <w:t>11-12).</w:t>
            </w:r>
          </w:p>
        </w:tc>
      </w:tr>
      <w:tr>
        <w:trPr>
          <w:trHeight w:val="1390" w:hRule="exact"/>
        </w:trPr>
        <w:tc>
          <w:tcPr>
            <w:tcW w:w="816" w:type="dxa"/>
            <w:shd w:val="clear" w:color="auto" w:fill="D9D9D9"/>
            <w:textDirection w:val="btLr"/>
          </w:tcPr>
          <w:p>
            <w:pPr>
              <w:pStyle w:val="TableParagraph"/>
              <w:spacing w:before="105"/>
              <w:ind w:left="112"/>
              <w:rPr>
                <w:b/>
                <w:sz w:val="20"/>
              </w:rPr>
            </w:pPr>
            <w:r>
              <w:rPr>
                <w:b/>
                <w:color w:val="221F1F"/>
                <w:w w:val="99"/>
                <w:sz w:val="20"/>
              </w:rPr>
              <w:t>In</w:t>
            </w:r>
            <w:r>
              <w:rPr>
                <w:b/>
                <w:color w:val="221F1F"/>
                <w:spacing w:val="1"/>
                <w:w w:val="99"/>
                <w:sz w:val="20"/>
              </w:rPr>
              <w:t>f</w:t>
            </w:r>
            <w:r>
              <w:rPr>
                <w:b/>
                <w:color w:val="221F1F"/>
                <w:w w:val="99"/>
                <w:sz w:val="20"/>
              </w:rPr>
              <w:t>undado</w:t>
            </w:r>
          </w:p>
        </w:tc>
        <w:tc>
          <w:tcPr>
            <w:tcW w:w="8013" w:type="dxa"/>
          </w:tcPr>
          <w:p>
            <w:pPr>
              <w:pStyle w:val="TableParagraph"/>
              <w:ind w:right="103"/>
              <w:jc w:val="both"/>
              <w:rPr>
                <w:sz w:val="20"/>
              </w:rPr>
            </w:pPr>
            <w:r>
              <w:rPr>
                <w:sz w:val="20"/>
              </w:rPr>
              <w:t>Cuando no existe un fundamento jurídico (de derecho) para impugnar el acto o resolución que se reclama o no existen consideraciones de hecho en las cuales se funde la demanda para sostener la inconstitucionalidad o ilegalidad del acto o resolución impugnados (lo cual se desprende del análisis de la LGSMIME) (CDHCU L LXI,</w:t>
            </w:r>
            <w:r>
              <w:rPr>
                <w:spacing w:val="-4"/>
                <w:sz w:val="20"/>
              </w:rPr>
              <w:t> </w:t>
            </w:r>
            <w:r>
              <w:rPr>
                <w:sz w:val="20"/>
              </w:rPr>
              <w:t>2011).</w:t>
            </w:r>
          </w:p>
        </w:tc>
      </w:tr>
    </w:tbl>
    <w:p>
      <w:pPr>
        <w:spacing w:after="0"/>
        <w:jc w:val="both"/>
        <w:rPr>
          <w:sz w:val="20"/>
        </w:rPr>
        <w:sectPr>
          <w:pgSz w:w="12240" w:h="15840"/>
          <w:pgMar w:header="749" w:footer="1003" w:top="960" w:bottom="1200" w:left="1480" w:right="1700"/>
        </w:sectPr>
      </w:pPr>
    </w:p>
    <w:p>
      <w:pPr>
        <w:pStyle w:val="BodyText"/>
        <w:rPr>
          <w:b/>
          <w:sz w:val="20"/>
        </w:rPr>
      </w:pPr>
    </w:p>
    <w:p>
      <w:pPr>
        <w:pStyle w:val="BodyText"/>
        <w:spacing w:before="9"/>
        <w:rPr>
          <w:b/>
          <w:sz w:val="18"/>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16"/>
        <w:gridCol w:w="8013"/>
      </w:tblGrid>
      <w:tr>
        <w:trPr>
          <w:trHeight w:val="1851" w:hRule="exact"/>
        </w:trPr>
        <w:tc>
          <w:tcPr>
            <w:tcW w:w="816" w:type="dxa"/>
            <w:shd w:val="clear" w:color="auto" w:fill="D9D9D9"/>
            <w:textDirection w:val="btLr"/>
          </w:tcPr>
          <w:p>
            <w:pPr>
              <w:pStyle w:val="TableParagraph"/>
              <w:spacing w:line="244" w:lineRule="auto" w:before="105"/>
              <w:ind w:left="112" w:right="101"/>
              <w:rPr>
                <w:b/>
                <w:sz w:val="20"/>
              </w:rPr>
            </w:pPr>
            <w:r>
              <w:rPr>
                <w:b/>
                <w:color w:val="221F1F"/>
                <w:w w:val="99"/>
                <w:sz w:val="20"/>
              </w:rPr>
              <w:t>T</w:t>
            </w:r>
            <w:r>
              <w:rPr>
                <w:b/>
                <w:color w:val="221F1F"/>
                <w:w w:val="99"/>
                <w:sz w:val="20"/>
              </w:rPr>
              <w:t>ene</w:t>
            </w:r>
            <w:r>
              <w:rPr>
                <w:b/>
                <w:color w:val="221F1F"/>
                <w:spacing w:val="-1"/>
                <w:w w:val="99"/>
                <w:sz w:val="20"/>
              </w:rPr>
              <w:t>r</w:t>
            </w:r>
            <w:r>
              <w:rPr>
                <w:b/>
                <w:color w:val="221F1F"/>
                <w:w w:val="99"/>
                <w:sz w:val="20"/>
              </w:rPr>
              <w:t>lo</w:t>
            </w:r>
            <w:r>
              <w:rPr>
                <w:b/>
                <w:color w:val="221F1F"/>
                <w:spacing w:val="2"/>
                <w:sz w:val="20"/>
              </w:rPr>
              <w:t> </w:t>
            </w:r>
            <w:r>
              <w:rPr>
                <w:b/>
                <w:color w:val="221F1F"/>
                <w:w w:val="99"/>
                <w:sz w:val="20"/>
              </w:rPr>
              <w:t>com</w:t>
            </w:r>
            <w:r>
              <w:rPr>
                <w:b/>
                <w:color w:val="221F1F"/>
                <w:w w:val="99"/>
                <w:sz w:val="20"/>
              </w:rPr>
              <w:t>o</w:t>
            </w:r>
            <w:r>
              <w:rPr>
                <w:b/>
                <w:color w:val="221F1F"/>
                <w:spacing w:val="2"/>
                <w:sz w:val="20"/>
              </w:rPr>
              <w:t> </w:t>
            </w:r>
            <w:r>
              <w:rPr>
                <w:b/>
                <w:color w:val="221F1F"/>
                <w:w w:val="99"/>
                <w:sz w:val="20"/>
              </w:rPr>
              <w:t>no p</w:t>
            </w:r>
            <w:r>
              <w:rPr>
                <w:b/>
                <w:color w:val="221F1F"/>
                <w:spacing w:val="-1"/>
                <w:w w:val="99"/>
                <w:sz w:val="20"/>
              </w:rPr>
              <w:t>r</w:t>
            </w:r>
            <w:r>
              <w:rPr>
                <w:b/>
                <w:color w:val="221F1F"/>
                <w:w w:val="99"/>
                <w:sz w:val="20"/>
              </w:rPr>
              <w:t>e</w:t>
            </w:r>
            <w:r>
              <w:rPr>
                <w:b/>
                <w:color w:val="221F1F"/>
                <w:spacing w:val="-1"/>
                <w:w w:val="99"/>
                <w:sz w:val="20"/>
              </w:rPr>
              <w:t>s</w:t>
            </w:r>
            <w:r>
              <w:rPr>
                <w:b/>
                <w:color w:val="221F1F"/>
                <w:w w:val="99"/>
                <w:sz w:val="20"/>
              </w:rPr>
              <w:t>en</w:t>
            </w:r>
            <w:r>
              <w:rPr>
                <w:b/>
                <w:color w:val="221F1F"/>
                <w:spacing w:val="1"/>
                <w:w w:val="99"/>
                <w:sz w:val="20"/>
              </w:rPr>
              <w:t>t</w:t>
            </w:r>
            <w:r>
              <w:rPr>
                <w:b/>
                <w:color w:val="221F1F"/>
                <w:w w:val="99"/>
                <w:sz w:val="20"/>
              </w:rPr>
              <w:t>ado</w:t>
            </w:r>
          </w:p>
        </w:tc>
        <w:tc>
          <w:tcPr>
            <w:tcW w:w="8013" w:type="dxa"/>
          </w:tcPr>
          <w:p>
            <w:pPr>
              <w:pStyle w:val="TableParagraph"/>
              <w:ind w:right="102"/>
              <w:jc w:val="both"/>
              <w:rPr>
                <w:sz w:val="20"/>
              </w:rPr>
            </w:pPr>
            <w:r>
              <w:rPr>
                <w:sz w:val="20"/>
              </w:rPr>
              <w:t>Cuando en su escrito incumple con cualquiera de los requisitos previstos por la ley; pero no en todos los casos se tiene como no presentado ya que en ocasiones el TEPJF subsana esos errores u omisiones. Ejemplos de casos en los cuales un escrito se tiene como no presentado los tenemos en el artículo 17 párrafo 5 y en el artículo 19 primer párrafo incisos b y d de la LGSMIME; por el contrario un ejemplo en el cual la Sala resuelve con los elementos que tiene subsanando la omisión sin declarar que el escrito se tenga como no presentado lo encontramos en el artículo 19 párrafo 2 de la misma ley (CDHCU L LXI,</w:t>
            </w:r>
            <w:r>
              <w:rPr>
                <w:spacing w:val="-7"/>
                <w:sz w:val="20"/>
              </w:rPr>
              <w:t> </w:t>
            </w:r>
            <w:r>
              <w:rPr>
                <w:sz w:val="20"/>
              </w:rPr>
              <w:t>2011).</w:t>
            </w:r>
          </w:p>
        </w:tc>
      </w:tr>
    </w:tbl>
    <w:p>
      <w:pPr>
        <w:spacing w:line="242" w:lineRule="auto" w:before="0"/>
        <w:ind w:left="222" w:right="116" w:firstLine="0"/>
        <w:jc w:val="left"/>
        <w:rPr>
          <w:sz w:val="22"/>
        </w:rPr>
      </w:pPr>
      <w:r>
        <w:rPr>
          <w:sz w:val="22"/>
        </w:rPr>
        <w:t>Fuente: elaboración propia tomando como base datos de la CDHCU (CDHCU L LXI, 2011). Nota: R= Resolución.</w:t>
      </w:r>
    </w:p>
    <w:p>
      <w:pPr>
        <w:pStyle w:val="BodyText"/>
        <w:rPr>
          <w:sz w:val="22"/>
        </w:rPr>
      </w:pPr>
    </w:p>
    <w:p>
      <w:pPr>
        <w:pStyle w:val="BodyText"/>
        <w:spacing w:line="360" w:lineRule="auto" w:before="159"/>
        <w:ind w:left="222" w:right="116" w:firstLine="707"/>
        <w:jc w:val="both"/>
      </w:pPr>
      <w:r>
        <w:rPr/>
        <w:t>Una vez que se conoce el sentido de las sentencias o resoluciones que puede emitir el TEPJF a los medios de impugnación procedo a su análisis a través de cuatro elementos: a) porcentaje de acuerdos impugnados que tuvieron una sentencia confirmatoria frente al total de recursos interpuestos, b) porcentaje de acuerdos impugnados que tuvieron una sentencia modificatoria frente al total de recursos interpuestos, c) porcentaje de acuerdos impugnados que tuvieron una sentencia revocatoria frente al total de recursos interpuestos, y d) otras resoluciones.</w:t>
      </w:r>
    </w:p>
    <w:p>
      <w:pPr>
        <w:pStyle w:val="BodyText"/>
        <w:spacing w:before="7"/>
      </w:pPr>
    </w:p>
    <w:p>
      <w:pPr>
        <w:pStyle w:val="Heading2"/>
        <w:spacing w:line="410" w:lineRule="atLeast" w:before="1"/>
        <w:ind w:left="3393" w:right="3291"/>
      </w:pPr>
      <w:r>
        <w:rPr/>
        <w:t>Cuadro 2.3 Sentencias del TEPJF</w:t>
      </w:r>
    </w:p>
    <w:p>
      <w:pPr>
        <w:spacing w:before="0"/>
        <w:ind w:left="2480" w:right="2307" w:firstLine="0"/>
        <w:jc w:val="center"/>
        <w:rPr>
          <w:b/>
          <w:sz w:val="24"/>
        </w:rPr>
      </w:pPr>
      <w:r>
        <w:rPr>
          <w:b/>
          <w:sz w:val="24"/>
        </w:rPr>
        <w:t>a los acuerdos del CGIFE impugnados (2005-2006)</w:t>
      </w:r>
    </w:p>
    <w:p>
      <w:pPr>
        <w:pStyle w:val="BodyText"/>
        <w:rPr>
          <w:b/>
          <w:sz w:val="20"/>
        </w:rPr>
      </w:pPr>
    </w:p>
    <w:p>
      <w:pPr>
        <w:pStyle w:val="BodyText"/>
        <w:spacing w:before="5"/>
        <w:rPr>
          <w:b/>
          <w:sz w:val="16"/>
        </w:rPr>
      </w:pPr>
    </w:p>
    <w:tbl>
      <w:tblPr>
        <w:tblW w:w="0" w:type="auto"/>
        <w:jc w:val="left"/>
        <w:tblInd w:w="24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85"/>
        <w:gridCol w:w="1136"/>
        <w:gridCol w:w="1140"/>
      </w:tblGrid>
      <w:tr>
        <w:trPr>
          <w:trHeight w:val="425" w:hRule="exact"/>
        </w:trPr>
        <w:tc>
          <w:tcPr>
            <w:tcW w:w="1985" w:type="dxa"/>
            <w:shd w:val="clear" w:color="auto" w:fill="D9D9D9"/>
          </w:tcPr>
          <w:p>
            <w:pPr>
              <w:pStyle w:val="TableParagraph"/>
              <w:spacing w:line="274" w:lineRule="exact"/>
              <w:ind w:left="435"/>
              <w:rPr>
                <w:b/>
                <w:sz w:val="24"/>
              </w:rPr>
            </w:pPr>
            <w:r>
              <w:rPr>
                <w:b/>
                <w:sz w:val="24"/>
              </w:rPr>
              <w:t>Acuerdos</w:t>
            </w:r>
          </w:p>
        </w:tc>
        <w:tc>
          <w:tcPr>
            <w:tcW w:w="1136" w:type="dxa"/>
            <w:shd w:val="clear" w:color="auto" w:fill="D9D9D9"/>
          </w:tcPr>
          <w:p>
            <w:pPr>
              <w:pStyle w:val="TableParagraph"/>
              <w:spacing w:line="272" w:lineRule="exact"/>
              <w:ind w:left="108"/>
              <w:rPr>
                <w:b/>
                <w:sz w:val="24"/>
              </w:rPr>
            </w:pPr>
            <w:r>
              <w:rPr>
                <w:b/>
                <w:sz w:val="24"/>
              </w:rPr>
              <w:t>Número</w:t>
            </w:r>
          </w:p>
        </w:tc>
        <w:tc>
          <w:tcPr>
            <w:tcW w:w="1140" w:type="dxa"/>
            <w:shd w:val="clear" w:color="auto" w:fill="D9D9D9"/>
          </w:tcPr>
          <w:p>
            <w:pPr>
              <w:pStyle w:val="TableParagraph"/>
              <w:spacing w:line="272" w:lineRule="exact"/>
              <w:ind w:left="0" w:right="3"/>
              <w:jc w:val="center"/>
              <w:rPr>
                <w:b/>
                <w:sz w:val="24"/>
              </w:rPr>
            </w:pPr>
            <w:r>
              <w:rPr>
                <w:b/>
                <w:w w:val="99"/>
                <w:sz w:val="24"/>
              </w:rPr>
              <w:t>%</w:t>
            </w:r>
          </w:p>
        </w:tc>
      </w:tr>
      <w:tr>
        <w:trPr>
          <w:trHeight w:val="286" w:hRule="exact"/>
        </w:trPr>
        <w:tc>
          <w:tcPr>
            <w:tcW w:w="1985" w:type="dxa"/>
          </w:tcPr>
          <w:p>
            <w:pPr>
              <w:pStyle w:val="TableParagraph"/>
              <w:spacing w:line="272" w:lineRule="exact"/>
              <w:rPr>
                <w:sz w:val="24"/>
              </w:rPr>
            </w:pPr>
            <w:r>
              <w:rPr>
                <w:sz w:val="24"/>
              </w:rPr>
              <w:t>Confirmados</w:t>
            </w:r>
          </w:p>
        </w:tc>
        <w:tc>
          <w:tcPr>
            <w:tcW w:w="1136" w:type="dxa"/>
          </w:tcPr>
          <w:p>
            <w:pPr>
              <w:pStyle w:val="TableParagraph"/>
              <w:spacing w:line="272" w:lineRule="exact"/>
              <w:rPr>
                <w:sz w:val="24"/>
              </w:rPr>
            </w:pPr>
            <w:r>
              <w:rPr>
                <w:sz w:val="24"/>
              </w:rPr>
              <w:t>52</w:t>
            </w:r>
          </w:p>
        </w:tc>
        <w:tc>
          <w:tcPr>
            <w:tcW w:w="1140" w:type="dxa"/>
          </w:tcPr>
          <w:p>
            <w:pPr>
              <w:pStyle w:val="TableParagraph"/>
              <w:spacing w:line="272" w:lineRule="exact"/>
              <w:ind w:left="100"/>
              <w:rPr>
                <w:sz w:val="24"/>
              </w:rPr>
            </w:pPr>
            <w:r>
              <w:rPr>
                <w:sz w:val="24"/>
              </w:rPr>
              <w:t>50.0%</w:t>
            </w:r>
          </w:p>
        </w:tc>
      </w:tr>
      <w:tr>
        <w:trPr>
          <w:trHeight w:val="286" w:hRule="exact"/>
        </w:trPr>
        <w:tc>
          <w:tcPr>
            <w:tcW w:w="1985" w:type="dxa"/>
          </w:tcPr>
          <w:p>
            <w:pPr>
              <w:pStyle w:val="TableParagraph"/>
              <w:spacing w:line="272" w:lineRule="exact"/>
              <w:rPr>
                <w:sz w:val="24"/>
              </w:rPr>
            </w:pPr>
            <w:r>
              <w:rPr>
                <w:sz w:val="24"/>
              </w:rPr>
              <w:t>Modificados</w:t>
            </w:r>
          </w:p>
        </w:tc>
        <w:tc>
          <w:tcPr>
            <w:tcW w:w="1136" w:type="dxa"/>
          </w:tcPr>
          <w:p>
            <w:pPr>
              <w:pStyle w:val="TableParagraph"/>
              <w:spacing w:line="272" w:lineRule="exact"/>
              <w:rPr>
                <w:sz w:val="24"/>
              </w:rPr>
            </w:pPr>
            <w:r>
              <w:rPr>
                <w:sz w:val="24"/>
              </w:rPr>
              <w:t>12</w:t>
            </w:r>
          </w:p>
        </w:tc>
        <w:tc>
          <w:tcPr>
            <w:tcW w:w="1140" w:type="dxa"/>
          </w:tcPr>
          <w:p>
            <w:pPr>
              <w:pStyle w:val="TableParagraph"/>
              <w:spacing w:line="272" w:lineRule="exact"/>
              <w:ind w:left="100"/>
              <w:rPr>
                <w:sz w:val="24"/>
              </w:rPr>
            </w:pPr>
            <w:r>
              <w:rPr>
                <w:sz w:val="24"/>
              </w:rPr>
              <w:t>11.5%</w:t>
            </w:r>
          </w:p>
        </w:tc>
      </w:tr>
      <w:tr>
        <w:trPr>
          <w:trHeight w:val="286" w:hRule="exact"/>
        </w:trPr>
        <w:tc>
          <w:tcPr>
            <w:tcW w:w="1985" w:type="dxa"/>
          </w:tcPr>
          <w:p>
            <w:pPr>
              <w:pStyle w:val="TableParagraph"/>
              <w:spacing w:line="272" w:lineRule="exact"/>
              <w:rPr>
                <w:sz w:val="24"/>
              </w:rPr>
            </w:pPr>
            <w:r>
              <w:rPr>
                <w:sz w:val="24"/>
              </w:rPr>
              <w:t>Revocados</w:t>
            </w:r>
          </w:p>
        </w:tc>
        <w:tc>
          <w:tcPr>
            <w:tcW w:w="1136" w:type="dxa"/>
          </w:tcPr>
          <w:p>
            <w:pPr>
              <w:pStyle w:val="TableParagraph"/>
              <w:spacing w:line="272" w:lineRule="exact"/>
              <w:rPr>
                <w:sz w:val="24"/>
              </w:rPr>
            </w:pPr>
            <w:r>
              <w:rPr>
                <w:sz w:val="24"/>
              </w:rPr>
              <w:t>14</w:t>
            </w:r>
          </w:p>
        </w:tc>
        <w:tc>
          <w:tcPr>
            <w:tcW w:w="1140" w:type="dxa"/>
          </w:tcPr>
          <w:p>
            <w:pPr>
              <w:pStyle w:val="TableParagraph"/>
              <w:spacing w:line="272" w:lineRule="exact"/>
              <w:ind w:left="100"/>
              <w:rPr>
                <w:sz w:val="24"/>
              </w:rPr>
            </w:pPr>
            <w:r>
              <w:rPr>
                <w:sz w:val="24"/>
              </w:rPr>
              <w:t>13.5%</w:t>
            </w:r>
          </w:p>
        </w:tc>
      </w:tr>
      <w:tr>
        <w:trPr>
          <w:trHeight w:val="562" w:hRule="exact"/>
        </w:trPr>
        <w:tc>
          <w:tcPr>
            <w:tcW w:w="1985" w:type="dxa"/>
          </w:tcPr>
          <w:p>
            <w:pPr>
              <w:pStyle w:val="TableParagraph"/>
              <w:ind w:right="505"/>
              <w:rPr>
                <w:sz w:val="24"/>
              </w:rPr>
            </w:pPr>
            <w:r>
              <w:rPr>
                <w:sz w:val="24"/>
              </w:rPr>
              <w:t>Otras resoluciones</w:t>
            </w:r>
          </w:p>
        </w:tc>
        <w:tc>
          <w:tcPr>
            <w:tcW w:w="1136" w:type="dxa"/>
          </w:tcPr>
          <w:p>
            <w:pPr>
              <w:pStyle w:val="TableParagraph"/>
              <w:spacing w:line="272" w:lineRule="exact"/>
              <w:rPr>
                <w:sz w:val="24"/>
              </w:rPr>
            </w:pPr>
            <w:r>
              <w:rPr>
                <w:sz w:val="24"/>
              </w:rPr>
              <w:t>26</w:t>
            </w:r>
          </w:p>
        </w:tc>
        <w:tc>
          <w:tcPr>
            <w:tcW w:w="1140" w:type="dxa"/>
          </w:tcPr>
          <w:p>
            <w:pPr>
              <w:pStyle w:val="TableParagraph"/>
              <w:spacing w:line="272" w:lineRule="exact"/>
              <w:ind w:left="100"/>
              <w:rPr>
                <w:sz w:val="24"/>
              </w:rPr>
            </w:pPr>
            <w:r>
              <w:rPr>
                <w:sz w:val="24"/>
              </w:rPr>
              <w:t>25.0%</w:t>
            </w:r>
          </w:p>
        </w:tc>
      </w:tr>
      <w:tr>
        <w:trPr>
          <w:trHeight w:val="288" w:hRule="exact"/>
        </w:trPr>
        <w:tc>
          <w:tcPr>
            <w:tcW w:w="1985" w:type="dxa"/>
          </w:tcPr>
          <w:p>
            <w:pPr>
              <w:pStyle w:val="TableParagraph"/>
              <w:spacing w:line="272" w:lineRule="exact"/>
              <w:rPr>
                <w:sz w:val="24"/>
              </w:rPr>
            </w:pPr>
            <w:r>
              <w:rPr>
                <w:sz w:val="24"/>
              </w:rPr>
              <w:t>Total</w:t>
            </w:r>
          </w:p>
        </w:tc>
        <w:tc>
          <w:tcPr>
            <w:tcW w:w="1136" w:type="dxa"/>
          </w:tcPr>
          <w:p>
            <w:pPr>
              <w:pStyle w:val="TableParagraph"/>
              <w:spacing w:line="272" w:lineRule="exact"/>
              <w:rPr>
                <w:sz w:val="24"/>
              </w:rPr>
            </w:pPr>
            <w:r>
              <w:rPr>
                <w:sz w:val="24"/>
              </w:rPr>
              <w:t>104</w:t>
            </w:r>
          </w:p>
        </w:tc>
        <w:tc>
          <w:tcPr>
            <w:tcW w:w="1140" w:type="dxa"/>
          </w:tcPr>
          <w:p>
            <w:pPr>
              <w:pStyle w:val="TableParagraph"/>
              <w:spacing w:line="272" w:lineRule="exact"/>
              <w:ind w:left="100"/>
              <w:rPr>
                <w:sz w:val="24"/>
              </w:rPr>
            </w:pPr>
            <w:r>
              <w:rPr>
                <w:sz w:val="24"/>
              </w:rPr>
              <w:t>100%</w:t>
            </w:r>
          </w:p>
        </w:tc>
      </w:tr>
    </w:tbl>
    <w:p>
      <w:pPr>
        <w:spacing w:line="252" w:lineRule="exact" w:before="2"/>
        <w:ind w:left="2398" w:right="2628" w:firstLine="0"/>
        <w:jc w:val="left"/>
        <w:rPr>
          <w:sz w:val="22"/>
        </w:rPr>
      </w:pPr>
      <w:r>
        <w:rPr>
          <w:sz w:val="22"/>
        </w:rPr>
        <w:t>Fuente: elaboración propia tomando como base datos del TEPJF (2012b).</w:t>
      </w:r>
    </w:p>
    <w:p>
      <w:pPr>
        <w:pStyle w:val="BodyText"/>
        <w:rPr>
          <w:sz w:val="22"/>
        </w:rPr>
      </w:pPr>
    </w:p>
    <w:p>
      <w:pPr>
        <w:pStyle w:val="BodyText"/>
        <w:spacing w:line="360" w:lineRule="auto" w:before="158"/>
        <w:ind w:left="222" w:right="118" w:firstLine="707"/>
        <w:jc w:val="both"/>
      </w:pPr>
      <w:r>
        <w:rPr/>
        <w:t>La importancia de las sentencias confirmatorias radica en que corrobora  que el acto o resolución (en este caso) emitido por el CGIFE es apegado a la legalidad,  así  durante  el  proceso  electoral  2005-2006  se  interpusieron     </w:t>
      </w:r>
      <w:r>
        <w:rPr>
          <w:spacing w:val="44"/>
        </w:rPr>
        <w:t> </w:t>
      </w:r>
      <w:r>
        <w:rPr/>
        <w:t>104</w:t>
      </w:r>
    </w:p>
    <w:p>
      <w:pPr>
        <w:spacing w:after="0" w:line="360" w:lineRule="auto"/>
        <w:jc w:val="both"/>
        <w:sectPr>
          <w:pgSz w:w="12240" w:h="15840"/>
          <w:pgMar w:header="749" w:footer="1003" w:top="960" w:bottom="1200" w:left="1480" w:right="1580"/>
        </w:sectPr>
      </w:pPr>
    </w:p>
    <w:p>
      <w:pPr>
        <w:pStyle w:val="BodyText"/>
        <w:rPr>
          <w:sz w:val="20"/>
        </w:rPr>
      </w:pPr>
    </w:p>
    <w:p>
      <w:pPr>
        <w:pStyle w:val="BodyText"/>
        <w:spacing w:line="362" w:lineRule="auto" w:before="214"/>
        <w:ind w:left="102" w:right="120"/>
      </w:pPr>
      <w:r>
        <w:rPr/>
        <w:t>recursos, de éstos, 52 tuvieron una sentencia confirmatoria, lo que representó el 50% de las sentencias recaídas a los acuerdos impugnados.</w:t>
      </w:r>
    </w:p>
    <w:p>
      <w:pPr>
        <w:pStyle w:val="BodyText"/>
        <w:spacing w:line="360" w:lineRule="auto"/>
        <w:ind w:left="102" w:right="117" w:firstLine="707"/>
        <w:jc w:val="both"/>
      </w:pPr>
      <w:r>
        <w:rPr/>
        <w:t>De acuerdo con el TEPJF en 2005, 21 recursos de apelación recibieron una sentencia que confirmaba lo acordado por el CGIFE y del mismo modo en 2006, 31 recursos de apelación tuvieron una sentencia en el mismo</w:t>
      </w:r>
      <w:r>
        <w:rPr>
          <w:spacing w:val="-27"/>
        </w:rPr>
        <w:t> </w:t>
      </w:r>
      <w:r>
        <w:rPr/>
        <w:t>sentido.</w:t>
      </w:r>
    </w:p>
    <w:p>
      <w:pPr>
        <w:pStyle w:val="BodyText"/>
        <w:spacing w:line="360" w:lineRule="auto" w:before="5"/>
        <w:ind w:left="102" w:right="114" w:firstLine="707"/>
        <w:jc w:val="both"/>
      </w:pPr>
      <w:r>
        <w:rPr/>
        <w:t>Una sentencia modificatoria señala que el acto o resolución (en este caso) emitido por el CGIFE es parcialmente apegado a la legalidad, lo cual hace necesario cambiar el sentido del acuerdo en algunos de sus puntos resolutivos, pues se actuó con falta de apego a la legalidad. Durante el proceso electoral 2005- 2006 de los 104 recursos interpuestos; 12 tuvieron sentencias modificatorias: de acuerdo con datos del TEPJF en 2005, cuatro recursos de apelación recibieron una sentencia que modificó lo acordado por el CGIFE: el RAP-47-2005 interpuesto por el PRI (fue en parte modificado y en parte confirmado), el RAP-49-2005 interpuesto por el PVEM, el RAP-62-2005 interpuesto por el PASC y el RAP-63- 2005 interpuesto por el PRD; del mismo modo en 2006, 8 recursos de apelación tuvieron una sentencia en el mismo sentido: el RAP-1-2006 interpuesto por el PRD; el RAP-4-2006 interpuesto por el Partido Liberal Mexicano; el RAP-34-2006, el RAP-40-2006 y el RAP-61-2006 interpuestos por el PAN; el RAP-36-2006 interpuesto por la CPBT; el RAP-37-2006 y el RAP-42-2006 interpuestos por la CAPM; por lo que se tuvo un promedio de 11.5% de sentencias</w:t>
      </w:r>
      <w:r>
        <w:rPr>
          <w:spacing w:val="-25"/>
        </w:rPr>
        <w:t> </w:t>
      </w:r>
      <w:r>
        <w:rPr/>
        <w:t>modificadas.</w:t>
      </w:r>
    </w:p>
    <w:p>
      <w:pPr>
        <w:pStyle w:val="BodyText"/>
        <w:spacing w:line="360" w:lineRule="auto" w:before="2"/>
        <w:ind w:left="102" w:right="115" w:firstLine="707"/>
        <w:jc w:val="both"/>
      </w:pPr>
      <w:r>
        <w:rPr/>
        <w:t>Ahora bien, lo contrario a una sentencia confirmatoria es una revocatoria </w:t>
      </w:r>
      <w:r>
        <w:rPr>
          <w:spacing w:val="-3"/>
        </w:rPr>
        <w:t>ya </w:t>
      </w:r>
      <w:r>
        <w:rPr/>
        <w:t>que esta última señala que el acto o resolución (en este caso) emitido por el CGIFE no se apegó a la legalidad, lo cual hace necesario dejar sin efecto la resolución o el acto aprobado por el CGIFE y volver a realizarlo sin los errores u omisiones cometidos; lo cual resulta grave pues pone de manifiesto la deficiente actuación de los actos del CGIFE y puede llegar en el caso más extremo a anular una elección con las repercusiones económicas, políticas y sociales que</w:t>
      </w:r>
      <w:r>
        <w:rPr>
          <w:spacing w:val="-26"/>
        </w:rPr>
        <w:t> </w:t>
      </w:r>
      <w:r>
        <w:rPr/>
        <w:t>conlleva.</w:t>
      </w:r>
    </w:p>
    <w:p>
      <w:pPr>
        <w:pStyle w:val="BodyText"/>
        <w:spacing w:line="360" w:lineRule="auto" w:before="5"/>
        <w:ind w:left="102" w:right="116" w:firstLine="707"/>
        <w:jc w:val="both"/>
      </w:pPr>
      <w:r>
        <w:rPr/>
        <w:t>En cuanto al CGIFE durante el proceso electoral en estudio se aprobaron 118 acuerdos de los cuales 104 fueron impugnados y de éstos sólo 14 fueron revocados, lo que representó    el 13.5% del total de los acuerdos impugnados. En</w:t>
      </w:r>
    </w:p>
    <w:p>
      <w:pPr>
        <w:spacing w:after="0" w:line="360" w:lineRule="auto"/>
        <w:jc w:val="both"/>
        <w:sectPr>
          <w:footerReference w:type="default" r:id="rId42"/>
          <w:pgSz w:w="12240" w:h="15840"/>
          <w:pgMar w:footer="1003" w:header="749" w:top="960" w:bottom="1200" w:left="1600" w:right="1580"/>
          <w:pgNumType w:start="100"/>
        </w:sectPr>
      </w:pPr>
    </w:p>
    <w:p>
      <w:pPr>
        <w:pStyle w:val="BodyText"/>
        <w:rPr>
          <w:sz w:val="20"/>
        </w:rPr>
      </w:pPr>
    </w:p>
    <w:p>
      <w:pPr>
        <w:pStyle w:val="BodyText"/>
        <w:spacing w:line="362" w:lineRule="auto" w:before="214"/>
        <w:ind w:left="102" w:right="120"/>
      </w:pPr>
      <w:r>
        <w:rPr/>
        <w:t>síntesis la actuación del CGIFE obtuvo una evaluación de 3.0 puntos, ubicándose como altamente apegada a la legalidad.</w:t>
      </w:r>
    </w:p>
    <w:p>
      <w:pPr>
        <w:pStyle w:val="BodyText"/>
        <w:spacing w:line="360" w:lineRule="auto"/>
        <w:ind w:left="102" w:right="116" w:firstLine="707"/>
        <w:jc w:val="both"/>
      </w:pPr>
      <w:r>
        <w:rPr/>
        <w:t>Cabe aclarar que no necesariamente una sentencia que revoca un acuerdo del CGIFE alude a parcialidad por parte del órgano electoral, ya que para que ésta se dé debe estar presente el dolo, y en los 14 acuerdos del CGIFE revocados por el TEPJF no se observó dolo, sólo error por parte de la autoridad electoral, lo cual no alude a una posible parcialidad, como se pretende en la guía metodológica de la Redicadem. Lo que observo es una falta de profesionalismo, por ello para evaluar la imparcialidad del órgano electoral anexé dos indicadores a la guía metodológica de la Redicadem: imparcialidad en el resultado de la elección e imparcialidad con respecto a las organizaciones</w:t>
      </w:r>
      <w:r>
        <w:rPr>
          <w:spacing w:val="-13"/>
        </w:rPr>
        <w:t> </w:t>
      </w:r>
      <w:r>
        <w:rPr/>
        <w:t>políticas.</w:t>
      </w:r>
    </w:p>
    <w:p>
      <w:pPr>
        <w:pStyle w:val="BodyText"/>
        <w:spacing w:line="360" w:lineRule="auto" w:before="5"/>
        <w:ind w:left="102" w:right="112" w:firstLine="707"/>
        <w:jc w:val="both"/>
      </w:pPr>
      <w:r>
        <w:rPr/>
        <w:t>En ocasiones, como se mencionó, el TEPJF no emite una sentencia en el sentido de confirmar, modificar o revocar un acuerdo o resolución del CGIFE y sólo da una resolución en el sentido de desechar de plano el recurso, declararlo notoriamente improcedente, sobreseído o infundado. Durante el proceso 2005- 2006 el 25% de los medios de impugnación interpuestos, 26 en concreto, fueron desechados por el TEPJF, ejemplo de ellos son: el RAP-53-2005 interpuesto por un particular y el RAP-71-2005 interpuesto por una Agrupación Política Nacional denominada “Coordinadora Nacional”, así como el RAP-19-2006, el RAP-20-2006 y el RAP-46-2006 interpuestos por particulares; el RAP-25-2006, el RAP-41-2006, el RAP-52-2006, el RAP-54-2006 y el RAP-55-2006 interpuestos por la CPBT; el RAP-71-2006 interpuesto por el PRD; el RAP-35-2006, el RAP-57-2006, RAP-58- 2006 y el RAP-53-2006 interpuestos por el PAN; el RAP-68-2006 y el RAP-84- 2006 interpuesto por diversas Agrupaciones Políticas Nacionales y el RAP-48- 2006 interpuesto por la</w:t>
      </w:r>
      <w:r>
        <w:rPr>
          <w:spacing w:val="-11"/>
        </w:rPr>
        <w:t> </w:t>
      </w:r>
      <w:r>
        <w:rPr/>
        <w:t>CAPM.</w:t>
      </w:r>
    </w:p>
    <w:p>
      <w:pPr>
        <w:pStyle w:val="BodyText"/>
        <w:spacing w:line="360" w:lineRule="auto" w:before="5"/>
        <w:ind w:left="102" w:right="116" w:firstLine="707"/>
        <w:jc w:val="both"/>
      </w:pPr>
      <w:r>
        <w:rPr/>
        <w:t>En 2006 de los 377 juicios de inconformidad recibidos, sólo cuatro eran relativos a actos del CGIFE y fueron desechados por unanimidad: el JIN-365-2006 interpuesto por un particular (Saúl Beristain Barzabal), para impugnar la declaración de validez de la elección de Presidente de los Estados Unidos Mexicanos; el JIN-375-2006 interpuesto por particulares (Oscar Ernesto Zubieta Arroyo y otros), para impugnar actos del consejero presidente y consejeros del</w:t>
      </w:r>
    </w:p>
    <w:p>
      <w:pPr>
        <w:spacing w:after="0" w:line="360" w:lineRule="auto"/>
        <w:jc w:val="both"/>
        <w:sectPr>
          <w:pgSz w:w="12240" w:h="15840"/>
          <w:pgMar w:header="749" w:footer="1003" w:top="960" w:bottom="1200" w:left="1600" w:right="1580"/>
        </w:sectPr>
      </w:pPr>
    </w:p>
    <w:p>
      <w:pPr>
        <w:pStyle w:val="BodyText"/>
        <w:rPr>
          <w:sz w:val="20"/>
        </w:rPr>
      </w:pPr>
    </w:p>
    <w:p>
      <w:pPr>
        <w:pStyle w:val="BodyText"/>
        <w:spacing w:line="360" w:lineRule="auto" w:before="214"/>
        <w:ind w:left="102" w:right="115"/>
        <w:jc w:val="both"/>
      </w:pPr>
      <w:r>
        <w:rPr/>
        <w:t>IFE; el JIN-376-2006 interpuesto por un particular (Manuel Antonio Romo Aguirre), para solicitar la cancelación de los registros de los partidos Nueva Alianza y Alternativa Socialdemócrata y Campesina; y el JIN-377-2006 interpuesto por una particular (Ana Lilia Orozco Huerta), para impugnar actos relativos a la elección de Presidente de los Estados Unidos Mexicanos; lo cual señala que las resoluciones del CGIFE relativas a la etapa de resultados y declaraciones de validez son poco impugnadas pero también se debe tener en cuenta que son pocas </w:t>
      </w:r>
      <w:r>
        <w:rPr>
          <w:spacing w:val="2"/>
        </w:rPr>
        <w:t>las</w:t>
      </w:r>
      <w:r>
        <w:rPr>
          <w:spacing w:val="70"/>
        </w:rPr>
        <w:t> </w:t>
      </w:r>
      <w:r>
        <w:rPr/>
        <w:t>resoluciones emitidas en dicho</w:t>
      </w:r>
      <w:r>
        <w:rPr>
          <w:spacing w:val="-12"/>
        </w:rPr>
        <w:t> </w:t>
      </w:r>
      <w:r>
        <w:rPr/>
        <w:t>sentido.</w:t>
      </w:r>
    </w:p>
    <w:p>
      <w:pPr>
        <w:pStyle w:val="BodyText"/>
        <w:spacing w:line="360" w:lineRule="auto" w:before="2"/>
        <w:ind w:left="102" w:right="118" w:firstLine="707"/>
        <w:jc w:val="both"/>
      </w:pPr>
      <w:r>
        <w:rPr/>
        <w:t>Por lo que respecta a los recursos de reconsideración interpuestos en 2006 de los 52 recursos presentados sólo uno fue relativo al CGIFE, y fue interpuesto por la Coalición “Por el Bien de Todos”, para revocar una asignación de diputado; este recurso fue desechado por unanimidad.</w:t>
      </w:r>
    </w:p>
    <w:p>
      <w:pPr>
        <w:pStyle w:val="BodyText"/>
        <w:spacing w:line="360" w:lineRule="auto" w:before="2"/>
        <w:ind w:left="102" w:right="116" w:firstLine="707"/>
        <w:jc w:val="both"/>
      </w:pPr>
      <w:r>
        <w:rPr/>
        <w:t>El hecho de que los cuatro juicios de inconformidad presentados ante el TEPJF para impugnar actos relativos a la elección presidencial hayan sido desechados por situaciones de forma y no de fondo dio origen a una polémica en cuanto a las resoluciones de la Sala Superior del TEPJF; por ejemplo Crespo señaló que el TEPJF debió haber suplido las deficiencias u omisiones de los partidos para resolver el asunto de fondo emitiendo una sentencia y no limitándose a desechar el medio de impugnación interpuesto:</w:t>
      </w:r>
    </w:p>
    <w:p>
      <w:pPr>
        <w:pStyle w:val="BodyText"/>
      </w:pPr>
    </w:p>
    <w:p>
      <w:pPr>
        <w:spacing w:line="360" w:lineRule="auto" w:before="141"/>
        <w:ind w:left="810" w:right="119" w:firstLine="0"/>
        <w:jc w:val="both"/>
        <w:rPr>
          <w:sz w:val="22"/>
        </w:rPr>
      </w:pPr>
      <w:r>
        <w:rPr>
          <w:sz w:val="22"/>
        </w:rPr>
        <w:t>Y varias de las quejas presentadas por los partidos ante el Tribunal, una vez concluido el cómputo distrital hecho por el IFE, fueron desechadas por no cumplir puntualmente con tales requisitos, son por tanto declaradas improcedentes, tal y como sucede en un litigio civil entre particulares. Eso, pese a que una tesis de jurisprudencia señala que el Tribunal hubiera podido reponer las fallas de los partidos quejosos al presentar sus impugnaciones, supliendo la deficiencia al tener clara la queja (2008, 63).</w:t>
      </w:r>
    </w:p>
    <w:p>
      <w:pPr>
        <w:pStyle w:val="BodyText"/>
        <w:rPr>
          <w:sz w:val="22"/>
        </w:rPr>
      </w:pPr>
    </w:p>
    <w:p>
      <w:pPr>
        <w:pStyle w:val="BodyText"/>
        <w:spacing w:line="360" w:lineRule="auto" w:before="163"/>
        <w:ind w:left="102" w:right="118" w:firstLine="707"/>
        <w:jc w:val="both"/>
      </w:pPr>
      <w:r>
        <w:rPr/>
        <w:t>Crespo señaló que el TEPJF resolvió los juicios de inconformidad interpuestos como actos entre particulares sin que se tuviera en cuenta el interés general, “la alternativa consistía en tratar al proceso de escrutinio y cómputo (acto impugnado en los  juicios  de inconformidad) como  un asunto de  interés  general,</w:t>
      </w:r>
    </w:p>
    <w:p>
      <w:pPr>
        <w:spacing w:after="0" w:line="360" w:lineRule="auto"/>
        <w:jc w:val="both"/>
        <w:sectPr>
          <w:pgSz w:w="12240" w:h="15840"/>
          <w:pgMar w:header="749" w:footer="1003" w:top="960" w:bottom="1200" w:left="1600" w:right="1580"/>
        </w:sectPr>
      </w:pPr>
    </w:p>
    <w:p>
      <w:pPr>
        <w:pStyle w:val="BodyText"/>
        <w:rPr>
          <w:sz w:val="20"/>
        </w:rPr>
      </w:pPr>
    </w:p>
    <w:p>
      <w:pPr>
        <w:pStyle w:val="BodyText"/>
        <w:spacing w:line="360" w:lineRule="auto" w:before="214"/>
        <w:ind w:left="102" w:right="116"/>
        <w:jc w:val="both"/>
      </w:pPr>
      <w:r>
        <w:rPr/>
        <w:t>que afecta a todo el electorado y no sólo a los partidos contendientes” (2008, 64). Sin embargo, no es mi objeto de estudio evaluar la actuación del TEPJF ya que éste es tema para otra investigación.</w:t>
      </w:r>
    </w:p>
    <w:p>
      <w:pPr>
        <w:pStyle w:val="BodyText"/>
      </w:pPr>
    </w:p>
    <w:p>
      <w:pPr>
        <w:pStyle w:val="ListParagraph"/>
        <w:numPr>
          <w:ilvl w:val="1"/>
          <w:numId w:val="22"/>
        </w:numPr>
        <w:tabs>
          <w:tab w:pos="1182" w:val="left" w:leader="none"/>
        </w:tabs>
        <w:spacing w:line="240" w:lineRule="auto" w:before="142" w:after="0"/>
        <w:ind w:left="1182" w:right="0" w:hanging="360"/>
        <w:jc w:val="left"/>
        <w:rPr>
          <w:sz w:val="24"/>
        </w:rPr>
      </w:pPr>
      <w:r>
        <w:rPr>
          <w:sz w:val="24"/>
        </w:rPr>
        <w:t>Imparcialidad cualitativa en el resultado de la</w:t>
      </w:r>
      <w:r>
        <w:rPr>
          <w:spacing w:val="-16"/>
          <w:sz w:val="24"/>
        </w:rPr>
        <w:t> </w:t>
      </w:r>
      <w:r>
        <w:rPr>
          <w:sz w:val="24"/>
        </w:rPr>
        <w:t>elección</w:t>
      </w:r>
    </w:p>
    <w:p>
      <w:pPr>
        <w:pStyle w:val="BodyText"/>
      </w:pPr>
    </w:p>
    <w:p>
      <w:pPr>
        <w:pStyle w:val="BodyText"/>
        <w:spacing w:before="139"/>
        <w:ind w:left="102"/>
        <w:jc w:val="both"/>
      </w:pPr>
      <w:r>
        <w:rPr/>
        <w:t>Este indicador evalúa la imparcialidad de    la actuación de los órganos electorales</w:t>
      </w:r>
    </w:p>
    <w:p>
      <w:pPr>
        <w:pStyle w:val="BodyText"/>
        <w:spacing w:line="360" w:lineRule="auto" w:before="137"/>
        <w:ind w:left="102" w:right="116"/>
        <w:jc w:val="both"/>
      </w:pPr>
      <w:r>
        <w:rPr/>
        <w:t>―en cuanto al resultado de la elección― a través del análisis de los acuerdos revocados en cuanto a la causa que le dio origen: una falta grave, leve o administrativa. Como resultado de dicho estudio el IFE obtuvo una calificación alta (3.0) en cuanto a su imparcialidad en el resultado de la elección debido a que  </w:t>
      </w:r>
      <w:r>
        <w:rPr>
          <w:spacing w:val="55"/>
        </w:rPr>
        <w:t> </w:t>
      </w:r>
      <w:r>
        <w:rPr/>
        <w:t>los</w:t>
      </w:r>
    </w:p>
    <w:p>
      <w:pPr>
        <w:pStyle w:val="BodyText"/>
        <w:spacing w:line="360" w:lineRule="auto" w:before="2"/>
        <w:ind w:left="102" w:right="117"/>
        <w:jc w:val="both"/>
      </w:pPr>
      <w:r>
        <w:rPr/>
        <w:t>14 acuerdos revocados se debieron a faltas administrativas (referentes a  requisitos de forma en informes, acreditación de observadores electorales, administración de los recursos humanos, financieros o materiales que no representan robo al erario público) que no afectan de forma contundente el resultado de la elección o del proceso</w:t>
      </w:r>
      <w:r>
        <w:rPr>
          <w:spacing w:val="-16"/>
        </w:rPr>
        <w:t> </w:t>
      </w:r>
      <w:r>
        <w:rPr/>
        <w:t>electoral.</w:t>
      </w:r>
    </w:p>
    <w:p>
      <w:pPr>
        <w:pStyle w:val="BodyText"/>
        <w:spacing w:line="360" w:lineRule="auto" w:before="5"/>
        <w:ind w:left="102" w:right="112" w:firstLine="707"/>
        <w:jc w:val="both"/>
      </w:pPr>
      <w:r>
        <w:rPr/>
        <w:t>Según datos del TEPJF en 2005, sólo un recurso de apelación  (RAP) recibió una sentencia que revocó lo acordado por el Consejo General del IFE (CGIFE): el RAP-66-2005, dicha sentencia revocó un acuerdo a petición de una APN denominada “Acción y unidad nacional”. Del mismo modo en 2006 13 recursos de apelación obtuvieron una sentencia revocatoria: el RAP-8-2006 y el RAP-17-2006 interpuestos por la Coalición Por el Bien de Todos (CPBT); el RAP- 75-2006 interpuesto por el Partido de la Revolución Democrática (PRD); los RAP- 14-2006, el RAP-15-2006 y el RAP-16-2006 interpuestos por particulares; el RAP- 60-2006 interpuesto por el Partido Nueva Alianza (PNA); el RAP-61-2006 interpuesto por el Partido Acción Nacional (PAN); el RAP-77-2006, el RAP-79- 2006, RAP-85-2006, el RAP-86-2006 y el RAP-87-2006 interpuestos por diversas APN (TEPJF, 2012b).</w:t>
      </w:r>
    </w:p>
    <w:p>
      <w:pPr>
        <w:pStyle w:val="BodyText"/>
        <w:spacing w:line="360" w:lineRule="auto" w:before="5"/>
        <w:ind w:left="102" w:right="118" w:firstLine="707"/>
        <w:jc w:val="both"/>
      </w:pPr>
      <w:r>
        <w:rPr/>
        <w:t>Los 14 recursos se debieron a las siguientes faltas administrativas: siete relativas a multas indebidas dadas a partidos políticos por irregularidades de forma en la presentación de sus informes relativos al año anterior a la elección, cuatro relativas a negativas de acreditaciones de observadores electorales, una  negativa</w:t>
      </w:r>
    </w:p>
    <w:p>
      <w:pPr>
        <w:spacing w:after="0" w:line="360" w:lineRule="auto"/>
        <w:jc w:val="both"/>
        <w:sectPr>
          <w:pgSz w:w="12240" w:h="15840"/>
          <w:pgMar w:header="749" w:footer="1003" w:top="960" w:bottom="1200" w:left="1600" w:right="1580"/>
        </w:sectPr>
      </w:pPr>
    </w:p>
    <w:p>
      <w:pPr>
        <w:pStyle w:val="BodyText"/>
        <w:rPr>
          <w:sz w:val="20"/>
        </w:rPr>
      </w:pPr>
    </w:p>
    <w:p>
      <w:pPr>
        <w:pStyle w:val="BodyText"/>
        <w:spacing w:line="360" w:lineRule="auto" w:before="212"/>
        <w:ind w:left="102" w:right="119"/>
        <w:jc w:val="both"/>
      </w:pPr>
      <w:r>
        <w:rPr/>
        <w:t>a evaluar el retiro de </w:t>
      </w:r>
      <w:r>
        <w:rPr>
          <w:i/>
        </w:rPr>
        <w:t>spots</w:t>
      </w:r>
      <w:r>
        <w:rPr/>
        <w:t>, una concerniente a una multa aplicada por irregularidades en la aplicación de recursos por parte de un partido político y una referente a una denuncia mal atendida con respecto al financiamiento indebido en la campaña de un diputado por parte de un ayuntamiento (TEPJF, 2012b).</w:t>
      </w:r>
    </w:p>
    <w:p>
      <w:pPr>
        <w:pStyle w:val="BodyText"/>
        <w:spacing w:line="360" w:lineRule="auto" w:before="2"/>
        <w:ind w:left="102" w:right="117" w:firstLine="707"/>
        <w:jc w:val="both"/>
      </w:pPr>
      <w:r>
        <w:rPr/>
        <w:t>Como conclusión de este indicador se señala que el IFE es altamente imparcial en el resultado de la elección.</w:t>
      </w:r>
    </w:p>
    <w:p>
      <w:pPr>
        <w:pStyle w:val="BodyText"/>
      </w:pPr>
    </w:p>
    <w:p>
      <w:pPr>
        <w:pStyle w:val="ListParagraph"/>
        <w:numPr>
          <w:ilvl w:val="1"/>
          <w:numId w:val="22"/>
        </w:numPr>
        <w:tabs>
          <w:tab w:pos="1182" w:val="left" w:leader="none"/>
        </w:tabs>
        <w:spacing w:line="240" w:lineRule="auto" w:before="142" w:after="0"/>
        <w:ind w:left="1182" w:right="0" w:hanging="360"/>
        <w:jc w:val="left"/>
        <w:rPr>
          <w:sz w:val="24"/>
        </w:rPr>
      </w:pPr>
      <w:r>
        <w:rPr>
          <w:sz w:val="24"/>
        </w:rPr>
        <w:t>Imparcialidad cuantitativa con respecto a las organizaciones</w:t>
      </w:r>
      <w:r>
        <w:rPr>
          <w:spacing w:val="-22"/>
          <w:sz w:val="24"/>
        </w:rPr>
        <w:t> </w:t>
      </w:r>
      <w:r>
        <w:rPr>
          <w:sz w:val="24"/>
        </w:rPr>
        <w:t>políticas</w:t>
      </w:r>
    </w:p>
    <w:p>
      <w:pPr>
        <w:pStyle w:val="BodyText"/>
      </w:pPr>
    </w:p>
    <w:p>
      <w:pPr>
        <w:pStyle w:val="BodyText"/>
      </w:pPr>
    </w:p>
    <w:p>
      <w:pPr>
        <w:pStyle w:val="BodyText"/>
        <w:spacing w:line="360" w:lineRule="auto"/>
        <w:ind w:left="102" w:right="114"/>
        <w:jc w:val="both"/>
      </w:pPr>
      <w:r>
        <w:rPr>
          <w:color w:val="221F1F"/>
        </w:rPr>
        <w:t>Este indicador evalúa la imparcialidad de los acuerdos del órgano electoral con respecto a las organizaciones políticas (partidos, coaliciones u organizaciones); a través de analizar cuantitativamente las sentencias revocatorias por partido político, coalición u organización, para determinar su porcentaje; con la finalidad  de establecer si los acuerdos del árbitro electoral pretendían beneficiar o agraviar  a algún partido. Cualitativamente no fue posible evaluar la imparcialidad </w:t>
      </w:r>
      <w:r>
        <w:rPr>
          <w:color w:val="221F1F"/>
          <w:spacing w:val="2"/>
        </w:rPr>
        <w:t>del  </w:t>
      </w:r>
      <w:r>
        <w:rPr>
          <w:color w:val="221F1F"/>
        </w:rPr>
        <w:t>órgano electoral hacia las organizaciones políticas, a través del estudio de las sentencias, toda vez que es difícil para el TEPJF probar que los consejeros electorales actuaron con dolo; por lo que sólo se limita a señalar los errores cometidos dificultando así la posibilidad de declarar cualitativamente la parcialidad por parte del órgano</w:t>
      </w:r>
      <w:r>
        <w:rPr>
          <w:color w:val="221F1F"/>
          <w:spacing w:val="-10"/>
        </w:rPr>
        <w:t> </w:t>
      </w:r>
      <w:r>
        <w:rPr>
          <w:color w:val="221F1F"/>
        </w:rPr>
        <w:t>electoral.</w:t>
      </w:r>
    </w:p>
    <w:p>
      <w:pPr>
        <w:pStyle w:val="BodyText"/>
        <w:spacing w:line="360" w:lineRule="auto" w:before="2"/>
        <w:ind w:left="102" w:right="117" w:firstLine="707"/>
        <w:jc w:val="both"/>
      </w:pPr>
      <w:r>
        <w:rPr/>
        <w:t>De acuerdo con lo anterior sólo se estudió la imparcialidad cuantitativa de los acuerdos emitidos por los órganos electorales, a través de obtener el porcentaje de medios de impugnación revocados por los tribunales con respecto a los medios de impugnación interpuestos por los partidos políticos, organizaciones o coaliciones. Lo anterior en la lógica de que las sentencias revocatorias señalan que lo acordado por el árbitro electoral no se apegó a la legalidad, de ahí que demuestra que el medio de impugnación interpuesto por el partido político, APN, candidato o ciudadano es derivado de un acuerdo que </w:t>
      </w:r>
      <w:r>
        <w:rPr>
          <w:spacing w:val="4"/>
        </w:rPr>
        <w:t>le </w:t>
      </w:r>
      <w:r>
        <w:rPr/>
        <w:t>causó agravio, no importando si la autoridad electoral actuó con dolo o error (pues es difícil de probar); lo importante es determinar si la autoridad electoral favoreció o agravió  </w:t>
      </w:r>
      <w:r>
        <w:rPr>
          <w:spacing w:val="13"/>
        </w:rPr>
        <w:t> </w:t>
      </w:r>
      <w:r>
        <w:rPr/>
        <w:t>a</w:t>
      </w:r>
    </w:p>
    <w:p>
      <w:pPr>
        <w:spacing w:after="0" w:line="360" w:lineRule="auto"/>
        <w:jc w:val="both"/>
        <w:sectPr>
          <w:pgSz w:w="12240" w:h="15840"/>
          <w:pgMar w:header="749" w:footer="1003" w:top="960" w:bottom="1200" w:left="1600" w:right="1580"/>
        </w:sectPr>
      </w:pPr>
    </w:p>
    <w:p>
      <w:pPr>
        <w:pStyle w:val="BodyText"/>
        <w:rPr>
          <w:sz w:val="20"/>
        </w:rPr>
      </w:pPr>
    </w:p>
    <w:p>
      <w:pPr>
        <w:pStyle w:val="BodyText"/>
        <w:spacing w:line="362" w:lineRule="auto" w:before="214"/>
        <w:ind w:left="102" w:right="116"/>
        <w:jc w:val="both"/>
      </w:pPr>
      <w:r>
        <w:rPr/>
        <w:t>algún partido político más que a los demás, lo cual demostraría la parcialidad en el desempeño de dicha autoridad.</w:t>
      </w:r>
    </w:p>
    <w:p>
      <w:pPr>
        <w:pStyle w:val="BodyText"/>
        <w:spacing w:line="360" w:lineRule="auto"/>
        <w:ind w:left="102" w:right="118" w:firstLine="707"/>
        <w:jc w:val="both"/>
      </w:pPr>
      <w:r>
        <w:rPr/>
        <w:t>Determinar el dolo en la actuación del órgano electoral manifestaría claramente la parcialidad del mismo, sin embargo, es difícil de probarlo con las pruebas a que se hace referencia en las sentencias y más aún, como es el caso, sin tenerlas a la vista (mucha de la documentación electoral es destruida cierto tiempo después del escrutinio y cómputo), de ahí que no es posible determinar si los acuerdos revocados se debieron a dolo. Estadísticamente a través de porcentajes es posible determinar si algún partido resultó más favorecido o agraviado que otro.</w:t>
      </w:r>
    </w:p>
    <w:p>
      <w:pPr>
        <w:pStyle w:val="BodyText"/>
        <w:spacing w:line="360" w:lineRule="auto" w:before="2"/>
        <w:ind w:left="102" w:right="116" w:firstLine="707"/>
        <w:jc w:val="both"/>
      </w:pPr>
      <w:r>
        <w:rPr/>
        <w:t>Por lo tanto el estudio partió de cuantificar cuántos medios de impugnación interpuso cada partido; sin embargo, no siempre que un partido político se considera agraviado e interpone un medio de impugnación tiene la razón,  la verdad jurídica la dan las sentencias recaídas a esos recursos de ahí que fue necesario evaluar el porcentaje de sentencias revocatorias por partido para determinar si alguno resultó más agraviado o más favorecido que los demás.</w:t>
      </w:r>
    </w:p>
    <w:p>
      <w:pPr>
        <w:pStyle w:val="BodyText"/>
        <w:spacing w:line="360" w:lineRule="auto" w:before="2"/>
        <w:ind w:left="102" w:right="122" w:firstLine="707"/>
        <w:jc w:val="both"/>
      </w:pPr>
      <w:r>
        <w:rPr>
          <w:color w:val="221F1F"/>
        </w:rPr>
        <w:t>Después del análisis respectivo se observó que los acuerdos del IFE que fueron revocados por los tribunales no beneficiaron ni agraviaron a ningún partido político, coalición u organización; por lo que obtuvieron una alta evaluación (3.0).</w:t>
      </w:r>
    </w:p>
    <w:p>
      <w:pPr>
        <w:pStyle w:val="BodyText"/>
        <w:spacing w:line="360" w:lineRule="auto" w:before="5"/>
        <w:ind w:left="102" w:right="120" w:firstLine="707"/>
        <w:jc w:val="both"/>
      </w:pPr>
      <w:r>
        <w:rPr/>
        <w:t>Para estudiar el presente indicador se establecieron dos subindicadores:  c1) medios de impugnación interpuestos por Agrupación Política Nacional (APN) o ciudadano y c2) análisis de las sentencias por APN o</w:t>
      </w:r>
      <w:r>
        <w:rPr>
          <w:spacing w:val="-24"/>
        </w:rPr>
        <w:t> </w:t>
      </w:r>
      <w:r>
        <w:rPr/>
        <w:t>ciudadano.</w:t>
      </w:r>
    </w:p>
    <w:p>
      <w:pPr>
        <w:pStyle w:val="BodyText"/>
      </w:pPr>
    </w:p>
    <w:p>
      <w:pPr>
        <w:pStyle w:val="BodyText"/>
        <w:spacing w:line="360" w:lineRule="auto" w:before="142"/>
        <w:ind w:left="810" w:right="120"/>
      </w:pPr>
      <w:r>
        <w:rPr>
          <w:color w:val="221F1F"/>
        </w:rPr>
        <w:t>c1) Medios de impugnación interpuestos por Agrupación Política Nacional (APN)</w:t>
      </w:r>
    </w:p>
    <w:p>
      <w:pPr>
        <w:pStyle w:val="BodyText"/>
      </w:pPr>
    </w:p>
    <w:p>
      <w:pPr>
        <w:pStyle w:val="BodyText"/>
        <w:spacing w:line="360" w:lineRule="auto" w:before="142"/>
        <w:ind w:left="102" w:right="117"/>
        <w:jc w:val="both"/>
      </w:pPr>
      <w:r>
        <w:rPr>
          <w:color w:val="221F1F"/>
        </w:rPr>
        <w:t>Las Agrupaciones Políticas Nacionales (partidos políticos, coaliciones, agrupaciones u organizaciones) que se consideraron agraviadas por los acuerdos o resoluciones de los órganos electorales interpusieron los medios de  impugnación que les concedía la normatividad, lo anterior sin evaluar si tenían o  no razón en su petición, lo cual se analizó en el siguiente</w:t>
      </w:r>
      <w:r>
        <w:rPr>
          <w:color w:val="221F1F"/>
          <w:spacing w:val="-19"/>
        </w:rPr>
        <w:t> </w:t>
      </w:r>
      <w:r>
        <w:rPr>
          <w:color w:val="221F1F"/>
        </w:rPr>
        <w:t>indicador.</w:t>
      </w:r>
    </w:p>
    <w:p>
      <w:pPr>
        <w:spacing w:after="0" w:line="360" w:lineRule="auto"/>
        <w:jc w:val="both"/>
        <w:sectPr>
          <w:pgSz w:w="12240" w:h="15840"/>
          <w:pgMar w:header="749" w:footer="1003" w:top="960" w:bottom="1200" w:left="1600" w:right="1580"/>
        </w:sectPr>
      </w:pPr>
    </w:p>
    <w:p>
      <w:pPr>
        <w:pStyle w:val="BodyText"/>
        <w:rPr>
          <w:sz w:val="20"/>
        </w:rPr>
      </w:pPr>
    </w:p>
    <w:p>
      <w:pPr>
        <w:pStyle w:val="BodyText"/>
        <w:spacing w:line="360" w:lineRule="auto" w:before="214"/>
        <w:ind w:left="122" w:right="237" w:firstLine="707"/>
        <w:jc w:val="both"/>
      </w:pPr>
      <w:r>
        <w:rPr>
          <w:color w:val="221F1F"/>
        </w:rPr>
        <w:t>Durante el proceso electoral 2005-2006 se presentaron 104 medios de impugnación en contra de los acuerdos del CGIFE, los cuales fueron interpuestos por </w:t>
      </w:r>
      <w:r>
        <w:rPr/>
        <w:t>los siguientes actores:</w:t>
      </w:r>
    </w:p>
    <w:p>
      <w:pPr>
        <w:pStyle w:val="BodyText"/>
      </w:pPr>
    </w:p>
    <w:p>
      <w:pPr>
        <w:pStyle w:val="Heading2"/>
        <w:ind w:left="2592" w:right="2002"/>
      </w:pPr>
      <w:r>
        <w:rPr/>
        <w:t>Cuadro 2.4</w:t>
      </w:r>
    </w:p>
    <w:p>
      <w:pPr>
        <w:spacing w:before="137"/>
        <w:ind w:left="2592" w:right="2005" w:firstLine="0"/>
        <w:jc w:val="center"/>
        <w:rPr>
          <w:b/>
          <w:sz w:val="24"/>
        </w:rPr>
      </w:pPr>
      <w:r>
        <w:rPr>
          <w:b/>
          <w:sz w:val="24"/>
        </w:rPr>
        <w:t>Medios de impugnación contra el CGIFE por actor (2005-2006)</w:t>
      </w:r>
    </w:p>
    <w:p>
      <w:pPr>
        <w:pStyle w:val="BodyText"/>
        <w:rPr>
          <w:b/>
          <w:sz w:val="20"/>
        </w:rPr>
      </w:pPr>
    </w:p>
    <w:p>
      <w:pPr>
        <w:pStyle w:val="BodyText"/>
        <w:spacing w:before="3"/>
        <w:rPr>
          <w:b/>
          <w:sz w:val="16"/>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02"/>
        <w:gridCol w:w="1189"/>
        <w:gridCol w:w="1253"/>
        <w:gridCol w:w="1260"/>
        <w:gridCol w:w="886"/>
        <w:gridCol w:w="883"/>
        <w:gridCol w:w="889"/>
        <w:gridCol w:w="888"/>
      </w:tblGrid>
      <w:tr>
        <w:trPr>
          <w:trHeight w:val="264" w:hRule="exact"/>
        </w:trPr>
        <w:tc>
          <w:tcPr>
            <w:tcW w:w="1702" w:type="dxa"/>
            <w:vMerge w:val="restart"/>
            <w:shd w:val="clear" w:color="auto" w:fill="D9D9D9"/>
          </w:tcPr>
          <w:p>
            <w:pPr>
              <w:pStyle w:val="TableParagraph"/>
              <w:spacing w:line="242" w:lineRule="auto"/>
              <w:ind w:right="175"/>
              <w:rPr>
                <w:b/>
                <w:sz w:val="22"/>
              </w:rPr>
            </w:pPr>
            <w:r>
              <w:rPr>
                <w:b/>
                <w:sz w:val="22"/>
              </w:rPr>
              <w:t>Organización política</w:t>
            </w:r>
          </w:p>
        </w:tc>
        <w:tc>
          <w:tcPr>
            <w:tcW w:w="3702" w:type="dxa"/>
            <w:gridSpan w:val="3"/>
            <w:shd w:val="clear" w:color="auto" w:fill="D9D9D9"/>
          </w:tcPr>
          <w:p>
            <w:pPr>
              <w:pStyle w:val="TableParagraph"/>
              <w:spacing w:line="248" w:lineRule="exact"/>
              <w:ind w:left="1581" w:right="1581"/>
              <w:jc w:val="center"/>
              <w:rPr>
                <w:b/>
                <w:sz w:val="22"/>
              </w:rPr>
            </w:pPr>
            <w:r>
              <w:rPr>
                <w:b/>
                <w:sz w:val="22"/>
              </w:rPr>
              <w:t>2006</w:t>
            </w:r>
          </w:p>
        </w:tc>
        <w:tc>
          <w:tcPr>
            <w:tcW w:w="2657" w:type="dxa"/>
            <w:gridSpan w:val="3"/>
            <w:shd w:val="clear" w:color="auto" w:fill="D9D9D9"/>
          </w:tcPr>
          <w:p>
            <w:pPr>
              <w:pStyle w:val="TableParagraph"/>
              <w:spacing w:line="248" w:lineRule="exact"/>
              <w:ind w:left="1058" w:right="1060"/>
              <w:jc w:val="center"/>
              <w:rPr>
                <w:b/>
                <w:sz w:val="22"/>
              </w:rPr>
            </w:pPr>
            <w:r>
              <w:rPr>
                <w:b/>
                <w:sz w:val="22"/>
              </w:rPr>
              <w:t>2005</w:t>
            </w:r>
          </w:p>
        </w:tc>
        <w:tc>
          <w:tcPr>
            <w:tcW w:w="888" w:type="dxa"/>
            <w:tcBorders>
              <w:bottom w:val="nil"/>
            </w:tcBorders>
            <w:shd w:val="clear" w:color="auto" w:fill="D9D9D9"/>
          </w:tcPr>
          <w:p>
            <w:pPr>
              <w:pStyle w:val="TableParagraph"/>
              <w:spacing w:line="248" w:lineRule="exact"/>
              <w:rPr>
                <w:b/>
                <w:sz w:val="22"/>
              </w:rPr>
            </w:pPr>
            <w:r>
              <w:rPr>
                <w:b/>
                <w:sz w:val="22"/>
              </w:rPr>
              <w:t>TOP</w:t>
            </w:r>
          </w:p>
        </w:tc>
      </w:tr>
      <w:tr>
        <w:trPr>
          <w:trHeight w:val="262" w:hRule="exact"/>
        </w:trPr>
        <w:tc>
          <w:tcPr>
            <w:tcW w:w="1702" w:type="dxa"/>
            <w:vMerge/>
            <w:shd w:val="clear" w:color="auto" w:fill="D9D9D9"/>
          </w:tcPr>
          <w:p>
            <w:pPr/>
          </w:p>
        </w:tc>
        <w:tc>
          <w:tcPr>
            <w:tcW w:w="1189" w:type="dxa"/>
            <w:shd w:val="clear" w:color="auto" w:fill="D9D9D9"/>
          </w:tcPr>
          <w:p>
            <w:pPr>
              <w:pStyle w:val="TableParagraph"/>
              <w:spacing w:line="248" w:lineRule="exact"/>
              <w:ind w:left="411" w:right="410"/>
              <w:jc w:val="center"/>
              <w:rPr>
                <w:b/>
                <w:sz w:val="22"/>
              </w:rPr>
            </w:pPr>
            <w:r>
              <w:rPr>
                <w:b/>
                <w:sz w:val="22"/>
              </w:rPr>
              <w:t>RA</w:t>
            </w:r>
          </w:p>
        </w:tc>
        <w:tc>
          <w:tcPr>
            <w:tcW w:w="1253" w:type="dxa"/>
            <w:shd w:val="clear" w:color="auto" w:fill="D9D9D9"/>
          </w:tcPr>
          <w:p>
            <w:pPr>
              <w:pStyle w:val="TableParagraph"/>
              <w:spacing w:line="248" w:lineRule="exact"/>
              <w:ind w:left="509" w:right="510"/>
              <w:jc w:val="center"/>
              <w:rPr>
                <w:b/>
                <w:sz w:val="22"/>
              </w:rPr>
            </w:pPr>
            <w:r>
              <w:rPr>
                <w:b/>
                <w:sz w:val="22"/>
              </w:rPr>
              <w:t>JI</w:t>
            </w:r>
          </w:p>
        </w:tc>
        <w:tc>
          <w:tcPr>
            <w:tcW w:w="1260" w:type="dxa"/>
            <w:shd w:val="clear" w:color="auto" w:fill="D9D9D9"/>
          </w:tcPr>
          <w:p>
            <w:pPr>
              <w:pStyle w:val="TableParagraph"/>
              <w:spacing w:line="248" w:lineRule="exact"/>
              <w:ind w:left="446" w:right="446"/>
              <w:jc w:val="center"/>
              <w:rPr>
                <w:b/>
                <w:sz w:val="22"/>
              </w:rPr>
            </w:pPr>
            <w:r>
              <w:rPr>
                <w:b/>
                <w:sz w:val="22"/>
              </w:rPr>
              <w:t>RR</w:t>
            </w:r>
          </w:p>
        </w:tc>
        <w:tc>
          <w:tcPr>
            <w:tcW w:w="886" w:type="dxa"/>
            <w:shd w:val="clear" w:color="auto" w:fill="D9D9D9"/>
          </w:tcPr>
          <w:p>
            <w:pPr>
              <w:pStyle w:val="TableParagraph"/>
              <w:spacing w:line="248" w:lineRule="exact"/>
              <w:ind w:left="262" w:right="255"/>
              <w:jc w:val="center"/>
              <w:rPr>
                <w:b/>
                <w:sz w:val="22"/>
              </w:rPr>
            </w:pPr>
            <w:r>
              <w:rPr>
                <w:b/>
                <w:sz w:val="22"/>
              </w:rPr>
              <w:t>RA</w:t>
            </w:r>
          </w:p>
        </w:tc>
        <w:tc>
          <w:tcPr>
            <w:tcW w:w="883" w:type="dxa"/>
            <w:shd w:val="clear" w:color="auto" w:fill="D9D9D9"/>
          </w:tcPr>
          <w:p>
            <w:pPr>
              <w:pStyle w:val="TableParagraph"/>
              <w:spacing w:line="248" w:lineRule="exact"/>
              <w:ind w:left="325" w:right="325"/>
              <w:jc w:val="center"/>
              <w:rPr>
                <w:b/>
                <w:sz w:val="22"/>
              </w:rPr>
            </w:pPr>
            <w:r>
              <w:rPr>
                <w:b/>
                <w:sz w:val="22"/>
              </w:rPr>
              <w:t>JI</w:t>
            </w:r>
          </w:p>
        </w:tc>
        <w:tc>
          <w:tcPr>
            <w:tcW w:w="889" w:type="dxa"/>
            <w:shd w:val="clear" w:color="auto" w:fill="D9D9D9"/>
          </w:tcPr>
          <w:p>
            <w:pPr>
              <w:pStyle w:val="TableParagraph"/>
              <w:spacing w:line="248" w:lineRule="exact"/>
              <w:ind w:left="260" w:right="260"/>
              <w:jc w:val="center"/>
              <w:rPr>
                <w:b/>
                <w:sz w:val="22"/>
              </w:rPr>
            </w:pPr>
            <w:r>
              <w:rPr>
                <w:b/>
                <w:sz w:val="22"/>
              </w:rPr>
              <w:t>RR</w:t>
            </w:r>
          </w:p>
        </w:tc>
        <w:tc>
          <w:tcPr>
            <w:tcW w:w="888" w:type="dxa"/>
            <w:tcBorders>
              <w:top w:val="nil"/>
            </w:tcBorders>
            <w:shd w:val="clear" w:color="auto" w:fill="D9D9D9"/>
          </w:tcPr>
          <w:p>
            <w:pPr/>
          </w:p>
        </w:tc>
      </w:tr>
      <w:tr>
        <w:trPr>
          <w:trHeight w:val="289" w:hRule="exact"/>
        </w:trPr>
        <w:tc>
          <w:tcPr>
            <w:tcW w:w="1702" w:type="dxa"/>
            <w:shd w:val="clear" w:color="auto" w:fill="D9D9D9"/>
          </w:tcPr>
          <w:p>
            <w:pPr>
              <w:pStyle w:val="TableParagraph"/>
              <w:spacing w:line="275" w:lineRule="exact"/>
              <w:ind w:left="184" w:right="185"/>
              <w:jc w:val="center"/>
              <w:rPr>
                <w:sz w:val="24"/>
              </w:rPr>
            </w:pPr>
            <w:r>
              <w:rPr>
                <w:sz w:val="24"/>
              </w:rPr>
              <w:t>APN</w:t>
            </w:r>
          </w:p>
        </w:tc>
        <w:tc>
          <w:tcPr>
            <w:tcW w:w="1189" w:type="dxa"/>
            <w:tcBorders>
              <w:left w:val="thickThinMediumGap" w:sz="23" w:space="0" w:color="D9D9D9"/>
            </w:tcBorders>
          </w:tcPr>
          <w:p>
            <w:pPr>
              <w:pStyle w:val="TableParagraph"/>
              <w:spacing w:line="275" w:lineRule="exact"/>
              <w:ind w:left="384" w:right="434"/>
              <w:jc w:val="center"/>
              <w:rPr>
                <w:sz w:val="24"/>
              </w:rPr>
            </w:pPr>
            <w:r>
              <w:rPr>
                <w:sz w:val="24"/>
              </w:rPr>
              <w:t>18</w:t>
            </w:r>
          </w:p>
        </w:tc>
        <w:tc>
          <w:tcPr>
            <w:tcW w:w="1253" w:type="dxa"/>
          </w:tcPr>
          <w:p>
            <w:pPr>
              <w:pStyle w:val="TableParagraph"/>
              <w:spacing w:line="275" w:lineRule="exact"/>
              <w:ind w:left="0" w:right="3"/>
              <w:jc w:val="center"/>
              <w:rPr>
                <w:sz w:val="24"/>
              </w:rPr>
            </w:pPr>
            <w:r>
              <w:rPr>
                <w:w w:val="99"/>
                <w:sz w:val="24"/>
              </w:rPr>
              <w:t>4</w:t>
            </w:r>
          </w:p>
        </w:tc>
        <w:tc>
          <w:tcPr>
            <w:tcW w:w="1260" w:type="dxa"/>
          </w:tcPr>
          <w:p>
            <w:pPr>
              <w:pStyle w:val="TableParagraph"/>
              <w:spacing w:line="275" w:lineRule="exact"/>
              <w:ind w:left="0"/>
              <w:jc w:val="center"/>
              <w:rPr>
                <w:sz w:val="24"/>
              </w:rPr>
            </w:pPr>
            <w:r>
              <w:rPr>
                <w:w w:val="99"/>
                <w:sz w:val="24"/>
              </w:rPr>
              <w:t>-</w:t>
            </w:r>
          </w:p>
        </w:tc>
        <w:tc>
          <w:tcPr>
            <w:tcW w:w="886" w:type="dxa"/>
          </w:tcPr>
          <w:p>
            <w:pPr>
              <w:pStyle w:val="TableParagraph"/>
              <w:spacing w:line="275" w:lineRule="exact"/>
              <w:ind w:left="1"/>
              <w:jc w:val="center"/>
              <w:rPr>
                <w:sz w:val="24"/>
              </w:rPr>
            </w:pPr>
            <w:r>
              <w:rPr>
                <w:w w:val="99"/>
                <w:sz w:val="24"/>
              </w:rPr>
              <w:t>6</w:t>
            </w:r>
          </w:p>
        </w:tc>
        <w:tc>
          <w:tcPr>
            <w:tcW w:w="883" w:type="dxa"/>
          </w:tcPr>
          <w:p>
            <w:pPr>
              <w:pStyle w:val="TableParagraph"/>
              <w:spacing w:line="275" w:lineRule="exact"/>
              <w:ind w:left="0" w:right="1"/>
              <w:jc w:val="center"/>
              <w:rPr>
                <w:sz w:val="24"/>
              </w:rPr>
            </w:pPr>
            <w:r>
              <w:rPr>
                <w:w w:val="99"/>
                <w:sz w:val="24"/>
              </w:rPr>
              <w:t>-</w:t>
            </w:r>
          </w:p>
        </w:tc>
        <w:tc>
          <w:tcPr>
            <w:tcW w:w="889" w:type="dxa"/>
            <w:tcBorders>
              <w:right w:val="single" w:sz="41" w:space="0" w:color="D9D9D9"/>
            </w:tcBorders>
          </w:tcPr>
          <w:p>
            <w:pPr>
              <w:pStyle w:val="TableParagraph"/>
              <w:spacing w:line="275" w:lineRule="exact"/>
              <w:ind w:left="44"/>
              <w:jc w:val="center"/>
              <w:rPr>
                <w:sz w:val="24"/>
              </w:rPr>
            </w:pPr>
            <w:r>
              <w:rPr>
                <w:w w:val="99"/>
                <w:sz w:val="24"/>
              </w:rPr>
              <w:t>-</w:t>
            </w:r>
          </w:p>
        </w:tc>
        <w:tc>
          <w:tcPr>
            <w:tcW w:w="888" w:type="dxa"/>
            <w:shd w:val="clear" w:color="auto" w:fill="D9D9D9"/>
          </w:tcPr>
          <w:p>
            <w:pPr>
              <w:pStyle w:val="TableParagraph"/>
              <w:spacing w:line="275" w:lineRule="exact"/>
              <w:ind w:left="285" w:right="285"/>
              <w:jc w:val="center"/>
              <w:rPr>
                <w:sz w:val="24"/>
              </w:rPr>
            </w:pPr>
            <w:r>
              <w:rPr>
                <w:sz w:val="24"/>
              </w:rPr>
              <w:t>28</w:t>
            </w:r>
          </w:p>
        </w:tc>
      </w:tr>
      <w:tr>
        <w:trPr>
          <w:trHeight w:val="286" w:hRule="exact"/>
        </w:trPr>
        <w:tc>
          <w:tcPr>
            <w:tcW w:w="1702" w:type="dxa"/>
            <w:shd w:val="clear" w:color="auto" w:fill="D9D9D9"/>
          </w:tcPr>
          <w:p>
            <w:pPr>
              <w:pStyle w:val="TableParagraph"/>
              <w:spacing w:line="272" w:lineRule="exact"/>
              <w:ind w:left="184" w:right="185"/>
              <w:jc w:val="center"/>
              <w:rPr>
                <w:sz w:val="24"/>
              </w:rPr>
            </w:pPr>
            <w:r>
              <w:rPr>
                <w:sz w:val="24"/>
              </w:rPr>
              <w:t>PAN</w:t>
            </w:r>
          </w:p>
        </w:tc>
        <w:tc>
          <w:tcPr>
            <w:tcW w:w="1189" w:type="dxa"/>
            <w:tcBorders>
              <w:left w:val="thickThinMediumGap" w:sz="23" w:space="0" w:color="D9D9D9"/>
            </w:tcBorders>
          </w:tcPr>
          <w:p>
            <w:pPr>
              <w:pStyle w:val="TableParagraph"/>
              <w:spacing w:line="272" w:lineRule="exact"/>
              <w:ind w:left="0" w:right="54"/>
              <w:jc w:val="center"/>
              <w:rPr>
                <w:sz w:val="24"/>
              </w:rPr>
            </w:pPr>
            <w:r>
              <w:rPr>
                <w:w w:val="99"/>
                <w:sz w:val="24"/>
              </w:rPr>
              <w:t>9</w:t>
            </w:r>
          </w:p>
        </w:tc>
        <w:tc>
          <w:tcPr>
            <w:tcW w:w="1253" w:type="dxa"/>
          </w:tcPr>
          <w:p>
            <w:pPr>
              <w:pStyle w:val="TableParagraph"/>
              <w:spacing w:line="272" w:lineRule="exact"/>
              <w:ind w:left="0" w:right="4"/>
              <w:jc w:val="center"/>
              <w:rPr>
                <w:sz w:val="24"/>
              </w:rPr>
            </w:pPr>
            <w:r>
              <w:rPr>
                <w:w w:val="99"/>
                <w:sz w:val="24"/>
              </w:rPr>
              <w:t>-</w:t>
            </w:r>
          </w:p>
        </w:tc>
        <w:tc>
          <w:tcPr>
            <w:tcW w:w="1260" w:type="dxa"/>
          </w:tcPr>
          <w:p>
            <w:pPr>
              <w:pStyle w:val="TableParagraph"/>
              <w:spacing w:line="272" w:lineRule="exact"/>
              <w:ind w:left="0"/>
              <w:jc w:val="center"/>
              <w:rPr>
                <w:sz w:val="24"/>
              </w:rPr>
            </w:pPr>
            <w:r>
              <w:rPr>
                <w:w w:val="99"/>
                <w:sz w:val="24"/>
              </w:rPr>
              <w:t>-</w:t>
            </w:r>
          </w:p>
        </w:tc>
        <w:tc>
          <w:tcPr>
            <w:tcW w:w="886" w:type="dxa"/>
          </w:tcPr>
          <w:p>
            <w:pPr>
              <w:pStyle w:val="TableParagraph"/>
              <w:spacing w:line="272" w:lineRule="exact"/>
              <w:ind w:left="1"/>
              <w:jc w:val="center"/>
              <w:rPr>
                <w:sz w:val="24"/>
              </w:rPr>
            </w:pPr>
            <w:r>
              <w:rPr>
                <w:w w:val="99"/>
                <w:sz w:val="24"/>
              </w:rPr>
              <w:t>4</w:t>
            </w:r>
          </w:p>
        </w:tc>
        <w:tc>
          <w:tcPr>
            <w:tcW w:w="883" w:type="dxa"/>
          </w:tcPr>
          <w:p>
            <w:pPr>
              <w:pStyle w:val="TableParagraph"/>
              <w:spacing w:line="272" w:lineRule="exact"/>
              <w:ind w:left="0" w:right="1"/>
              <w:jc w:val="center"/>
              <w:rPr>
                <w:sz w:val="24"/>
              </w:rPr>
            </w:pPr>
            <w:r>
              <w:rPr>
                <w:w w:val="99"/>
                <w:sz w:val="24"/>
              </w:rPr>
              <w:t>-</w:t>
            </w:r>
          </w:p>
        </w:tc>
        <w:tc>
          <w:tcPr>
            <w:tcW w:w="889" w:type="dxa"/>
            <w:tcBorders>
              <w:right w:val="single" w:sz="41" w:space="0" w:color="D9D9D9"/>
            </w:tcBorders>
          </w:tcPr>
          <w:p>
            <w:pPr>
              <w:pStyle w:val="TableParagraph"/>
              <w:spacing w:line="272" w:lineRule="exact"/>
              <w:ind w:left="44"/>
              <w:jc w:val="center"/>
              <w:rPr>
                <w:sz w:val="24"/>
              </w:rPr>
            </w:pPr>
            <w:r>
              <w:rPr>
                <w:w w:val="99"/>
                <w:sz w:val="24"/>
              </w:rPr>
              <w:t>-</w:t>
            </w:r>
          </w:p>
        </w:tc>
        <w:tc>
          <w:tcPr>
            <w:tcW w:w="888" w:type="dxa"/>
            <w:shd w:val="clear" w:color="auto" w:fill="D9D9D9"/>
          </w:tcPr>
          <w:p>
            <w:pPr>
              <w:pStyle w:val="TableParagraph"/>
              <w:spacing w:line="272" w:lineRule="exact"/>
              <w:ind w:left="285" w:right="285"/>
              <w:jc w:val="center"/>
              <w:rPr>
                <w:sz w:val="24"/>
              </w:rPr>
            </w:pPr>
            <w:r>
              <w:rPr>
                <w:sz w:val="24"/>
              </w:rPr>
              <w:t>13</w:t>
            </w:r>
          </w:p>
        </w:tc>
      </w:tr>
      <w:tr>
        <w:trPr>
          <w:trHeight w:val="286" w:hRule="exact"/>
        </w:trPr>
        <w:tc>
          <w:tcPr>
            <w:tcW w:w="1702" w:type="dxa"/>
            <w:shd w:val="clear" w:color="auto" w:fill="D9D9D9"/>
          </w:tcPr>
          <w:p>
            <w:pPr>
              <w:pStyle w:val="TableParagraph"/>
              <w:spacing w:line="272" w:lineRule="exact"/>
              <w:ind w:left="184" w:right="184"/>
              <w:jc w:val="center"/>
              <w:rPr>
                <w:sz w:val="24"/>
              </w:rPr>
            </w:pPr>
            <w:r>
              <w:rPr>
                <w:sz w:val="24"/>
              </w:rPr>
              <w:t>CPBT</w:t>
            </w:r>
          </w:p>
        </w:tc>
        <w:tc>
          <w:tcPr>
            <w:tcW w:w="1189" w:type="dxa"/>
            <w:tcBorders>
              <w:left w:val="thickThinMediumGap" w:sz="23" w:space="0" w:color="D9D9D9"/>
            </w:tcBorders>
          </w:tcPr>
          <w:p>
            <w:pPr>
              <w:pStyle w:val="TableParagraph"/>
              <w:spacing w:line="272" w:lineRule="exact"/>
              <w:ind w:left="384" w:right="434"/>
              <w:jc w:val="center"/>
              <w:rPr>
                <w:sz w:val="24"/>
              </w:rPr>
            </w:pPr>
            <w:r>
              <w:rPr>
                <w:sz w:val="24"/>
              </w:rPr>
              <w:t>13</w:t>
            </w:r>
          </w:p>
        </w:tc>
        <w:tc>
          <w:tcPr>
            <w:tcW w:w="1253" w:type="dxa"/>
          </w:tcPr>
          <w:p>
            <w:pPr>
              <w:pStyle w:val="TableParagraph"/>
              <w:spacing w:line="272" w:lineRule="exact"/>
              <w:ind w:left="0" w:right="4"/>
              <w:jc w:val="center"/>
              <w:rPr>
                <w:sz w:val="24"/>
              </w:rPr>
            </w:pPr>
            <w:r>
              <w:rPr>
                <w:w w:val="99"/>
                <w:sz w:val="24"/>
              </w:rPr>
              <w:t>-</w:t>
            </w:r>
          </w:p>
        </w:tc>
        <w:tc>
          <w:tcPr>
            <w:tcW w:w="1260" w:type="dxa"/>
          </w:tcPr>
          <w:p>
            <w:pPr>
              <w:pStyle w:val="TableParagraph"/>
              <w:spacing w:line="272" w:lineRule="exact"/>
              <w:ind w:left="0" w:right="1"/>
              <w:jc w:val="center"/>
              <w:rPr>
                <w:sz w:val="24"/>
              </w:rPr>
            </w:pPr>
            <w:r>
              <w:rPr>
                <w:w w:val="99"/>
                <w:sz w:val="24"/>
              </w:rPr>
              <w:t>1</w:t>
            </w:r>
          </w:p>
        </w:tc>
        <w:tc>
          <w:tcPr>
            <w:tcW w:w="886" w:type="dxa"/>
          </w:tcPr>
          <w:p>
            <w:pPr>
              <w:pStyle w:val="TableParagraph"/>
              <w:spacing w:line="272" w:lineRule="exact"/>
              <w:ind w:left="0"/>
              <w:jc w:val="center"/>
              <w:rPr>
                <w:sz w:val="24"/>
              </w:rPr>
            </w:pPr>
            <w:r>
              <w:rPr>
                <w:w w:val="99"/>
                <w:sz w:val="24"/>
              </w:rPr>
              <w:t>-</w:t>
            </w:r>
          </w:p>
        </w:tc>
        <w:tc>
          <w:tcPr>
            <w:tcW w:w="883" w:type="dxa"/>
          </w:tcPr>
          <w:p>
            <w:pPr>
              <w:pStyle w:val="TableParagraph"/>
              <w:spacing w:line="272" w:lineRule="exact"/>
              <w:ind w:left="0" w:right="1"/>
              <w:jc w:val="center"/>
              <w:rPr>
                <w:sz w:val="24"/>
              </w:rPr>
            </w:pPr>
            <w:r>
              <w:rPr>
                <w:w w:val="99"/>
                <w:sz w:val="24"/>
              </w:rPr>
              <w:t>-</w:t>
            </w:r>
          </w:p>
        </w:tc>
        <w:tc>
          <w:tcPr>
            <w:tcW w:w="889" w:type="dxa"/>
            <w:tcBorders>
              <w:right w:val="single" w:sz="41" w:space="0" w:color="D9D9D9"/>
            </w:tcBorders>
          </w:tcPr>
          <w:p>
            <w:pPr>
              <w:pStyle w:val="TableParagraph"/>
              <w:spacing w:line="272" w:lineRule="exact"/>
              <w:ind w:left="44"/>
              <w:jc w:val="center"/>
              <w:rPr>
                <w:sz w:val="24"/>
              </w:rPr>
            </w:pPr>
            <w:r>
              <w:rPr>
                <w:w w:val="99"/>
                <w:sz w:val="24"/>
              </w:rPr>
              <w:t>-</w:t>
            </w:r>
          </w:p>
        </w:tc>
        <w:tc>
          <w:tcPr>
            <w:tcW w:w="888" w:type="dxa"/>
            <w:shd w:val="clear" w:color="auto" w:fill="D9D9D9"/>
          </w:tcPr>
          <w:p>
            <w:pPr>
              <w:pStyle w:val="TableParagraph"/>
              <w:spacing w:line="272" w:lineRule="exact"/>
              <w:ind w:left="285" w:right="285"/>
              <w:jc w:val="center"/>
              <w:rPr>
                <w:sz w:val="24"/>
              </w:rPr>
            </w:pPr>
            <w:r>
              <w:rPr>
                <w:sz w:val="24"/>
              </w:rPr>
              <w:t>14</w:t>
            </w:r>
          </w:p>
        </w:tc>
      </w:tr>
      <w:tr>
        <w:trPr>
          <w:trHeight w:val="286" w:hRule="exact"/>
        </w:trPr>
        <w:tc>
          <w:tcPr>
            <w:tcW w:w="1702" w:type="dxa"/>
            <w:shd w:val="clear" w:color="auto" w:fill="D9D9D9"/>
          </w:tcPr>
          <w:p>
            <w:pPr>
              <w:pStyle w:val="TableParagraph"/>
              <w:spacing w:line="272" w:lineRule="exact"/>
              <w:ind w:left="184" w:right="184"/>
              <w:jc w:val="center"/>
              <w:rPr>
                <w:sz w:val="24"/>
              </w:rPr>
            </w:pPr>
            <w:r>
              <w:rPr>
                <w:sz w:val="24"/>
              </w:rPr>
              <w:t>PRD</w:t>
            </w:r>
          </w:p>
        </w:tc>
        <w:tc>
          <w:tcPr>
            <w:tcW w:w="1189" w:type="dxa"/>
            <w:tcBorders>
              <w:left w:val="thickThinMediumGap" w:sz="23" w:space="0" w:color="D9D9D9"/>
            </w:tcBorders>
          </w:tcPr>
          <w:p>
            <w:pPr>
              <w:pStyle w:val="TableParagraph"/>
              <w:spacing w:line="272" w:lineRule="exact"/>
              <w:ind w:left="0" w:right="54"/>
              <w:jc w:val="center"/>
              <w:rPr>
                <w:sz w:val="24"/>
              </w:rPr>
            </w:pPr>
            <w:r>
              <w:rPr>
                <w:w w:val="99"/>
                <w:sz w:val="24"/>
              </w:rPr>
              <w:t>6</w:t>
            </w:r>
          </w:p>
        </w:tc>
        <w:tc>
          <w:tcPr>
            <w:tcW w:w="1253" w:type="dxa"/>
          </w:tcPr>
          <w:p>
            <w:pPr>
              <w:pStyle w:val="TableParagraph"/>
              <w:spacing w:line="272" w:lineRule="exact"/>
              <w:ind w:left="0" w:right="4"/>
              <w:jc w:val="center"/>
              <w:rPr>
                <w:sz w:val="24"/>
              </w:rPr>
            </w:pPr>
            <w:r>
              <w:rPr>
                <w:w w:val="99"/>
                <w:sz w:val="24"/>
              </w:rPr>
              <w:t>-</w:t>
            </w:r>
          </w:p>
        </w:tc>
        <w:tc>
          <w:tcPr>
            <w:tcW w:w="1260" w:type="dxa"/>
          </w:tcPr>
          <w:p>
            <w:pPr>
              <w:pStyle w:val="TableParagraph"/>
              <w:spacing w:line="272" w:lineRule="exact"/>
              <w:ind w:left="0"/>
              <w:jc w:val="center"/>
              <w:rPr>
                <w:sz w:val="24"/>
              </w:rPr>
            </w:pPr>
            <w:r>
              <w:rPr>
                <w:w w:val="99"/>
                <w:sz w:val="24"/>
              </w:rPr>
              <w:t>-</w:t>
            </w:r>
          </w:p>
        </w:tc>
        <w:tc>
          <w:tcPr>
            <w:tcW w:w="886" w:type="dxa"/>
          </w:tcPr>
          <w:p>
            <w:pPr>
              <w:pStyle w:val="TableParagraph"/>
              <w:spacing w:line="272" w:lineRule="exact"/>
              <w:ind w:left="1"/>
              <w:jc w:val="center"/>
              <w:rPr>
                <w:sz w:val="24"/>
              </w:rPr>
            </w:pPr>
            <w:r>
              <w:rPr>
                <w:w w:val="99"/>
                <w:sz w:val="24"/>
              </w:rPr>
              <w:t>5</w:t>
            </w:r>
          </w:p>
        </w:tc>
        <w:tc>
          <w:tcPr>
            <w:tcW w:w="883" w:type="dxa"/>
          </w:tcPr>
          <w:p>
            <w:pPr>
              <w:pStyle w:val="TableParagraph"/>
              <w:spacing w:line="272" w:lineRule="exact"/>
              <w:ind w:left="0" w:right="1"/>
              <w:jc w:val="center"/>
              <w:rPr>
                <w:sz w:val="24"/>
              </w:rPr>
            </w:pPr>
            <w:r>
              <w:rPr>
                <w:w w:val="99"/>
                <w:sz w:val="24"/>
              </w:rPr>
              <w:t>-</w:t>
            </w:r>
          </w:p>
        </w:tc>
        <w:tc>
          <w:tcPr>
            <w:tcW w:w="889" w:type="dxa"/>
            <w:tcBorders>
              <w:right w:val="single" w:sz="41" w:space="0" w:color="D9D9D9"/>
            </w:tcBorders>
          </w:tcPr>
          <w:p>
            <w:pPr>
              <w:pStyle w:val="TableParagraph"/>
              <w:spacing w:line="272" w:lineRule="exact"/>
              <w:ind w:left="44"/>
              <w:jc w:val="center"/>
              <w:rPr>
                <w:sz w:val="24"/>
              </w:rPr>
            </w:pPr>
            <w:r>
              <w:rPr>
                <w:w w:val="99"/>
                <w:sz w:val="24"/>
              </w:rPr>
              <w:t>-</w:t>
            </w:r>
          </w:p>
        </w:tc>
        <w:tc>
          <w:tcPr>
            <w:tcW w:w="888" w:type="dxa"/>
            <w:shd w:val="clear" w:color="auto" w:fill="D9D9D9"/>
          </w:tcPr>
          <w:p>
            <w:pPr>
              <w:pStyle w:val="TableParagraph"/>
              <w:spacing w:line="272" w:lineRule="exact"/>
              <w:ind w:left="285" w:right="285"/>
              <w:jc w:val="center"/>
              <w:rPr>
                <w:sz w:val="24"/>
              </w:rPr>
            </w:pPr>
            <w:r>
              <w:rPr>
                <w:sz w:val="24"/>
              </w:rPr>
              <w:t>11</w:t>
            </w:r>
          </w:p>
        </w:tc>
      </w:tr>
      <w:tr>
        <w:trPr>
          <w:trHeight w:val="286" w:hRule="exact"/>
        </w:trPr>
        <w:tc>
          <w:tcPr>
            <w:tcW w:w="1702" w:type="dxa"/>
            <w:shd w:val="clear" w:color="auto" w:fill="D9D9D9"/>
          </w:tcPr>
          <w:p>
            <w:pPr>
              <w:pStyle w:val="TableParagraph"/>
              <w:spacing w:line="272" w:lineRule="exact"/>
              <w:ind w:left="184" w:right="185"/>
              <w:jc w:val="center"/>
              <w:rPr>
                <w:sz w:val="24"/>
              </w:rPr>
            </w:pPr>
            <w:r>
              <w:rPr>
                <w:sz w:val="24"/>
              </w:rPr>
              <w:t>Ciudadanos</w:t>
            </w:r>
          </w:p>
        </w:tc>
        <w:tc>
          <w:tcPr>
            <w:tcW w:w="1189" w:type="dxa"/>
            <w:tcBorders>
              <w:left w:val="thickThinMediumGap" w:sz="23" w:space="0" w:color="D9D9D9"/>
            </w:tcBorders>
          </w:tcPr>
          <w:p>
            <w:pPr>
              <w:pStyle w:val="TableParagraph"/>
              <w:spacing w:line="272" w:lineRule="exact"/>
              <w:ind w:left="0" w:right="54"/>
              <w:jc w:val="center"/>
              <w:rPr>
                <w:sz w:val="24"/>
              </w:rPr>
            </w:pPr>
            <w:r>
              <w:rPr>
                <w:w w:val="99"/>
                <w:sz w:val="24"/>
              </w:rPr>
              <w:t>8</w:t>
            </w:r>
          </w:p>
        </w:tc>
        <w:tc>
          <w:tcPr>
            <w:tcW w:w="1253" w:type="dxa"/>
          </w:tcPr>
          <w:p>
            <w:pPr>
              <w:pStyle w:val="TableParagraph"/>
              <w:spacing w:line="272" w:lineRule="exact"/>
              <w:ind w:left="0" w:right="4"/>
              <w:jc w:val="center"/>
              <w:rPr>
                <w:sz w:val="24"/>
              </w:rPr>
            </w:pPr>
            <w:r>
              <w:rPr>
                <w:w w:val="99"/>
                <w:sz w:val="24"/>
              </w:rPr>
              <w:t>-</w:t>
            </w:r>
          </w:p>
        </w:tc>
        <w:tc>
          <w:tcPr>
            <w:tcW w:w="1260" w:type="dxa"/>
          </w:tcPr>
          <w:p>
            <w:pPr>
              <w:pStyle w:val="TableParagraph"/>
              <w:spacing w:line="272" w:lineRule="exact"/>
              <w:ind w:left="0"/>
              <w:jc w:val="center"/>
              <w:rPr>
                <w:sz w:val="24"/>
              </w:rPr>
            </w:pPr>
            <w:r>
              <w:rPr>
                <w:w w:val="99"/>
                <w:sz w:val="24"/>
              </w:rPr>
              <w:t>-</w:t>
            </w:r>
          </w:p>
        </w:tc>
        <w:tc>
          <w:tcPr>
            <w:tcW w:w="886" w:type="dxa"/>
          </w:tcPr>
          <w:p>
            <w:pPr>
              <w:pStyle w:val="TableParagraph"/>
              <w:spacing w:line="272" w:lineRule="exact"/>
              <w:ind w:left="1"/>
              <w:jc w:val="center"/>
              <w:rPr>
                <w:sz w:val="24"/>
              </w:rPr>
            </w:pPr>
            <w:r>
              <w:rPr>
                <w:w w:val="99"/>
                <w:sz w:val="24"/>
              </w:rPr>
              <w:t>1</w:t>
            </w:r>
          </w:p>
        </w:tc>
        <w:tc>
          <w:tcPr>
            <w:tcW w:w="883" w:type="dxa"/>
          </w:tcPr>
          <w:p>
            <w:pPr>
              <w:pStyle w:val="TableParagraph"/>
              <w:spacing w:line="272" w:lineRule="exact"/>
              <w:ind w:left="0" w:right="1"/>
              <w:jc w:val="center"/>
              <w:rPr>
                <w:sz w:val="24"/>
              </w:rPr>
            </w:pPr>
            <w:r>
              <w:rPr>
                <w:w w:val="99"/>
                <w:sz w:val="24"/>
              </w:rPr>
              <w:t>-</w:t>
            </w:r>
          </w:p>
        </w:tc>
        <w:tc>
          <w:tcPr>
            <w:tcW w:w="889" w:type="dxa"/>
            <w:tcBorders>
              <w:right w:val="single" w:sz="41" w:space="0" w:color="D9D9D9"/>
            </w:tcBorders>
          </w:tcPr>
          <w:p>
            <w:pPr>
              <w:pStyle w:val="TableParagraph"/>
              <w:spacing w:line="272" w:lineRule="exact"/>
              <w:ind w:left="44"/>
              <w:jc w:val="center"/>
              <w:rPr>
                <w:sz w:val="24"/>
              </w:rPr>
            </w:pPr>
            <w:r>
              <w:rPr>
                <w:w w:val="99"/>
                <w:sz w:val="24"/>
              </w:rPr>
              <w:t>-</w:t>
            </w:r>
          </w:p>
        </w:tc>
        <w:tc>
          <w:tcPr>
            <w:tcW w:w="888" w:type="dxa"/>
            <w:shd w:val="clear" w:color="auto" w:fill="D9D9D9"/>
          </w:tcPr>
          <w:p>
            <w:pPr>
              <w:pStyle w:val="TableParagraph"/>
              <w:spacing w:line="272" w:lineRule="exact"/>
              <w:ind w:left="0"/>
              <w:jc w:val="center"/>
              <w:rPr>
                <w:sz w:val="24"/>
              </w:rPr>
            </w:pPr>
            <w:r>
              <w:rPr>
                <w:w w:val="99"/>
                <w:sz w:val="24"/>
              </w:rPr>
              <w:t>9</w:t>
            </w:r>
          </w:p>
        </w:tc>
      </w:tr>
      <w:tr>
        <w:trPr>
          <w:trHeight w:val="286" w:hRule="exact"/>
        </w:trPr>
        <w:tc>
          <w:tcPr>
            <w:tcW w:w="1702" w:type="dxa"/>
            <w:shd w:val="clear" w:color="auto" w:fill="D9D9D9"/>
          </w:tcPr>
          <w:p>
            <w:pPr>
              <w:pStyle w:val="TableParagraph"/>
              <w:spacing w:line="272" w:lineRule="exact"/>
              <w:ind w:left="184" w:right="184"/>
              <w:jc w:val="center"/>
              <w:rPr>
                <w:sz w:val="24"/>
              </w:rPr>
            </w:pPr>
            <w:r>
              <w:rPr>
                <w:sz w:val="24"/>
              </w:rPr>
              <w:t>PRI</w:t>
            </w:r>
          </w:p>
        </w:tc>
        <w:tc>
          <w:tcPr>
            <w:tcW w:w="1189" w:type="dxa"/>
            <w:tcBorders>
              <w:left w:val="thickThinMediumGap" w:sz="23" w:space="0" w:color="D9D9D9"/>
            </w:tcBorders>
          </w:tcPr>
          <w:p>
            <w:pPr>
              <w:pStyle w:val="TableParagraph"/>
              <w:spacing w:line="272" w:lineRule="exact"/>
              <w:ind w:left="0" w:right="54"/>
              <w:jc w:val="center"/>
              <w:rPr>
                <w:sz w:val="24"/>
              </w:rPr>
            </w:pPr>
            <w:r>
              <w:rPr>
                <w:w w:val="99"/>
                <w:sz w:val="24"/>
              </w:rPr>
              <w:t>2</w:t>
            </w:r>
          </w:p>
        </w:tc>
        <w:tc>
          <w:tcPr>
            <w:tcW w:w="1253" w:type="dxa"/>
          </w:tcPr>
          <w:p>
            <w:pPr>
              <w:pStyle w:val="TableParagraph"/>
              <w:spacing w:line="272" w:lineRule="exact"/>
              <w:ind w:left="0" w:right="4"/>
              <w:jc w:val="center"/>
              <w:rPr>
                <w:sz w:val="24"/>
              </w:rPr>
            </w:pPr>
            <w:r>
              <w:rPr>
                <w:w w:val="99"/>
                <w:sz w:val="24"/>
              </w:rPr>
              <w:t>-</w:t>
            </w:r>
          </w:p>
        </w:tc>
        <w:tc>
          <w:tcPr>
            <w:tcW w:w="1260" w:type="dxa"/>
          </w:tcPr>
          <w:p>
            <w:pPr>
              <w:pStyle w:val="TableParagraph"/>
              <w:spacing w:line="272" w:lineRule="exact"/>
              <w:ind w:left="0"/>
              <w:jc w:val="center"/>
              <w:rPr>
                <w:sz w:val="24"/>
              </w:rPr>
            </w:pPr>
            <w:r>
              <w:rPr>
                <w:w w:val="99"/>
                <w:sz w:val="24"/>
              </w:rPr>
              <w:t>-</w:t>
            </w:r>
          </w:p>
        </w:tc>
        <w:tc>
          <w:tcPr>
            <w:tcW w:w="886" w:type="dxa"/>
          </w:tcPr>
          <w:p>
            <w:pPr>
              <w:pStyle w:val="TableParagraph"/>
              <w:spacing w:line="272" w:lineRule="exact"/>
              <w:ind w:left="1"/>
              <w:jc w:val="center"/>
              <w:rPr>
                <w:sz w:val="24"/>
              </w:rPr>
            </w:pPr>
            <w:r>
              <w:rPr>
                <w:w w:val="99"/>
                <w:sz w:val="24"/>
              </w:rPr>
              <w:t>5</w:t>
            </w:r>
          </w:p>
        </w:tc>
        <w:tc>
          <w:tcPr>
            <w:tcW w:w="883" w:type="dxa"/>
          </w:tcPr>
          <w:p>
            <w:pPr>
              <w:pStyle w:val="TableParagraph"/>
              <w:spacing w:line="272" w:lineRule="exact"/>
              <w:ind w:left="0" w:right="1"/>
              <w:jc w:val="center"/>
              <w:rPr>
                <w:sz w:val="24"/>
              </w:rPr>
            </w:pPr>
            <w:r>
              <w:rPr>
                <w:w w:val="99"/>
                <w:sz w:val="24"/>
              </w:rPr>
              <w:t>-</w:t>
            </w:r>
          </w:p>
        </w:tc>
        <w:tc>
          <w:tcPr>
            <w:tcW w:w="889" w:type="dxa"/>
            <w:tcBorders>
              <w:right w:val="single" w:sz="41" w:space="0" w:color="D9D9D9"/>
            </w:tcBorders>
          </w:tcPr>
          <w:p>
            <w:pPr>
              <w:pStyle w:val="TableParagraph"/>
              <w:spacing w:line="272" w:lineRule="exact"/>
              <w:ind w:left="44"/>
              <w:jc w:val="center"/>
              <w:rPr>
                <w:sz w:val="24"/>
              </w:rPr>
            </w:pPr>
            <w:r>
              <w:rPr>
                <w:w w:val="99"/>
                <w:sz w:val="24"/>
              </w:rPr>
              <w:t>-</w:t>
            </w:r>
          </w:p>
        </w:tc>
        <w:tc>
          <w:tcPr>
            <w:tcW w:w="888" w:type="dxa"/>
            <w:shd w:val="clear" w:color="auto" w:fill="D9D9D9"/>
          </w:tcPr>
          <w:p>
            <w:pPr>
              <w:pStyle w:val="TableParagraph"/>
              <w:spacing w:line="272" w:lineRule="exact"/>
              <w:ind w:left="0"/>
              <w:jc w:val="center"/>
              <w:rPr>
                <w:sz w:val="24"/>
              </w:rPr>
            </w:pPr>
            <w:r>
              <w:rPr>
                <w:w w:val="99"/>
                <w:sz w:val="24"/>
              </w:rPr>
              <w:t>7</w:t>
            </w:r>
          </w:p>
        </w:tc>
      </w:tr>
      <w:tr>
        <w:trPr>
          <w:trHeight w:val="288" w:hRule="exact"/>
        </w:trPr>
        <w:tc>
          <w:tcPr>
            <w:tcW w:w="1702" w:type="dxa"/>
            <w:shd w:val="clear" w:color="auto" w:fill="D9D9D9"/>
          </w:tcPr>
          <w:p>
            <w:pPr>
              <w:pStyle w:val="TableParagraph"/>
              <w:spacing w:line="274" w:lineRule="exact"/>
              <w:ind w:left="184" w:right="185"/>
              <w:jc w:val="center"/>
              <w:rPr>
                <w:sz w:val="24"/>
              </w:rPr>
            </w:pPr>
            <w:r>
              <w:rPr>
                <w:sz w:val="24"/>
              </w:rPr>
              <w:t>PT</w:t>
            </w:r>
          </w:p>
        </w:tc>
        <w:tc>
          <w:tcPr>
            <w:tcW w:w="1189" w:type="dxa"/>
            <w:tcBorders>
              <w:left w:val="thickThinMediumGap" w:sz="23" w:space="0" w:color="D9D9D9"/>
            </w:tcBorders>
          </w:tcPr>
          <w:p>
            <w:pPr>
              <w:pStyle w:val="TableParagraph"/>
              <w:spacing w:line="274" w:lineRule="exact"/>
              <w:ind w:left="0" w:right="54"/>
              <w:jc w:val="center"/>
              <w:rPr>
                <w:sz w:val="24"/>
              </w:rPr>
            </w:pPr>
            <w:r>
              <w:rPr>
                <w:w w:val="99"/>
                <w:sz w:val="24"/>
              </w:rPr>
              <w:t>2</w:t>
            </w:r>
          </w:p>
        </w:tc>
        <w:tc>
          <w:tcPr>
            <w:tcW w:w="1253" w:type="dxa"/>
          </w:tcPr>
          <w:p>
            <w:pPr>
              <w:pStyle w:val="TableParagraph"/>
              <w:spacing w:line="274" w:lineRule="exact"/>
              <w:ind w:left="0" w:right="4"/>
              <w:jc w:val="center"/>
              <w:rPr>
                <w:sz w:val="24"/>
              </w:rPr>
            </w:pPr>
            <w:r>
              <w:rPr>
                <w:w w:val="99"/>
                <w:sz w:val="24"/>
              </w:rPr>
              <w:t>-</w:t>
            </w:r>
          </w:p>
        </w:tc>
        <w:tc>
          <w:tcPr>
            <w:tcW w:w="1260" w:type="dxa"/>
          </w:tcPr>
          <w:p>
            <w:pPr>
              <w:pStyle w:val="TableParagraph"/>
              <w:spacing w:line="274" w:lineRule="exact"/>
              <w:ind w:left="0"/>
              <w:jc w:val="center"/>
              <w:rPr>
                <w:sz w:val="24"/>
              </w:rPr>
            </w:pPr>
            <w:r>
              <w:rPr>
                <w:w w:val="99"/>
                <w:sz w:val="24"/>
              </w:rPr>
              <w:t>-</w:t>
            </w:r>
          </w:p>
        </w:tc>
        <w:tc>
          <w:tcPr>
            <w:tcW w:w="886" w:type="dxa"/>
          </w:tcPr>
          <w:p>
            <w:pPr>
              <w:pStyle w:val="TableParagraph"/>
              <w:spacing w:line="274" w:lineRule="exact"/>
              <w:ind w:left="1"/>
              <w:jc w:val="center"/>
              <w:rPr>
                <w:sz w:val="24"/>
              </w:rPr>
            </w:pPr>
            <w:r>
              <w:rPr>
                <w:w w:val="99"/>
                <w:sz w:val="24"/>
              </w:rPr>
              <w:t>2</w:t>
            </w:r>
          </w:p>
        </w:tc>
        <w:tc>
          <w:tcPr>
            <w:tcW w:w="883" w:type="dxa"/>
          </w:tcPr>
          <w:p>
            <w:pPr>
              <w:pStyle w:val="TableParagraph"/>
              <w:spacing w:line="274" w:lineRule="exact"/>
              <w:ind w:left="0" w:right="1"/>
              <w:jc w:val="center"/>
              <w:rPr>
                <w:sz w:val="24"/>
              </w:rPr>
            </w:pPr>
            <w:r>
              <w:rPr>
                <w:w w:val="99"/>
                <w:sz w:val="24"/>
              </w:rPr>
              <w:t>-</w:t>
            </w:r>
          </w:p>
        </w:tc>
        <w:tc>
          <w:tcPr>
            <w:tcW w:w="889" w:type="dxa"/>
            <w:tcBorders>
              <w:right w:val="single" w:sz="41" w:space="0" w:color="D9D9D9"/>
            </w:tcBorders>
          </w:tcPr>
          <w:p>
            <w:pPr>
              <w:pStyle w:val="TableParagraph"/>
              <w:spacing w:line="274" w:lineRule="exact"/>
              <w:ind w:left="44"/>
              <w:jc w:val="center"/>
              <w:rPr>
                <w:sz w:val="24"/>
              </w:rPr>
            </w:pPr>
            <w:r>
              <w:rPr>
                <w:w w:val="99"/>
                <w:sz w:val="24"/>
              </w:rPr>
              <w:t>-</w:t>
            </w:r>
          </w:p>
        </w:tc>
        <w:tc>
          <w:tcPr>
            <w:tcW w:w="888" w:type="dxa"/>
            <w:shd w:val="clear" w:color="auto" w:fill="D9D9D9"/>
          </w:tcPr>
          <w:p>
            <w:pPr>
              <w:pStyle w:val="TableParagraph"/>
              <w:spacing w:line="274" w:lineRule="exact"/>
              <w:ind w:left="0"/>
              <w:jc w:val="center"/>
              <w:rPr>
                <w:sz w:val="24"/>
              </w:rPr>
            </w:pPr>
            <w:r>
              <w:rPr>
                <w:w w:val="99"/>
                <w:sz w:val="24"/>
              </w:rPr>
              <w:t>4</w:t>
            </w:r>
          </w:p>
        </w:tc>
      </w:tr>
      <w:tr>
        <w:trPr>
          <w:trHeight w:val="286" w:hRule="exact"/>
        </w:trPr>
        <w:tc>
          <w:tcPr>
            <w:tcW w:w="1702" w:type="dxa"/>
            <w:shd w:val="clear" w:color="auto" w:fill="D9D9D9"/>
          </w:tcPr>
          <w:p>
            <w:pPr>
              <w:pStyle w:val="TableParagraph"/>
              <w:spacing w:line="272" w:lineRule="exact"/>
              <w:ind w:left="184" w:right="181"/>
              <w:jc w:val="center"/>
              <w:rPr>
                <w:sz w:val="24"/>
              </w:rPr>
            </w:pPr>
            <w:r>
              <w:rPr>
                <w:sz w:val="24"/>
              </w:rPr>
              <w:t>PVEM</w:t>
            </w:r>
          </w:p>
        </w:tc>
        <w:tc>
          <w:tcPr>
            <w:tcW w:w="1189" w:type="dxa"/>
            <w:tcBorders>
              <w:left w:val="thickThinMediumGap" w:sz="23" w:space="0" w:color="D9D9D9"/>
            </w:tcBorders>
          </w:tcPr>
          <w:p>
            <w:pPr>
              <w:pStyle w:val="TableParagraph"/>
              <w:spacing w:line="272" w:lineRule="exact"/>
              <w:ind w:left="0" w:right="54"/>
              <w:jc w:val="center"/>
              <w:rPr>
                <w:sz w:val="24"/>
              </w:rPr>
            </w:pPr>
            <w:r>
              <w:rPr>
                <w:w w:val="99"/>
                <w:sz w:val="24"/>
              </w:rPr>
              <w:t>1</w:t>
            </w:r>
          </w:p>
        </w:tc>
        <w:tc>
          <w:tcPr>
            <w:tcW w:w="1253" w:type="dxa"/>
          </w:tcPr>
          <w:p>
            <w:pPr>
              <w:pStyle w:val="TableParagraph"/>
              <w:spacing w:line="272" w:lineRule="exact"/>
              <w:ind w:left="0" w:right="4"/>
              <w:jc w:val="center"/>
              <w:rPr>
                <w:sz w:val="24"/>
              </w:rPr>
            </w:pPr>
            <w:r>
              <w:rPr>
                <w:w w:val="99"/>
                <w:sz w:val="24"/>
              </w:rPr>
              <w:t>-</w:t>
            </w:r>
          </w:p>
        </w:tc>
        <w:tc>
          <w:tcPr>
            <w:tcW w:w="1260" w:type="dxa"/>
          </w:tcPr>
          <w:p>
            <w:pPr>
              <w:pStyle w:val="TableParagraph"/>
              <w:spacing w:line="272" w:lineRule="exact"/>
              <w:ind w:left="0"/>
              <w:jc w:val="center"/>
              <w:rPr>
                <w:sz w:val="24"/>
              </w:rPr>
            </w:pPr>
            <w:r>
              <w:rPr>
                <w:w w:val="99"/>
                <w:sz w:val="24"/>
              </w:rPr>
              <w:t>-</w:t>
            </w:r>
          </w:p>
        </w:tc>
        <w:tc>
          <w:tcPr>
            <w:tcW w:w="886" w:type="dxa"/>
          </w:tcPr>
          <w:p>
            <w:pPr>
              <w:pStyle w:val="TableParagraph"/>
              <w:spacing w:line="272" w:lineRule="exact"/>
              <w:ind w:left="1"/>
              <w:jc w:val="center"/>
              <w:rPr>
                <w:sz w:val="24"/>
              </w:rPr>
            </w:pPr>
            <w:r>
              <w:rPr>
                <w:w w:val="99"/>
                <w:sz w:val="24"/>
              </w:rPr>
              <w:t>3</w:t>
            </w:r>
          </w:p>
        </w:tc>
        <w:tc>
          <w:tcPr>
            <w:tcW w:w="883" w:type="dxa"/>
          </w:tcPr>
          <w:p>
            <w:pPr>
              <w:pStyle w:val="TableParagraph"/>
              <w:spacing w:line="272" w:lineRule="exact"/>
              <w:ind w:left="0" w:right="1"/>
              <w:jc w:val="center"/>
              <w:rPr>
                <w:sz w:val="24"/>
              </w:rPr>
            </w:pPr>
            <w:r>
              <w:rPr>
                <w:w w:val="99"/>
                <w:sz w:val="24"/>
              </w:rPr>
              <w:t>-</w:t>
            </w:r>
          </w:p>
        </w:tc>
        <w:tc>
          <w:tcPr>
            <w:tcW w:w="889" w:type="dxa"/>
            <w:tcBorders>
              <w:right w:val="single" w:sz="41" w:space="0" w:color="D9D9D9"/>
            </w:tcBorders>
          </w:tcPr>
          <w:p>
            <w:pPr>
              <w:pStyle w:val="TableParagraph"/>
              <w:spacing w:line="272" w:lineRule="exact"/>
              <w:ind w:left="44"/>
              <w:jc w:val="center"/>
              <w:rPr>
                <w:sz w:val="24"/>
              </w:rPr>
            </w:pPr>
            <w:r>
              <w:rPr>
                <w:w w:val="99"/>
                <w:sz w:val="24"/>
              </w:rPr>
              <w:t>-</w:t>
            </w:r>
          </w:p>
        </w:tc>
        <w:tc>
          <w:tcPr>
            <w:tcW w:w="888" w:type="dxa"/>
            <w:shd w:val="clear" w:color="auto" w:fill="D9D9D9"/>
          </w:tcPr>
          <w:p>
            <w:pPr>
              <w:pStyle w:val="TableParagraph"/>
              <w:spacing w:line="272" w:lineRule="exact"/>
              <w:ind w:left="0"/>
              <w:jc w:val="center"/>
              <w:rPr>
                <w:sz w:val="24"/>
              </w:rPr>
            </w:pPr>
            <w:r>
              <w:rPr>
                <w:w w:val="99"/>
                <w:sz w:val="24"/>
              </w:rPr>
              <w:t>4</w:t>
            </w:r>
          </w:p>
        </w:tc>
      </w:tr>
      <w:tr>
        <w:trPr>
          <w:trHeight w:val="286" w:hRule="exact"/>
        </w:trPr>
        <w:tc>
          <w:tcPr>
            <w:tcW w:w="1702" w:type="dxa"/>
            <w:shd w:val="clear" w:color="auto" w:fill="D9D9D9"/>
          </w:tcPr>
          <w:p>
            <w:pPr>
              <w:pStyle w:val="TableParagraph"/>
              <w:spacing w:line="272" w:lineRule="exact"/>
              <w:ind w:left="184" w:right="184"/>
              <w:jc w:val="center"/>
              <w:rPr>
                <w:sz w:val="24"/>
              </w:rPr>
            </w:pPr>
            <w:r>
              <w:rPr>
                <w:sz w:val="24"/>
              </w:rPr>
              <w:t>CAPM</w:t>
            </w:r>
          </w:p>
        </w:tc>
        <w:tc>
          <w:tcPr>
            <w:tcW w:w="1189" w:type="dxa"/>
            <w:tcBorders>
              <w:left w:val="thickThinMediumGap" w:sz="23" w:space="0" w:color="D9D9D9"/>
            </w:tcBorders>
          </w:tcPr>
          <w:p>
            <w:pPr>
              <w:pStyle w:val="TableParagraph"/>
              <w:spacing w:line="272" w:lineRule="exact"/>
              <w:ind w:left="0" w:right="54"/>
              <w:jc w:val="center"/>
              <w:rPr>
                <w:sz w:val="24"/>
              </w:rPr>
            </w:pPr>
            <w:r>
              <w:rPr>
                <w:w w:val="99"/>
                <w:sz w:val="24"/>
              </w:rPr>
              <w:t>4</w:t>
            </w:r>
          </w:p>
        </w:tc>
        <w:tc>
          <w:tcPr>
            <w:tcW w:w="1253" w:type="dxa"/>
          </w:tcPr>
          <w:p>
            <w:pPr>
              <w:pStyle w:val="TableParagraph"/>
              <w:spacing w:line="272" w:lineRule="exact"/>
              <w:ind w:left="0" w:right="4"/>
              <w:jc w:val="center"/>
              <w:rPr>
                <w:sz w:val="24"/>
              </w:rPr>
            </w:pPr>
            <w:r>
              <w:rPr>
                <w:w w:val="99"/>
                <w:sz w:val="24"/>
              </w:rPr>
              <w:t>-</w:t>
            </w:r>
          </w:p>
        </w:tc>
        <w:tc>
          <w:tcPr>
            <w:tcW w:w="1260" w:type="dxa"/>
          </w:tcPr>
          <w:p>
            <w:pPr>
              <w:pStyle w:val="TableParagraph"/>
              <w:spacing w:line="272" w:lineRule="exact"/>
              <w:ind w:left="0"/>
              <w:jc w:val="center"/>
              <w:rPr>
                <w:sz w:val="24"/>
              </w:rPr>
            </w:pPr>
            <w:r>
              <w:rPr>
                <w:w w:val="99"/>
                <w:sz w:val="24"/>
              </w:rPr>
              <w:t>-</w:t>
            </w:r>
          </w:p>
        </w:tc>
        <w:tc>
          <w:tcPr>
            <w:tcW w:w="886" w:type="dxa"/>
          </w:tcPr>
          <w:p>
            <w:pPr>
              <w:pStyle w:val="TableParagraph"/>
              <w:spacing w:line="272" w:lineRule="exact"/>
              <w:ind w:left="0"/>
              <w:jc w:val="center"/>
              <w:rPr>
                <w:sz w:val="24"/>
              </w:rPr>
            </w:pPr>
            <w:r>
              <w:rPr>
                <w:w w:val="99"/>
                <w:sz w:val="24"/>
              </w:rPr>
              <w:t>-</w:t>
            </w:r>
          </w:p>
        </w:tc>
        <w:tc>
          <w:tcPr>
            <w:tcW w:w="883" w:type="dxa"/>
          </w:tcPr>
          <w:p>
            <w:pPr>
              <w:pStyle w:val="TableParagraph"/>
              <w:spacing w:line="272" w:lineRule="exact"/>
              <w:ind w:left="0" w:right="1"/>
              <w:jc w:val="center"/>
              <w:rPr>
                <w:sz w:val="24"/>
              </w:rPr>
            </w:pPr>
            <w:r>
              <w:rPr>
                <w:w w:val="99"/>
                <w:sz w:val="24"/>
              </w:rPr>
              <w:t>-</w:t>
            </w:r>
          </w:p>
        </w:tc>
        <w:tc>
          <w:tcPr>
            <w:tcW w:w="889" w:type="dxa"/>
            <w:tcBorders>
              <w:right w:val="single" w:sz="41" w:space="0" w:color="D9D9D9"/>
            </w:tcBorders>
          </w:tcPr>
          <w:p>
            <w:pPr>
              <w:pStyle w:val="TableParagraph"/>
              <w:spacing w:line="272" w:lineRule="exact"/>
              <w:ind w:left="44"/>
              <w:jc w:val="center"/>
              <w:rPr>
                <w:sz w:val="24"/>
              </w:rPr>
            </w:pPr>
            <w:r>
              <w:rPr>
                <w:w w:val="99"/>
                <w:sz w:val="24"/>
              </w:rPr>
              <w:t>-</w:t>
            </w:r>
          </w:p>
        </w:tc>
        <w:tc>
          <w:tcPr>
            <w:tcW w:w="888" w:type="dxa"/>
            <w:shd w:val="clear" w:color="auto" w:fill="D9D9D9"/>
          </w:tcPr>
          <w:p>
            <w:pPr>
              <w:pStyle w:val="TableParagraph"/>
              <w:spacing w:line="272" w:lineRule="exact"/>
              <w:ind w:left="0"/>
              <w:jc w:val="center"/>
              <w:rPr>
                <w:sz w:val="24"/>
              </w:rPr>
            </w:pPr>
            <w:r>
              <w:rPr>
                <w:w w:val="99"/>
                <w:sz w:val="24"/>
              </w:rPr>
              <w:t>4</w:t>
            </w:r>
          </w:p>
        </w:tc>
      </w:tr>
      <w:tr>
        <w:trPr>
          <w:trHeight w:val="286" w:hRule="exact"/>
        </w:trPr>
        <w:tc>
          <w:tcPr>
            <w:tcW w:w="1702" w:type="dxa"/>
            <w:shd w:val="clear" w:color="auto" w:fill="D9D9D9"/>
          </w:tcPr>
          <w:p>
            <w:pPr>
              <w:pStyle w:val="TableParagraph"/>
              <w:spacing w:line="272" w:lineRule="exact"/>
              <w:ind w:left="184" w:right="183"/>
              <w:jc w:val="center"/>
              <w:rPr>
                <w:sz w:val="24"/>
              </w:rPr>
            </w:pPr>
            <w:r>
              <w:rPr>
                <w:sz w:val="24"/>
              </w:rPr>
              <w:t>PASC</w:t>
            </w:r>
          </w:p>
        </w:tc>
        <w:tc>
          <w:tcPr>
            <w:tcW w:w="1189" w:type="dxa"/>
            <w:tcBorders>
              <w:left w:val="thickThinMediumGap" w:sz="23" w:space="0" w:color="D9D9D9"/>
            </w:tcBorders>
          </w:tcPr>
          <w:p>
            <w:pPr>
              <w:pStyle w:val="TableParagraph"/>
              <w:spacing w:line="272" w:lineRule="exact"/>
              <w:ind w:left="0" w:right="54"/>
              <w:jc w:val="center"/>
              <w:rPr>
                <w:sz w:val="24"/>
              </w:rPr>
            </w:pPr>
            <w:r>
              <w:rPr>
                <w:w w:val="99"/>
                <w:sz w:val="24"/>
              </w:rPr>
              <w:t>3</w:t>
            </w:r>
          </w:p>
        </w:tc>
        <w:tc>
          <w:tcPr>
            <w:tcW w:w="1253" w:type="dxa"/>
          </w:tcPr>
          <w:p>
            <w:pPr>
              <w:pStyle w:val="TableParagraph"/>
              <w:spacing w:line="272" w:lineRule="exact"/>
              <w:ind w:left="0" w:right="4"/>
              <w:jc w:val="center"/>
              <w:rPr>
                <w:sz w:val="24"/>
              </w:rPr>
            </w:pPr>
            <w:r>
              <w:rPr>
                <w:w w:val="99"/>
                <w:sz w:val="24"/>
              </w:rPr>
              <w:t>-</w:t>
            </w:r>
          </w:p>
        </w:tc>
        <w:tc>
          <w:tcPr>
            <w:tcW w:w="1260" w:type="dxa"/>
          </w:tcPr>
          <w:p>
            <w:pPr>
              <w:pStyle w:val="TableParagraph"/>
              <w:spacing w:line="272" w:lineRule="exact"/>
              <w:ind w:left="0"/>
              <w:jc w:val="center"/>
              <w:rPr>
                <w:sz w:val="24"/>
              </w:rPr>
            </w:pPr>
            <w:r>
              <w:rPr>
                <w:w w:val="99"/>
                <w:sz w:val="24"/>
              </w:rPr>
              <w:t>-</w:t>
            </w:r>
          </w:p>
        </w:tc>
        <w:tc>
          <w:tcPr>
            <w:tcW w:w="886" w:type="dxa"/>
          </w:tcPr>
          <w:p>
            <w:pPr>
              <w:pStyle w:val="TableParagraph"/>
              <w:spacing w:line="272" w:lineRule="exact"/>
              <w:ind w:left="0"/>
              <w:jc w:val="center"/>
              <w:rPr>
                <w:sz w:val="24"/>
              </w:rPr>
            </w:pPr>
            <w:r>
              <w:rPr>
                <w:w w:val="99"/>
                <w:sz w:val="24"/>
              </w:rPr>
              <w:t>-</w:t>
            </w:r>
          </w:p>
        </w:tc>
        <w:tc>
          <w:tcPr>
            <w:tcW w:w="883" w:type="dxa"/>
          </w:tcPr>
          <w:p>
            <w:pPr>
              <w:pStyle w:val="TableParagraph"/>
              <w:spacing w:line="272" w:lineRule="exact"/>
              <w:ind w:left="0" w:right="1"/>
              <w:jc w:val="center"/>
              <w:rPr>
                <w:sz w:val="24"/>
              </w:rPr>
            </w:pPr>
            <w:r>
              <w:rPr>
                <w:w w:val="99"/>
                <w:sz w:val="24"/>
              </w:rPr>
              <w:t>-</w:t>
            </w:r>
          </w:p>
        </w:tc>
        <w:tc>
          <w:tcPr>
            <w:tcW w:w="889" w:type="dxa"/>
            <w:tcBorders>
              <w:right w:val="single" w:sz="41" w:space="0" w:color="D9D9D9"/>
            </w:tcBorders>
          </w:tcPr>
          <w:p>
            <w:pPr>
              <w:pStyle w:val="TableParagraph"/>
              <w:spacing w:line="272" w:lineRule="exact"/>
              <w:ind w:left="44"/>
              <w:jc w:val="center"/>
              <w:rPr>
                <w:sz w:val="24"/>
              </w:rPr>
            </w:pPr>
            <w:r>
              <w:rPr>
                <w:w w:val="99"/>
                <w:sz w:val="24"/>
              </w:rPr>
              <w:t>-</w:t>
            </w:r>
          </w:p>
        </w:tc>
        <w:tc>
          <w:tcPr>
            <w:tcW w:w="888" w:type="dxa"/>
            <w:shd w:val="clear" w:color="auto" w:fill="D9D9D9"/>
          </w:tcPr>
          <w:p>
            <w:pPr>
              <w:pStyle w:val="TableParagraph"/>
              <w:spacing w:line="272" w:lineRule="exact"/>
              <w:ind w:left="0"/>
              <w:jc w:val="center"/>
              <w:rPr>
                <w:sz w:val="24"/>
              </w:rPr>
            </w:pPr>
            <w:r>
              <w:rPr>
                <w:w w:val="99"/>
                <w:sz w:val="24"/>
              </w:rPr>
              <w:t>3</w:t>
            </w:r>
          </w:p>
        </w:tc>
      </w:tr>
      <w:tr>
        <w:trPr>
          <w:trHeight w:val="286" w:hRule="exact"/>
        </w:trPr>
        <w:tc>
          <w:tcPr>
            <w:tcW w:w="1702" w:type="dxa"/>
            <w:shd w:val="clear" w:color="auto" w:fill="D9D9D9"/>
          </w:tcPr>
          <w:p>
            <w:pPr>
              <w:pStyle w:val="TableParagraph"/>
              <w:spacing w:line="272" w:lineRule="exact"/>
              <w:ind w:left="184" w:right="184"/>
              <w:jc w:val="center"/>
              <w:rPr>
                <w:sz w:val="24"/>
              </w:rPr>
            </w:pPr>
            <w:r>
              <w:rPr>
                <w:sz w:val="24"/>
              </w:rPr>
              <w:t>PNA</w:t>
            </w:r>
          </w:p>
        </w:tc>
        <w:tc>
          <w:tcPr>
            <w:tcW w:w="1189" w:type="dxa"/>
            <w:tcBorders>
              <w:left w:val="thickThinMediumGap" w:sz="23" w:space="0" w:color="D9D9D9"/>
            </w:tcBorders>
          </w:tcPr>
          <w:p>
            <w:pPr>
              <w:pStyle w:val="TableParagraph"/>
              <w:spacing w:line="272" w:lineRule="exact"/>
              <w:ind w:left="0" w:right="54"/>
              <w:jc w:val="center"/>
              <w:rPr>
                <w:sz w:val="24"/>
              </w:rPr>
            </w:pPr>
            <w:r>
              <w:rPr>
                <w:w w:val="99"/>
                <w:sz w:val="24"/>
              </w:rPr>
              <w:t>3</w:t>
            </w:r>
          </w:p>
        </w:tc>
        <w:tc>
          <w:tcPr>
            <w:tcW w:w="1253" w:type="dxa"/>
          </w:tcPr>
          <w:p>
            <w:pPr>
              <w:pStyle w:val="TableParagraph"/>
              <w:spacing w:line="272" w:lineRule="exact"/>
              <w:ind w:left="0" w:right="4"/>
              <w:jc w:val="center"/>
              <w:rPr>
                <w:sz w:val="24"/>
              </w:rPr>
            </w:pPr>
            <w:r>
              <w:rPr>
                <w:w w:val="99"/>
                <w:sz w:val="24"/>
              </w:rPr>
              <w:t>-</w:t>
            </w:r>
          </w:p>
        </w:tc>
        <w:tc>
          <w:tcPr>
            <w:tcW w:w="1260" w:type="dxa"/>
          </w:tcPr>
          <w:p>
            <w:pPr>
              <w:pStyle w:val="TableParagraph"/>
              <w:spacing w:line="272" w:lineRule="exact"/>
              <w:ind w:left="0"/>
              <w:jc w:val="center"/>
              <w:rPr>
                <w:sz w:val="24"/>
              </w:rPr>
            </w:pPr>
            <w:r>
              <w:rPr>
                <w:w w:val="99"/>
                <w:sz w:val="24"/>
              </w:rPr>
              <w:t>-</w:t>
            </w:r>
          </w:p>
        </w:tc>
        <w:tc>
          <w:tcPr>
            <w:tcW w:w="886" w:type="dxa"/>
          </w:tcPr>
          <w:p>
            <w:pPr>
              <w:pStyle w:val="TableParagraph"/>
              <w:spacing w:line="272" w:lineRule="exact"/>
              <w:ind w:left="0"/>
              <w:jc w:val="center"/>
              <w:rPr>
                <w:sz w:val="24"/>
              </w:rPr>
            </w:pPr>
            <w:r>
              <w:rPr>
                <w:w w:val="99"/>
                <w:sz w:val="24"/>
              </w:rPr>
              <w:t>-</w:t>
            </w:r>
          </w:p>
        </w:tc>
        <w:tc>
          <w:tcPr>
            <w:tcW w:w="883" w:type="dxa"/>
          </w:tcPr>
          <w:p>
            <w:pPr>
              <w:pStyle w:val="TableParagraph"/>
              <w:spacing w:line="272" w:lineRule="exact"/>
              <w:ind w:left="0" w:right="1"/>
              <w:jc w:val="center"/>
              <w:rPr>
                <w:sz w:val="24"/>
              </w:rPr>
            </w:pPr>
            <w:r>
              <w:rPr>
                <w:w w:val="99"/>
                <w:sz w:val="24"/>
              </w:rPr>
              <w:t>-</w:t>
            </w:r>
          </w:p>
        </w:tc>
        <w:tc>
          <w:tcPr>
            <w:tcW w:w="889" w:type="dxa"/>
            <w:tcBorders>
              <w:right w:val="single" w:sz="41" w:space="0" w:color="D9D9D9"/>
            </w:tcBorders>
          </w:tcPr>
          <w:p>
            <w:pPr>
              <w:pStyle w:val="TableParagraph"/>
              <w:spacing w:line="272" w:lineRule="exact"/>
              <w:ind w:left="44"/>
              <w:jc w:val="center"/>
              <w:rPr>
                <w:sz w:val="24"/>
              </w:rPr>
            </w:pPr>
            <w:r>
              <w:rPr>
                <w:w w:val="99"/>
                <w:sz w:val="24"/>
              </w:rPr>
              <w:t>-</w:t>
            </w:r>
          </w:p>
        </w:tc>
        <w:tc>
          <w:tcPr>
            <w:tcW w:w="888" w:type="dxa"/>
            <w:shd w:val="clear" w:color="auto" w:fill="D9D9D9"/>
          </w:tcPr>
          <w:p>
            <w:pPr>
              <w:pStyle w:val="TableParagraph"/>
              <w:spacing w:line="272" w:lineRule="exact"/>
              <w:ind w:left="0"/>
              <w:jc w:val="center"/>
              <w:rPr>
                <w:sz w:val="24"/>
              </w:rPr>
            </w:pPr>
            <w:r>
              <w:rPr>
                <w:w w:val="99"/>
                <w:sz w:val="24"/>
              </w:rPr>
              <w:t>3</w:t>
            </w:r>
          </w:p>
        </w:tc>
      </w:tr>
      <w:tr>
        <w:trPr>
          <w:trHeight w:val="286" w:hRule="exact"/>
        </w:trPr>
        <w:tc>
          <w:tcPr>
            <w:tcW w:w="1702" w:type="dxa"/>
            <w:shd w:val="clear" w:color="auto" w:fill="D9D9D9"/>
          </w:tcPr>
          <w:p>
            <w:pPr>
              <w:pStyle w:val="TableParagraph"/>
              <w:spacing w:line="272" w:lineRule="exact"/>
              <w:ind w:left="184" w:right="184"/>
              <w:jc w:val="center"/>
              <w:rPr>
                <w:sz w:val="24"/>
              </w:rPr>
            </w:pPr>
            <w:r>
              <w:rPr>
                <w:sz w:val="24"/>
              </w:rPr>
              <w:t>PASC</w:t>
            </w:r>
          </w:p>
        </w:tc>
        <w:tc>
          <w:tcPr>
            <w:tcW w:w="1189" w:type="dxa"/>
            <w:tcBorders>
              <w:left w:val="thickThinMediumGap" w:sz="23" w:space="0" w:color="D9D9D9"/>
            </w:tcBorders>
          </w:tcPr>
          <w:p>
            <w:pPr>
              <w:pStyle w:val="TableParagraph"/>
              <w:spacing w:line="272" w:lineRule="exact"/>
              <w:ind w:left="0" w:right="54"/>
              <w:jc w:val="center"/>
              <w:rPr>
                <w:sz w:val="24"/>
              </w:rPr>
            </w:pPr>
            <w:r>
              <w:rPr>
                <w:w w:val="99"/>
                <w:sz w:val="24"/>
              </w:rPr>
              <w:t>1</w:t>
            </w:r>
          </w:p>
        </w:tc>
        <w:tc>
          <w:tcPr>
            <w:tcW w:w="1253" w:type="dxa"/>
          </w:tcPr>
          <w:p>
            <w:pPr>
              <w:pStyle w:val="TableParagraph"/>
              <w:spacing w:line="272" w:lineRule="exact"/>
              <w:ind w:left="0" w:right="4"/>
              <w:jc w:val="center"/>
              <w:rPr>
                <w:sz w:val="24"/>
              </w:rPr>
            </w:pPr>
            <w:r>
              <w:rPr>
                <w:w w:val="99"/>
                <w:sz w:val="24"/>
              </w:rPr>
              <w:t>-</w:t>
            </w:r>
          </w:p>
        </w:tc>
        <w:tc>
          <w:tcPr>
            <w:tcW w:w="1260" w:type="dxa"/>
          </w:tcPr>
          <w:p>
            <w:pPr>
              <w:pStyle w:val="TableParagraph"/>
              <w:spacing w:line="272" w:lineRule="exact"/>
              <w:ind w:left="0"/>
              <w:jc w:val="center"/>
              <w:rPr>
                <w:sz w:val="24"/>
              </w:rPr>
            </w:pPr>
            <w:r>
              <w:rPr>
                <w:w w:val="99"/>
                <w:sz w:val="24"/>
              </w:rPr>
              <w:t>-</w:t>
            </w:r>
          </w:p>
        </w:tc>
        <w:tc>
          <w:tcPr>
            <w:tcW w:w="886" w:type="dxa"/>
          </w:tcPr>
          <w:p>
            <w:pPr>
              <w:pStyle w:val="TableParagraph"/>
              <w:spacing w:line="272" w:lineRule="exact"/>
              <w:ind w:left="1"/>
              <w:jc w:val="center"/>
              <w:rPr>
                <w:sz w:val="24"/>
              </w:rPr>
            </w:pPr>
            <w:r>
              <w:rPr>
                <w:w w:val="99"/>
                <w:sz w:val="24"/>
              </w:rPr>
              <w:t>1</w:t>
            </w:r>
          </w:p>
        </w:tc>
        <w:tc>
          <w:tcPr>
            <w:tcW w:w="883" w:type="dxa"/>
          </w:tcPr>
          <w:p>
            <w:pPr>
              <w:pStyle w:val="TableParagraph"/>
              <w:spacing w:line="272" w:lineRule="exact"/>
              <w:ind w:left="0" w:right="1"/>
              <w:jc w:val="center"/>
              <w:rPr>
                <w:sz w:val="24"/>
              </w:rPr>
            </w:pPr>
            <w:r>
              <w:rPr>
                <w:w w:val="99"/>
                <w:sz w:val="24"/>
              </w:rPr>
              <w:t>-</w:t>
            </w:r>
          </w:p>
        </w:tc>
        <w:tc>
          <w:tcPr>
            <w:tcW w:w="889" w:type="dxa"/>
            <w:tcBorders>
              <w:right w:val="single" w:sz="41" w:space="0" w:color="D9D9D9"/>
            </w:tcBorders>
          </w:tcPr>
          <w:p>
            <w:pPr>
              <w:pStyle w:val="TableParagraph"/>
              <w:spacing w:line="272" w:lineRule="exact"/>
              <w:ind w:left="44"/>
              <w:jc w:val="center"/>
              <w:rPr>
                <w:sz w:val="24"/>
              </w:rPr>
            </w:pPr>
            <w:r>
              <w:rPr>
                <w:w w:val="99"/>
                <w:sz w:val="24"/>
              </w:rPr>
              <w:t>-</w:t>
            </w:r>
          </w:p>
        </w:tc>
        <w:tc>
          <w:tcPr>
            <w:tcW w:w="888" w:type="dxa"/>
            <w:shd w:val="clear" w:color="auto" w:fill="D9D9D9"/>
          </w:tcPr>
          <w:p>
            <w:pPr>
              <w:pStyle w:val="TableParagraph"/>
              <w:spacing w:line="272" w:lineRule="exact"/>
              <w:ind w:left="0"/>
              <w:jc w:val="center"/>
              <w:rPr>
                <w:sz w:val="24"/>
              </w:rPr>
            </w:pPr>
            <w:r>
              <w:rPr>
                <w:w w:val="99"/>
                <w:sz w:val="24"/>
              </w:rPr>
              <w:t>2</w:t>
            </w:r>
          </w:p>
        </w:tc>
      </w:tr>
      <w:tr>
        <w:trPr>
          <w:trHeight w:val="286" w:hRule="exact"/>
        </w:trPr>
        <w:tc>
          <w:tcPr>
            <w:tcW w:w="1702" w:type="dxa"/>
            <w:shd w:val="clear" w:color="auto" w:fill="D9D9D9"/>
          </w:tcPr>
          <w:p>
            <w:pPr>
              <w:pStyle w:val="TableParagraph"/>
              <w:spacing w:line="274" w:lineRule="exact"/>
              <w:ind w:left="184" w:right="185"/>
              <w:jc w:val="center"/>
              <w:rPr>
                <w:sz w:val="24"/>
              </w:rPr>
            </w:pPr>
            <w:r>
              <w:rPr>
                <w:sz w:val="24"/>
              </w:rPr>
              <w:t>PML</w:t>
            </w:r>
          </w:p>
        </w:tc>
        <w:tc>
          <w:tcPr>
            <w:tcW w:w="1189" w:type="dxa"/>
            <w:tcBorders>
              <w:left w:val="thickThinMediumGap" w:sz="23" w:space="0" w:color="D9D9D9"/>
            </w:tcBorders>
          </w:tcPr>
          <w:p>
            <w:pPr>
              <w:pStyle w:val="TableParagraph"/>
              <w:spacing w:line="274" w:lineRule="exact"/>
              <w:ind w:left="0" w:right="54"/>
              <w:jc w:val="center"/>
              <w:rPr>
                <w:sz w:val="24"/>
              </w:rPr>
            </w:pPr>
            <w:r>
              <w:rPr>
                <w:w w:val="99"/>
                <w:sz w:val="24"/>
              </w:rPr>
              <w:t>1</w:t>
            </w:r>
          </w:p>
        </w:tc>
        <w:tc>
          <w:tcPr>
            <w:tcW w:w="1253" w:type="dxa"/>
          </w:tcPr>
          <w:p>
            <w:pPr>
              <w:pStyle w:val="TableParagraph"/>
              <w:spacing w:line="274" w:lineRule="exact"/>
              <w:ind w:left="0" w:right="4"/>
              <w:jc w:val="center"/>
              <w:rPr>
                <w:sz w:val="24"/>
              </w:rPr>
            </w:pPr>
            <w:r>
              <w:rPr>
                <w:w w:val="99"/>
                <w:sz w:val="24"/>
              </w:rPr>
              <w:t>-</w:t>
            </w:r>
          </w:p>
        </w:tc>
        <w:tc>
          <w:tcPr>
            <w:tcW w:w="1260" w:type="dxa"/>
          </w:tcPr>
          <w:p>
            <w:pPr>
              <w:pStyle w:val="TableParagraph"/>
              <w:spacing w:line="274" w:lineRule="exact"/>
              <w:ind w:left="0"/>
              <w:jc w:val="center"/>
              <w:rPr>
                <w:sz w:val="24"/>
              </w:rPr>
            </w:pPr>
            <w:r>
              <w:rPr>
                <w:w w:val="99"/>
                <w:sz w:val="24"/>
              </w:rPr>
              <w:t>-</w:t>
            </w:r>
          </w:p>
        </w:tc>
        <w:tc>
          <w:tcPr>
            <w:tcW w:w="886" w:type="dxa"/>
          </w:tcPr>
          <w:p>
            <w:pPr>
              <w:pStyle w:val="TableParagraph"/>
              <w:spacing w:line="274" w:lineRule="exact"/>
              <w:ind w:left="0"/>
              <w:jc w:val="center"/>
              <w:rPr>
                <w:sz w:val="24"/>
              </w:rPr>
            </w:pPr>
            <w:r>
              <w:rPr>
                <w:w w:val="99"/>
                <w:sz w:val="24"/>
              </w:rPr>
              <w:t>-</w:t>
            </w:r>
          </w:p>
        </w:tc>
        <w:tc>
          <w:tcPr>
            <w:tcW w:w="883" w:type="dxa"/>
          </w:tcPr>
          <w:p>
            <w:pPr>
              <w:pStyle w:val="TableParagraph"/>
              <w:spacing w:line="274" w:lineRule="exact"/>
              <w:ind w:left="0" w:right="1"/>
              <w:jc w:val="center"/>
              <w:rPr>
                <w:sz w:val="24"/>
              </w:rPr>
            </w:pPr>
            <w:r>
              <w:rPr>
                <w:w w:val="99"/>
                <w:sz w:val="24"/>
              </w:rPr>
              <w:t>-</w:t>
            </w:r>
          </w:p>
        </w:tc>
        <w:tc>
          <w:tcPr>
            <w:tcW w:w="889" w:type="dxa"/>
            <w:tcBorders>
              <w:right w:val="single" w:sz="41" w:space="0" w:color="D9D9D9"/>
            </w:tcBorders>
          </w:tcPr>
          <w:p>
            <w:pPr>
              <w:pStyle w:val="TableParagraph"/>
              <w:spacing w:line="274" w:lineRule="exact"/>
              <w:ind w:left="44"/>
              <w:jc w:val="center"/>
              <w:rPr>
                <w:sz w:val="24"/>
              </w:rPr>
            </w:pPr>
            <w:r>
              <w:rPr>
                <w:w w:val="99"/>
                <w:sz w:val="24"/>
              </w:rPr>
              <w:t>-</w:t>
            </w:r>
          </w:p>
        </w:tc>
        <w:tc>
          <w:tcPr>
            <w:tcW w:w="888" w:type="dxa"/>
            <w:shd w:val="clear" w:color="auto" w:fill="D9D9D9"/>
          </w:tcPr>
          <w:p>
            <w:pPr>
              <w:pStyle w:val="TableParagraph"/>
              <w:spacing w:line="274" w:lineRule="exact"/>
              <w:ind w:left="0"/>
              <w:jc w:val="center"/>
              <w:rPr>
                <w:sz w:val="24"/>
              </w:rPr>
            </w:pPr>
            <w:r>
              <w:rPr>
                <w:w w:val="99"/>
                <w:sz w:val="24"/>
              </w:rPr>
              <w:t>1</w:t>
            </w:r>
          </w:p>
        </w:tc>
      </w:tr>
      <w:tr>
        <w:trPr>
          <w:trHeight w:val="288" w:hRule="exact"/>
        </w:trPr>
        <w:tc>
          <w:tcPr>
            <w:tcW w:w="1702" w:type="dxa"/>
            <w:shd w:val="clear" w:color="auto" w:fill="D9D9D9"/>
          </w:tcPr>
          <w:p>
            <w:pPr>
              <w:pStyle w:val="TableParagraph"/>
              <w:spacing w:line="274" w:lineRule="exact"/>
              <w:ind w:left="0" w:right="1"/>
              <w:jc w:val="center"/>
              <w:rPr>
                <w:sz w:val="24"/>
              </w:rPr>
            </w:pPr>
            <w:r>
              <w:rPr>
                <w:w w:val="99"/>
                <w:sz w:val="24"/>
              </w:rPr>
              <w:t>C</w:t>
            </w:r>
          </w:p>
        </w:tc>
        <w:tc>
          <w:tcPr>
            <w:tcW w:w="1189" w:type="dxa"/>
            <w:tcBorders>
              <w:left w:val="thickThinMediumGap" w:sz="23" w:space="0" w:color="D9D9D9"/>
            </w:tcBorders>
          </w:tcPr>
          <w:p>
            <w:pPr>
              <w:pStyle w:val="TableParagraph"/>
              <w:spacing w:line="274" w:lineRule="exact"/>
              <w:ind w:left="0" w:right="50"/>
              <w:jc w:val="center"/>
              <w:rPr>
                <w:sz w:val="24"/>
              </w:rPr>
            </w:pPr>
            <w:r>
              <w:rPr>
                <w:w w:val="99"/>
                <w:sz w:val="24"/>
              </w:rPr>
              <w:t>-</w:t>
            </w:r>
          </w:p>
        </w:tc>
        <w:tc>
          <w:tcPr>
            <w:tcW w:w="1253" w:type="dxa"/>
          </w:tcPr>
          <w:p>
            <w:pPr>
              <w:pStyle w:val="TableParagraph"/>
              <w:spacing w:line="274" w:lineRule="exact"/>
              <w:ind w:left="0" w:right="4"/>
              <w:jc w:val="center"/>
              <w:rPr>
                <w:sz w:val="24"/>
              </w:rPr>
            </w:pPr>
            <w:r>
              <w:rPr>
                <w:w w:val="99"/>
                <w:sz w:val="24"/>
              </w:rPr>
              <w:t>-</w:t>
            </w:r>
          </w:p>
        </w:tc>
        <w:tc>
          <w:tcPr>
            <w:tcW w:w="1260" w:type="dxa"/>
          </w:tcPr>
          <w:p>
            <w:pPr>
              <w:pStyle w:val="TableParagraph"/>
              <w:spacing w:line="274" w:lineRule="exact"/>
              <w:ind w:left="0"/>
              <w:jc w:val="center"/>
              <w:rPr>
                <w:sz w:val="24"/>
              </w:rPr>
            </w:pPr>
            <w:r>
              <w:rPr>
                <w:w w:val="99"/>
                <w:sz w:val="24"/>
              </w:rPr>
              <w:t>-</w:t>
            </w:r>
          </w:p>
        </w:tc>
        <w:tc>
          <w:tcPr>
            <w:tcW w:w="886" w:type="dxa"/>
          </w:tcPr>
          <w:p>
            <w:pPr>
              <w:pStyle w:val="TableParagraph"/>
              <w:spacing w:line="274" w:lineRule="exact"/>
              <w:ind w:left="1"/>
              <w:jc w:val="center"/>
              <w:rPr>
                <w:sz w:val="24"/>
              </w:rPr>
            </w:pPr>
            <w:r>
              <w:rPr>
                <w:w w:val="99"/>
                <w:sz w:val="24"/>
              </w:rPr>
              <w:t>1</w:t>
            </w:r>
          </w:p>
        </w:tc>
        <w:tc>
          <w:tcPr>
            <w:tcW w:w="883" w:type="dxa"/>
          </w:tcPr>
          <w:p>
            <w:pPr>
              <w:pStyle w:val="TableParagraph"/>
              <w:spacing w:line="274" w:lineRule="exact"/>
              <w:ind w:left="0" w:right="1"/>
              <w:jc w:val="center"/>
              <w:rPr>
                <w:sz w:val="24"/>
              </w:rPr>
            </w:pPr>
            <w:r>
              <w:rPr>
                <w:w w:val="99"/>
                <w:sz w:val="24"/>
              </w:rPr>
              <w:t>-</w:t>
            </w:r>
          </w:p>
        </w:tc>
        <w:tc>
          <w:tcPr>
            <w:tcW w:w="889" w:type="dxa"/>
            <w:tcBorders>
              <w:right w:val="single" w:sz="41" w:space="0" w:color="D9D9D9"/>
            </w:tcBorders>
          </w:tcPr>
          <w:p>
            <w:pPr>
              <w:pStyle w:val="TableParagraph"/>
              <w:spacing w:line="274" w:lineRule="exact"/>
              <w:ind w:left="44"/>
              <w:jc w:val="center"/>
              <w:rPr>
                <w:sz w:val="24"/>
              </w:rPr>
            </w:pPr>
            <w:r>
              <w:rPr>
                <w:w w:val="99"/>
                <w:sz w:val="24"/>
              </w:rPr>
              <w:t>-</w:t>
            </w:r>
          </w:p>
        </w:tc>
        <w:tc>
          <w:tcPr>
            <w:tcW w:w="888" w:type="dxa"/>
            <w:shd w:val="clear" w:color="auto" w:fill="D9D9D9"/>
          </w:tcPr>
          <w:p>
            <w:pPr>
              <w:pStyle w:val="TableParagraph"/>
              <w:spacing w:line="274" w:lineRule="exact"/>
              <w:ind w:left="0"/>
              <w:jc w:val="center"/>
              <w:rPr>
                <w:sz w:val="24"/>
              </w:rPr>
            </w:pPr>
            <w:r>
              <w:rPr>
                <w:w w:val="99"/>
                <w:sz w:val="24"/>
              </w:rPr>
              <w:t>1</w:t>
            </w:r>
          </w:p>
        </w:tc>
      </w:tr>
      <w:tr>
        <w:trPr>
          <w:trHeight w:val="286" w:hRule="exact"/>
        </w:trPr>
        <w:tc>
          <w:tcPr>
            <w:tcW w:w="1702" w:type="dxa"/>
            <w:shd w:val="clear" w:color="auto" w:fill="D9D9D9"/>
          </w:tcPr>
          <w:p>
            <w:pPr>
              <w:pStyle w:val="TableParagraph"/>
              <w:spacing w:line="272" w:lineRule="exact"/>
              <w:ind w:left="184" w:right="180"/>
              <w:jc w:val="center"/>
              <w:rPr>
                <w:sz w:val="24"/>
              </w:rPr>
            </w:pPr>
            <w:r>
              <w:rPr>
                <w:sz w:val="24"/>
              </w:rPr>
              <w:t>TR</w:t>
            </w:r>
          </w:p>
        </w:tc>
        <w:tc>
          <w:tcPr>
            <w:tcW w:w="1189" w:type="dxa"/>
            <w:shd w:val="clear" w:color="auto" w:fill="D9D9D9"/>
          </w:tcPr>
          <w:p>
            <w:pPr>
              <w:pStyle w:val="TableParagraph"/>
              <w:spacing w:line="272" w:lineRule="exact"/>
              <w:ind w:left="411" w:right="410"/>
              <w:jc w:val="center"/>
              <w:rPr>
                <w:sz w:val="24"/>
              </w:rPr>
            </w:pPr>
            <w:r>
              <w:rPr>
                <w:sz w:val="24"/>
              </w:rPr>
              <w:t>71</w:t>
            </w:r>
          </w:p>
        </w:tc>
        <w:tc>
          <w:tcPr>
            <w:tcW w:w="1253" w:type="dxa"/>
            <w:shd w:val="clear" w:color="auto" w:fill="D9D9D9"/>
          </w:tcPr>
          <w:p>
            <w:pPr>
              <w:pStyle w:val="TableParagraph"/>
              <w:spacing w:line="272" w:lineRule="exact"/>
              <w:ind w:left="0" w:right="3"/>
              <w:jc w:val="center"/>
              <w:rPr>
                <w:sz w:val="24"/>
              </w:rPr>
            </w:pPr>
            <w:r>
              <w:rPr>
                <w:w w:val="99"/>
                <w:sz w:val="24"/>
              </w:rPr>
              <w:t>4</w:t>
            </w:r>
          </w:p>
        </w:tc>
        <w:tc>
          <w:tcPr>
            <w:tcW w:w="1260" w:type="dxa"/>
            <w:shd w:val="clear" w:color="auto" w:fill="D9D9D9"/>
          </w:tcPr>
          <w:p>
            <w:pPr>
              <w:pStyle w:val="TableParagraph"/>
              <w:spacing w:line="272" w:lineRule="exact"/>
              <w:ind w:left="0" w:right="1"/>
              <w:jc w:val="center"/>
              <w:rPr>
                <w:sz w:val="24"/>
              </w:rPr>
            </w:pPr>
            <w:r>
              <w:rPr>
                <w:w w:val="99"/>
                <w:sz w:val="24"/>
              </w:rPr>
              <w:t>1</w:t>
            </w:r>
          </w:p>
        </w:tc>
        <w:tc>
          <w:tcPr>
            <w:tcW w:w="886" w:type="dxa"/>
            <w:shd w:val="clear" w:color="auto" w:fill="D9D9D9"/>
          </w:tcPr>
          <w:p>
            <w:pPr>
              <w:pStyle w:val="TableParagraph"/>
              <w:spacing w:line="272" w:lineRule="exact"/>
              <w:ind w:left="257" w:right="255"/>
              <w:jc w:val="center"/>
              <w:rPr>
                <w:sz w:val="24"/>
              </w:rPr>
            </w:pPr>
            <w:r>
              <w:rPr>
                <w:sz w:val="24"/>
              </w:rPr>
              <w:t>28</w:t>
            </w:r>
          </w:p>
        </w:tc>
        <w:tc>
          <w:tcPr>
            <w:tcW w:w="883" w:type="dxa"/>
            <w:shd w:val="clear" w:color="auto" w:fill="D9D9D9"/>
          </w:tcPr>
          <w:p>
            <w:pPr>
              <w:pStyle w:val="TableParagraph"/>
              <w:spacing w:line="272" w:lineRule="exact"/>
              <w:ind w:left="0" w:right="1"/>
              <w:jc w:val="center"/>
              <w:rPr>
                <w:sz w:val="24"/>
              </w:rPr>
            </w:pPr>
            <w:r>
              <w:rPr>
                <w:w w:val="99"/>
                <w:sz w:val="24"/>
              </w:rPr>
              <w:t>-</w:t>
            </w:r>
          </w:p>
        </w:tc>
        <w:tc>
          <w:tcPr>
            <w:tcW w:w="889" w:type="dxa"/>
            <w:shd w:val="clear" w:color="auto" w:fill="D9D9D9"/>
          </w:tcPr>
          <w:p>
            <w:pPr>
              <w:pStyle w:val="TableParagraph"/>
              <w:spacing w:line="272" w:lineRule="exact"/>
              <w:ind w:left="0"/>
              <w:jc w:val="center"/>
              <w:rPr>
                <w:sz w:val="24"/>
              </w:rPr>
            </w:pPr>
            <w:r>
              <w:rPr>
                <w:w w:val="99"/>
                <w:sz w:val="24"/>
              </w:rPr>
              <w:t>-</w:t>
            </w:r>
          </w:p>
        </w:tc>
        <w:tc>
          <w:tcPr>
            <w:tcW w:w="888" w:type="dxa"/>
            <w:shd w:val="clear" w:color="auto" w:fill="D9D9D9"/>
          </w:tcPr>
          <w:p>
            <w:pPr>
              <w:pStyle w:val="TableParagraph"/>
              <w:spacing w:line="272" w:lineRule="exact"/>
              <w:ind w:left="0" w:right="235"/>
              <w:jc w:val="right"/>
              <w:rPr>
                <w:sz w:val="24"/>
              </w:rPr>
            </w:pPr>
            <w:r>
              <w:rPr>
                <w:w w:val="95"/>
                <w:sz w:val="24"/>
              </w:rPr>
              <w:t>104</w:t>
            </w:r>
          </w:p>
        </w:tc>
      </w:tr>
      <w:tr>
        <w:trPr>
          <w:trHeight w:val="286" w:hRule="exact"/>
        </w:trPr>
        <w:tc>
          <w:tcPr>
            <w:tcW w:w="1702" w:type="dxa"/>
            <w:shd w:val="clear" w:color="auto" w:fill="D9D9D9"/>
          </w:tcPr>
          <w:p>
            <w:pPr>
              <w:pStyle w:val="TableParagraph"/>
              <w:spacing w:line="272" w:lineRule="exact"/>
              <w:ind w:left="184" w:right="183"/>
              <w:jc w:val="center"/>
              <w:rPr>
                <w:sz w:val="24"/>
              </w:rPr>
            </w:pPr>
            <w:r>
              <w:rPr>
                <w:sz w:val="24"/>
              </w:rPr>
              <w:t>TA</w:t>
            </w:r>
          </w:p>
        </w:tc>
        <w:tc>
          <w:tcPr>
            <w:tcW w:w="3702" w:type="dxa"/>
            <w:gridSpan w:val="3"/>
            <w:shd w:val="clear" w:color="auto" w:fill="D9D9D9"/>
          </w:tcPr>
          <w:p>
            <w:pPr>
              <w:pStyle w:val="TableParagraph"/>
              <w:spacing w:line="272" w:lineRule="exact"/>
              <w:ind w:left="1581" w:right="1581"/>
              <w:jc w:val="center"/>
              <w:rPr>
                <w:sz w:val="24"/>
              </w:rPr>
            </w:pPr>
            <w:r>
              <w:rPr>
                <w:sz w:val="24"/>
              </w:rPr>
              <w:t>76</w:t>
            </w:r>
          </w:p>
        </w:tc>
        <w:tc>
          <w:tcPr>
            <w:tcW w:w="2657" w:type="dxa"/>
            <w:gridSpan w:val="3"/>
            <w:shd w:val="clear" w:color="auto" w:fill="D9D9D9"/>
          </w:tcPr>
          <w:p>
            <w:pPr>
              <w:pStyle w:val="TableParagraph"/>
              <w:spacing w:line="272" w:lineRule="exact"/>
              <w:ind w:left="1058" w:right="1057"/>
              <w:jc w:val="center"/>
              <w:rPr>
                <w:sz w:val="24"/>
              </w:rPr>
            </w:pPr>
            <w:r>
              <w:rPr>
                <w:sz w:val="24"/>
              </w:rPr>
              <w:t>28</w:t>
            </w:r>
          </w:p>
        </w:tc>
        <w:tc>
          <w:tcPr>
            <w:tcW w:w="888" w:type="dxa"/>
            <w:shd w:val="clear" w:color="auto" w:fill="D9D9D9"/>
          </w:tcPr>
          <w:p>
            <w:pPr>
              <w:pStyle w:val="TableParagraph"/>
              <w:spacing w:line="272" w:lineRule="exact"/>
              <w:ind w:left="0" w:right="235"/>
              <w:jc w:val="right"/>
              <w:rPr>
                <w:sz w:val="24"/>
              </w:rPr>
            </w:pPr>
            <w:r>
              <w:rPr>
                <w:w w:val="95"/>
                <w:sz w:val="24"/>
              </w:rPr>
              <w:t>104</w:t>
            </w:r>
          </w:p>
        </w:tc>
      </w:tr>
    </w:tbl>
    <w:p>
      <w:pPr>
        <w:spacing w:line="240" w:lineRule="auto" w:before="0"/>
        <w:ind w:left="122" w:right="236" w:firstLine="0"/>
        <w:jc w:val="both"/>
        <w:rPr>
          <w:sz w:val="22"/>
        </w:rPr>
      </w:pPr>
      <w:r>
        <w:rPr>
          <w:sz w:val="22"/>
        </w:rPr>
        <w:t>Nota: RA= Recursos de Apelación, JI= Juicios de Inconformidad, RR= Recursos de Reconsideración, TOP= Total por Organización Política, TR= Total por medio de impugnación interpuesto y TA=Total por Año. Fuente: elaboración propia tomando como base datos del TEPJF (2012b).</w:t>
      </w:r>
    </w:p>
    <w:p>
      <w:pPr>
        <w:pStyle w:val="BodyText"/>
        <w:rPr>
          <w:sz w:val="22"/>
        </w:rPr>
      </w:pPr>
    </w:p>
    <w:p>
      <w:pPr>
        <w:pStyle w:val="BodyText"/>
        <w:spacing w:line="360" w:lineRule="auto" w:before="161"/>
        <w:ind w:left="122" w:right="235" w:firstLine="707"/>
        <w:jc w:val="both"/>
      </w:pPr>
      <w:r>
        <w:rPr>
          <w:color w:val="221F1F"/>
        </w:rPr>
        <w:t>Del estudio preliminar se obtuvo que las APN presentaron una mayor cantidad de medios de impugnación ante el TEPJF, seguidas por los partidos PAN y PRD así como por la CPBT. Los partidos que menos medios de impugnación interpusieron fueron: Convergencia, PML, PASC, PNA y PASC. Al sumar los recursos interpuestos por el PRD y la CPBT se observó que la izquierda fue la que (de entre los partidos políticos) más recursos interpuso, lo cual resulta lógico pues fue quien obtuvo el segundo lugar al perder la elección presidencial ante la CAPM.</w:t>
      </w:r>
    </w:p>
    <w:p>
      <w:pPr>
        <w:spacing w:after="0" w:line="360" w:lineRule="auto"/>
        <w:jc w:val="both"/>
        <w:sectPr>
          <w:pgSz w:w="12240" w:h="15840"/>
          <w:pgMar w:header="749" w:footer="1003" w:top="960" w:bottom="1200" w:left="1580" w:right="1460"/>
        </w:sectPr>
      </w:pPr>
    </w:p>
    <w:p>
      <w:pPr>
        <w:pStyle w:val="BodyText"/>
        <w:rPr>
          <w:sz w:val="20"/>
        </w:rPr>
      </w:pPr>
    </w:p>
    <w:p>
      <w:pPr>
        <w:pStyle w:val="BodyText"/>
        <w:spacing w:before="214"/>
        <w:ind w:left="810" w:right="120"/>
      </w:pPr>
      <w:r>
        <w:rPr/>
        <w:t>c2) Análisis de las sentencia por APN o ciudadano</w:t>
      </w:r>
    </w:p>
    <w:p>
      <w:pPr>
        <w:pStyle w:val="BodyText"/>
      </w:pPr>
    </w:p>
    <w:p>
      <w:pPr>
        <w:pStyle w:val="BodyText"/>
      </w:pPr>
    </w:p>
    <w:p>
      <w:pPr>
        <w:pStyle w:val="BodyText"/>
        <w:spacing w:line="360" w:lineRule="auto"/>
        <w:ind w:left="102" w:right="115"/>
        <w:jc w:val="both"/>
      </w:pPr>
      <w:r>
        <w:rPr/>
        <w:t>Este subindicador está estrechamente relacionado con el anterior, ya que para determinar si algún partido u organización resulto más agraviada o favorecida es necesario conocer dos aspectos: primero cuántos medios de impugnación interpuso cada APN o ciudadano y segundo cual fue el resultado de la sentencia que recibieron por parte del tribunal.</w:t>
      </w:r>
    </w:p>
    <w:p>
      <w:pPr>
        <w:pStyle w:val="BodyText"/>
        <w:spacing w:line="360" w:lineRule="auto" w:before="5"/>
        <w:ind w:left="102" w:right="116" w:firstLine="707"/>
        <w:jc w:val="both"/>
      </w:pPr>
      <w:r>
        <w:rPr/>
        <w:t>De acuerdo con el subindicador C1, los partidos políticos que más medios de impugnación interpusieron fueron el PAN y el PRD así como la CPBT; sin embargo, ninguno resultó más agraviado que los demás, pues no tuvieron sentencias revocatorias en ninguno de los recursos interpuestos; lo que pone de manifiesto la imparcialidad de los acuerdos del CGIFE con respecto a las organizaciones políticas.</w:t>
      </w:r>
    </w:p>
    <w:p>
      <w:pPr>
        <w:pStyle w:val="BodyText"/>
        <w:spacing w:line="360" w:lineRule="auto" w:before="5"/>
        <w:ind w:left="102" w:right="116" w:firstLine="707"/>
        <w:jc w:val="both"/>
      </w:pPr>
      <w:r>
        <w:rPr/>
        <w:t>De los 13 medios de impugnación interpuestos por el PAN seis recibieron sentencias confirmatorias (el RAP-18-2006, el RAP-88-2006, el RAP-48-2005, el RAP-58-2005, el RAP-60-2005 y el RAP-77-2005), tres obtuvieron sentencias modificatorias (el RAP-34-2006, el RAP-40-2006 y el RAP-61-2006) y cuatro recibieron resoluciones que desecharon los medios de impugnación interpuestos (el  RAP-35-2006,  el  RAP-53-2006,  el  RAP-57-2006  y  el  RAP-58-2006).  De lo</w:t>
      </w:r>
    </w:p>
    <w:p>
      <w:pPr>
        <w:pStyle w:val="BodyText"/>
        <w:spacing w:line="360" w:lineRule="auto" w:before="5"/>
        <w:ind w:left="102" w:right="114"/>
        <w:jc w:val="both"/>
      </w:pPr>
      <w:r>
        <w:rPr/>
        <w:t>anterior se observa que de los 13 recursos interpuestos por el PAN, seis de ellos confirmaron los actos del CGIFE, de ahí que </w:t>
      </w:r>
      <w:r>
        <w:rPr>
          <w:spacing w:val="2"/>
        </w:rPr>
        <w:t>se </w:t>
      </w:r>
      <w:r>
        <w:rPr/>
        <w:t>puede señalar que sólo en tres (los que obtuvieron sentencias modificatorias) resultaron agraviados por las resoluciones del CGIFE y en los cuatro restantes no se puede saber si los agravios fueron fundados pues se desecharon los recursos. Así al no obtener sentencias revocatorias por parte del TEPJF se concluyó que el PAN no resultó agraviado por los acuerdos del</w:t>
      </w:r>
      <w:r>
        <w:rPr>
          <w:spacing w:val="-11"/>
        </w:rPr>
        <w:t> </w:t>
      </w:r>
      <w:r>
        <w:rPr/>
        <w:t>CGIFE.</w:t>
      </w:r>
    </w:p>
    <w:p>
      <w:pPr>
        <w:pStyle w:val="BodyText"/>
        <w:spacing w:line="360" w:lineRule="auto" w:before="3"/>
        <w:ind w:left="102" w:right="116" w:firstLine="707"/>
        <w:jc w:val="both"/>
      </w:pPr>
      <w:r>
        <w:rPr/>
        <w:t>Por lo que respecta a los 11 medios de impugnación interpuestos por el PRD siete recibieron sentencias confirmatorias (el RAP-2-2006, el RAP-64-2006,  el RAP-70-2006, el RAP-52-2005, el RAP-56-2005,el RAP-57-2005 y el   </w:t>
      </w:r>
      <w:r>
        <w:rPr>
          <w:spacing w:val="18"/>
        </w:rPr>
        <w:t> </w:t>
      </w:r>
      <w:r>
        <w:rPr/>
        <w:t>RAP-78-</w:t>
      </w:r>
    </w:p>
    <w:p>
      <w:pPr>
        <w:pStyle w:val="BodyText"/>
        <w:spacing w:line="360" w:lineRule="auto" w:before="2"/>
        <w:ind w:left="102" w:right="114"/>
        <w:jc w:val="both"/>
      </w:pPr>
      <w:r>
        <w:rPr/>
        <w:t>2005), dos obtuvieron sentencias modificatorias (el RAP-1-2006 y el  RAP-63- 2005) y dos recibieron resoluciones que desecharon los medios de impugnación</w:t>
      </w:r>
    </w:p>
    <w:p>
      <w:pPr>
        <w:spacing w:after="0" w:line="360" w:lineRule="auto"/>
        <w:jc w:val="both"/>
        <w:sectPr>
          <w:pgSz w:w="12240" w:h="15840"/>
          <w:pgMar w:header="749" w:footer="1003" w:top="960" w:bottom="1200" w:left="1600" w:right="1580"/>
        </w:sectPr>
      </w:pPr>
    </w:p>
    <w:p>
      <w:pPr>
        <w:pStyle w:val="BodyText"/>
        <w:rPr>
          <w:sz w:val="20"/>
        </w:rPr>
      </w:pPr>
    </w:p>
    <w:p>
      <w:pPr>
        <w:pStyle w:val="BodyText"/>
        <w:spacing w:line="360" w:lineRule="auto" w:before="214"/>
        <w:ind w:left="102" w:right="118"/>
        <w:jc w:val="both"/>
      </w:pPr>
      <w:r>
        <w:rPr/>
        <w:t>interpuestos (el RAP-71-2006 y el RAP-75-2006). Por consiguiente al no obtener  el PRD sentencias revocatorias por parte del TEPJF se concluyó que no resultó agraviado por los acuerdos del</w:t>
      </w:r>
      <w:r>
        <w:rPr>
          <w:spacing w:val="-11"/>
        </w:rPr>
        <w:t> </w:t>
      </w:r>
      <w:r>
        <w:rPr/>
        <w:t>CGIFE.</w:t>
      </w:r>
    </w:p>
    <w:p>
      <w:pPr>
        <w:pStyle w:val="BodyText"/>
        <w:spacing w:line="360" w:lineRule="auto" w:before="5"/>
        <w:ind w:left="102" w:right="117" w:firstLine="707"/>
        <w:jc w:val="both"/>
      </w:pPr>
      <w:r>
        <w:rPr/>
        <w:t>En cuanto a los 14 medios de impugnación interpuestos por la CPBT (13 recursos de apelación y un recurso de reconsideración de 2006) ninguno obtuvo sentencias revocatorias, de ahí que se confirmó que la CPBT no resultó agraviada por los acuerdos del CGIFE de acuerdo con las sentencias dadas por el TEPJF.</w:t>
      </w:r>
    </w:p>
    <w:p>
      <w:pPr>
        <w:pStyle w:val="BodyText"/>
      </w:pPr>
    </w:p>
    <w:p>
      <w:pPr>
        <w:pStyle w:val="Heading2"/>
        <w:numPr>
          <w:ilvl w:val="0"/>
          <w:numId w:val="24"/>
        </w:numPr>
        <w:tabs>
          <w:tab w:pos="821" w:val="left" w:leader="none"/>
          <w:tab w:pos="822" w:val="left" w:leader="none"/>
        </w:tabs>
        <w:spacing w:line="240" w:lineRule="auto" w:before="142" w:after="0"/>
        <w:ind w:left="822" w:right="0" w:hanging="360"/>
        <w:jc w:val="left"/>
      </w:pPr>
      <w:r>
        <w:rPr/>
        <w:t>Elección de los consejeros electorales del</w:t>
      </w:r>
      <w:r>
        <w:rPr>
          <w:spacing w:val="-12"/>
        </w:rPr>
        <w:t> </w:t>
      </w:r>
      <w:r>
        <w:rPr/>
        <w:t>IEEM</w:t>
      </w:r>
    </w:p>
    <w:p>
      <w:pPr>
        <w:pStyle w:val="BodyText"/>
        <w:rPr>
          <w:b/>
        </w:rPr>
      </w:pPr>
    </w:p>
    <w:p>
      <w:pPr>
        <w:pStyle w:val="BodyText"/>
        <w:rPr>
          <w:b/>
        </w:rPr>
      </w:pPr>
    </w:p>
    <w:p>
      <w:pPr>
        <w:pStyle w:val="BodyText"/>
        <w:spacing w:line="360" w:lineRule="auto"/>
        <w:ind w:left="102" w:right="116"/>
        <w:jc w:val="both"/>
      </w:pPr>
      <w:r>
        <w:rPr/>
        <w:t>La imparcialidad e independencia del IEEM―medida a través del apego a la norma, el origen de sus propuestas y votación de la Legislatura― lo ubicaron, en promedio, en un rango de democraticidad media (2.0). Lo anterior como resultado del promedio de las calificaciones obtenidas en los tres indicadores evaluados. En cuanto al apego a la ley obtuvo una evaluación media (2.0) pues el proceso de elección fue poco transparente y careció de una convocatoria; por lo que respecta al origen de sus propuestas obtuvo una baja evaluación (1.0) debido a que los consejeros fueron propuestos por partidos políticos o grupos parlamentarios, sin embargo, en cuanto a la votación dada por la Legislatura obtuvo una alta calificación (3.0) al obtener unanimidad de votos.</w:t>
      </w:r>
    </w:p>
    <w:p>
      <w:pPr>
        <w:pStyle w:val="BodyText"/>
      </w:pPr>
    </w:p>
    <w:p>
      <w:pPr>
        <w:pStyle w:val="ListParagraph"/>
        <w:numPr>
          <w:ilvl w:val="1"/>
          <w:numId w:val="24"/>
        </w:numPr>
        <w:tabs>
          <w:tab w:pos="1182" w:val="left" w:leader="none"/>
        </w:tabs>
        <w:spacing w:line="240" w:lineRule="auto" w:before="142" w:after="0"/>
        <w:ind w:left="1182" w:right="0" w:hanging="360"/>
        <w:jc w:val="left"/>
        <w:rPr>
          <w:sz w:val="24"/>
        </w:rPr>
      </w:pPr>
      <w:r>
        <w:rPr>
          <w:sz w:val="24"/>
        </w:rPr>
        <w:t>Apego a la</w:t>
      </w:r>
      <w:r>
        <w:rPr>
          <w:spacing w:val="-3"/>
          <w:sz w:val="24"/>
        </w:rPr>
        <w:t> </w:t>
      </w:r>
      <w:r>
        <w:rPr>
          <w:sz w:val="24"/>
        </w:rPr>
        <w:t>ley</w:t>
      </w:r>
    </w:p>
    <w:p>
      <w:pPr>
        <w:pStyle w:val="BodyText"/>
      </w:pPr>
    </w:p>
    <w:p>
      <w:pPr>
        <w:pStyle w:val="BodyText"/>
      </w:pPr>
    </w:p>
    <w:p>
      <w:pPr>
        <w:pStyle w:val="BodyText"/>
        <w:spacing w:line="360" w:lineRule="auto"/>
        <w:ind w:left="102" w:right="116"/>
        <w:jc w:val="both"/>
      </w:pPr>
      <w:r>
        <w:rPr/>
        <w:t>En esta variable el IEEM obtuvo una mediana evaluación (2.0) debido a que aun cuando se cumplió con lo señalado en la legislación, se tuvo una irregularidad pues a diferencia de las elecciones de consejeros 2003 (LEM LV, 2003) y la efectuada en 2008 (LEM LVI, 2008), en la de 2005 no se expidió una convocatoria pública, si bien la ley no lo establece si se realizó en otras</w:t>
      </w:r>
      <w:r>
        <w:rPr>
          <w:spacing w:val="-15"/>
        </w:rPr>
        <w:t> </w:t>
      </w:r>
      <w:r>
        <w:rPr/>
        <w:t>elecciones.</w:t>
      </w:r>
    </w:p>
    <w:p>
      <w:pPr>
        <w:pStyle w:val="BodyText"/>
        <w:spacing w:line="360" w:lineRule="auto" w:before="2"/>
        <w:ind w:left="102" w:right="128" w:firstLine="707"/>
        <w:jc w:val="both"/>
      </w:pPr>
      <w:r>
        <w:rPr/>
        <w:t>El Código Electoral del Estado de México (CEEM) en su artículo 88 establece diez requisitos para ser designado consejero electoral:</w:t>
      </w:r>
    </w:p>
    <w:p>
      <w:pPr>
        <w:spacing w:after="0" w:line="360" w:lineRule="auto"/>
        <w:jc w:val="both"/>
        <w:sectPr>
          <w:pgSz w:w="12240" w:h="15840"/>
          <w:pgMar w:header="749" w:footer="1003" w:top="960" w:bottom="1200" w:left="1600" w:right="1580"/>
        </w:sectPr>
      </w:pPr>
    </w:p>
    <w:p>
      <w:pPr>
        <w:pStyle w:val="BodyText"/>
        <w:rPr>
          <w:sz w:val="20"/>
        </w:rPr>
      </w:pPr>
    </w:p>
    <w:p>
      <w:pPr>
        <w:pStyle w:val="BodyText"/>
        <w:spacing w:before="7"/>
        <w:rPr>
          <w:sz w:val="18"/>
        </w:rPr>
      </w:pPr>
    </w:p>
    <w:p>
      <w:pPr>
        <w:spacing w:line="360" w:lineRule="auto" w:before="0"/>
        <w:ind w:left="810" w:right="118" w:firstLine="0"/>
        <w:jc w:val="both"/>
        <w:rPr>
          <w:sz w:val="22"/>
        </w:rPr>
      </w:pPr>
      <w:r>
        <w:rPr>
          <w:sz w:val="22"/>
        </w:rPr>
        <w:t>Los Consejeros Electorales, así como el Presidente del Consejo General, deberán reunir los siguientes requisitos: I. Ser ciudadano del Estado en pleno ejercicio de sus derechos políticos y civiles, de conformidad con el artículo 28 de la Constitución Particular; II. Estar inscrito en el Registro de Electores y contar con credencial para votar; III. Tener más de veinticinco años de edad; IV. Poseer título profesional o formación equivalente, y tener conocimientos en la materia político- electoral; V. Gozar de buena reputación y no haber sido condenado por delito alguno, salvo que hubiese sido de carácter no intencional o imprudencial; VI. Tener residencia  efectiva  en la  entidad  durante los  últimos cinco años;  VII. Derogada;</w:t>
      </w:r>
    </w:p>
    <w:p>
      <w:pPr>
        <w:spacing w:line="360" w:lineRule="auto" w:before="3"/>
        <w:ind w:left="810" w:right="116" w:firstLine="0"/>
        <w:jc w:val="both"/>
        <w:rPr>
          <w:sz w:val="22"/>
        </w:rPr>
      </w:pPr>
      <w:r>
        <w:rPr>
          <w:sz w:val="22"/>
        </w:rPr>
        <w:t>VIII. No tener ni haber tenido cargo alguno de elección ni haber sido postulado como candidato, en los últimos cinco años anteriores a la designación; IX. No desempeñar ni haber desempeñado cargo de dirección nacional, estatal, distrital o municipal en algún partido político o de dirigente de organismos, instituciones, colegios o agrupaciones ciudadanas afiliadas a algún partido político, en los tres años anteriores a la fecha de su designación; y X. No ser ministro de culto religioso alguno (LEM LV, 2005a: art. 88).</w:t>
      </w:r>
    </w:p>
    <w:p>
      <w:pPr>
        <w:pStyle w:val="BodyText"/>
        <w:rPr>
          <w:sz w:val="22"/>
        </w:rPr>
      </w:pPr>
    </w:p>
    <w:p>
      <w:pPr>
        <w:pStyle w:val="BodyText"/>
        <w:spacing w:line="360" w:lineRule="auto" w:before="166"/>
        <w:ind w:left="102" w:right="121" w:firstLine="707"/>
        <w:jc w:val="both"/>
      </w:pPr>
      <w:r>
        <w:rPr/>
        <w:t>Todos los ciudadanos propuestos para ser consejeros del IEEM cumplían con los requisitos señalados por el CEEM de acuerdo con la gaceta respectiva (LEM LV, 2005b), sin embargo, el procedimiento indicado para su designación en el artículo 86 del CEEM fue poco transparente. Según el CEEM los consejeros serían elegidos por la Legislatura del Estado:</w:t>
      </w:r>
    </w:p>
    <w:p>
      <w:pPr>
        <w:pStyle w:val="BodyText"/>
      </w:pPr>
    </w:p>
    <w:p>
      <w:pPr>
        <w:spacing w:line="360" w:lineRule="auto" w:before="141"/>
        <w:ind w:left="810" w:right="120" w:firstLine="0"/>
        <w:jc w:val="both"/>
        <w:rPr>
          <w:sz w:val="22"/>
        </w:rPr>
      </w:pPr>
      <w:r>
        <w:rPr>
          <w:sz w:val="22"/>
        </w:rPr>
        <w:t>… mediante el voto de las dos terceras partes de sus miembros presentes, de  entre las propuestas que presenten las fracciones legislativas;… conforme a las siguientes reglas: A. Las comisiones correspondientes de la Legislatura del Estado integrarán una lista de candidatos a consejeros propietarios, con sus respectivos suplentes. B. De esta lista examinarán si cumplen los requisitos de elegibilidad y elaborarán dictamen en el que se contengan las fórmulas de los Consejeros Electorales propietario y suplente. C. Si realizadas al menos tres rondas de votación no se cubriera la totalidad de fórmulas a elegir, la comisión correspondiente deberá presentar una nueva lista hasta por el doble de las fórmulas faltantes (LEM LV, 2005a: art.</w:t>
      </w:r>
      <w:r>
        <w:rPr>
          <w:spacing w:val="-11"/>
          <w:sz w:val="22"/>
        </w:rPr>
        <w:t> </w:t>
      </w:r>
      <w:r>
        <w:rPr>
          <w:sz w:val="22"/>
        </w:rPr>
        <w:t>86).</w:t>
      </w:r>
    </w:p>
    <w:p>
      <w:pPr>
        <w:spacing w:after="0" w:line="360" w:lineRule="auto"/>
        <w:jc w:val="both"/>
        <w:rPr>
          <w:sz w:val="22"/>
        </w:rPr>
        <w:sectPr>
          <w:pgSz w:w="12240" w:h="15840"/>
          <w:pgMar w:header="749" w:footer="1003" w:top="960" w:bottom="1200" w:left="1600" w:right="1580"/>
        </w:sectPr>
      </w:pPr>
    </w:p>
    <w:p>
      <w:pPr>
        <w:pStyle w:val="BodyText"/>
        <w:rPr>
          <w:sz w:val="20"/>
        </w:rPr>
      </w:pPr>
    </w:p>
    <w:p>
      <w:pPr>
        <w:pStyle w:val="BodyText"/>
        <w:rPr>
          <w:sz w:val="20"/>
        </w:rPr>
      </w:pPr>
    </w:p>
    <w:p>
      <w:pPr>
        <w:pStyle w:val="BodyText"/>
        <w:spacing w:before="8"/>
        <w:rPr>
          <w:sz w:val="28"/>
        </w:rPr>
      </w:pPr>
    </w:p>
    <w:p>
      <w:pPr>
        <w:pStyle w:val="BodyText"/>
        <w:spacing w:line="360" w:lineRule="auto" w:before="70"/>
        <w:ind w:left="122" w:right="115" w:firstLine="707"/>
        <w:jc w:val="both"/>
      </w:pPr>
      <w:r>
        <w:rPr/>
        <w:t>De acuerdo con lo anterior se cumplió con los requisitos procedimentales señalados (art. 86), pero no se realizó convocatoria pública tal y como sucedió en la designación de consejeros anterior y posterior a la estudiada y esto se  corroboró en la gaceta (LEM LV, 2005b) y en el diario de debates (LEM LV, 2005c) ya</w:t>
      </w:r>
      <w:r>
        <w:rPr>
          <w:spacing w:val="36"/>
        </w:rPr>
        <w:t> </w:t>
      </w:r>
      <w:r>
        <w:rPr/>
        <w:t>que</w:t>
      </w:r>
      <w:r>
        <w:rPr>
          <w:spacing w:val="36"/>
        </w:rPr>
        <w:t> </w:t>
      </w:r>
      <w:r>
        <w:rPr/>
        <w:t>ninguno</w:t>
      </w:r>
      <w:r>
        <w:rPr>
          <w:spacing w:val="34"/>
        </w:rPr>
        <w:t> </w:t>
      </w:r>
      <w:r>
        <w:rPr/>
        <w:t>de</w:t>
      </w:r>
      <w:r>
        <w:rPr>
          <w:spacing w:val="36"/>
        </w:rPr>
        <w:t> </w:t>
      </w:r>
      <w:r>
        <w:rPr/>
        <w:t>los</w:t>
      </w:r>
      <w:r>
        <w:rPr>
          <w:spacing w:val="36"/>
        </w:rPr>
        <w:t> </w:t>
      </w:r>
      <w:r>
        <w:rPr/>
        <w:t>dos</w:t>
      </w:r>
      <w:r>
        <w:rPr>
          <w:spacing w:val="36"/>
        </w:rPr>
        <w:t> </w:t>
      </w:r>
      <w:r>
        <w:rPr/>
        <w:t>señala</w:t>
      </w:r>
      <w:r>
        <w:rPr>
          <w:spacing w:val="34"/>
        </w:rPr>
        <w:t> </w:t>
      </w:r>
      <w:r>
        <w:rPr/>
        <w:t>de</w:t>
      </w:r>
      <w:r>
        <w:rPr>
          <w:spacing w:val="32"/>
        </w:rPr>
        <w:t> </w:t>
      </w:r>
      <w:r>
        <w:rPr/>
        <w:t>forma</w:t>
      </w:r>
      <w:r>
        <w:rPr>
          <w:spacing w:val="36"/>
        </w:rPr>
        <w:t> </w:t>
      </w:r>
      <w:r>
        <w:rPr/>
        <w:t>pormenorizada</w:t>
      </w:r>
      <w:r>
        <w:rPr>
          <w:spacing w:val="36"/>
        </w:rPr>
        <w:t> </w:t>
      </w:r>
      <w:r>
        <w:rPr/>
        <w:t>cómo</w:t>
      </w:r>
      <w:r>
        <w:rPr>
          <w:spacing w:val="36"/>
        </w:rPr>
        <w:t> </w:t>
      </w:r>
      <w:r>
        <w:rPr/>
        <w:t>se</w:t>
      </w:r>
      <w:r>
        <w:rPr>
          <w:spacing w:val="34"/>
        </w:rPr>
        <w:t> </w:t>
      </w:r>
      <w:r>
        <w:rPr/>
        <w:t>efectuó</w:t>
      </w:r>
      <w:r>
        <w:rPr>
          <w:spacing w:val="34"/>
        </w:rPr>
        <w:t> </w:t>
      </w:r>
      <w:r>
        <w:rPr/>
        <w:t>el</w:t>
      </w:r>
    </w:p>
    <w:p>
      <w:pPr>
        <w:pStyle w:val="BodyText"/>
        <w:spacing w:line="279" w:lineRule="exact"/>
        <w:ind w:left="122"/>
        <w:jc w:val="both"/>
      </w:pPr>
      <w:r>
        <w:rPr/>
        <w:t>procedimiento  de  designación</w:t>
      </w:r>
      <w:r>
        <w:rPr>
          <w:position w:val="11"/>
          <w:sz w:val="16"/>
        </w:rPr>
        <w:t>22</w:t>
      </w:r>
      <w:r>
        <w:rPr/>
        <w:t>,  no  se  dan  fechas,  ni  datos  como:   ¿cuántos</w:t>
      </w:r>
    </w:p>
    <w:p>
      <w:pPr>
        <w:pStyle w:val="BodyText"/>
        <w:spacing w:line="360" w:lineRule="auto" w:before="139"/>
        <w:ind w:left="122" w:right="115"/>
        <w:jc w:val="both"/>
      </w:pPr>
      <w:r>
        <w:rPr/>
        <w:t>candidatos se registraron?, o ¿cuántos de ellos cumplían con todos los requisitos?, sólo se estableció que los candidatos fueron propuestos con el consenso de todos los grupos parlamentarios. El proceso de selección se realizó de forma rápida quizás debido a dos factores: la proximidad de la jornada electoral para elegir Gobernador del Estado de México para el período 2005-2011 (faltaban sólo 40 días) y la vertiginosa renuncia de los consejeros atribuida a  especulaciones de fraude en las licitaciones de material electoral (en las que se involucró a la empresa Cartonera Plástica S.A de C.V.</w:t>
      </w:r>
      <w:r>
        <w:rPr>
          <w:i/>
        </w:rPr>
        <w:t>)</w:t>
      </w:r>
      <w:r>
        <w:rPr/>
        <w:t>. Así los consejeros generales del IEEM ―que organizarían las elecciones locales de 2006― fueron designados el 20 de mayo de</w:t>
      </w:r>
      <w:r>
        <w:rPr>
          <w:spacing w:val="-16"/>
        </w:rPr>
        <w:t> </w:t>
      </w:r>
      <w:r>
        <w:rPr/>
        <w:t>2005:</w:t>
      </w:r>
    </w:p>
    <w:p>
      <w:pPr>
        <w:pStyle w:val="BodyText"/>
      </w:pPr>
    </w:p>
    <w:p>
      <w:pPr>
        <w:pStyle w:val="Heading2"/>
        <w:ind w:left="1350" w:right="639"/>
      </w:pPr>
      <w:r>
        <w:rPr/>
        <w:t>Cuadro 2.5</w:t>
      </w:r>
    </w:p>
    <w:p>
      <w:pPr>
        <w:spacing w:before="139"/>
        <w:ind w:left="1350" w:right="642" w:firstLine="0"/>
        <w:jc w:val="center"/>
        <w:rPr>
          <w:b/>
          <w:sz w:val="24"/>
        </w:rPr>
      </w:pPr>
      <w:r>
        <w:rPr>
          <w:b/>
          <w:sz w:val="24"/>
        </w:rPr>
        <w:t>Consejeros electorales designados (IEEM 2005)</w:t>
      </w:r>
    </w:p>
    <w:p>
      <w:pPr>
        <w:pStyle w:val="BodyText"/>
        <w:rPr>
          <w:b/>
          <w:sz w:val="20"/>
        </w:rPr>
      </w:pPr>
    </w:p>
    <w:p>
      <w:pPr>
        <w:pStyle w:val="BodyText"/>
        <w:spacing w:before="2"/>
        <w:rPr>
          <w:b/>
          <w:sz w:val="28"/>
        </w:rPr>
      </w:pPr>
    </w:p>
    <w:tbl>
      <w:tblPr>
        <w:tblW w:w="0" w:type="auto"/>
        <w:jc w:val="left"/>
        <w:tblInd w:w="96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393"/>
        <w:gridCol w:w="2837"/>
      </w:tblGrid>
      <w:tr>
        <w:trPr>
          <w:trHeight w:val="286" w:hRule="exact"/>
        </w:trPr>
        <w:tc>
          <w:tcPr>
            <w:tcW w:w="4393" w:type="dxa"/>
            <w:shd w:val="clear" w:color="auto" w:fill="D9D9D9"/>
          </w:tcPr>
          <w:p>
            <w:pPr>
              <w:pStyle w:val="TableParagraph"/>
              <w:spacing w:line="272" w:lineRule="exact"/>
              <w:ind w:left="1716" w:right="1719"/>
              <w:jc w:val="center"/>
              <w:rPr>
                <w:b/>
                <w:sz w:val="24"/>
              </w:rPr>
            </w:pPr>
            <w:r>
              <w:rPr>
                <w:b/>
                <w:sz w:val="24"/>
              </w:rPr>
              <w:t>Nombre</w:t>
            </w:r>
          </w:p>
        </w:tc>
        <w:tc>
          <w:tcPr>
            <w:tcW w:w="2837" w:type="dxa"/>
            <w:shd w:val="clear" w:color="auto" w:fill="D9D9D9"/>
          </w:tcPr>
          <w:p>
            <w:pPr>
              <w:pStyle w:val="TableParagraph"/>
              <w:spacing w:line="272" w:lineRule="exact"/>
              <w:ind w:left="1046" w:right="1047"/>
              <w:jc w:val="center"/>
              <w:rPr>
                <w:b/>
                <w:sz w:val="24"/>
              </w:rPr>
            </w:pPr>
            <w:r>
              <w:rPr>
                <w:b/>
                <w:sz w:val="24"/>
              </w:rPr>
              <w:t>Cargo</w:t>
            </w:r>
          </w:p>
        </w:tc>
      </w:tr>
      <w:tr>
        <w:trPr>
          <w:trHeight w:val="286" w:hRule="exact"/>
        </w:trPr>
        <w:tc>
          <w:tcPr>
            <w:tcW w:w="4393" w:type="dxa"/>
          </w:tcPr>
          <w:p>
            <w:pPr>
              <w:pStyle w:val="TableParagraph"/>
              <w:spacing w:line="272" w:lineRule="exact"/>
              <w:ind w:left="100"/>
              <w:rPr>
                <w:sz w:val="24"/>
              </w:rPr>
            </w:pPr>
            <w:r>
              <w:rPr>
                <w:sz w:val="24"/>
              </w:rPr>
              <w:t>José Núñez Castañeda</w:t>
            </w:r>
          </w:p>
        </w:tc>
        <w:tc>
          <w:tcPr>
            <w:tcW w:w="2837" w:type="dxa"/>
          </w:tcPr>
          <w:p>
            <w:pPr>
              <w:pStyle w:val="TableParagraph"/>
              <w:spacing w:line="272" w:lineRule="exact"/>
              <w:rPr>
                <w:sz w:val="24"/>
              </w:rPr>
            </w:pPr>
            <w:r>
              <w:rPr>
                <w:sz w:val="24"/>
              </w:rPr>
              <w:t>Consejero Presidente</w:t>
            </w:r>
          </w:p>
        </w:tc>
      </w:tr>
      <w:tr>
        <w:trPr>
          <w:trHeight w:val="286" w:hRule="exact"/>
        </w:trPr>
        <w:tc>
          <w:tcPr>
            <w:tcW w:w="4393" w:type="dxa"/>
          </w:tcPr>
          <w:p>
            <w:pPr>
              <w:pStyle w:val="TableParagraph"/>
              <w:spacing w:line="272" w:lineRule="exact"/>
              <w:ind w:left="100"/>
              <w:rPr>
                <w:sz w:val="24"/>
              </w:rPr>
            </w:pPr>
            <w:r>
              <w:rPr>
                <w:sz w:val="24"/>
              </w:rPr>
              <w:t>Bernardo Barranco Villafán</w:t>
            </w:r>
          </w:p>
        </w:tc>
        <w:tc>
          <w:tcPr>
            <w:tcW w:w="2837" w:type="dxa"/>
          </w:tcPr>
          <w:p>
            <w:pPr>
              <w:pStyle w:val="TableParagraph"/>
              <w:spacing w:line="272" w:lineRule="exact"/>
              <w:rPr>
                <w:sz w:val="24"/>
              </w:rPr>
            </w:pPr>
            <w:r>
              <w:rPr>
                <w:sz w:val="24"/>
              </w:rPr>
              <w:t>Consejero Electoral</w:t>
            </w:r>
          </w:p>
        </w:tc>
      </w:tr>
      <w:tr>
        <w:trPr>
          <w:trHeight w:val="286" w:hRule="exact"/>
        </w:trPr>
        <w:tc>
          <w:tcPr>
            <w:tcW w:w="4393" w:type="dxa"/>
          </w:tcPr>
          <w:p>
            <w:pPr>
              <w:pStyle w:val="TableParagraph"/>
              <w:spacing w:line="272" w:lineRule="exact"/>
              <w:ind w:left="100"/>
              <w:rPr>
                <w:sz w:val="24"/>
              </w:rPr>
            </w:pPr>
            <w:r>
              <w:rPr>
                <w:sz w:val="24"/>
              </w:rPr>
              <w:t>Norberto López Ponce</w:t>
            </w:r>
          </w:p>
        </w:tc>
        <w:tc>
          <w:tcPr>
            <w:tcW w:w="2837" w:type="dxa"/>
          </w:tcPr>
          <w:p>
            <w:pPr>
              <w:pStyle w:val="TableParagraph"/>
              <w:spacing w:line="272" w:lineRule="exact"/>
              <w:rPr>
                <w:sz w:val="24"/>
              </w:rPr>
            </w:pPr>
            <w:r>
              <w:rPr>
                <w:sz w:val="24"/>
              </w:rPr>
              <w:t>Consejero Electoral</w:t>
            </w:r>
          </w:p>
        </w:tc>
      </w:tr>
      <w:tr>
        <w:trPr>
          <w:trHeight w:val="286" w:hRule="exact"/>
        </w:trPr>
        <w:tc>
          <w:tcPr>
            <w:tcW w:w="4393" w:type="dxa"/>
          </w:tcPr>
          <w:p>
            <w:pPr>
              <w:pStyle w:val="TableParagraph"/>
              <w:spacing w:line="272" w:lineRule="exact"/>
              <w:ind w:left="100"/>
              <w:rPr>
                <w:sz w:val="24"/>
              </w:rPr>
            </w:pPr>
            <w:r>
              <w:rPr>
                <w:sz w:val="24"/>
              </w:rPr>
              <w:t>Gabriel Corona Armenta</w:t>
            </w:r>
          </w:p>
        </w:tc>
        <w:tc>
          <w:tcPr>
            <w:tcW w:w="2837" w:type="dxa"/>
          </w:tcPr>
          <w:p>
            <w:pPr>
              <w:pStyle w:val="TableParagraph"/>
              <w:spacing w:line="272" w:lineRule="exact"/>
              <w:rPr>
                <w:sz w:val="24"/>
              </w:rPr>
            </w:pPr>
            <w:r>
              <w:rPr>
                <w:sz w:val="24"/>
              </w:rPr>
              <w:t>Consejero Electoral</w:t>
            </w:r>
          </w:p>
        </w:tc>
      </w:tr>
      <w:tr>
        <w:trPr>
          <w:trHeight w:val="288" w:hRule="exact"/>
        </w:trPr>
        <w:tc>
          <w:tcPr>
            <w:tcW w:w="4393" w:type="dxa"/>
          </w:tcPr>
          <w:p>
            <w:pPr>
              <w:pStyle w:val="TableParagraph"/>
              <w:spacing w:line="274" w:lineRule="exact"/>
              <w:ind w:left="100"/>
              <w:rPr>
                <w:sz w:val="24"/>
              </w:rPr>
            </w:pPr>
            <w:r>
              <w:rPr>
                <w:sz w:val="24"/>
              </w:rPr>
              <w:t>Ruth Carrillo Téllez</w:t>
            </w:r>
          </w:p>
        </w:tc>
        <w:tc>
          <w:tcPr>
            <w:tcW w:w="2837" w:type="dxa"/>
          </w:tcPr>
          <w:p>
            <w:pPr>
              <w:pStyle w:val="TableParagraph"/>
              <w:spacing w:line="274" w:lineRule="exact"/>
              <w:rPr>
                <w:sz w:val="24"/>
              </w:rPr>
            </w:pPr>
            <w:r>
              <w:rPr>
                <w:sz w:val="24"/>
              </w:rPr>
              <w:t>Consejero Electoral</w:t>
            </w:r>
          </w:p>
        </w:tc>
      </w:tr>
      <w:tr>
        <w:trPr>
          <w:trHeight w:val="286" w:hRule="exact"/>
        </w:trPr>
        <w:tc>
          <w:tcPr>
            <w:tcW w:w="4393" w:type="dxa"/>
            <w:tcBorders>
              <w:bottom w:val="single" w:sz="4" w:space="0" w:color="000000"/>
            </w:tcBorders>
          </w:tcPr>
          <w:p>
            <w:pPr>
              <w:pStyle w:val="TableParagraph"/>
              <w:spacing w:line="272" w:lineRule="exact"/>
              <w:ind w:left="100"/>
              <w:rPr>
                <w:sz w:val="24"/>
              </w:rPr>
            </w:pPr>
            <w:r>
              <w:rPr>
                <w:sz w:val="24"/>
              </w:rPr>
              <w:t>Jorge Muciño Escalona</w:t>
            </w:r>
          </w:p>
        </w:tc>
        <w:tc>
          <w:tcPr>
            <w:tcW w:w="2837" w:type="dxa"/>
            <w:tcBorders>
              <w:bottom w:val="single" w:sz="4" w:space="0" w:color="000000"/>
            </w:tcBorders>
          </w:tcPr>
          <w:p>
            <w:pPr>
              <w:pStyle w:val="TableParagraph"/>
              <w:spacing w:line="272" w:lineRule="exact"/>
              <w:rPr>
                <w:sz w:val="24"/>
              </w:rPr>
            </w:pPr>
            <w:r>
              <w:rPr>
                <w:sz w:val="24"/>
              </w:rPr>
              <w:t>Consejero Electoral</w:t>
            </w:r>
          </w:p>
        </w:tc>
      </w:tr>
      <w:tr>
        <w:trPr>
          <w:trHeight w:val="286" w:hRule="exact"/>
        </w:trPr>
        <w:tc>
          <w:tcPr>
            <w:tcW w:w="4393" w:type="dxa"/>
            <w:tcBorders>
              <w:top w:val="single" w:sz="4" w:space="0" w:color="000000"/>
            </w:tcBorders>
          </w:tcPr>
          <w:p>
            <w:pPr>
              <w:pStyle w:val="TableParagraph"/>
              <w:spacing w:line="272" w:lineRule="exact"/>
              <w:ind w:left="100"/>
              <w:rPr>
                <w:sz w:val="24"/>
              </w:rPr>
            </w:pPr>
            <w:r>
              <w:rPr>
                <w:sz w:val="24"/>
              </w:rPr>
              <w:t>Juan Flores Becerril</w:t>
            </w:r>
          </w:p>
        </w:tc>
        <w:tc>
          <w:tcPr>
            <w:tcW w:w="2837" w:type="dxa"/>
            <w:tcBorders>
              <w:top w:val="single" w:sz="4" w:space="0" w:color="000000"/>
            </w:tcBorders>
          </w:tcPr>
          <w:p>
            <w:pPr>
              <w:pStyle w:val="TableParagraph"/>
              <w:spacing w:line="272" w:lineRule="exact"/>
              <w:rPr>
                <w:sz w:val="24"/>
              </w:rPr>
            </w:pPr>
            <w:r>
              <w:rPr>
                <w:sz w:val="24"/>
              </w:rPr>
              <w:t>Consejero Electoral</w:t>
            </w:r>
          </w:p>
        </w:tc>
      </w:tr>
    </w:tbl>
    <w:p>
      <w:pPr>
        <w:spacing w:line="251" w:lineRule="exact" w:before="0"/>
        <w:ind w:left="1014" w:right="178" w:firstLine="0"/>
        <w:jc w:val="left"/>
        <w:rPr>
          <w:sz w:val="22"/>
        </w:rPr>
      </w:pPr>
      <w:r>
        <w:rPr>
          <w:sz w:val="22"/>
        </w:rPr>
        <w:t>Fuente: LEM LV (2005b).</w:t>
      </w:r>
    </w:p>
    <w:p>
      <w:pPr>
        <w:pStyle w:val="BodyText"/>
        <w:rPr>
          <w:sz w:val="20"/>
        </w:rPr>
      </w:pPr>
    </w:p>
    <w:p>
      <w:pPr>
        <w:pStyle w:val="BodyText"/>
        <w:rPr>
          <w:sz w:val="20"/>
        </w:rPr>
      </w:pPr>
    </w:p>
    <w:p>
      <w:pPr>
        <w:pStyle w:val="BodyText"/>
        <w:spacing w:before="8"/>
        <w:rPr>
          <w:sz w:val="19"/>
        </w:rPr>
      </w:pPr>
      <w:r>
        <w:rPr/>
        <w:pict>
          <v:line style="position:absolute;mso-position-horizontal-relative:page;mso-position-vertical-relative:paragraph;z-index:1744;mso-wrap-distance-left:0;mso-wrap-distance-right:0" from="85.103996pt,13.670886pt" to="229.123996pt,13.670886pt" stroked="true" strokeweight=".72003pt" strokecolor="#000000">
            <w10:wrap type="topAndBottom"/>
          </v:line>
        </w:pict>
      </w:r>
    </w:p>
    <w:p>
      <w:pPr>
        <w:spacing w:before="36"/>
        <w:ind w:left="122" w:right="117" w:firstLine="0"/>
        <w:jc w:val="both"/>
        <w:rPr>
          <w:sz w:val="20"/>
        </w:rPr>
      </w:pPr>
      <w:r>
        <w:rPr>
          <w:position w:val="10"/>
          <w:sz w:val="13"/>
        </w:rPr>
        <w:t>22 </w:t>
      </w:r>
      <w:r>
        <w:rPr>
          <w:sz w:val="20"/>
        </w:rPr>
        <w:t>En las gacetas y dictámenes de 2003 (LEM LV, 2003) y 2008 (LEM LVI, 2008), se señaló de forma pormenorizada el procedimiento seguido para la designación de consejeros, lo que no ocurre en la gaceta de 2005, desprendiéndose la falta de transparencia de dicho procedimiento.</w:t>
      </w:r>
    </w:p>
    <w:p>
      <w:pPr>
        <w:spacing w:after="0"/>
        <w:jc w:val="both"/>
        <w:rPr>
          <w:sz w:val="20"/>
        </w:rPr>
        <w:sectPr>
          <w:footerReference w:type="default" r:id="rId43"/>
          <w:pgSz w:w="12240" w:h="15840"/>
          <w:pgMar w:footer="1003" w:header="749" w:top="960" w:bottom="1200" w:left="1580" w:right="1580"/>
          <w:pgNumType w:start="110"/>
        </w:sectPr>
      </w:pPr>
    </w:p>
    <w:p>
      <w:pPr>
        <w:pStyle w:val="BodyText"/>
        <w:rPr>
          <w:sz w:val="20"/>
        </w:rPr>
      </w:pPr>
    </w:p>
    <w:p>
      <w:pPr>
        <w:pStyle w:val="BodyText"/>
        <w:spacing w:line="360" w:lineRule="auto" w:before="214"/>
        <w:ind w:left="102" w:right="119" w:firstLine="707"/>
        <w:jc w:val="both"/>
      </w:pPr>
      <w:r>
        <w:rPr/>
        <w:t>Dichos consejeros sustituyeron a los nombrados el 23 de diciembre de 2003, los cuales presentaron su renuncia el 19 de mayo de 2005 debido a las especulaciones de fraude antes referidas. De dicha situación hace mención, años más tarde, uno de los consejeros: “cuando ingresé al IEEM, en mayo de 2005, el panorama electoral no podía ser más desolador pues los escándalos de Cartonera Plástica, la corrupción velada al interior y la obligada renuncia de los siete consejeros, representaba un dramático talante a tan sólo 40 días de la elección a gobernador, del cual salió electo por amplio margen Enrique Peña Nieto” (Barranco,</w:t>
      </w:r>
      <w:r>
        <w:rPr>
          <w:spacing w:val="-7"/>
        </w:rPr>
        <w:t> </w:t>
      </w:r>
      <w:r>
        <w:rPr/>
        <w:t>2011).</w:t>
      </w:r>
    </w:p>
    <w:p>
      <w:pPr>
        <w:pStyle w:val="BodyText"/>
      </w:pPr>
    </w:p>
    <w:p>
      <w:pPr>
        <w:pStyle w:val="ListParagraph"/>
        <w:numPr>
          <w:ilvl w:val="1"/>
          <w:numId w:val="24"/>
        </w:numPr>
        <w:tabs>
          <w:tab w:pos="1182" w:val="left" w:leader="none"/>
        </w:tabs>
        <w:spacing w:line="240" w:lineRule="auto" w:before="142" w:after="0"/>
        <w:ind w:left="1182" w:right="0" w:hanging="360"/>
        <w:jc w:val="left"/>
        <w:rPr>
          <w:sz w:val="24"/>
        </w:rPr>
      </w:pPr>
      <w:r>
        <w:rPr>
          <w:sz w:val="24"/>
        </w:rPr>
        <w:t>Origen de las</w:t>
      </w:r>
      <w:r>
        <w:rPr>
          <w:spacing w:val="-9"/>
          <w:sz w:val="24"/>
        </w:rPr>
        <w:t> </w:t>
      </w:r>
      <w:r>
        <w:rPr>
          <w:sz w:val="24"/>
        </w:rPr>
        <w:t>propuestas</w:t>
      </w:r>
    </w:p>
    <w:p>
      <w:pPr>
        <w:pStyle w:val="BodyText"/>
      </w:pPr>
    </w:p>
    <w:p>
      <w:pPr>
        <w:pStyle w:val="BodyText"/>
      </w:pPr>
    </w:p>
    <w:p>
      <w:pPr>
        <w:pStyle w:val="BodyText"/>
        <w:spacing w:line="360" w:lineRule="auto"/>
        <w:ind w:left="102" w:right="116"/>
        <w:jc w:val="both"/>
      </w:pPr>
      <w:r>
        <w:rPr/>
        <w:t>El origen de las propuestas de ciudadanos para ocupar el cargo de consejeros electorales de IEEM obtuvo una baja evaluación (1.0) debido a que los consejeros fueron propuestos por los diferentes grupos parlamentarios que integraban la LV Legislatura del Estado de México.</w:t>
      </w:r>
    </w:p>
    <w:p>
      <w:pPr>
        <w:pStyle w:val="BodyText"/>
        <w:spacing w:line="360" w:lineRule="auto" w:before="2"/>
        <w:ind w:left="102" w:right="119" w:firstLine="707"/>
        <w:jc w:val="both"/>
      </w:pPr>
      <w:r>
        <w:rPr/>
        <w:t>La Comisión Legislativa de Asuntos Electorales fue la encargada de realizar el procedimiento para realizar las propuestas de candidatos, para ello recibió la documentación de los ciudadanos propuestos por los diferentes grupos parlamentarios, corroboró que los candidatos cumplieran con los requisitos marcados por el artículo 88 del CEEM, posteriormente integró una lista con los nombres de los ciudadanos que cumplieron con todos los requisitos, les aplicó un examen y elaboró un dictamen con los nombres de las propuestas para  consejeros las cuales integró en una planilla que contó con el consenso de los diferentes grupos parlamentarios, misma que fue sometida a votación. Llama la atención que a diferencia de otras elecciones en esta ocasión sólo hubo una planilla, lo que nos hace suponer que el procedimiento de elección fue más una negociación entre grupos parlamentarios, parecida a la acontecida en el IFE, sólo que los consejeros del IEEM contaron con el consenso de todos los partidos políticos y los del IFE fueron rechazados por el</w:t>
      </w:r>
      <w:r>
        <w:rPr>
          <w:spacing w:val="-19"/>
        </w:rPr>
        <w:t> </w:t>
      </w:r>
      <w:r>
        <w:rPr/>
        <w:t>PRD.</w:t>
      </w:r>
    </w:p>
    <w:p>
      <w:pPr>
        <w:spacing w:after="0" w:line="360" w:lineRule="auto"/>
        <w:jc w:val="both"/>
        <w:sectPr>
          <w:pgSz w:w="12240" w:h="15840"/>
          <w:pgMar w:header="749" w:footer="1003" w:top="960" w:bottom="1200" w:left="1600" w:right="1580"/>
        </w:sectPr>
      </w:pPr>
    </w:p>
    <w:p>
      <w:pPr>
        <w:pStyle w:val="BodyText"/>
        <w:rPr>
          <w:sz w:val="20"/>
        </w:rPr>
      </w:pPr>
    </w:p>
    <w:p>
      <w:pPr>
        <w:pStyle w:val="ListParagraph"/>
        <w:numPr>
          <w:ilvl w:val="1"/>
          <w:numId w:val="24"/>
        </w:numPr>
        <w:tabs>
          <w:tab w:pos="1182" w:val="left" w:leader="none"/>
        </w:tabs>
        <w:spacing w:line="240" w:lineRule="auto" w:before="214" w:after="0"/>
        <w:ind w:left="1182" w:right="0" w:hanging="360"/>
        <w:jc w:val="left"/>
        <w:rPr>
          <w:sz w:val="24"/>
        </w:rPr>
      </w:pPr>
      <w:r>
        <w:rPr>
          <w:sz w:val="24"/>
        </w:rPr>
        <w:t>Votación de la</w:t>
      </w:r>
      <w:r>
        <w:rPr>
          <w:spacing w:val="-8"/>
          <w:sz w:val="24"/>
        </w:rPr>
        <w:t> </w:t>
      </w:r>
      <w:r>
        <w:rPr>
          <w:sz w:val="24"/>
        </w:rPr>
        <w:t>legislatura</w:t>
      </w:r>
    </w:p>
    <w:p>
      <w:pPr>
        <w:pStyle w:val="BodyText"/>
      </w:pPr>
    </w:p>
    <w:p>
      <w:pPr>
        <w:pStyle w:val="BodyText"/>
      </w:pPr>
    </w:p>
    <w:p>
      <w:pPr>
        <w:pStyle w:val="BodyText"/>
        <w:spacing w:line="360" w:lineRule="auto"/>
        <w:ind w:left="102" w:right="118"/>
        <w:jc w:val="both"/>
      </w:pPr>
      <w:r>
        <w:rPr/>
        <w:t>El IEEM obtuvo una alta evaluación (3.0) en cuanto a la votación obtenida por la legislatura debido a que sus funcionarios fueron designados por unanimidad. Sin embargo, aun cuando la elección de consejeros del IEEM tuvo un gran consenso esto no fortaleció su actuación, como se verá más adelante, pues fue el órgano con el desempeño más bajo de los tres</w:t>
      </w:r>
      <w:r>
        <w:rPr>
          <w:spacing w:val="-14"/>
        </w:rPr>
        <w:t> </w:t>
      </w:r>
      <w:r>
        <w:rPr/>
        <w:t>estudiados.</w:t>
      </w:r>
    </w:p>
    <w:p>
      <w:pPr>
        <w:pStyle w:val="BodyText"/>
        <w:spacing w:line="360" w:lineRule="auto" w:before="5"/>
        <w:ind w:left="102" w:right="118" w:firstLine="707"/>
        <w:jc w:val="both"/>
      </w:pPr>
      <w:r>
        <w:rPr/>
        <w:t>Los consejeros del IEEM fueron elegidos por unanimidad mediante votación ante el pleno de la LV Legislatura del Estado de México, sin embargo, el procedimiento de votación fue poco transparente como se desprende de la gaceta (LEM LV, 2005b), la cual no aporta datos respecto a cuantos diputados participaron en dicha sesión, ni cómo se dieron las negociaciones a diferencia de otros procesos</w:t>
      </w:r>
      <w:r>
        <w:rPr>
          <w:spacing w:val="-9"/>
        </w:rPr>
        <w:t> </w:t>
      </w:r>
      <w:r>
        <w:rPr/>
        <w:t>electorales.</w:t>
      </w:r>
    </w:p>
    <w:p>
      <w:pPr>
        <w:pStyle w:val="BodyText"/>
      </w:pPr>
    </w:p>
    <w:p>
      <w:pPr>
        <w:pStyle w:val="Heading2"/>
        <w:numPr>
          <w:ilvl w:val="0"/>
          <w:numId w:val="24"/>
        </w:numPr>
        <w:tabs>
          <w:tab w:pos="821" w:val="left" w:leader="none"/>
          <w:tab w:pos="822" w:val="left" w:leader="none"/>
        </w:tabs>
        <w:spacing w:line="240" w:lineRule="auto" w:before="142" w:after="0"/>
        <w:ind w:left="822" w:right="0" w:hanging="360"/>
        <w:jc w:val="left"/>
      </w:pPr>
      <w:r>
        <w:rPr/>
        <w:t>Actuación de los consejeros electorales del</w:t>
      </w:r>
      <w:r>
        <w:rPr>
          <w:spacing w:val="-11"/>
        </w:rPr>
        <w:t> </w:t>
      </w:r>
      <w:r>
        <w:rPr/>
        <w:t>IEEM</w:t>
      </w:r>
    </w:p>
    <w:p>
      <w:pPr>
        <w:pStyle w:val="BodyText"/>
        <w:rPr>
          <w:b/>
        </w:rPr>
      </w:pPr>
    </w:p>
    <w:p>
      <w:pPr>
        <w:pStyle w:val="BodyText"/>
        <w:rPr>
          <w:b/>
        </w:rPr>
      </w:pPr>
    </w:p>
    <w:p>
      <w:pPr>
        <w:pStyle w:val="BodyText"/>
        <w:spacing w:line="360" w:lineRule="auto"/>
        <w:ind w:left="102" w:right="116"/>
        <w:jc w:val="both"/>
      </w:pPr>
      <w:r>
        <w:rPr/>
        <w:t>Esta variable permite el análisis del desempeño que tuvieron los consejeros generales del IEEM, durante el proceso electoral 2006, mediante el estudio de tres indicadores: a) congruencia con la legalidad, b) imparcialidad en el resultado de la elección y c) imparcialidad con respecto a las organizaciones políticas. Como resultado del análisis de los tres indicadores el Consejo General del IEEM obtuvo, en promedio, una calificación media (2.0) lo cual lo ubicó como un órgano con una mediana calidad en su actuación.</w:t>
      </w:r>
    </w:p>
    <w:p>
      <w:pPr>
        <w:pStyle w:val="BodyText"/>
        <w:spacing w:line="360" w:lineRule="auto" w:before="5"/>
        <w:ind w:left="102" w:right="114" w:firstLine="707"/>
        <w:jc w:val="both"/>
      </w:pPr>
      <w:r>
        <w:rPr/>
        <w:t>Cada uno de los indicadores analizados obtuvo distintas evaluaciones: por lo que respecta a la congruencia con la legalidad el IEEM consiguió </w:t>
      </w:r>
      <w:r>
        <w:rPr>
          <w:spacing w:val="-2"/>
        </w:rPr>
        <w:t>una</w:t>
      </w:r>
      <w:r>
        <w:rPr>
          <w:spacing w:val="62"/>
        </w:rPr>
        <w:t> </w:t>
      </w:r>
      <w:r>
        <w:rPr/>
        <w:t>evaluación media (2.0) al revocar el TEEM el 25% de sus acuerdos impugnados, en cuanto a la imparcialidad cualitativa en el resultado de la elección obtuvo una baja evaluación (1.0) debido a que el TEEM anuló la elección del Municipio de Ocoyoacac y se realizaron elecciones extraordinarias, sin embargo, en el tercer indicador logró una evaluación alta (3.0) al no encontrarse parcialidad a favor de alguna organización política, pues sólo hubo un acuerdo</w:t>
      </w:r>
      <w:r>
        <w:rPr>
          <w:spacing w:val="-21"/>
        </w:rPr>
        <w:t> </w:t>
      </w:r>
      <w:r>
        <w:rPr/>
        <w:t>revocado.</w:t>
      </w:r>
    </w:p>
    <w:p>
      <w:pPr>
        <w:spacing w:after="0" w:line="360" w:lineRule="auto"/>
        <w:jc w:val="both"/>
        <w:sectPr>
          <w:pgSz w:w="12240" w:h="15840"/>
          <w:pgMar w:header="749" w:footer="1003" w:top="960" w:bottom="1200" w:left="1600" w:right="1580"/>
        </w:sectPr>
      </w:pPr>
    </w:p>
    <w:p>
      <w:pPr>
        <w:pStyle w:val="BodyText"/>
        <w:rPr>
          <w:sz w:val="20"/>
        </w:rPr>
      </w:pPr>
    </w:p>
    <w:p>
      <w:pPr>
        <w:pStyle w:val="BodyText"/>
        <w:rPr>
          <w:sz w:val="20"/>
        </w:rPr>
      </w:pPr>
    </w:p>
    <w:p>
      <w:pPr>
        <w:pStyle w:val="BodyText"/>
        <w:spacing w:before="8"/>
        <w:rPr>
          <w:sz w:val="28"/>
        </w:rPr>
      </w:pPr>
    </w:p>
    <w:p>
      <w:pPr>
        <w:pStyle w:val="ListParagraph"/>
        <w:numPr>
          <w:ilvl w:val="1"/>
          <w:numId w:val="24"/>
        </w:numPr>
        <w:tabs>
          <w:tab w:pos="1182" w:val="left" w:leader="none"/>
        </w:tabs>
        <w:spacing w:line="240" w:lineRule="auto" w:before="70" w:after="0"/>
        <w:ind w:left="1182" w:right="0" w:hanging="360"/>
        <w:jc w:val="left"/>
        <w:rPr>
          <w:sz w:val="24"/>
        </w:rPr>
      </w:pPr>
      <w:r>
        <w:rPr>
          <w:sz w:val="24"/>
        </w:rPr>
        <w:t>Congruencia cuantitativa con la</w:t>
      </w:r>
      <w:r>
        <w:rPr>
          <w:spacing w:val="-14"/>
          <w:sz w:val="24"/>
        </w:rPr>
        <w:t> </w:t>
      </w:r>
      <w:r>
        <w:rPr>
          <w:sz w:val="24"/>
        </w:rPr>
        <w:t>legalidad</w:t>
      </w:r>
    </w:p>
    <w:p>
      <w:pPr>
        <w:pStyle w:val="BodyText"/>
      </w:pPr>
    </w:p>
    <w:p>
      <w:pPr>
        <w:pStyle w:val="BodyText"/>
      </w:pPr>
    </w:p>
    <w:p>
      <w:pPr>
        <w:pStyle w:val="BodyText"/>
        <w:spacing w:line="360" w:lineRule="auto"/>
        <w:ind w:left="102" w:right="114"/>
        <w:jc w:val="both"/>
      </w:pPr>
      <w:r>
        <w:rPr/>
        <w:t>Los acuerdos del CGIEEM son impugnados ante el Tribunal Electoral del Estado de México (TEEM), durante el proceso electoral 2005-2006 dicho consejo celebró 30 sesiones, en ellas aprobó 145 acuerdos. Los acuerdos del CGIEEM fueron poco impugnados ante el TEEM, únicamente se presentaron seis impugnaciones, todas relativas a juicios de inconformidad; los juicios JI-110-2006 y JI-113-2006 se referían al mismo acuerdo por lo que se acumularon, lo mismo ocurrió con los juicios JI-140-2006 y JI-142-2006, en cuanto a los juicios JI-121-2006 y JI-141- 2006 fueron resueltos por separado debido a que impugnaban acuerdos distintos. De lo anterior se desprende que sólo cuatro acuerdos del CGIEEM fueron impugnados lo que representa el 2.75% del total de sus acuerdos. De los cuatro acuerdos impugnados uno (el relativo a los juicios JI-110-2006 y JI-113-2006 acumulados) recibió una sentencia revocatoria por unanimidad, los tres restantes obtuvieron resoluciones diversas: dos fueron sobreseídos (los relativos a los  juicios JI-121-2006 y JI-141- 2006), y el último que había sido acumulado para su estudio (el relativo a los juicios JI-140-2006 y JI-142-2006) al momento de dar la resolución se determinaron situaciones distintas: el juicio JI-140-2006 se desechó de plano y en el JI-142-2006 sus agravios se declararon infundados por lo que el acuerdo del CGIEEM fue confirmado por</w:t>
      </w:r>
      <w:r>
        <w:rPr>
          <w:spacing w:val="-19"/>
        </w:rPr>
        <w:t> </w:t>
      </w:r>
      <w:r>
        <w:rPr/>
        <w:t>unanimidad.</w:t>
      </w:r>
    </w:p>
    <w:p>
      <w:pPr>
        <w:pStyle w:val="BodyText"/>
        <w:spacing w:line="360" w:lineRule="auto" w:before="5"/>
        <w:ind w:left="102" w:right="115" w:firstLine="707"/>
        <w:jc w:val="both"/>
      </w:pPr>
      <w:r>
        <w:rPr/>
        <w:t>De los cuatro acuerdos impugnados, sólo uno fue revocado lo que equivale al 25% de los acuerdos impugnados, y </w:t>
      </w:r>
      <w:r>
        <w:rPr>
          <w:spacing w:val="2"/>
        </w:rPr>
        <w:t>al </w:t>
      </w:r>
      <w:r>
        <w:rPr/>
        <w:t>aplicar la fórmula establecida por la Redicadem para determinar la imparcialidad e independencia del órgano electoral obtuve que: la actuación del IEEM se ubicó como medianamente imparcial e independiente (2.0). Cuantitativamente el hecho de que se haya revocado sólo un acuerdo (el relativo a los juicios JI-110-2006 y JI-113-2006 acumulados) no es significativo, sin embargo, cualitativamente (como se verá en el siguiente indicador) si lo es, porque el acuerdo revocado tuvo consecuencias graves para los resultados electorales: la anulación por parte del TEEM de la elección de Presidente   Municipal  y  Ayuntamiento  de  Ocoyoacac,  la   revocación  de     </w:t>
      </w:r>
      <w:r>
        <w:rPr>
          <w:spacing w:val="7"/>
        </w:rPr>
        <w:t> </w:t>
      </w:r>
      <w:r>
        <w:rPr/>
        <w:t>las</w:t>
      </w:r>
    </w:p>
    <w:p>
      <w:pPr>
        <w:spacing w:after="0" w:line="360" w:lineRule="auto"/>
        <w:jc w:val="both"/>
        <w:sectPr>
          <w:pgSz w:w="12240" w:h="15840"/>
          <w:pgMar w:header="749" w:footer="1003" w:top="960" w:bottom="1200" w:left="1600" w:right="1580"/>
        </w:sectPr>
      </w:pPr>
    </w:p>
    <w:p>
      <w:pPr>
        <w:pStyle w:val="BodyText"/>
        <w:rPr>
          <w:sz w:val="20"/>
        </w:rPr>
      </w:pPr>
    </w:p>
    <w:p>
      <w:pPr>
        <w:pStyle w:val="BodyText"/>
        <w:spacing w:line="360" w:lineRule="auto" w:before="214"/>
        <w:ind w:left="122" w:right="115"/>
        <w:jc w:val="both"/>
      </w:pPr>
      <w:r>
        <w:rPr/>
        <w:t>constancias de mayoría entregadas erróneamente por el órgano electoral, y la realización de una elección extraordinaria. Dicha situación repercutió directamente sobre la actuación de los consejeros del IEEM, pues fueron ellos quienes realizaron el cómputo extraordinario de manera supletoria sin documentación que respaldara dicha situación (TEEM, 2012).</w:t>
      </w:r>
    </w:p>
    <w:p>
      <w:pPr>
        <w:pStyle w:val="BodyText"/>
        <w:spacing w:line="360" w:lineRule="auto" w:before="5"/>
        <w:ind w:left="122" w:right="115" w:firstLine="707"/>
        <w:jc w:val="both"/>
      </w:pPr>
      <w:r>
        <w:rPr/>
        <w:t>De los 145 acuerdos emitidos por el CGIEEM cuatro fueron impugnados y sólo uno fue revocado por el TEEM (equivalente al 25%). En México se tiene la tendencia a impugnar por múltiples factores, sin embargo, lo verdaderamente significativo para evaluar el desempeño del órgano electoral no es el número de impugnaciones presentadas si no el número de acuerdos revocados por los tribunales, pues para revocar un acuerdo se realiza un estudio por parte de un órgano especializado en justicia electoral (TEEM) el cual emite una sentencia;  para impugnar basta con que el partido, candidato o ciudadano interponga un recurso aun cuando sea</w:t>
      </w:r>
      <w:r>
        <w:rPr>
          <w:spacing w:val="-14"/>
        </w:rPr>
        <w:t> </w:t>
      </w:r>
      <w:r>
        <w:rPr/>
        <w:t>infundado.</w:t>
      </w:r>
    </w:p>
    <w:p>
      <w:pPr>
        <w:pStyle w:val="BodyText"/>
        <w:spacing w:line="360" w:lineRule="auto" w:before="2"/>
        <w:ind w:left="122" w:right="116" w:firstLine="707"/>
        <w:jc w:val="both"/>
      </w:pPr>
      <w:r>
        <w:rPr/>
        <w:t>De los cuatro acuerdos del CGIEEM que fueron impugnados uno obtuvo una sentencia confirmatoria (25%), dos tuvieron otras resoluciones (50%) </w:t>
      </w:r>
      <w:r>
        <w:rPr>
          <w:spacing w:val="2"/>
        </w:rPr>
        <w:t>y, </w:t>
      </w:r>
      <w:r>
        <w:rPr/>
        <w:t>como ya se dijo, sólo uno fue revocado (25%); si sumamos las resoluciones en otro sentido y la sentencia confirmatoria tenemos que el 75% de las impugnaciones no tuvo razón de interponerse. Lo mismo se observó en cuanto al IFE, de ahí que se señala que en México las agrupaciones políticas tienen la tendencia a impugnar y a poner en duda las resoluciones de las</w:t>
      </w:r>
      <w:r>
        <w:rPr>
          <w:spacing w:val="-20"/>
        </w:rPr>
        <w:t> </w:t>
      </w:r>
      <w:r>
        <w:rPr/>
        <w:t>autoridades.</w:t>
      </w:r>
    </w:p>
    <w:p>
      <w:pPr>
        <w:pStyle w:val="BodyText"/>
        <w:spacing w:line="352" w:lineRule="auto" w:before="5"/>
        <w:ind w:left="122" w:right="116" w:firstLine="707"/>
        <w:jc w:val="both"/>
      </w:pPr>
      <w:r>
        <w:rPr/>
        <w:t>Para analizar esta variable fue necesario remitirse al art. 303 del CEMM de 2005 (que fue el vigente durante las elecciones 2005-2006) con la finalidad de identificar los tipos de medios de impugnación que existían</w:t>
      </w:r>
      <w:r>
        <w:rPr>
          <w:position w:val="11"/>
          <w:sz w:val="16"/>
        </w:rPr>
        <w:t>23 </w:t>
      </w:r>
      <w:r>
        <w:rPr/>
        <w:t>en materia electoral local; siendo éstos: el recurso de revisión, el recurso de apelación y el juicio de inconformidad. El recurso de apelación sólo procede durante el tiempo que transcurre  entre  dos  procesos  electorales,  es  decir,  cuando  no  hay  </w:t>
      </w:r>
      <w:r>
        <w:rPr>
          <w:spacing w:val="50"/>
        </w:rPr>
        <w:t> </w:t>
      </w:r>
      <w:r>
        <w:rPr/>
        <w:t>proceso</w:t>
      </w:r>
    </w:p>
    <w:p>
      <w:pPr>
        <w:pStyle w:val="BodyText"/>
        <w:spacing w:line="360" w:lineRule="auto" w:before="13"/>
        <w:ind w:left="122" w:right="116"/>
        <w:jc w:val="both"/>
      </w:pPr>
      <w:r>
        <w:rPr/>
        <w:t>electoral; y cuando se tiene proceso electoral son procedentes los tres restantes (LEM LV, 2005a:145-146).</w:t>
      </w:r>
    </w:p>
    <w:p>
      <w:pPr>
        <w:pStyle w:val="BodyText"/>
        <w:spacing w:before="10"/>
        <w:rPr>
          <w:sz w:val="13"/>
        </w:rPr>
      </w:pPr>
      <w:r>
        <w:rPr/>
        <w:pict>
          <v:line style="position:absolute;mso-position-horizontal-relative:page;mso-position-vertical-relative:paragraph;z-index:1768;mso-wrap-distance-left:0;mso-wrap-distance-right:0" from="85.103996pt,10.313917pt" to="229.123996pt,10.313917pt" stroked="true" strokeweight=".71997pt" strokecolor="#000000">
            <w10:wrap type="topAndBottom"/>
          </v:line>
        </w:pict>
      </w:r>
    </w:p>
    <w:p>
      <w:pPr>
        <w:spacing w:before="36"/>
        <w:ind w:left="122" w:right="120" w:firstLine="0"/>
        <w:jc w:val="both"/>
        <w:rPr>
          <w:sz w:val="20"/>
        </w:rPr>
      </w:pPr>
      <w:r>
        <w:rPr>
          <w:position w:val="10"/>
          <w:sz w:val="13"/>
        </w:rPr>
        <w:t>23 </w:t>
      </w:r>
      <w:r>
        <w:rPr>
          <w:sz w:val="20"/>
        </w:rPr>
        <w:t>Y que perduran hasta hoy en el mismo sentido, aun cuando su redacción cambió y lo que señalaba el CEEM de 2005 en el artículo 303 actualmente el CEEM (LEM LVII, 2011: 248-250) lo pormenoriza en varios artículos: 301, 302 y 302bis.</w:t>
      </w:r>
    </w:p>
    <w:p>
      <w:pPr>
        <w:spacing w:after="0"/>
        <w:jc w:val="both"/>
        <w:rPr>
          <w:sz w:val="20"/>
        </w:rPr>
        <w:sectPr>
          <w:pgSz w:w="12240" w:h="15840"/>
          <w:pgMar w:header="749" w:footer="1003" w:top="960" w:bottom="1200" w:left="1580" w:right="1580"/>
        </w:sectPr>
      </w:pPr>
    </w:p>
    <w:p>
      <w:pPr>
        <w:pStyle w:val="BodyText"/>
        <w:rPr>
          <w:sz w:val="20"/>
        </w:rPr>
      </w:pPr>
    </w:p>
    <w:p>
      <w:pPr>
        <w:pStyle w:val="BodyText"/>
        <w:spacing w:line="360" w:lineRule="auto" w:before="214"/>
        <w:ind w:left="102" w:right="116" w:firstLine="707"/>
        <w:jc w:val="both"/>
      </w:pPr>
      <w:r>
        <w:rPr/>
        <w:t>De los tres medios de impugnación antes señalados dos son objeto del presente estudio: el recurso de apelación y el juicio de inconformidad puesto que pueden recurrir actos del CGIEEM; y el recurso de revisión no, pues éste se interpone ante el Consejo General del IEEM contra actos de juntas y consejos distritales y municipales, y este trabajo no está evaluando a los órganos desconcentrados del IEEM sino al órgano máximo de dirección el CGIEEM.</w:t>
      </w:r>
    </w:p>
    <w:p>
      <w:pPr>
        <w:pStyle w:val="BodyText"/>
        <w:spacing w:line="360" w:lineRule="auto" w:before="2"/>
        <w:ind w:left="102" w:right="118" w:firstLine="707"/>
        <w:jc w:val="both"/>
      </w:pPr>
      <w:r>
        <w:rPr/>
        <w:t>De acuerdo con lo dispuesto por el artículo 303 del CEEM el recurso de apelación impugna las resoluciones recaídas a los recursos de revisión o contra los actos y resoluciones de los órganos centrales del Instituto, los cuales resolverá el TEEM; y el juicio de inconformidad impugna los resultados de los cómputos estatal, distritales o municipales, o la nulidad de la votación recibida en una o varias casillas o para solicitar la nulidad de las elecciones o rectificar cómputos de las elecciones de Gobernador, diputados y miembros de los ayuntamientos, o para impugnar la asignación de diputados, regidores y síndicos electos por el principio de representación proporcional (LEM LV, 2005a:</w:t>
      </w:r>
      <w:r>
        <w:rPr>
          <w:spacing w:val="-20"/>
        </w:rPr>
        <w:t> </w:t>
      </w:r>
      <w:r>
        <w:rPr/>
        <w:t>145-146).</w:t>
      </w:r>
    </w:p>
    <w:p>
      <w:pPr>
        <w:pStyle w:val="BodyText"/>
        <w:spacing w:line="360" w:lineRule="auto" w:before="5"/>
        <w:ind w:left="102" w:right="119" w:firstLine="707"/>
        <w:jc w:val="both"/>
      </w:pPr>
      <w:r>
        <w:rPr/>
        <w:t>Al igual que sucede con el TEPJF el TEEM en ocasiones no puede dictar una sentencia por carecer de información sobre el acto impugnado o porque el hecho que dio origen al acto ya se modificó, en ese caso emite una resolución en otro sentido como puede ser: desechar de plano el recurso, declararlo notoriamente improcedente, sobreseído o infundado, o tenerlo como no presentado.</w:t>
      </w:r>
    </w:p>
    <w:p>
      <w:pPr>
        <w:pStyle w:val="BodyText"/>
        <w:spacing w:line="360" w:lineRule="auto" w:before="5"/>
        <w:ind w:left="102" w:right="116" w:firstLine="707"/>
        <w:jc w:val="both"/>
      </w:pPr>
      <w:r>
        <w:rPr/>
        <w:t>Durante el proceso electoral de 2005-2006 el TEEM recibió 152 juicios de inconformidad (ninguno de apelación), de los cuales seis recurrían actos del CGIEEM obteniendo los resultados ya mencionados (TEEM, 2012).</w:t>
      </w:r>
    </w:p>
    <w:p>
      <w:pPr>
        <w:pStyle w:val="BodyText"/>
        <w:spacing w:line="360" w:lineRule="auto" w:before="2"/>
        <w:ind w:left="102" w:right="114" w:firstLine="707"/>
        <w:jc w:val="both"/>
      </w:pPr>
      <w:r>
        <w:rPr/>
        <w:t>Las sentencias del TEEM se estudiaron a través de cuatro elementos: a) porcentaje de acuerdos impugnados que tuvieron una sentencia confirmatoria frente al total de recursos interpuestos, b) porcentaje de acuerdos impugnados  que tuvieron una sentencia modificatoria frente al total de recursos interpuestos, c) porcentaje de acuerdos impugnados que tuvieron una sentencia revocatoria frente al total de recursos interpuestos, y d) otras resoluciones. Con la finalidad de homologar</w:t>
      </w:r>
      <w:r>
        <w:rPr>
          <w:spacing w:val="36"/>
        </w:rPr>
        <w:t> </w:t>
      </w:r>
      <w:r>
        <w:rPr/>
        <w:t>el</w:t>
      </w:r>
      <w:r>
        <w:rPr>
          <w:spacing w:val="36"/>
        </w:rPr>
        <w:t> </w:t>
      </w:r>
      <w:r>
        <w:rPr/>
        <w:t>análisis</w:t>
      </w:r>
      <w:r>
        <w:rPr>
          <w:spacing w:val="36"/>
        </w:rPr>
        <w:t> </w:t>
      </w:r>
      <w:r>
        <w:rPr/>
        <w:t>para</w:t>
      </w:r>
      <w:r>
        <w:rPr>
          <w:spacing w:val="37"/>
        </w:rPr>
        <w:t> </w:t>
      </w:r>
      <w:r>
        <w:rPr/>
        <w:t>las</w:t>
      </w:r>
      <w:r>
        <w:rPr>
          <w:spacing w:val="37"/>
        </w:rPr>
        <w:t> </w:t>
      </w:r>
      <w:r>
        <w:rPr/>
        <w:t>tres</w:t>
      </w:r>
      <w:r>
        <w:rPr>
          <w:spacing w:val="37"/>
        </w:rPr>
        <w:t> </w:t>
      </w:r>
      <w:r>
        <w:rPr/>
        <w:t>instituciones</w:t>
      </w:r>
      <w:r>
        <w:rPr>
          <w:spacing w:val="37"/>
        </w:rPr>
        <w:t> </w:t>
      </w:r>
      <w:r>
        <w:rPr/>
        <w:t>objeto</w:t>
      </w:r>
      <w:r>
        <w:rPr>
          <w:spacing w:val="38"/>
        </w:rPr>
        <w:t> </w:t>
      </w:r>
      <w:r>
        <w:rPr/>
        <w:t>de</w:t>
      </w:r>
      <w:r>
        <w:rPr>
          <w:spacing w:val="37"/>
        </w:rPr>
        <w:t> </w:t>
      </w:r>
      <w:r>
        <w:rPr/>
        <w:t>estudio</w:t>
      </w:r>
      <w:r>
        <w:rPr>
          <w:spacing w:val="35"/>
        </w:rPr>
        <w:t> </w:t>
      </w:r>
      <w:r>
        <w:rPr/>
        <w:t>se</w:t>
      </w:r>
      <w:r>
        <w:rPr>
          <w:spacing w:val="37"/>
        </w:rPr>
        <w:t> </w:t>
      </w:r>
      <w:r>
        <w:rPr/>
        <w:t>elaboró</w:t>
      </w:r>
      <w:r>
        <w:rPr>
          <w:spacing w:val="34"/>
        </w:rPr>
        <w:t> </w:t>
      </w:r>
      <w:r>
        <w:rPr/>
        <w:t>el</w:t>
      </w:r>
    </w:p>
    <w:p>
      <w:pPr>
        <w:spacing w:after="0" w:line="360" w:lineRule="auto"/>
        <w:jc w:val="both"/>
        <w:sectPr>
          <w:pgSz w:w="12240" w:h="15840"/>
          <w:pgMar w:header="749" w:footer="1003" w:top="960" w:bottom="1200" w:left="1600" w:right="1580"/>
        </w:sectPr>
      </w:pPr>
    </w:p>
    <w:p>
      <w:pPr>
        <w:pStyle w:val="BodyText"/>
        <w:rPr>
          <w:sz w:val="20"/>
        </w:rPr>
      </w:pPr>
    </w:p>
    <w:p>
      <w:pPr>
        <w:pStyle w:val="BodyText"/>
        <w:spacing w:line="360" w:lineRule="auto" w:before="214"/>
        <w:ind w:left="102" w:right="127"/>
        <w:jc w:val="both"/>
      </w:pPr>
      <w:r>
        <w:rPr/>
        <w:t>siguiente cuadro aun cuando en el caso de las sentencias del TEEM éstas fueron escazas y por lo tanto no se tiene mucho que evaluar al respecto en cada elemento.</w:t>
      </w:r>
    </w:p>
    <w:p>
      <w:pPr>
        <w:pStyle w:val="BodyText"/>
        <w:spacing w:before="7"/>
      </w:pPr>
    </w:p>
    <w:p>
      <w:pPr>
        <w:pStyle w:val="Heading2"/>
        <w:spacing w:line="410" w:lineRule="atLeast" w:before="1"/>
        <w:ind w:left="3313" w:right="3326" w:hanging="5"/>
      </w:pPr>
      <w:r>
        <w:rPr/>
        <w:t>Cuadro 2.6 Sentencias del TEEM</w:t>
      </w:r>
    </w:p>
    <w:p>
      <w:pPr>
        <w:spacing w:before="0"/>
        <w:ind w:left="2218" w:right="2233" w:firstLine="0"/>
        <w:jc w:val="center"/>
        <w:rPr>
          <w:b/>
          <w:sz w:val="24"/>
        </w:rPr>
      </w:pPr>
      <w:r>
        <w:rPr>
          <w:b/>
          <w:sz w:val="24"/>
        </w:rPr>
        <w:t>a los acuerdos del CGIEEM impugnados (2005-2006)</w:t>
      </w:r>
    </w:p>
    <w:p>
      <w:pPr>
        <w:pStyle w:val="BodyText"/>
        <w:spacing w:before="4"/>
        <w:rPr>
          <w:b/>
        </w:rPr>
      </w:pPr>
    </w:p>
    <w:tbl>
      <w:tblPr>
        <w:tblW w:w="0" w:type="auto"/>
        <w:jc w:val="left"/>
        <w:tblInd w:w="22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85"/>
        <w:gridCol w:w="1136"/>
        <w:gridCol w:w="1140"/>
      </w:tblGrid>
      <w:tr>
        <w:trPr>
          <w:trHeight w:val="422" w:hRule="exact"/>
        </w:trPr>
        <w:tc>
          <w:tcPr>
            <w:tcW w:w="1985" w:type="dxa"/>
            <w:shd w:val="clear" w:color="auto" w:fill="D9D9D9"/>
          </w:tcPr>
          <w:p>
            <w:pPr>
              <w:pStyle w:val="TableParagraph"/>
              <w:spacing w:line="274" w:lineRule="exact"/>
              <w:ind w:left="435"/>
              <w:rPr>
                <w:b/>
                <w:sz w:val="24"/>
              </w:rPr>
            </w:pPr>
            <w:r>
              <w:rPr>
                <w:b/>
                <w:sz w:val="24"/>
              </w:rPr>
              <w:t>Acuerdos</w:t>
            </w:r>
          </w:p>
        </w:tc>
        <w:tc>
          <w:tcPr>
            <w:tcW w:w="1136" w:type="dxa"/>
            <w:shd w:val="clear" w:color="auto" w:fill="D9D9D9"/>
          </w:tcPr>
          <w:p>
            <w:pPr>
              <w:pStyle w:val="TableParagraph"/>
              <w:spacing w:line="272" w:lineRule="exact"/>
              <w:ind w:left="0" w:right="109"/>
              <w:jc w:val="right"/>
              <w:rPr>
                <w:b/>
                <w:sz w:val="24"/>
              </w:rPr>
            </w:pPr>
            <w:r>
              <w:rPr>
                <w:b/>
                <w:sz w:val="24"/>
              </w:rPr>
              <w:t>Número</w:t>
            </w:r>
          </w:p>
        </w:tc>
        <w:tc>
          <w:tcPr>
            <w:tcW w:w="1140" w:type="dxa"/>
            <w:shd w:val="clear" w:color="auto" w:fill="D9D9D9"/>
          </w:tcPr>
          <w:p>
            <w:pPr>
              <w:pStyle w:val="TableParagraph"/>
              <w:spacing w:line="272" w:lineRule="exact"/>
              <w:ind w:left="0" w:right="3"/>
              <w:jc w:val="center"/>
              <w:rPr>
                <w:b/>
                <w:sz w:val="24"/>
              </w:rPr>
            </w:pPr>
            <w:r>
              <w:rPr>
                <w:b/>
                <w:w w:val="99"/>
                <w:sz w:val="24"/>
              </w:rPr>
              <w:t>%</w:t>
            </w:r>
          </w:p>
        </w:tc>
      </w:tr>
      <w:tr>
        <w:trPr>
          <w:trHeight w:val="289" w:hRule="exact"/>
        </w:trPr>
        <w:tc>
          <w:tcPr>
            <w:tcW w:w="1985" w:type="dxa"/>
          </w:tcPr>
          <w:p>
            <w:pPr>
              <w:pStyle w:val="TableParagraph"/>
              <w:spacing w:line="275" w:lineRule="exact"/>
              <w:rPr>
                <w:sz w:val="24"/>
              </w:rPr>
            </w:pPr>
            <w:r>
              <w:rPr>
                <w:sz w:val="24"/>
              </w:rPr>
              <w:t>Confirmados</w:t>
            </w:r>
          </w:p>
        </w:tc>
        <w:tc>
          <w:tcPr>
            <w:tcW w:w="1136" w:type="dxa"/>
          </w:tcPr>
          <w:p>
            <w:pPr>
              <w:pStyle w:val="TableParagraph"/>
              <w:spacing w:line="275" w:lineRule="exact"/>
              <w:ind w:left="0" w:right="104"/>
              <w:jc w:val="right"/>
              <w:rPr>
                <w:sz w:val="24"/>
              </w:rPr>
            </w:pPr>
            <w:r>
              <w:rPr>
                <w:w w:val="99"/>
                <w:sz w:val="24"/>
              </w:rPr>
              <w:t>1</w:t>
            </w:r>
          </w:p>
        </w:tc>
        <w:tc>
          <w:tcPr>
            <w:tcW w:w="1140" w:type="dxa"/>
          </w:tcPr>
          <w:p>
            <w:pPr>
              <w:pStyle w:val="TableParagraph"/>
              <w:spacing w:line="275" w:lineRule="exact"/>
              <w:ind w:left="0" w:right="100"/>
              <w:jc w:val="right"/>
              <w:rPr>
                <w:sz w:val="24"/>
              </w:rPr>
            </w:pPr>
            <w:r>
              <w:rPr>
                <w:w w:val="95"/>
                <w:sz w:val="24"/>
              </w:rPr>
              <w:t>25%</w:t>
            </w:r>
          </w:p>
        </w:tc>
      </w:tr>
      <w:tr>
        <w:trPr>
          <w:trHeight w:val="286" w:hRule="exact"/>
        </w:trPr>
        <w:tc>
          <w:tcPr>
            <w:tcW w:w="1985" w:type="dxa"/>
          </w:tcPr>
          <w:p>
            <w:pPr>
              <w:pStyle w:val="TableParagraph"/>
              <w:spacing w:line="272" w:lineRule="exact"/>
              <w:rPr>
                <w:sz w:val="24"/>
              </w:rPr>
            </w:pPr>
            <w:r>
              <w:rPr>
                <w:sz w:val="24"/>
              </w:rPr>
              <w:t>Modificados</w:t>
            </w:r>
          </w:p>
        </w:tc>
        <w:tc>
          <w:tcPr>
            <w:tcW w:w="1136" w:type="dxa"/>
          </w:tcPr>
          <w:p>
            <w:pPr>
              <w:pStyle w:val="TableParagraph"/>
              <w:spacing w:line="272" w:lineRule="exact"/>
              <w:ind w:left="0" w:right="104"/>
              <w:jc w:val="right"/>
              <w:rPr>
                <w:sz w:val="24"/>
              </w:rPr>
            </w:pPr>
            <w:r>
              <w:rPr>
                <w:w w:val="99"/>
                <w:sz w:val="24"/>
              </w:rPr>
              <w:t>0</w:t>
            </w:r>
          </w:p>
        </w:tc>
        <w:tc>
          <w:tcPr>
            <w:tcW w:w="1140" w:type="dxa"/>
          </w:tcPr>
          <w:p>
            <w:pPr>
              <w:pStyle w:val="TableParagraph"/>
              <w:spacing w:line="272" w:lineRule="exact"/>
              <w:ind w:left="0" w:right="102"/>
              <w:jc w:val="right"/>
              <w:rPr>
                <w:sz w:val="24"/>
              </w:rPr>
            </w:pPr>
            <w:r>
              <w:rPr>
                <w:w w:val="95"/>
                <w:sz w:val="24"/>
              </w:rPr>
              <w:t>0%</w:t>
            </w:r>
          </w:p>
        </w:tc>
      </w:tr>
      <w:tr>
        <w:trPr>
          <w:trHeight w:val="286" w:hRule="exact"/>
        </w:trPr>
        <w:tc>
          <w:tcPr>
            <w:tcW w:w="1985" w:type="dxa"/>
          </w:tcPr>
          <w:p>
            <w:pPr>
              <w:pStyle w:val="TableParagraph"/>
              <w:spacing w:line="272" w:lineRule="exact"/>
              <w:rPr>
                <w:sz w:val="24"/>
              </w:rPr>
            </w:pPr>
            <w:r>
              <w:rPr>
                <w:sz w:val="24"/>
              </w:rPr>
              <w:t>Revocados</w:t>
            </w:r>
          </w:p>
        </w:tc>
        <w:tc>
          <w:tcPr>
            <w:tcW w:w="1136" w:type="dxa"/>
          </w:tcPr>
          <w:p>
            <w:pPr>
              <w:pStyle w:val="TableParagraph"/>
              <w:spacing w:line="272" w:lineRule="exact"/>
              <w:ind w:left="0" w:right="104"/>
              <w:jc w:val="right"/>
              <w:rPr>
                <w:sz w:val="24"/>
              </w:rPr>
            </w:pPr>
            <w:r>
              <w:rPr>
                <w:w w:val="99"/>
                <w:sz w:val="24"/>
              </w:rPr>
              <w:t>1</w:t>
            </w:r>
          </w:p>
        </w:tc>
        <w:tc>
          <w:tcPr>
            <w:tcW w:w="1140" w:type="dxa"/>
          </w:tcPr>
          <w:p>
            <w:pPr>
              <w:pStyle w:val="TableParagraph"/>
              <w:spacing w:line="272" w:lineRule="exact"/>
              <w:ind w:left="0" w:right="100"/>
              <w:jc w:val="right"/>
              <w:rPr>
                <w:sz w:val="24"/>
              </w:rPr>
            </w:pPr>
            <w:r>
              <w:rPr>
                <w:w w:val="95"/>
                <w:sz w:val="24"/>
              </w:rPr>
              <w:t>25%</w:t>
            </w:r>
          </w:p>
        </w:tc>
      </w:tr>
      <w:tr>
        <w:trPr>
          <w:trHeight w:val="562" w:hRule="exact"/>
        </w:trPr>
        <w:tc>
          <w:tcPr>
            <w:tcW w:w="1985" w:type="dxa"/>
          </w:tcPr>
          <w:p>
            <w:pPr>
              <w:pStyle w:val="TableParagraph"/>
              <w:ind w:right="505"/>
              <w:rPr>
                <w:sz w:val="24"/>
              </w:rPr>
            </w:pPr>
            <w:r>
              <w:rPr>
                <w:sz w:val="24"/>
              </w:rPr>
              <w:t>Otras resoluciones</w:t>
            </w:r>
          </w:p>
        </w:tc>
        <w:tc>
          <w:tcPr>
            <w:tcW w:w="1136" w:type="dxa"/>
          </w:tcPr>
          <w:p>
            <w:pPr>
              <w:pStyle w:val="TableParagraph"/>
              <w:spacing w:line="272" w:lineRule="exact"/>
              <w:ind w:left="0" w:right="104"/>
              <w:jc w:val="right"/>
              <w:rPr>
                <w:sz w:val="24"/>
              </w:rPr>
            </w:pPr>
            <w:r>
              <w:rPr>
                <w:w w:val="99"/>
                <w:sz w:val="24"/>
              </w:rPr>
              <w:t>2</w:t>
            </w:r>
          </w:p>
        </w:tc>
        <w:tc>
          <w:tcPr>
            <w:tcW w:w="1140" w:type="dxa"/>
          </w:tcPr>
          <w:p>
            <w:pPr>
              <w:pStyle w:val="TableParagraph"/>
              <w:spacing w:line="272" w:lineRule="exact"/>
              <w:ind w:left="0" w:right="100"/>
              <w:jc w:val="right"/>
              <w:rPr>
                <w:sz w:val="24"/>
              </w:rPr>
            </w:pPr>
            <w:r>
              <w:rPr>
                <w:w w:val="95"/>
                <w:sz w:val="24"/>
              </w:rPr>
              <w:t>50%</w:t>
            </w:r>
          </w:p>
        </w:tc>
      </w:tr>
      <w:tr>
        <w:trPr>
          <w:trHeight w:val="286" w:hRule="exact"/>
        </w:trPr>
        <w:tc>
          <w:tcPr>
            <w:tcW w:w="1985" w:type="dxa"/>
          </w:tcPr>
          <w:p>
            <w:pPr>
              <w:pStyle w:val="TableParagraph"/>
              <w:spacing w:line="272" w:lineRule="exact"/>
              <w:rPr>
                <w:sz w:val="24"/>
              </w:rPr>
            </w:pPr>
            <w:r>
              <w:rPr>
                <w:sz w:val="24"/>
              </w:rPr>
              <w:t>Total</w:t>
            </w:r>
          </w:p>
        </w:tc>
        <w:tc>
          <w:tcPr>
            <w:tcW w:w="1136" w:type="dxa"/>
          </w:tcPr>
          <w:p>
            <w:pPr>
              <w:pStyle w:val="TableParagraph"/>
              <w:spacing w:line="272" w:lineRule="exact"/>
              <w:ind w:left="0" w:right="104"/>
              <w:jc w:val="right"/>
              <w:rPr>
                <w:sz w:val="24"/>
              </w:rPr>
            </w:pPr>
            <w:r>
              <w:rPr>
                <w:w w:val="99"/>
                <w:sz w:val="24"/>
              </w:rPr>
              <w:t>4</w:t>
            </w:r>
          </w:p>
        </w:tc>
        <w:tc>
          <w:tcPr>
            <w:tcW w:w="1140" w:type="dxa"/>
          </w:tcPr>
          <w:p>
            <w:pPr>
              <w:pStyle w:val="TableParagraph"/>
              <w:spacing w:line="272" w:lineRule="exact"/>
              <w:ind w:left="0" w:right="100"/>
              <w:jc w:val="right"/>
              <w:rPr>
                <w:sz w:val="24"/>
              </w:rPr>
            </w:pPr>
            <w:r>
              <w:rPr>
                <w:w w:val="95"/>
                <w:sz w:val="24"/>
              </w:rPr>
              <w:t>100%</w:t>
            </w:r>
          </w:p>
        </w:tc>
      </w:tr>
    </w:tbl>
    <w:p>
      <w:pPr>
        <w:spacing w:line="242" w:lineRule="auto" w:before="0"/>
        <w:ind w:left="2278" w:right="2628" w:firstLine="0"/>
        <w:jc w:val="left"/>
        <w:rPr>
          <w:sz w:val="22"/>
        </w:rPr>
      </w:pPr>
      <w:r>
        <w:rPr>
          <w:sz w:val="22"/>
        </w:rPr>
        <w:t>Fuente: elaboración propia tomando como base datos del TEEM (2012).</w:t>
      </w:r>
    </w:p>
    <w:p>
      <w:pPr>
        <w:pStyle w:val="BodyText"/>
        <w:spacing w:before="9"/>
        <w:rPr>
          <w:sz w:val="21"/>
        </w:rPr>
      </w:pPr>
    </w:p>
    <w:p>
      <w:pPr>
        <w:pStyle w:val="BodyText"/>
        <w:spacing w:line="360" w:lineRule="auto" w:before="1"/>
        <w:ind w:left="102" w:right="119" w:firstLine="707"/>
        <w:jc w:val="both"/>
      </w:pPr>
      <w:r>
        <w:rPr/>
        <w:t>De las cuatro sentencias dadas por el TEEM relativas a juicios de inconformidad contra actos o resoluciones del CGIEEM sólo una fue confirmatoria (25%), una revocatoria (25%), dos recibieron resoluciones en otro sentido (sobreseimiento) (50%) y no hubo sentencias modificatorias.</w:t>
      </w:r>
    </w:p>
    <w:p>
      <w:pPr>
        <w:pStyle w:val="BodyText"/>
        <w:spacing w:line="360" w:lineRule="auto" w:before="5"/>
        <w:ind w:left="102" w:right="118" w:firstLine="707"/>
        <w:jc w:val="both"/>
      </w:pPr>
      <w:r>
        <w:rPr/>
        <w:t>En síntesis, durante el proceso electoral 2005-2006 el TEEM determinó revocar un acuerdo del CGIEEM lo que representa el 25% del total de los acuerdos impugnados, ubicando al IEEM como un órgano con una mediana calidad en cuanto a su congruencia con la legalidad</w:t>
      </w:r>
      <w:r>
        <w:rPr>
          <w:spacing w:val="-17"/>
        </w:rPr>
        <w:t> </w:t>
      </w:r>
      <w:r>
        <w:rPr/>
        <w:t>(2.0).</w:t>
      </w:r>
    </w:p>
    <w:p>
      <w:pPr>
        <w:pStyle w:val="BodyText"/>
      </w:pPr>
    </w:p>
    <w:p>
      <w:pPr>
        <w:pStyle w:val="ListParagraph"/>
        <w:numPr>
          <w:ilvl w:val="1"/>
          <w:numId w:val="24"/>
        </w:numPr>
        <w:tabs>
          <w:tab w:pos="1182" w:val="left" w:leader="none"/>
        </w:tabs>
        <w:spacing w:line="240" w:lineRule="auto" w:before="142" w:after="0"/>
        <w:ind w:left="1182" w:right="0" w:hanging="360"/>
        <w:jc w:val="left"/>
        <w:rPr>
          <w:sz w:val="24"/>
        </w:rPr>
      </w:pPr>
      <w:r>
        <w:rPr>
          <w:sz w:val="24"/>
        </w:rPr>
        <w:t>Imparcialidad cualitativa en el resultado de la</w:t>
      </w:r>
      <w:r>
        <w:rPr>
          <w:spacing w:val="-17"/>
          <w:sz w:val="24"/>
        </w:rPr>
        <w:t> </w:t>
      </w:r>
      <w:r>
        <w:rPr>
          <w:sz w:val="24"/>
        </w:rPr>
        <w:t>elección</w:t>
      </w:r>
    </w:p>
    <w:p>
      <w:pPr>
        <w:pStyle w:val="BodyText"/>
      </w:pPr>
    </w:p>
    <w:p>
      <w:pPr>
        <w:pStyle w:val="BodyText"/>
      </w:pPr>
    </w:p>
    <w:p>
      <w:pPr>
        <w:pStyle w:val="BodyText"/>
        <w:spacing w:line="360" w:lineRule="auto"/>
        <w:ind w:left="102" w:right="116"/>
        <w:jc w:val="both"/>
      </w:pPr>
      <w:r>
        <w:rPr/>
        <w:t>El presente indicador evalúa la calidad de los acuerdos emitidos por el CGIEEM  en cuanto al grado de afectación causado al resultado de la elección y/o  el proceso electoral, a través del análisis de los acuerdos revocados por el TEEM.  De acuerdo con lo anterior el IEEM obtuvo una calificación baja (1.0) ya que aun cuando cuantitativamente sólo uno de sus acuerdos fue revocado (JI-110-2006 y JI-113-2006  acumulados),  cualitativamente  se  debió  a  una  causa  grave   </w:t>
      </w:r>
      <w:r>
        <w:rPr>
          <w:spacing w:val="8"/>
        </w:rPr>
        <w:t> </w:t>
      </w:r>
      <w:r>
        <w:rPr/>
        <w:t>que</w:t>
      </w:r>
    </w:p>
    <w:p>
      <w:pPr>
        <w:spacing w:after="0" w:line="360" w:lineRule="auto"/>
        <w:jc w:val="both"/>
        <w:sectPr>
          <w:pgSz w:w="12240" w:h="15840"/>
          <w:pgMar w:header="749" w:footer="1003" w:top="960" w:bottom="1200" w:left="1600" w:right="1580"/>
        </w:sectPr>
      </w:pPr>
    </w:p>
    <w:p>
      <w:pPr>
        <w:pStyle w:val="BodyText"/>
        <w:rPr>
          <w:sz w:val="20"/>
        </w:rPr>
      </w:pPr>
    </w:p>
    <w:p>
      <w:pPr>
        <w:pStyle w:val="BodyText"/>
        <w:spacing w:line="360" w:lineRule="auto" w:before="214"/>
        <w:ind w:left="102" w:right="116"/>
        <w:jc w:val="both"/>
      </w:pPr>
      <w:r>
        <w:rPr/>
        <w:t>originó la anulación de la elección en el municipio de Ocoyoacac y la realización  de una elección extraordinaria. Dicha acción fue imputada directamente a un incorrecto desempeño de los consejeros electorales; sin precisarse en la sentencia del TEEM si sólo hubo error o también presencia de dolo en la actuación de los funcionarios (TEEM,</w:t>
      </w:r>
      <w:r>
        <w:rPr>
          <w:spacing w:val="-11"/>
        </w:rPr>
        <w:t> </w:t>
      </w:r>
      <w:r>
        <w:rPr/>
        <w:t>2012).</w:t>
      </w:r>
    </w:p>
    <w:p>
      <w:pPr>
        <w:pStyle w:val="BodyText"/>
        <w:spacing w:line="360" w:lineRule="auto" w:before="5"/>
        <w:ind w:left="102" w:right="114" w:firstLine="707"/>
        <w:jc w:val="both"/>
      </w:pPr>
      <w:r>
        <w:rPr/>
        <w:t>El motivo de la inconformidad que dio origen a los juicios JI-110-2006 y JI- 113-2006 (acumulados) se debió a que el Consejo General del IEEM realizó el cómputo supletorio de la elección municipal del ayuntamiento de Ocoyoacac, el cual debía realizar el Consejo Municipal Electoral de dicho municipio, pero dado que el resultado de la elección fue muy cerrado entre dos de los contendientes (la Coalición Alianza por México obtuvo 5,779 votos y el Partido de la Revolución Democrática 5,777 votos) sus representantes aludían que ambos habían ganado la elección; motivo que originó que el CGIEE interviniera y determinara que dentro del Consejo Municipal de Ocoyoacac no se tenían las condiciones mínimas de seguridad necesarias para que se realizara el cómputo, así que supletoriamente (como lo señala el CEEM) se realizaría en las oficinas que ocupa en el CGIEEM. De acuerdo con lo anterior se trasladaron las boletas a la sede del CGIEEM lugar en donde se realizó el cómputo y se declaró válida la elección de miembros del ayuntamiento; expidiendo la constancia de mayoría a la planilla de candidatos postulados por la Coalición Alianza por México (integrada por los partidos Revolucionario Institucional y Verde Ecologista). El PRD no estuvo conforme con el resultado e interpuso un juicio de inconformidad ante el TEEM para impugnar los resultados consignados en el acta de cómputo municipal, realizada en las oficinas centrales del Instituto Electoral del Estado de México así como el cómputo supletorio efectuado por el Consejo General, la declaración de validez de la elección y la expedición de la constancia de mayoría a la planilla ganadora. Por su parte la Coalición Alianza por México interpuso un juicio inconformándose con la anulación de la votación en algunas</w:t>
      </w:r>
      <w:r>
        <w:rPr>
          <w:spacing w:val="-11"/>
        </w:rPr>
        <w:t> </w:t>
      </w:r>
      <w:r>
        <w:rPr/>
        <w:t>casillas.</w:t>
      </w:r>
    </w:p>
    <w:p>
      <w:pPr>
        <w:pStyle w:val="BodyText"/>
        <w:spacing w:line="360" w:lineRule="auto" w:before="2"/>
        <w:ind w:left="102" w:right="115" w:firstLine="707"/>
        <w:jc w:val="both"/>
      </w:pPr>
      <w:r>
        <w:rPr/>
        <w:t>De acuerdo con lo anterior el TEEM determinó acumular los juicios, pues eran relativos al mismo hecho, y dictó sentencia unánime el 2 de mayo de 2006 en el sentido de declarar infundados los agravios esgrimidos por la Coalición </w:t>
      </w:r>
      <w:r>
        <w:rPr>
          <w:spacing w:val="50"/>
        </w:rPr>
        <w:t> </w:t>
      </w:r>
      <w:r>
        <w:rPr/>
        <w:t>Alianza</w:t>
      </w:r>
    </w:p>
    <w:p>
      <w:pPr>
        <w:spacing w:after="0" w:line="360" w:lineRule="auto"/>
        <w:jc w:val="both"/>
        <w:sectPr>
          <w:pgSz w:w="12240" w:h="15840"/>
          <w:pgMar w:header="749" w:footer="1003" w:top="960" w:bottom="1200" w:left="1600" w:right="1580"/>
        </w:sectPr>
      </w:pPr>
    </w:p>
    <w:p>
      <w:pPr>
        <w:pStyle w:val="BodyText"/>
        <w:rPr>
          <w:sz w:val="20"/>
        </w:rPr>
      </w:pPr>
    </w:p>
    <w:p>
      <w:pPr>
        <w:pStyle w:val="BodyText"/>
        <w:spacing w:line="360" w:lineRule="auto" w:before="214"/>
        <w:ind w:left="102" w:right="119"/>
        <w:jc w:val="both"/>
      </w:pPr>
      <w:r>
        <w:rPr/>
        <w:t>por México y parcialmente fundados los agravios hechos valer por el PRD; determinando revocar la declaración de validez de la elección de miembros del ayuntamiento de Ocoyoacac, Estado de México, y el otorgamiento de las constancias de mayoría respectivas; así como declarando nula la elección.</w:t>
      </w:r>
    </w:p>
    <w:p>
      <w:pPr>
        <w:pStyle w:val="BodyText"/>
        <w:spacing w:line="360" w:lineRule="auto" w:before="2"/>
        <w:ind w:left="102" w:right="114" w:firstLine="707"/>
        <w:jc w:val="both"/>
      </w:pPr>
      <w:r>
        <w:rPr/>
        <w:t>La falta grave que cometió el Consejo General del IEEM consistió en que no se realizó un acta que diera soporte al traslado de las boletas de las oficinas del Consejo Municipal de Ocoyoacac a las oficinas del CGIEEM para realizar al computó supletorio; dicha acta debía manifestar que el Consejo Municipal aprobó que el Consejo General del IEEM realizara el computo supletorio, expresando el motivo por el cual se efectuaría de esa forma, en este caso, porque no estaba garantizada la integridad física de los integrantes del consejo ni la seguridad de los paquetes electorales debido a la efervescencia de ambos partidos por lo cerrado de la votación. El acta debía pormenorizar cómo fue el embalaje y traslado de los paquetes así como el arribo y resguardo de los mismos al interior de las instalaciones del Consejo General del IEEM; posteriormente debía señalar cómo se realizó el cómputo supletorio además de estar firmada y sellada por ambos consejos. Sin embargo, el CGIEEM realizó un acta donde sólo se daba cuenta del computó supletorio, pero no se pormenorizaba todo lo antes mencionado, lo cual originó que el TEEM en su sentencia del 2 de mayo de 2006 señalara lo siguiente:</w:t>
      </w:r>
    </w:p>
    <w:p>
      <w:pPr>
        <w:pStyle w:val="BodyText"/>
      </w:pPr>
    </w:p>
    <w:p>
      <w:pPr>
        <w:spacing w:line="360" w:lineRule="auto" w:before="141"/>
        <w:ind w:left="810" w:right="115" w:firstLine="0"/>
        <w:jc w:val="both"/>
        <w:rPr>
          <w:sz w:val="22"/>
        </w:rPr>
      </w:pPr>
      <w:r>
        <w:rPr>
          <w:sz w:val="22"/>
        </w:rPr>
        <w:t>… cualitativamente, las irregularidades que han quedado demostradas se  traducen, como también quedó expuesto, en la vulneración de los principios de legalidad, certeza y objetividad, rectores de la función electoral, en el sentido de que, por una parte, la autoridad responsable violentó significativamente y en forma grave diversas disposiciones de la normatividad que regula su actuación en los procesos electorales; por otra, la responsable, con su ilegal actuar, generó que no se tenga certidumbre respecto de si el resultado final de la elección en el municipio de Ocoyoacac, refleja o no, fielmente, la voluntad ciudadana expresada en las urnas el día de la jornada electoral, al desconocer fundadamente, si dicho resultado corresponde al respeto del sufragio libre y secreto, sustento necesario de toda elección democrática y auténtica; y finalmente, porque la propia autoridad, aún a pesar de las violaciones sustanciales que han quedado acreditadas, </w:t>
      </w:r>
      <w:r>
        <w:rPr>
          <w:spacing w:val="1"/>
          <w:sz w:val="22"/>
        </w:rPr>
        <w:t> </w:t>
      </w:r>
      <w:r>
        <w:rPr>
          <w:sz w:val="22"/>
        </w:rPr>
        <w:t>declaró</w:t>
      </w:r>
    </w:p>
    <w:p>
      <w:pPr>
        <w:spacing w:after="0" w:line="360" w:lineRule="auto"/>
        <w:jc w:val="both"/>
        <w:rPr>
          <w:sz w:val="22"/>
        </w:rPr>
        <w:sectPr>
          <w:pgSz w:w="12240" w:h="15840"/>
          <w:pgMar w:header="749" w:footer="1003" w:top="960" w:bottom="1200" w:left="1600" w:right="1580"/>
        </w:sectPr>
      </w:pPr>
    </w:p>
    <w:p>
      <w:pPr>
        <w:pStyle w:val="BodyText"/>
        <w:rPr>
          <w:sz w:val="20"/>
        </w:rPr>
      </w:pPr>
    </w:p>
    <w:p>
      <w:pPr>
        <w:pStyle w:val="BodyText"/>
        <w:spacing w:before="7"/>
        <w:rPr>
          <w:sz w:val="18"/>
        </w:rPr>
      </w:pPr>
    </w:p>
    <w:p>
      <w:pPr>
        <w:spacing w:line="360" w:lineRule="auto" w:before="0"/>
        <w:ind w:left="810" w:right="119" w:firstLine="0"/>
        <w:jc w:val="both"/>
        <w:rPr>
          <w:sz w:val="22"/>
        </w:rPr>
      </w:pPr>
      <w:r>
        <w:rPr>
          <w:sz w:val="22"/>
        </w:rPr>
        <w:t>valida una elección que se aparta del cumplimiento irrestricto de los principios constitucionales y legales que debía satisfacer la elección, para dar sustento a la afirmación de que se trató de un efectivo ejercicio democrático que podía considerarse válido (TEEM, 2006: 180-181).</w:t>
      </w:r>
    </w:p>
    <w:p>
      <w:pPr>
        <w:pStyle w:val="BodyText"/>
        <w:rPr>
          <w:sz w:val="22"/>
        </w:rPr>
      </w:pPr>
    </w:p>
    <w:p>
      <w:pPr>
        <w:pStyle w:val="BodyText"/>
        <w:spacing w:line="360" w:lineRule="auto" w:before="130"/>
        <w:ind w:left="102" w:right="116" w:firstLine="707"/>
        <w:jc w:val="both"/>
      </w:pPr>
      <w:r>
        <w:rPr/>
        <w:t>De lo anterior se desprende que la conducta realizada por el CGIEEM fue ilegal, al incurrir en una falta grave derivada del error que cometió al no cumplir con los requisitos de fondo y forma (elaborar un acta pormenorizada al respecto) para realizar el cómputo supletoriamente, de acuerdo con ello el TEEM argumentó lo</w:t>
      </w:r>
      <w:r>
        <w:rPr>
          <w:spacing w:val="-1"/>
        </w:rPr>
        <w:t> </w:t>
      </w:r>
      <w:r>
        <w:rPr/>
        <w:t>siguiente:</w:t>
      </w:r>
    </w:p>
    <w:p>
      <w:pPr>
        <w:pStyle w:val="BodyText"/>
        <w:spacing w:before="4"/>
        <w:rPr>
          <w:sz w:val="33"/>
        </w:rPr>
      </w:pPr>
    </w:p>
    <w:p>
      <w:pPr>
        <w:spacing w:line="360" w:lineRule="auto" w:before="0"/>
        <w:ind w:left="810" w:right="116" w:firstLine="0"/>
        <w:jc w:val="both"/>
        <w:rPr>
          <w:sz w:val="22"/>
        </w:rPr>
      </w:pPr>
      <w:r>
        <w:rPr>
          <w:sz w:val="22"/>
        </w:rPr>
        <w:t>No obstante lo razonado, en criterio de este Tribunal, los resultados obtenidos a través de la repetición del escrutinio y cómputo realizado por el Órgano Superior  de Dirección del Instituto Electoral, se encuentran viciados de origen, toda vez que, como producto del análisis realizados en los incisos A y B del presente considerando, la integridad de los paquetes electorales, de su contenido, y de la fidelidad de los resultados electorales fue puesta en entredicho debido a la ausencia total de soporte alguno, documental principalmente, que permita conocer las actuaciones de la autoridad municipal electoral, originalmente competente para realizar el cómputo, así como a la falta de las formalidades que debió revestir la diligencia de extracción, traslado y entrega de dicha documentación de la sede del Consejo Municipal Electoral de Ocoyoacac, México a las oficinas que ocupa en la ciudad de Toluca el Consejo General del Instituto Electoral del Estado de México, aunado a que no se tiene certeza de lo acontecido con los paquetes electorales durante el tiempo que transcurrió entre la suspensión definitiva de las actuaciones ordenada por el consejo electoral, y el inicio de la sesión de cómputo supletorio,  por lo que dichos resultados no pueden integrar válidamente el cómputo de una elección en la que se comprobó fehacientemente que los principios rectores de certeza, legalidad y objetividad fueron vulnerados de manera determinante (TEEM, 2006: 179-</w:t>
      </w:r>
      <w:r>
        <w:rPr>
          <w:spacing w:val="-5"/>
          <w:sz w:val="22"/>
        </w:rPr>
        <w:t> </w:t>
      </w:r>
      <w:r>
        <w:rPr>
          <w:sz w:val="22"/>
        </w:rPr>
        <w:t>80).</w:t>
      </w:r>
    </w:p>
    <w:p>
      <w:pPr>
        <w:pStyle w:val="BodyText"/>
        <w:rPr>
          <w:sz w:val="22"/>
        </w:rPr>
      </w:pPr>
    </w:p>
    <w:p>
      <w:pPr>
        <w:pStyle w:val="BodyText"/>
        <w:spacing w:line="360" w:lineRule="auto" w:before="130"/>
        <w:ind w:left="102" w:right="125" w:firstLine="707"/>
        <w:jc w:val="both"/>
      </w:pPr>
      <w:r>
        <w:rPr/>
        <w:t>Las omisiones en las cuales incurrió el CGIEEM resultan inexplicables toda vez que los Consejeros Generales del IEEM cuentan con una amplia  </w:t>
      </w:r>
      <w:r>
        <w:rPr>
          <w:spacing w:val="55"/>
        </w:rPr>
        <w:t> </w:t>
      </w:r>
      <w:r>
        <w:rPr/>
        <w:t>experiencia</w:t>
      </w:r>
    </w:p>
    <w:p>
      <w:pPr>
        <w:spacing w:after="0" w:line="360" w:lineRule="auto"/>
        <w:jc w:val="both"/>
        <w:sectPr>
          <w:pgSz w:w="12240" w:h="15840"/>
          <w:pgMar w:header="749" w:footer="1003" w:top="960" w:bottom="1200" w:left="1600" w:right="1580"/>
        </w:sectPr>
      </w:pPr>
    </w:p>
    <w:p>
      <w:pPr>
        <w:pStyle w:val="BodyText"/>
        <w:rPr>
          <w:sz w:val="20"/>
        </w:rPr>
      </w:pPr>
    </w:p>
    <w:p>
      <w:pPr>
        <w:pStyle w:val="BodyText"/>
        <w:spacing w:line="360" w:lineRule="auto" w:before="214"/>
        <w:ind w:left="102" w:right="114"/>
        <w:jc w:val="both"/>
      </w:pPr>
      <w:r>
        <w:rPr/>
        <w:t>electoral en varios ámbitos: el académico, el legal y en la práctica profesional, de ahí que no es posible que hayan actuado de esta forma; motivo por el cual el PRD manifestó en la promoción de su juicio que el CGIEEM actuó con dolo; hecho que no pudo demostrar a satisfacción del TEEM y de acuerdo con lo anterior el tribunal determinó que el CGIEEM cometió un grave error pero no pudo determinar si actuó con dolo debido a lo siguiente: “…el actor no aportó medio de convicción o indicio alguno que conduzca a este Órgano jurisdiccional a la conclusión de que el Consejo General actuó dolosamente durante la sesión de cómputo supletorio, específicamente al determinar realizar de nueva cuenta el escrutinio y cómputo de la casilla mencionada. Es orientador al respecto el criterio jurisprudencial  sostenido por este Tribunal Electoral visible a foja 47 de su revista 16, correspondiente al trimestre abril – junio del año dos mil cinco que se inserta en seguida: DOLO. PRUEBA DEL. La existencia del dolo a que se refiere la fracción IV del artículo 298 del Código Electoral, no puede establecerse por presunción, sino que debe hacerse evidente mediante la prueba de hechos concretos, por tratarse de una maquinación fraudulenta, una conducta ilícita realizada en forma voluntaria y deliberada” (TEEM,</w:t>
      </w:r>
      <w:r>
        <w:rPr>
          <w:spacing w:val="-12"/>
        </w:rPr>
        <w:t> </w:t>
      </w:r>
      <w:r>
        <w:rPr/>
        <w:t>2006).</w:t>
      </w:r>
    </w:p>
    <w:p>
      <w:pPr>
        <w:pStyle w:val="BodyText"/>
      </w:pPr>
    </w:p>
    <w:p>
      <w:pPr>
        <w:pStyle w:val="ListParagraph"/>
        <w:numPr>
          <w:ilvl w:val="1"/>
          <w:numId w:val="24"/>
        </w:numPr>
        <w:tabs>
          <w:tab w:pos="1182" w:val="left" w:leader="none"/>
        </w:tabs>
        <w:spacing w:line="240" w:lineRule="auto" w:before="142" w:after="0"/>
        <w:ind w:left="1182" w:right="0" w:hanging="360"/>
        <w:jc w:val="left"/>
        <w:rPr>
          <w:sz w:val="24"/>
        </w:rPr>
      </w:pPr>
      <w:r>
        <w:rPr>
          <w:sz w:val="24"/>
        </w:rPr>
        <w:t>Imparcialidad cuantitativa con respecto a las organizaciones</w:t>
      </w:r>
      <w:r>
        <w:rPr>
          <w:spacing w:val="-25"/>
          <w:sz w:val="24"/>
        </w:rPr>
        <w:t> </w:t>
      </w:r>
      <w:r>
        <w:rPr>
          <w:sz w:val="24"/>
        </w:rPr>
        <w:t>políticas</w:t>
      </w:r>
    </w:p>
    <w:p>
      <w:pPr>
        <w:pStyle w:val="BodyText"/>
      </w:pPr>
    </w:p>
    <w:p>
      <w:pPr>
        <w:pStyle w:val="BodyText"/>
      </w:pPr>
    </w:p>
    <w:p>
      <w:pPr>
        <w:pStyle w:val="BodyText"/>
        <w:spacing w:line="360" w:lineRule="auto"/>
        <w:ind w:left="102" w:right="116"/>
        <w:jc w:val="both"/>
      </w:pPr>
      <w:r>
        <w:rPr/>
        <w:t>En cuanto al presente indicador como sólo hubo un acuerdo revocado, el relativo a las elecciones del municipio de Ocoyoacac, en el Estado de México; no se puede señalar que cuantitativamente hubo un sesgo partidario por parte de los funcionarios electorales así que ningún partido político, coalición, agrupación u organización resultó favorecido o agraviado en mayor medida por los acuerdos del CGIEEM, lo cual ubica al IEEM como altamente imparcial con respecto a las organizaciones políticas (3.0).</w:t>
      </w:r>
    </w:p>
    <w:p>
      <w:pPr>
        <w:spacing w:after="0" w:line="360" w:lineRule="auto"/>
        <w:jc w:val="both"/>
        <w:sectPr>
          <w:footerReference w:type="default" r:id="rId44"/>
          <w:pgSz w:w="12240" w:h="15840"/>
          <w:pgMar w:footer="1003" w:header="749" w:top="960" w:bottom="1200" w:left="1600" w:right="1580"/>
          <w:pgNumType w:start="120"/>
        </w:sectPr>
      </w:pPr>
    </w:p>
    <w:p>
      <w:pPr>
        <w:pStyle w:val="BodyText"/>
        <w:rPr>
          <w:sz w:val="20"/>
        </w:rPr>
      </w:pPr>
    </w:p>
    <w:p>
      <w:pPr>
        <w:pStyle w:val="BodyText"/>
        <w:rPr>
          <w:sz w:val="20"/>
        </w:rPr>
      </w:pPr>
    </w:p>
    <w:p>
      <w:pPr>
        <w:pStyle w:val="BodyText"/>
        <w:rPr>
          <w:sz w:val="29"/>
        </w:rPr>
      </w:pPr>
    </w:p>
    <w:p>
      <w:pPr>
        <w:pStyle w:val="Heading1"/>
        <w:numPr>
          <w:ilvl w:val="1"/>
          <w:numId w:val="20"/>
        </w:numPr>
        <w:tabs>
          <w:tab w:pos="822" w:val="left" w:leader="none"/>
        </w:tabs>
        <w:spacing w:line="240" w:lineRule="auto" w:before="65" w:after="0"/>
        <w:ind w:left="822" w:right="0" w:hanging="360"/>
        <w:jc w:val="left"/>
      </w:pPr>
      <w:r>
        <w:rPr/>
        <w:t>Costa</w:t>
      </w:r>
      <w:r>
        <w:rPr>
          <w:spacing w:val="-3"/>
        </w:rPr>
        <w:t> </w:t>
      </w:r>
      <w:r>
        <w:rPr/>
        <w:t>Rica</w:t>
      </w:r>
    </w:p>
    <w:p>
      <w:pPr>
        <w:pStyle w:val="BodyText"/>
        <w:rPr>
          <w:sz w:val="28"/>
        </w:rPr>
      </w:pPr>
    </w:p>
    <w:p>
      <w:pPr>
        <w:pStyle w:val="BodyText"/>
        <w:spacing w:before="2"/>
        <w:rPr>
          <w:sz w:val="22"/>
        </w:rPr>
      </w:pPr>
    </w:p>
    <w:p>
      <w:pPr>
        <w:pStyle w:val="BodyText"/>
        <w:spacing w:line="360" w:lineRule="auto"/>
        <w:ind w:left="102" w:right="124"/>
        <w:jc w:val="both"/>
      </w:pPr>
      <w:r>
        <w:rPr/>
        <w:t>El TSE obtuvo en promedio una alta evaluación (2.66) en esta dimensión, pues en promedio la elección de magistrados, tuvo una calificación media (2.33) y por lo que respecta a su actuación logró, una alta evaluación (3.0).</w:t>
      </w:r>
    </w:p>
    <w:p>
      <w:pPr>
        <w:pStyle w:val="BodyText"/>
        <w:spacing w:line="360" w:lineRule="auto" w:before="2"/>
        <w:ind w:left="102" w:right="115" w:firstLine="707"/>
        <w:jc w:val="both"/>
      </w:pPr>
      <w:r>
        <w:rPr/>
        <w:t>Las elecciones nacionales y cantonales costarricenses son organizadas por el Tribunal Supremo de Elecciones (TSE). En este trabajo se estudian dos elecciones: las nacionales realizadas el 7 de febrero de 2010 en las  cuales se eligió Presidente de la República (1), Vicepresidentes (2), diputados nacionales</w:t>
      </w:r>
    </w:p>
    <w:p>
      <w:pPr>
        <w:pStyle w:val="ListParagraph"/>
        <w:numPr>
          <w:ilvl w:val="0"/>
          <w:numId w:val="25"/>
        </w:numPr>
        <w:tabs>
          <w:tab w:pos="630" w:val="left" w:leader="none"/>
        </w:tabs>
        <w:spacing w:line="360" w:lineRule="auto" w:before="2" w:after="0"/>
        <w:ind w:left="102" w:right="117" w:firstLine="0"/>
        <w:jc w:val="both"/>
        <w:rPr>
          <w:sz w:val="24"/>
        </w:rPr>
      </w:pPr>
      <w:r>
        <w:rPr>
          <w:sz w:val="24"/>
        </w:rPr>
        <w:t>y regidores (concejales); y las cantonales efectuadas el 5 de diciembre del mismo año para elegir alcaldes (80) y vicealcaldes (160), síndicos propietarios (467), concejales de distrito propietarios (1832), intendentes (8), así como concejales municipales de distrito (32) y sus respectivos suplentes (en los cuatro últimos cargos), debido a las fuertes lluvias no se pudo realizar la elección cantonal en Pococí, por lo cual dicho cantón tuvo </w:t>
      </w:r>
      <w:hyperlink r:id="rId45">
        <w:r>
          <w:rPr>
            <w:sz w:val="24"/>
          </w:rPr>
          <w:t>su propio proceso</w:t>
        </w:r>
      </w:hyperlink>
      <w:r>
        <w:rPr>
          <w:sz w:val="24"/>
        </w:rPr>
        <w:t> una semana después (el 12 de diciembre) en el cual se eligió un alcalde, dos vicealcaldes, seis síndicos y 24</w:t>
      </w:r>
      <w:r>
        <w:rPr>
          <w:spacing w:val="-10"/>
          <w:sz w:val="24"/>
        </w:rPr>
        <w:t> </w:t>
      </w:r>
      <w:r>
        <w:rPr>
          <w:sz w:val="24"/>
        </w:rPr>
        <w:t>concejales.</w:t>
      </w:r>
    </w:p>
    <w:p>
      <w:pPr>
        <w:pStyle w:val="BodyText"/>
        <w:spacing w:line="360" w:lineRule="auto" w:before="5"/>
        <w:ind w:left="102" w:right="115" w:firstLine="707"/>
        <w:jc w:val="both"/>
      </w:pPr>
      <w:r>
        <w:rPr/>
        <w:t>Para realizar sus funciones el TSE cuenta con 81 juntas cantonales, una  por cada cantón, conformadas por personas representantes de los partidos políticos. Las juntas cantonales fueron integradas por un elector propuesto por cada uno de los partidos políticos participantes en la elección, con candidaturas inscritas en esa circunscripción. En los casos de coalición o fusión de dos o más partidos, deberá tenerse como un solo partido para la postulación correspondiente en las juntas electorales. Las juntas deben integrarse por lo menos con tres miembros, cada uno con su correspondiente suplente. En los casos en que los partidos políticos no propongan el mínimo de tres integrantes, el TSE los completará con las personas adicionales que se requieran; y luego procederá a nombrar un presidente y un</w:t>
      </w:r>
      <w:r>
        <w:rPr>
          <w:spacing w:val="-11"/>
        </w:rPr>
        <w:t> </w:t>
      </w:r>
      <w:r>
        <w:rPr/>
        <w:t>secretario.</w:t>
      </w:r>
    </w:p>
    <w:p>
      <w:pPr>
        <w:pStyle w:val="BodyText"/>
        <w:spacing w:line="360" w:lineRule="auto" w:before="2"/>
        <w:ind w:left="102" w:right="122" w:firstLine="707"/>
        <w:jc w:val="both"/>
      </w:pPr>
      <w:r>
        <w:rPr/>
        <w:t>El artículo 12 del Código Electoral señala 19 atribuciones del TSE, algunas de ellas son:</w:t>
      </w:r>
    </w:p>
    <w:p>
      <w:pPr>
        <w:spacing w:after="0" w:line="360" w:lineRule="auto"/>
        <w:jc w:val="both"/>
        <w:sectPr>
          <w:pgSz w:w="12240" w:h="15840"/>
          <w:pgMar w:header="749" w:footer="1003" w:top="960" w:bottom="1200" w:left="1600" w:right="1580"/>
        </w:sectPr>
      </w:pPr>
    </w:p>
    <w:p>
      <w:pPr>
        <w:pStyle w:val="BodyText"/>
        <w:rPr>
          <w:sz w:val="20"/>
        </w:rPr>
      </w:pPr>
    </w:p>
    <w:p>
      <w:pPr>
        <w:pStyle w:val="BodyText"/>
        <w:rPr>
          <w:sz w:val="20"/>
        </w:rPr>
      </w:pPr>
    </w:p>
    <w:p>
      <w:pPr>
        <w:pStyle w:val="BodyText"/>
        <w:spacing w:before="6"/>
        <w:rPr>
          <w:sz w:val="25"/>
        </w:rPr>
      </w:pPr>
    </w:p>
    <w:p>
      <w:pPr>
        <w:pStyle w:val="ListParagraph"/>
        <w:numPr>
          <w:ilvl w:val="1"/>
          <w:numId w:val="25"/>
        </w:numPr>
        <w:tabs>
          <w:tab w:pos="1170" w:val="left" w:leader="none"/>
        </w:tabs>
        <w:spacing w:line="360" w:lineRule="auto" w:before="72" w:after="0"/>
        <w:ind w:left="1170" w:right="114" w:hanging="360"/>
        <w:jc w:val="both"/>
        <w:rPr>
          <w:sz w:val="22"/>
        </w:rPr>
      </w:pPr>
      <w:r>
        <w:rPr>
          <w:sz w:val="22"/>
        </w:rPr>
        <w:t>Organizar, dirigir y vigilar los actos relativos al sufragio; para ese fin podrá dictar los reglamentos, los acuerdos y las resoluciones, de conformidad con la ley. b) Efectuar el escrutinio de los sufragios emitidos y la declaratoria definitiva del resultado de las elecciones que estén bajo su responsabilidad. c) Interpretar, en forma exclusiva y obligatoria, y sin perjuicio de las atribuciones de la Sala Constitucional en materia de conflictos de competencia, las disposiciones constitucionales y las demás del ordenamiento jurídico electoral, de oficio o a instancia del comité ejecutivo superior de cualquiera de los partidos políticos inscritos. La resolución final que se dicte en esta materia será publicada en el diario oficial La Gaceta y se comunicará a todos los partidos políticos. d) Emitir opinión consultiva a solicitud del comité ejecutivo superior de cualquiera de los partidos políticos inscritos o de los jerarcas de los entes públicos que tengan un interés legítimo en la materia electoral. Cualquier particular también podrá solicitar una opinión consultiva, pero en este caso quedará a criterio del Tribunal evacuarla, si lo considera necesario para la correcta orientación del proceso electoral y actividades afines. Cuando el Tribunal lo estime pertinente, dispondrá la publicación de la resolución respectiva… (ALRCR,</w:t>
      </w:r>
      <w:r>
        <w:rPr>
          <w:spacing w:val="-6"/>
          <w:sz w:val="22"/>
        </w:rPr>
        <w:t> </w:t>
      </w:r>
      <w:r>
        <w:rPr>
          <w:sz w:val="22"/>
        </w:rPr>
        <w:t>2009).</w:t>
      </w:r>
    </w:p>
    <w:p>
      <w:pPr>
        <w:pStyle w:val="BodyText"/>
        <w:spacing w:before="4"/>
        <w:rPr>
          <w:sz w:val="30"/>
        </w:rPr>
      </w:pPr>
    </w:p>
    <w:p>
      <w:pPr>
        <w:pStyle w:val="BodyText"/>
        <w:spacing w:line="360" w:lineRule="auto" w:before="1"/>
        <w:ind w:left="102" w:right="115" w:firstLine="707"/>
        <w:jc w:val="both"/>
      </w:pPr>
      <w:r>
        <w:rPr/>
        <w:t>De las atribuciones antes señaladas se observó que el TSE no sólo organiza las elecciones sino que también imparte justicia en materia electoral además de tener a su cargo el registro civil y el registro electoral. El TSE en su función de tribunal imparte la justicia electoral de forma especializada,  concentrada y uniinstancial. Resuelve cuestiones de dos tipos: controversias contenciosas y asuntos no contenciosos. Los primeros se tramitan para resolver siete medios: el recurso de amparo electoral</w:t>
      </w:r>
      <w:r>
        <w:rPr>
          <w:b/>
        </w:rPr>
        <w:t>, </w:t>
      </w:r>
      <w:r>
        <w:rPr/>
        <w:t>la impugnación de acuerdos de asambleas de partidos políticos en proceso de constitución e inscripción, la acción de nulidad de acuerdos partidarios, </w:t>
      </w:r>
      <w:r>
        <w:rPr>
          <w:spacing w:val="2"/>
        </w:rPr>
        <w:t>el </w:t>
      </w:r>
      <w:r>
        <w:rPr/>
        <w:t>recurso de apelación electoral, la demanda de nulidad relativa a resultados electorales, la cancelación o anulación de credenciales y la denuncia por parcialidad o beligerancia política (ALRCR, 2009: artículo 220). Los segundos tramitan y resuelven   </w:t>
      </w:r>
      <w:r>
        <w:rPr>
          <w:spacing w:val="27"/>
        </w:rPr>
        <w:t> </w:t>
      </w:r>
      <w:r>
        <w:rPr/>
        <w:t>asuntos que no se generan por</w:t>
      </w:r>
    </w:p>
    <w:p>
      <w:pPr>
        <w:spacing w:after="0" w:line="360" w:lineRule="auto"/>
        <w:jc w:val="both"/>
        <w:sectPr>
          <w:pgSz w:w="12240" w:h="15840"/>
          <w:pgMar w:header="749" w:footer="1003" w:top="960" w:bottom="1200" w:left="1600" w:right="1580"/>
        </w:sectPr>
      </w:pPr>
    </w:p>
    <w:p>
      <w:pPr>
        <w:pStyle w:val="BodyText"/>
        <w:rPr>
          <w:sz w:val="20"/>
        </w:rPr>
      </w:pPr>
    </w:p>
    <w:p>
      <w:pPr>
        <w:pStyle w:val="BodyText"/>
        <w:spacing w:line="362" w:lineRule="auto" w:before="214"/>
        <w:ind w:left="102" w:right="125"/>
        <w:jc w:val="both"/>
      </w:pPr>
      <w:r>
        <w:rPr/>
        <w:t>conflictos electorales como son: hermenéutica electoral, democracia semidirecta, liquidación de gastos partidarios o declaraciones de elección.</w:t>
      </w:r>
    </w:p>
    <w:p>
      <w:pPr>
        <w:pStyle w:val="BodyText"/>
        <w:spacing w:line="360" w:lineRule="auto"/>
        <w:ind w:left="102" w:right="118" w:firstLine="707"/>
        <w:jc w:val="both"/>
      </w:pPr>
      <w:r>
        <w:rPr/>
        <w:t>De acuerdo con el artículo 233 del CECR las resoluciones del TSE en materia electoral son irrecurribles, pero podrán ser aclaradas o adicionadas, a petición de parte, si se solicita dentro del tercer día, y de oficio en cualquier  tiempo, incluso en los procedimientos de ejecución, en la medida en que sea necesario para dar cabal cumplimiento al contenido del fallo (ALRCR,</w:t>
      </w:r>
      <w:r>
        <w:rPr>
          <w:spacing w:val="-23"/>
        </w:rPr>
        <w:t> </w:t>
      </w:r>
      <w:r>
        <w:rPr/>
        <w:t>2009).</w:t>
      </w:r>
    </w:p>
    <w:p>
      <w:pPr>
        <w:pStyle w:val="BodyText"/>
      </w:pPr>
    </w:p>
    <w:p>
      <w:pPr>
        <w:pStyle w:val="Heading2"/>
        <w:numPr>
          <w:ilvl w:val="0"/>
          <w:numId w:val="26"/>
        </w:numPr>
        <w:tabs>
          <w:tab w:pos="689" w:val="left" w:leader="none"/>
          <w:tab w:pos="690" w:val="left" w:leader="none"/>
        </w:tabs>
        <w:spacing w:line="240" w:lineRule="auto" w:before="142" w:after="0"/>
        <w:ind w:left="690" w:right="0" w:hanging="360"/>
        <w:jc w:val="left"/>
      </w:pPr>
      <w:r>
        <w:rPr/>
        <w:t>Elección del órgano electoral</w:t>
      </w:r>
      <w:r>
        <w:rPr>
          <w:spacing w:val="-10"/>
        </w:rPr>
        <w:t> </w:t>
      </w:r>
      <w:r>
        <w:rPr/>
        <w:t>(TSE)</w:t>
      </w:r>
    </w:p>
    <w:p>
      <w:pPr>
        <w:pStyle w:val="BodyText"/>
        <w:rPr>
          <w:b/>
        </w:rPr>
      </w:pPr>
    </w:p>
    <w:p>
      <w:pPr>
        <w:pStyle w:val="BodyText"/>
        <w:rPr>
          <w:b/>
        </w:rPr>
      </w:pPr>
    </w:p>
    <w:p>
      <w:pPr>
        <w:pStyle w:val="BodyText"/>
        <w:spacing w:line="360" w:lineRule="auto" w:before="202"/>
        <w:ind w:left="102" w:right="125"/>
        <w:jc w:val="both"/>
      </w:pPr>
      <w:r>
        <w:rPr/>
        <w:t>La elección de magistrados tuvo una evaluación media (2.33) en promedio, como resultado de sus tres indicadores. En cuanto al apego a la ley obtuvo una evaluación alta (3.0), con respecto al origen de sus propuestas y votación de la Corte Suprema de Justicia tuvo una calificación media (2.0) en cada uno de ellos.</w:t>
      </w:r>
    </w:p>
    <w:p>
      <w:pPr>
        <w:pStyle w:val="BodyText"/>
        <w:spacing w:line="360" w:lineRule="auto" w:before="204"/>
        <w:ind w:left="102" w:right="114" w:firstLine="707"/>
        <w:jc w:val="both"/>
        <w:rPr>
          <w:sz w:val="22"/>
        </w:rPr>
      </w:pPr>
      <w:r>
        <w:rPr/>
        <w:t>El TSE está integrado ordinariamente (cuando no hay proceso electoral) por tres magistrados propietarios y seis suplentes su nombramiento lo hace la Corte Suprema de Justicia con el voto de, por lo menos, dos tercios del total de sus integrantes; su nombramiento será por períodos de seis años y se considerarán reelegidos para períodos iguales, salvo que por la misma mayoría se acuerde lo contrario. Sin embargo, desde un año antes y hasta seis meses después de la celebración de las elecciones generales para la Presidencia y Vicepresidencias o diputados y diputadas de la República, el tribunal deberá integrarse con sus tres integrantes propietarios y a éstos se sumarán dos de los suplentes escogidos por la Corte Suprema de Justicia, para formar, en esa época, un tribunal de cinco integrantes. La misma disposición regirá seis meses antes y hasta tres meses después de las elecciones municipales (</w:t>
      </w:r>
      <w:r>
        <w:rPr>
          <w:sz w:val="22"/>
        </w:rPr>
        <w:t>ALRCR, 2009: 9).</w:t>
      </w:r>
    </w:p>
    <w:p>
      <w:pPr>
        <w:spacing w:after="0" w:line="360" w:lineRule="auto"/>
        <w:jc w:val="both"/>
        <w:rPr>
          <w:sz w:val="22"/>
        </w:rPr>
        <w:sectPr>
          <w:pgSz w:w="12240" w:h="15840"/>
          <w:pgMar w:header="749" w:footer="1003" w:top="960" w:bottom="1200" w:left="1600" w:right="1580"/>
        </w:sectPr>
      </w:pPr>
    </w:p>
    <w:p>
      <w:pPr>
        <w:pStyle w:val="BodyText"/>
        <w:rPr>
          <w:sz w:val="20"/>
        </w:rPr>
      </w:pPr>
    </w:p>
    <w:p>
      <w:pPr>
        <w:pStyle w:val="ListParagraph"/>
        <w:numPr>
          <w:ilvl w:val="1"/>
          <w:numId w:val="26"/>
        </w:numPr>
        <w:tabs>
          <w:tab w:pos="1182" w:val="left" w:leader="none"/>
        </w:tabs>
        <w:spacing w:line="240" w:lineRule="auto" w:before="214" w:after="0"/>
        <w:ind w:left="1182" w:right="0" w:hanging="360"/>
        <w:jc w:val="left"/>
        <w:rPr>
          <w:sz w:val="24"/>
        </w:rPr>
      </w:pPr>
      <w:r>
        <w:rPr>
          <w:sz w:val="24"/>
        </w:rPr>
        <w:t>Apego a la</w:t>
      </w:r>
      <w:r>
        <w:rPr>
          <w:spacing w:val="-4"/>
          <w:sz w:val="24"/>
        </w:rPr>
        <w:t> </w:t>
      </w:r>
      <w:r>
        <w:rPr>
          <w:sz w:val="24"/>
        </w:rPr>
        <w:t>ley</w:t>
      </w:r>
    </w:p>
    <w:p>
      <w:pPr>
        <w:pStyle w:val="BodyText"/>
      </w:pPr>
    </w:p>
    <w:p>
      <w:pPr>
        <w:pStyle w:val="BodyText"/>
      </w:pPr>
    </w:p>
    <w:p>
      <w:pPr>
        <w:pStyle w:val="BodyText"/>
        <w:spacing w:line="360" w:lineRule="auto"/>
        <w:ind w:left="102" w:right="114"/>
        <w:jc w:val="both"/>
      </w:pPr>
      <w:r>
        <w:rPr/>
        <w:t>En cuanto a la designación de sus magistrados el TSE obtuvo una alta evaluación (3.0) al respetar lo establecido en su Constitución (art. 100) así como en el Código Electoral (art.13). De acuerdo con la Constitución costarricense, ordinariamente el TSE se encuentra integrado por tres magistrados propietarios y durante el proceso electoral se amplía a cinco magistrados (ANC, 2010: art. 100). Por lo tanto los magistrados del TSE fueron designados en diferentes fechas (ver cuadro 2.7), dichos funcionarios fueron los responsables de organizar las elecciones de febrero y diciembre de 2010.</w:t>
      </w:r>
    </w:p>
    <w:p>
      <w:pPr>
        <w:pStyle w:val="BodyText"/>
      </w:pPr>
    </w:p>
    <w:p>
      <w:pPr>
        <w:pStyle w:val="Heading2"/>
        <w:ind w:right="24"/>
      </w:pPr>
      <w:r>
        <w:rPr/>
        <w:t>Cuadro 2.7</w:t>
      </w:r>
    </w:p>
    <w:p>
      <w:pPr>
        <w:spacing w:before="137"/>
        <w:ind w:left="714" w:right="27" w:firstLine="0"/>
        <w:jc w:val="center"/>
        <w:rPr>
          <w:b/>
          <w:sz w:val="24"/>
        </w:rPr>
      </w:pPr>
      <w:r>
        <w:rPr>
          <w:b/>
          <w:sz w:val="24"/>
        </w:rPr>
        <w:t>Magistrados designados (TSE 1999-2009)</w:t>
      </w:r>
    </w:p>
    <w:p>
      <w:pPr>
        <w:pStyle w:val="BodyText"/>
        <w:rPr>
          <w:b/>
          <w:sz w:val="20"/>
        </w:rPr>
      </w:pPr>
    </w:p>
    <w:p>
      <w:pPr>
        <w:pStyle w:val="BodyText"/>
        <w:spacing w:before="2"/>
        <w:rPr>
          <w:b/>
          <w:sz w:val="28"/>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035"/>
        <w:gridCol w:w="2470"/>
        <w:gridCol w:w="2324"/>
      </w:tblGrid>
      <w:tr>
        <w:trPr>
          <w:trHeight w:val="516" w:hRule="exact"/>
        </w:trPr>
        <w:tc>
          <w:tcPr>
            <w:tcW w:w="4035" w:type="dxa"/>
            <w:shd w:val="clear" w:color="auto" w:fill="BEBEBE"/>
          </w:tcPr>
          <w:p>
            <w:pPr>
              <w:pStyle w:val="TableParagraph"/>
              <w:spacing w:line="248" w:lineRule="exact"/>
              <w:ind w:left="1605" w:right="1548"/>
              <w:jc w:val="center"/>
              <w:rPr>
                <w:b/>
                <w:sz w:val="22"/>
              </w:rPr>
            </w:pPr>
            <w:r>
              <w:rPr>
                <w:b/>
                <w:sz w:val="22"/>
              </w:rPr>
              <w:t>Nombre</w:t>
            </w:r>
          </w:p>
        </w:tc>
        <w:tc>
          <w:tcPr>
            <w:tcW w:w="2470" w:type="dxa"/>
            <w:shd w:val="clear" w:color="auto" w:fill="BEBEBE"/>
          </w:tcPr>
          <w:p>
            <w:pPr>
              <w:pStyle w:val="TableParagraph"/>
              <w:spacing w:line="248" w:lineRule="exact"/>
              <w:ind w:left="920" w:right="863"/>
              <w:jc w:val="center"/>
              <w:rPr>
                <w:b/>
                <w:sz w:val="22"/>
              </w:rPr>
            </w:pPr>
            <w:r>
              <w:rPr>
                <w:b/>
                <w:sz w:val="22"/>
              </w:rPr>
              <w:t>Cargo</w:t>
            </w:r>
          </w:p>
        </w:tc>
        <w:tc>
          <w:tcPr>
            <w:tcW w:w="2324" w:type="dxa"/>
            <w:shd w:val="clear" w:color="auto" w:fill="BEBEBE"/>
          </w:tcPr>
          <w:p>
            <w:pPr>
              <w:pStyle w:val="TableParagraph"/>
              <w:spacing w:line="242" w:lineRule="auto"/>
              <w:ind w:left="506" w:right="206" w:hanging="228"/>
              <w:rPr>
                <w:b/>
                <w:sz w:val="22"/>
              </w:rPr>
            </w:pPr>
            <w:r>
              <w:rPr>
                <w:b/>
                <w:sz w:val="22"/>
              </w:rPr>
              <w:t>Fecha de entrada en funciones</w:t>
            </w:r>
          </w:p>
        </w:tc>
      </w:tr>
      <w:tr>
        <w:trPr>
          <w:trHeight w:val="516" w:hRule="exact"/>
        </w:trPr>
        <w:tc>
          <w:tcPr>
            <w:tcW w:w="4035" w:type="dxa"/>
          </w:tcPr>
          <w:p>
            <w:pPr>
              <w:pStyle w:val="TableParagraph"/>
              <w:spacing w:line="251" w:lineRule="exact"/>
              <w:ind w:left="160"/>
              <w:rPr>
                <w:sz w:val="22"/>
              </w:rPr>
            </w:pPr>
            <w:r>
              <w:rPr>
                <w:sz w:val="22"/>
              </w:rPr>
              <w:t>Luis Antonio Sobrado González.</w:t>
            </w:r>
          </w:p>
        </w:tc>
        <w:tc>
          <w:tcPr>
            <w:tcW w:w="2470" w:type="dxa"/>
          </w:tcPr>
          <w:p>
            <w:pPr>
              <w:pStyle w:val="TableParagraph"/>
              <w:spacing w:line="242" w:lineRule="auto"/>
              <w:ind w:left="160" w:right="1192"/>
              <w:rPr>
                <w:sz w:val="22"/>
              </w:rPr>
            </w:pPr>
            <w:r>
              <w:rPr>
                <w:sz w:val="22"/>
              </w:rPr>
              <w:t>Magistrado Presidente</w:t>
            </w:r>
          </w:p>
        </w:tc>
        <w:tc>
          <w:tcPr>
            <w:tcW w:w="2324" w:type="dxa"/>
          </w:tcPr>
          <w:p>
            <w:pPr>
              <w:pStyle w:val="TableParagraph"/>
              <w:spacing w:line="242" w:lineRule="auto"/>
              <w:ind w:left="158" w:right="206"/>
              <w:rPr>
                <w:sz w:val="22"/>
              </w:rPr>
            </w:pPr>
            <w:r>
              <w:rPr>
                <w:sz w:val="22"/>
              </w:rPr>
              <w:t>5 de abril de 1999 (TSE, 2013c)</w:t>
            </w:r>
          </w:p>
        </w:tc>
      </w:tr>
      <w:tr>
        <w:trPr>
          <w:trHeight w:val="516" w:hRule="exact"/>
        </w:trPr>
        <w:tc>
          <w:tcPr>
            <w:tcW w:w="4035" w:type="dxa"/>
          </w:tcPr>
          <w:p>
            <w:pPr>
              <w:pStyle w:val="TableParagraph"/>
              <w:spacing w:line="251" w:lineRule="exact"/>
              <w:ind w:left="160"/>
              <w:rPr>
                <w:sz w:val="22"/>
              </w:rPr>
            </w:pPr>
            <w:r>
              <w:rPr>
                <w:sz w:val="22"/>
              </w:rPr>
              <w:t>Eugenia María Zamora Chavarría</w:t>
            </w:r>
          </w:p>
        </w:tc>
        <w:tc>
          <w:tcPr>
            <w:tcW w:w="2470" w:type="dxa"/>
          </w:tcPr>
          <w:p>
            <w:pPr>
              <w:pStyle w:val="TableParagraph"/>
              <w:spacing w:line="242" w:lineRule="auto"/>
              <w:ind w:left="160" w:right="1192"/>
              <w:rPr>
                <w:sz w:val="22"/>
              </w:rPr>
            </w:pPr>
            <w:r>
              <w:rPr>
                <w:sz w:val="22"/>
              </w:rPr>
              <w:t>Magistrada Propietaria</w:t>
            </w:r>
          </w:p>
        </w:tc>
        <w:tc>
          <w:tcPr>
            <w:tcW w:w="2324" w:type="dxa"/>
          </w:tcPr>
          <w:p>
            <w:pPr>
              <w:pStyle w:val="TableParagraph"/>
              <w:spacing w:line="242" w:lineRule="auto"/>
              <w:ind w:left="158" w:right="206"/>
              <w:rPr>
                <w:sz w:val="22"/>
              </w:rPr>
            </w:pPr>
            <w:r>
              <w:rPr>
                <w:sz w:val="22"/>
              </w:rPr>
              <w:t>5 de septiembre de 2005 (TSE, 2013d)</w:t>
            </w:r>
          </w:p>
        </w:tc>
      </w:tr>
      <w:tr>
        <w:trPr>
          <w:trHeight w:val="516" w:hRule="exact"/>
        </w:trPr>
        <w:tc>
          <w:tcPr>
            <w:tcW w:w="4035" w:type="dxa"/>
          </w:tcPr>
          <w:p>
            <w:pPr>
              <w:pStyle w:val="TableParagraph"/>
              <w:spacing w:line="251" w:lineRule="exact"/>
              <w:ind w:left="160"/>
              <w:rPr>
                <w:sz w:val="22"/>
              </w:rPr>
            </w:pPr>
            <w:r>
              <w:rPr>
                <w:sz w:val="22"/>
              </w:rPr>
              <w:t>Max Alberto Esquivel Faerron</w:t>
            </w:r>
          </w:p>
        </w:tc>
        <w:tc>
          <w:tcPr>
            <w:tcW w:w="2470" w:type="dxa"/>
          </w:tcPr>
          <w:p>
            <w:pPr>
              <w:pStyle w:val="TableParagraph"/>
              <w:spacing w:line="242" w:lineRule="auto"/>
              <w:ind w:left="160" w:right="1192"/>
              <w:rPr>
                <w:sz w:val="22"/>
              </w:rPr>
            </w:pPr>
            <w:r>
              <w:rPr>
                <w:sz w:val="22"/>
              </w:rPr>
              <w:t>Magistrado Propietario</w:t>
            </w:r>
          </w:p>
        </w:tc>
        <w:tc>
          <w:tcPr>
            <w:tcW w:w="2324" w:type="dxa"/>
          </w:tcPr>
          <w:p>
            <w:pPr>
              <w:pStyle w:val="TableParagraph"/>
              <w:spacing w:line="242" w:lineRule="auto"/>
              <w:ind w:left="158" w:right="206"/>
              <w:rPr>
                <w:sz w:val="22"/>
              </w:rPr>
            </w:pPr>
            <w:r>
              <w:rPr>
                <w:sz w:val="22"/>
              </w:rPr>
              <w:t>17 de julio de 2007 (TSE, 2013d)</w:t>
            </w:r>
          </w:p>
        </w:tc>
      </w:tr>
      <w:tr>
        <w:trPr>
          <w:trHeight w:val="1274" w:hRule="exact"/>
        </w:trPr>
        <w:tc>
          <w:tcPr>
            <w:tcW w:w="4035" w:type="dxa"/>
          </w:tcPr>
          <w:p>
            <w:pPr>
              <w:pStyle w:val="TableParagraph"/>
              <w:spacing w:line="251" w:lineRule="exact"/>
              <w:ind w:left="160"/>
              <w:rPr>
                <w:sz w:val="22"/>
              </w:rPr>
            </w:pPr>
            <w:r>
              <w:rPr>
                <w:sz w:val="22"/>
              </w:rPr>
              <w:t>Mario Seing Jiménez</w:t>
            </w:r>
          </w:p>
        </w:tc>
        <w:tc>
          <w:tcPr>
            <w:tcW w:w="2470" w:type="dxa"/>
          </w:tcPr>
          <w:p>
            <w:pPr>
              <w:pStyle w:val="TableParagraph"/>
              <w:spacing w:line="242" w:lineRule="auto"/>
              <w:ind w:left="160" w:right="1130"/>
              <w:rPr>
                <w:sz w:val="22"/>
              </w:rPr>
            </w:pPr>
            <w:r>
              <w:rPr>
                <w:sz w:val="22"/>
              </w:rPr>
              <w:t>Magistrado Propietario*</w:t>
            </w:r>
          </w:p>
        </w:tc>
        <w:tc>
          <w:tcPr>
            <w:tcW w:w="2324" w:type="dxa"/>
          </w:tcPr>
          <w:p>
            <w:pPr>
              <w:pStyle w:val="TableParagraph"/>
              <w:ind w:left="158" w:right="99"/>
              <w:jc w:val="both"/>
              <w:rPr>
                <w:sz w:val="22"/>
              </w:rPr>
            </w:pPr>
            <w:r>
              <w:rPr>
                <w:sz w:val="22"/>
              </w:rPr>
              <w:t>Nombrado el 13 de octubre de 2008. Entro en funciones  el 7 de febrero de 2009 (CSJ,</w:t>
            </w:r>
            <w:r>
              <w:rPr>
                <w:spacing w:val="-2"/>
                <w:sz w:val="22"/>
              </w:rPr>
              <w:t> </w:t>
            </w:r>
            <w:r>
              <w:rPr>
                <w:sz w:val="22"/>
              </w:rPr>
              <w:t>2008)</w:t>
            </w:r>
          </w:p>
        </w:tc>
      </w:tr>
      <w:tr>
        <w:trPr>
          <w:trHeight w:val="1277" w:hRule="exact"/>
        </w:trPr>
        <w:tc>
          <w:tcPr>
            <w:tcW w:w="4035" w:type="dxa"/>
          </w:tcPr>
          <w:p>
            <w:pPr>
              <w:pStyle w:val="TableParagraph"/>
              <w:ind w:left="160"/>
              <w:rPr>
                <w:sz w:val="22"/>
              </w:rPr>
            </w:pPr>
            <w:r>
              <w:rPr>
                <w:sz w:val="22"/>
              </w:rPr>
              <w:t>Zetty Bou Valverde</w:t>
            </w:r>
          </w:p>
        </w:tc>
        <w:tc>
          <w:tcPr>
            <w:tcW w:w="2470" w:type="dxa"/>
          </w:tcPr>
          <w:p>
            <w:pPr>
              <w:pStyle w:val="TableParagraph"/>
              <w:ind w:left="160" w:right="1130"/>
              <w:rPr>
                <w:sz w:val="22"/>
              </w:rPr>
            </w:pPr>
            <w:r>
              <w:rPr>
                <w:sz w:val="22"/>
              </w:rPr>
              <w:t>Magistrada Propietaria*</w:t>
            </w:r>
          </w:p>
        </w:tc>
        <w:tc>
          <w:tcPr>
            <w:tcW w:w="2324" w:type="dxa"/>
          </w:tcPr>
          <w:p>
            <w:pPr>
              <w:pStyle w:val="TableParagraph"/>
              <w:ind w:left="158" w:right="99"/>
              <w:jc w:val="both"/>
              <w:rPr>
                <w:sz w:val="22"/>
              </w:rPr>
            </w:pPr>
            <w:r>
              <w:rPr>
                <w:sz w:val="22"/>
              </w:rPr>
              <w:t>Nombrada el 13 de octubre de 2008. Entro en funciones  el 7 de febrero de 2009 (CSJ,</w:t>
            </w:r>
            <w:r>
              <w:rPr>
                <w:spacing w:val="-2"/>
                <w:sz w:val="22"/>
              </w:rPr>
              <w:t> </w:t>
            </w:r>
            <w:r>
              <w:rPr>
                <w:sz w:val="22"/>
              </w:rPr>
              <w:t>2008)</w:t>
            </w:r>
          </w:p>
        </w:tc>
      </w:tr>
    </w:tbl>
    <w:p>
      <w:pPr>
        <w:spacing w:line="240" w:lineRule="auto" w:before="0"/>
        <w:ind w:left="102" w:right="116" w:firstLine="0"/>
        <w:jc w:val="both"/>
        <w:rPr>
          <w:sz w:val="22"/>
        </w:rPr>
      </w:pPr>
      <w:r>
        <w:rPr>
          <w:sz w:val="22"/>
        </w:rPr>
        <w:t>Fuente: TSE, 2013a. Nota: los magistrados marcados con * eran magistrados suplentes del TSE, sin embargo, para cumplir con lo establecido en el art. 100 de la Constitución costarricense la Corte Suprema de Justicia los nombró magistrados propietarios (el 13 de octubre de 2008) sólo para los procesos electorales de 2010; ambos entraron en funciones el 7 de febrero de</w:t>
      </w:r>
      <w:r>
        <w:rPr>
          <w:spacing w:val="-9"/>
          <w:sz w:val="22"/>
        </w:rPr>
        <w:t> </w:t>
      </w:r>
      <w:r>
        <w:rPr>
          <w:sz w:val="22"/>
        </w:rPr>
        <w:t>2009.</w:t>
      </w:r>
    </w:p>
    <w:p>
      <w:pPr>
        <w:spacing w:after="0" w:line="240" w:lineRule="auto"/>
        <w:jc w:val="both"/>
        <w:rPr>
          <w:sz w:val="22"/>
        </w:rPr>
        <w:sectPr>
          <w:pgSz w:w="12240" w:h="15840"/>
          <w:pgMar w:header="749" w:footer="1003" w:top="960" w:bottom="1200" w:left="1600" w:right="1580"/>
        </w:sectPr>
      </w:pPr>
    </w:p>
    <w:p>
      <w:pPr>
        <w:pStyle w:val="BodyText"/>
        <w:rPr>
          <w:sz w:val="20"/>
        </w:rPr>
      </w:pPr>
    </w:p>
    <w:p>
      <w:pPr>
        <w:pStyle w:val="BodyText"/>
        <w:spacing w:line="345" w:lineRule="auto" w:before="214"/>
        <w:ind w:left="122" w:right="120" w:firstLine="707"/>
        <w:jc w:val="both"/>
      </w:pPr>
      <w:r>
        <w:rPr/>
        <w:t>El procedimiento para su elección fue altamente apegado a la legalidad pues los magistrados cumplieron con los cinco requisitos señalados por la Constitución</w:t>
      </w:r>
      <w:r>
        <w:rPr>
          <w:spacing w:val="-4"/>
        </w:rPr>
        <w:t> </w:t>
      </w:r>
      <w:r>
        <w:rPr/>
        <w:t>costarricense</w:t>
      </w:r>
      <w:r>
        <w:rPr>
          <w:position w:val="11"/>
          <w:sz w:val="16"/>
        </w:rPr>
        <w:t>24</w:t>
      </w:r>
      <w:r>
        <w:rPr/>
        <w:t>:</w:t>
      </w:r>
    </w:p>
    <w:p>
      <w:pPr>
        <w:pStyle w:val="BodyText"/>
        <w:spacing w:before="4"/>
        <w:rPr>
          <w:sz w:val="33"/>
        </w:rPr>
      </w:pPr>
    </w:p>
    <w:p>
      <w:pPr>
        <w:spacing w:line="360" w:lineRule="auto" w:before="0"/>
        <w:ind w:left="830" w:right="119" w:firstLine="0"/>
        <w:jc w:val="both"/>
        <w:rPr>
          <w:sz w:val="22"/>
        </w:rPr>
      </w:pPr>
      <w:r>
        <w:rPr>
          <w:sz w:val="22"/>
        </w:rPr>
        <w:t>1) Ser costarricense por nacimiento, por naturalización, con domicilio en el país no menor de diez años después de obtenida la carta respectiva…2) Ser ciudadano en ejercicio; 3) Pertenecer al estado seglar; 4) Ser mayor de treinta y cinco años; 5) Poseer título de abogado, expedido o legalmente reconocido en Costa Rica, y haber ejercido la profesión durante diez años por lo menos, salvo que se tratare de funcionarios judiciales con práctica judicial no menor de cinco años (ANC, 2010: art. 159).</w:t>
      </w:r>
    </w:p>
    <w:p>
      <w:pPr>
        <w:pStyle w:val="BodyText"/>
        <w:rPr>
          <w:sz w:val="22"/>
        </w:rPr>
      </w:pPr>
    </w:p>
    <w:p>
      <w:pPr>
        <w:pStyle w:val="BodyText"/>
        <w:spacing w:line="360" w:lineRule="auto" w:before="163"/>
        <w:ind w:left="122" w:right="117" w:firstLine="707"/>
        <w:jc w:val="both"/>
      </w:pPr>
      <w:r>
        <w:rPr/>
        <w:t>Como síntesis de este indicador concluyo que el apego a la ley en la elección de magistrados del TSE fue alto (3.0) pues se cumplió con el procedimiento y los requisitos que marca la normatividad para su designación.</w:t>
      </w:r>
    </w:p>
    <w:p>
      <w:pPr>
        <w:pStyle w:val="BodyText"/>
      </w:pPr>
    </w:p>
    <w:p>
      <w:pPr>
        <w:pStyle w:val="ListParagraph"/>
        <w:numPr>
          <w:ilvl w:val="1"/>
          <w:numId w:val="26"/>
        </w:numPr>
        <w:tabs>
          <w:tab w:pos="1202" w:val="left" w:leader="none"/>
        </w:tabs>
        <w:spacing w:line="240" w:lineRule="auto" w:before="142" w:after="0"/>
        <w:ind w:left="1202" w:right="0" w:hanging="360"/>
        <w:jc w:val="both"/>
        <w:rPr>
          <w:sz w:val="24"/>
        </w:rPr>
      </w:pPr>
      <w:r>
        <w:rPr>
          <w:sz w:val="24"/>
        </w:rPr>
        <w:t>Origen de las</w:t>
      </w:r>
      <w:r>
        <w:rPr>
          <w:spacing w:val="-9"/>
          <w:sz w:val="24"/>
        </w:rPr>
        <w:t> </w:t>
      </w:r>
      <w:r>
        <w:rPr>
          <w:sz w:val="24"/>
        </w:rPr>
        <w:t>propuestas</w:t>
      </w:r>
    </w:p>
    <w:p>
      <w:pPr>
        <w:pStyle w:val="BodyText"/>
      </w:pPr>
    </w:p>
    <w:p>
      <w:pPr>
        <w:pStyle w:val="BodyText"/>
      </w:pPr>
    </w:p>
    <w:p>
      <w:pPr>
        <w:pStyle w:val="BodyText"/>
        <w:spacing w:line="360" w:lineRule="auto"/>
        <w:ind w:left="122" w:right="115"/>
        <w:jc w:val="both"/>
      </w:pPr>
      <w:r>
        <w:rPr/>
        <w:t>Los magistrados del TSE se ubicaron como medianamente democráticos (2.0) al ser propuestos por la Corte Suprema de Justicia sin la intervención (al menos de forma directa) de los grupos parlamentarios o partidos políticos. El  resultado habría sido más alto si las propuestas de la CSJ se hubieran realizado como resultado de una convocatoria pública en la que participaran todos los sectores de la población que tuvieran interés.</w:t>
      </w:r>
    </w:p>
    <w:p>
      <w:pPr>
        <w:pStyle w:val="BodyText"/>
      </w:pPr>
    </w:p>
    <w:p>
      <w:pPr>
        <w:pStyle w:val="ListParagraph"/>
        <w:numPr>
          <w:ilvl w:val="1"/>
          <w:numId w:val="26"/>
        </w:numPr>
        <w:tabs>
          <w:tab w:pos="1202" w:val="left" w:leader="none"/>
        </w:tabs>
        <w:spacing w:line="240" w:lineRule="auto" w:before="142" w:after="0"/>
        <w:ind w:left="1202" w:right="0" w:hanging="360"/>
        <w:jc w:val="both"/>
        <w:rPr>
          <w:sz w:val="24"/>
        </w:rPr>
      </w:pPr>
      <w:r>
        <w:rPr>
          <w:sz w:val="24"/>
        </w:rPr>
        <w:t>Votación de la Corte Suprema de Justicia</w:t>
      </w:r>
      <w:r>
        <w:rPr>
          <w:spacing w:val="-12"/>
          <w:sz w:val="24"/>
        </w:rPr>
        <w:t> </w:t>
      </w:r>
      <w:r>
        <w:rPr>
          <w:sz w:val="24"/>
        </w:rPr>
        <w:t>(CSJ)</w:t>
      </w:r>
    </w:p>
    <w:p>
      <w:pPr>
        <w:pStyle w:val="BodyText"/>
      </w:pPr>
    </w:p>
    <w:p>
      <w:pPr>
        <w:pStyle w:val="BodyText"/>
      </w:pPr>
    </w:p>
    <w:p>
      <w:pPr>
        <w:pStyle w:val="BodyText"/>
        <w:spacing w:line="360" w:lineRule="auto"/>
        <w:ind w:left="122" w:right="115"/>
        <w:jc w:val="both"/>
      </w:pPr>
      <w:r>
        <w:rPr/>
        <w:t>Los cinco magistrados que integraron el TSE para los procesos electorales de febrero y diciembre de 2010 fueron nombrados por la Corte Suprema de Justicia por mayoría absoluta de votos, lo cual les dio una evaluación media (2.0). Los tres</w:t>
      </w:r>
    </w:p>
    <w:p>
      <w:pPr>
        <w:pStyle w:val="BodyText"/>
        <w:spacing w:before="9"/>
        <w:rPr>
          <w:sz w:val="21"/>
        </w:rPr>
      </w:pPr>
      <w:r>
        <w:rPr/>
        <w:pict>
          <v:line style="position:absolute;mso-position-horizontal-relative:page;mso-position-vertical-relative:paragraph;z-index:1792;mso-wrap-distance-left:0;mso-wrap-distance-right:0" from="85.103996pt,14.869888pt" to="229.123996pt,14.869888pt" stroked="true" strokeweight=".72003pt" strokecolor="#000000">
            <w10:wrap type="topAndBottom"/>
          </v:line>
        </w:pict>
      </w:r>
    </w:p>
    <w:p>
      <w:pPr>
        <w:spacing w:before="36"/>
        <w:ind w:left="122" w:right="178" w:firstLine="0"/>
        <w:jc w:val="left"/>
        <w:rPr>
          <w:sz w:val="20"/>
        </w:rPr>
      </w:pPr>
      <w:r>
        <w:rPr>
          <w:position w:val="10"/>
          <w:sz w:val="13"/>
        </w:rPr>
        <w:t>24 </w:t>
      </w:r>
      <w:r>
        <w:rPr>
          <w:sz w:val="20"/>
        </w:rPr>
        <w:t>Los requisitos para ser designado magistrado del Tribunal Supremo de Elecciones son los mismos que para ser magistrado de la Corte Suprema de Justicia.</w:t>
      </w:r>
    </w:p>
    <w:p>
      <w:pPr>
        <w:spacing w:after="0"/>
        <w:jc w:val="left"/>
        <w:rPr>
          <w:sz w:val="20"/>
        </w:rPr>
        <w:sectPr>
          <w:pgSz w:w="12240" w:h="15840"/>
          <w:pgMar w:header="749" w:footer="1003" w:top="960" w:bottom="1200" w:left="1580" w:right="1580"/>
        </w:sectPr>
      </w:pPr>
    </w:p>
    <w:p>
      <w:pPr>
        <w:pStyle w:val="BodyText"/>
        <w:rPr>
          <w:sz w:val="20"/>
        </w:rPr>
      </w:pPr>
    </w:p>
    <w:p>
      <w:pPr>
        <w:pStyle w:val="BodyText"/>
        <w:spacing w:line="360" w:lineRule="auto" w:before="214"/>
        <w:ind w:left="102" w:right="118"/>
        <w:jc w:val="both"/>
      </w:pPr>
      <w:r>
        <w:rPr/>
        <w:t>magistrados elegidos para el periodo ordinario fueron: Luis Antonio Sobrado González (Presidente), Eugenia María Zamora Chavarría (Vicepresidenta) y Max Alberto Esquivel Faerron. Así mismo los dos magistrados elegidos para el periodo electoral fueron: Mario Seing Jiménez y Zetty Bou Valverde (magistrados propietarios), los cuales se sumaron a los tres anteriores. Los cinco magistrados fueron sometidos a un riguroso proceso de votación.</w:t>
      </w:r>
    </w:p>
    <w:p>
      <w:pPr>
        <w:pStyle w:val="BodyText"/>
        <w:spacing w:line="360" w:lineRule="auto" w:before="2"/>
        <w:ind w:left="102" w:right="116" w:firstLine="707"/>
        <w:jc w:val="both"/>
      </w:pPr>
      <w:r>
        <w:rPr/>
        <w:t>Por lo que respecta a los magistrados elegidos para el periodo ordinario Luis Antonio Sobrado González fue elegido magistrado propietario el 5 de abril de 1999 por la CSJ, para concluir el periodo de designación del magistrado Enrique Meza (quien se acogió a su pensión antes de completarlo). Posteriormente el 8 de mayo de 2001 fue elegido por seis años, los cuales concluyeron el 8 de mayo de 2007 (TSE, 2013c). Al concluir dicho periodo (2001-2007) fue reelegido para otros seis años (del 8 de mayo de 2007 al 8 de mayo de 2013) (TSE, 2013f); finalmente al culminar este nuevo periodo el magistrado Sobrado puso a consideración de la CSJ la posibilidad de ser reelecto por última ocasión, lo cual fue resuelto favorablemente por la Corte y se le reeligió para un nuevo periodo que va del 8 de mayo de 2013 al 7 de mayo de 2019 (Aguilar,</w:t>
      </w:r>
      <w:r>
        <w:rPr>
          <w:spacing w:val="-17"/>
        </w:rPr>
        <w:t> </w:t>
      </w:r>
      <w:r>
        <w:rPr/>
        <w:t>2013).</w:t>
      </w:r>
    </w:p>
    <w:p>
      <w:pPr>
        <w:pStyle w:val="BodyText"/>
        <w:spacing w:line="360" w:lineRule="auto" w:before="5"/>
        <w:ind w:left="102" w:right="116" w:firstLine="707"/>
        <w:jc w:val="both"/>
      </w:pPr>
      <w:r>
        <w:rPr/>
        <w:t>De acuerdo con lo anterior el magistrado Sobrado ha sido sometido a cuatro procesos de votación ante la CSJ para ser electo o reelecto en su cargo: en 1999 (electo de forma interina magistrado propietario), en 2001 (electo magistrado) y en 2007 y 2013 (reelecto). En el proceso de selección de 1999 (CSJ, 1999) realizado el 22 de marzo, de acuerdo con el acta de Corte Plena número 14 (artículo IV) se designó a una Comisión (creada el 14 de diciembre de 1998) para reclutar al magistrado vacante. A la convocatoria se presentaron 74 aspirantes; posteriormente la Comisión citó a 21 de ellos a entrevista, la cual se realizó durante los tres miércoles siguientes; en ella se siguió la metodología de hacer preguntas a los aspirantes relacionadas con el Tribunal Supremo de Elecciones, con el propósito de saber el grado de conocimiento y vivencias sobre los problemas que se han planteado respecto a éste, y otros puntos</w:t>
      </w:r>
      <w:r>
        <w:rPr>
          <w:spacing w:val="-24"/>
        </w:rPr>
        <w:t> </w:t>
      </w:r>
      <w:r>
        <w:rPr/>
        <w:t>afines.</w:t>
      </w:r>
    </w:p>
    <w:p>
      <w:pPr>
        <w:pStyle w:val="BodyText"/>
        <w:spacing w:line="360" w:lineRule="auto" w:before="2"/>
        <w:ind w:left="102" w:right="119" w:firstLine="707"/>
        <w:jc w:val="both"/>
      </w:pPr>
      <w:r>
        <w:rPr/>
        <w:t>Del resultado de las entrevistas se integró una lista con 10 candidatos; de entre</w:t>
      </w:r>
      <w:r>
        <w:rPr>
          <w:spacing w:val="50"/>
        </w:rPr>
        <w:t> </w:t>
      </w:r>
      <w:r>
        <w:rPr/>
        <w:t>ellos</w:t>
      </w:r>
      <w:r>
        <w:rPr>
          <w:spacing w:val="50"/>
        </w:rPr>
        <w:t> </w:t>
      </w:r>
      <w:r>
        <w:rPr/>
        <w:t>se</w:t>
      </w:r>
      <w:r>
        <w:rPr>
          <w:spacing w:val="51"/>
        </w:rPr>
        <w:t> </w:t>
      </w:r>
      <w:r>
        <w:rPr/>
        <w:t>nombraría</w:t>
      </w:r>
      <w:r>
        <w:rPr>
          <w:spacing w:val="51"/>
        </w:rPr>
        <w:t> </w:t>
      </w:r>
      <w:r>
        <w:rPr/>
        <w:t>al magistrado</w:t>
      </w:r>
      <w:r>
        <w:rPr>
          <w:spacing w:val="51"/>
        </w:rPr>
        <w:t> </w:t>
      </w:r>
      <w:r>
        <w:rPr/>
        <w:t>del TSE,</w:t>
      </w:r>
      <w:r>
        <w:rPr>
          <w:spacing w:val="50"/>
        </w:rPr>
        <w:t> </w:t>
      </w:r>
      <w:r>
        <w:rPr/>
        <w:t>hecho</w:t>
      </w:r>
      <w:r>
        <w:rPr>
          <w:spacing w:val="51"/>
        </w:rPr>
        <w:t> </w:t>
      </w:r>
      <w:r>
        <w:rPr/>
        <w:t>que</w:t>
      </w:r>
      <w:r>
        <w:rPr>
          <w:spacing w:val="51"/>
        </w:rPr>
        <w:t> </w:t>
      </w:r>
      <w:r>
        <w:rPr/>
        <w:t>ocurriría</w:t>
      </w:r>
      <w:r>
        <w:rPr>
          <w:spacing w:val="51"/>
        </w:rPr>
        <w:t> </w:t>
      </w:r>
      <w:r>
        <w:rPr/>
        <w:t>el 15</w:t>
      </w:r>
      <w:r>
        <w:rPr>
          <w:spacing w:val="51"/>
        </w:rPr>
        <w:t> </w:t>
      </w:r>
      <w:r>
        <w:rPr/>
        <w:t>de</w:t>
      </w:r>
    </w:p>
    <w:p>
      <w:pPr>
        <w:spacing w:after="0" w:line="360" w:lineRule="auto"/>
        <w:jc w:val="both"/>
        <w:sectPr>
          <w:pgSz w:w="12240" w:h="15840"/>
          <w:pgMar w:header="749" w:footer="1003" w:top="960" w:bottom="1200" w:left="1600" w:right="1580"/>
        </w:sectPr>
      </w:pPr>
    </w:p>
    <w:p>
      <w:pPr>
        <w:pStyle w:val="BodyText"/>
        <w:rPr>
          <w:sz w:val="20"/>
        </w:rPr>
      </w:pPr>
    </w:p>
    <w:p>
      <w:pPr>
        <w:pStyle w:val="BodyText"/>
        <w:spacing w:line="360" w:lineRule="auto" w:before="214"/>
        <w:ind w:left="102" w:right="115"/>
        <w:jc w:val="both"/>
      </w:pPr>
      <w:r>
        <w:rPr/>
        <w:t>marzo de 1999 como se había acordado en la sesión del 1° de marzo del mismo año (en su artículo III), sin embargo, no fue posible cumplir lo dispuesto porque el Lic. Oscar Jiménez Rojas interpuso un recurso de amparo contra el procedimiento utilizado para efectuar la elección, recurso que fue declarado sin lugar el miércoles 17 de marzo del mismo año, por la Sala Constitucional. Lo cual originó que el nombramiento se realizara hasta el 22 de marzo.</w:t>
      </w:r>
    </w:p>
    <w:p>
      <w:pPr>
        <w:pStyle w:val="BodyText"/>
        <w:spacing w:line="360" w:lineRule="auto" w:before="2"/>
        <w:ind w:left="102" w:right="114" w:firstLine="707"/>
        <w:jc w:val="both"/>
      </w:pPr>
      <w:r>
        <w:rPr/>
        <w:t>Los diez aspirantes finalistas, en orden alfabético, fueron: Araya García Jorge Arturo, Casas Zamora Ciro, Castillo Víquez Fernando, Castro Dobles Marisol, González Quiroga Horacio, Hess Araya Cristian, D´Ambrosio Umaña Tobías, Romero Pérez Jorge E., Sobrado González Luis Antonio y Weisleder Weisleder Jaime. Siendo elegido Sobrado González Luis Antonio en  la  sexta ronda de votación con 16 votos a favor; Marisol Castro Dobles recibió 4 votos y Jorge Arturo Araya García y Cristian Hess Araya recibieron 1 voto cada uno (CSJ, 1999). En conclusión el consejero Luis Antonio Sobrado González fue elegido por mayoría calificada de votos.</w:t>
      </w:r>
    </w:p>
    <w:p>
      <w:pPr>
        <w:pStyle w:val="BodyText"/>
        <w:spacing w:line="360" w:lineRule="auto" w:before="5"/>
        <w:ind w:left="102" w:right="114" w:firstLine="707"/>
        <w:jc w:val="both"/>
      </w:pPr>
      <w:r>
        <w:rPr/>
        <w:t>Por su parte Eugenia María Zamora Chavarría fue elegida magistrada propietaria del TSE en la sesión extraordinaria de Corte Plena celebrada el  primero de septiembre de dos mil cinco (artículo III) por la CSJ; pues debido a la no reelección de la licenciada Olga Nidia Fallas Madrigal la plaza se encontraba vacante. La Comisión de Nombramientos presentó en su propuesta 41 candidatos, de entre los cuales resultó electa Eugenia María Zamora Chavarría en la segunda votación, por mayoría calificada de quince votos; el licenciado Marvin Carvajal Pérez recibió tres votos, dos la licenciada Marisol Castro Dobles y uno de cada  uno de los licenciados José Luis Molina Quesada y Francisco Barahona Riera. En la primera votación, la licenciada Zamora Chavarría obtuvo diez votos, dos de  cada uno de los licenciados Castro Dobles y Carvajal Pérez y uno por cada uno de los licenciados Hugo Muñoz Quesada, José Luis Molina Quesada, Raúl Marín Zamora, Ana Isabel Vargas Vargas, Luis Fernando Fernández Hidalgo, Cristian Hess Araya, Cristina Viquez Cerdas y Francisco Barahona Riera. El juramento constitucional de la magistrada Zamora Chavarría se efectuó el 5 de julio de 2005 (CSJ,</w:t>
      </w:r>
      <w:r>
        <w:rPr>
          <w:spacing w:val="-5"/>
        </w:rPr>
        <w:t> </w:t>
      </w:r>
      <w:r>
        <w:rPr/>
        <w:t>2005).</w:t>
      </w:r>
    </w:p>
    <w:p>
      <w:pPr>
        <w:spacing w:after="0" w:line="360" w:lineRule="auto"/>
        <w:jc w:val="both"/>
        <w:sectPr>
          <w:pgSz w:w="12240" w:h="15840"/>
          <w:pgMar w:header="749" w:footer="1003" w:top="960" w:bottom="1200" w:left="1600" w:right="1580"/>
        </w:sectPr>
      </w:pPr>
    </w:p>
    <w:p>
      <w:pPr>
        <w:pStyle w:val="BodyText"/>
        <w:rPr>
          <w:sz w:val="20"/>
        </w:rPr>
      </w:pPr>
    </w:p>
    <w:p>
      <w:pPr>
        <w:pStyle w:val="BodyText"/>
        <w:spacing w:line="360" w:lineRule="auto" w:before="214"/>
        <w:ind w:left="102" w:right="116" w:firstLine="707"/>
        <w:jc w:val="both"/>
      </w:pPr>
      <w:r>
        <w:rPr/>
        <w:t>En cuanto a Max Alberto Esquivel Faerron fue elegido magistrado propietario el 25 de junio de 2007 (CSJ, 2007) para un periodo interino que va del 17 de julio de 2007 al 6 de mayo de 2009, lo anterior con motivo de la jubilación del magistrado Óscar Fonseca Montoya. Se postularon 39 aspirantes de los  cuales uno fue extemporáneo y otra no cumplía con la edad requerida quedando 37 aspirantes; de éstos uno no se presentó a la entrevista y otro desistió, por lo que se deduce que sólo quedaron 35 aspirantes, pues como se menciona en el acta de la CSJ los nombres de la persona que se desistió y de la que no acudió a la entrevista siguieron apareciendo en la lista de los 37 aspirantes. Posteriormente la Comisión de Nombramientos propuso a 8 candidatos: Bernal Arias Ramírez, Zetty María Bou Valverde, Rose Mary Chambers Rivas, Max Alberto Esquivel Faerron, Héctor Fernández Masís, Cristian Hess Araya, Hugo Ernesto Picado  León y Laura Cecilia Rodríguez Castro. De los cuales resultó electo Max Alberto Esquivel</w:t>
      </w:r>
      <w:r>
        <w:rPr>
          <w:spacing w:val="-7"/>
        </w:rPr>
        <w:t> </w:t>
      </w:r>
      <w:r>
        <w:rPr/>
        <w:t>Faerron</w:t>
      </w:r>
    </w:p>
    <w:p>
      <w:pPr>
        <w:pStyle w:val="BodyText"/>
        <w:spacing w:line="360" w:lineRule="auto" w:before="2"/>
        <w:ind w:left="102" w:right="124" w:firstLine="707"/>
        <w:jc w:val="both"/>
      </w:pPr>
      <w:r>
        <w:rPr/>
        <w:t>El Magistrado Chaves integrante de la Comisión de Nombramientos de la CSJ al respecto del procedimiento para seleccionar a los 8 candidatos señaló:</w:t>
      </w:r>
    </w:p>
    <w:p>
      <w:pPr>
        <w:pStyle w:val="BodyText"/>
      </w:pPr>
    </w:p>
    <w:p>
      <w:pPr>
        <w:spacing w:line="360" w:lineRule="auto" w:before="142"/>
        <w:ind w:left="810" w:right="116" w:firstLine="0"/>
        <w:jc w:val="both"/>
        <w:rPr>
          <w:sz w:val="22"/>
        </w:rPr>
      </w:pPr>
      <w:r>
        <w:rPr>
          <w:sz w:val="22"/>
        </w:rPr>
        <w:t>la entrevista que desarrollamos, en términos muy generales, fue dándole oportunidad a la persona que en un tiempo aproximado de cinco minutos nos  dijera por qué debíamos designarla como miembro del Tribunal, qué era lo que podía aportar al Tribunal Supremo de Elecciones y al país y luego de esa exposición, con base en esas mismas manifestaciones que hacía la persona, le hacíamos algún tipo de preguntas o cualquiera de nosotros hacía, relacionadas principalmente, fueron casi todas, con temas actuales del Tribunal Supremo de Elecciones, como referéndum, como abstencionismo; pero también algunas extraídas de su misma manifestación cuando daban alguna idea innovadora sobre qué podía hacerse por el Tribunal Supremo de Elecciones. Luego de esa  entrevista y esas preguntas, se tomó en cuenta también el currículum que cada uno había presentado, analizamos los puestos que habían ocupado, las especialidades que tenían, sus actividades primordiales. Se inquirió también si presentaban algún tipo de sanción por parte del Colegio de Abogados o de la Inspección Judicial, en el caso de los funcionarios judiciales, o de la Dirección de Notariado; y los cuatro integrantes de la Comisión, por unanimidad, acordamos  </w:t>
      </w:r>
      <w:r>
        <w:rPr>
          <w:spacing w:val="32"/>
          <w:sz w:val="22"/>
        </w:rPr>
        <w:t> </w:t>
      </w:r>
      <w:r>
        <w:rPr>
          <w:sz w:val="22"/>
        </w:rPr>
        <w:t>la</w:t>
      </w:r>
    </w:p>
    <w:p>
      <w:pPr>
        <w:spacing w:after="0" w:line="360" w:lineRule="auto"/>
        <w:jc w:val="both"/>
        <w:rPr>
          <w:sz w:val="22"/>
        </w:rPr>
        <w:sectPr>
          <w:pgSz w:w="12240" w:h="15840"/>
          <w:pgMar w:header="749" w:footer="1003" w:top="960" w:bottom="1200" w:left="1600" w:right="1580"/>
        </w:sectPr>
      </w:pPr>
    </w:p>
    <w:p>
      <w:pPr>
        <w:pStyle w:val="BodyText"/>
        <w:rPr>
          <w:sz w:val="20"/>
        </w:rPr>
      </w:pPr>
    </w:p>
    <w:p>
      <w:pPr>
        <w:pStyle w:val="BodyText"/>
        <w:spacing w:before="7"/>
        <w:rPr>
          <w:sz w:val="18"/>
        </w:rPr>
      </w:pPr>
    </w:p>
    <w:p>
      <w:pPr>
        <w:spacing w:line="360" w:lineRule="auto" w:before="0"/>
        <w:ind w:left="810" w:right="115" w:firstLine="0"/>
        <w:jc w:val="both"/>
        <w:rPr>
          <w:sz w:val="22"/>
        </w:rPr>
      </w:pPr>
      <w:r>
        <w:rPr>
          <w:sz w:val="22"/>
        </w:rPr>
        <w:t>siguiente lista. Está por orden alfabético… Advierto que esto implicó cinco audiencias que nos reunimos durante la semana pasada y antepasada, y en la última de las sesiones fue cuando todos analizamos ya en la lista. El número de ocho no es nada predeterminado, nos pareció que fueron las ocho personas que analizados esos factores reunían los mejores requisitos y las mejores condiciones para este puesto y de ahí que las postulamos. Había también gente fuera de la  lista y así lo analizamos que también era muy valiosa porque en el concurso participó gente muy importante, pero siempre hay que hacer una escogencia y con base en esa metodología escogimos estos nombres, que repito, la lista no lleva ningún de preferencia sino simple y sencillamente orden alfabético para efectos de que la Corte decida lo que considere conveniente (CSJ,</w:t>
      </w:r>
      <w:r>
        <w:rPr>
          <w:spacing w:val="-17"/>
          <w:sz w:val="22"/>
        </w:rPr>
        <w:t> </w:t>
      </w:r>
      <w:r>
        <w:rPr>
          <w:sz w:val="22"/>
        </w:rPr>
        <w:t>2007).</w:t>
      </w:r>
    </w:p>
    <w:p>
      <w:pPr>
        <w:pStyle w:val="BodyText"/>
        <w:rPr>
          <w:sz w:val="22"/>
        </w:rPr>
      </w:pPr>
    </w:p>
    <w:p>
      <w:pPr>
        <w:pStyle w:val="BodyText"/>
        <w:spacing w:before="6"/>
        <w:rPr>
          <w:sz w:val="31"/>
        </w:rPr>
      </w:pPr>
    </w:p>
    <w:p>
      <w:pPr>
        <w:pStyle w:val="BodyText"/>
        <w:spacing w:line="360" w:lineRule="auto"/>
        <w:ind w:left="102" w:right="118" w:firstLine="707"/>
        <w:jc w:val="both"/>
      </w:pPr>
      <w:r>
        <w:rPr/>
        <w:t>Finalmente en la novena votación, por mayoría calificada de quince votos, resultó electo el magistrado Max Alberto Esquivel Faerron. El cual fue juramentado el 16 de julio de 2007.</w:t>
      </w:r>
    </w:p>
    <w:p>
      <w:pPr>
        <w:pStyle w:val="BodyText"/>
        <w:spacing w:line="360" w:lineRule="auto" w:before="5"/>
        <w:ind w:left="102" w:right="117" w:firstLine="707"/>
        <w:jc w:val="both"/>
      </w:pPr>
      <w:r>
        <w:rPr/>
        <w:t>Posteriormente previo análisis de los informes de rendición de cuentas emitidos por el magistrado Esquivel, la CSJ en sesión de fecha 27 de abril de 2009 (CSJ, 2009a) determinó reelegirlo (por unanimidad de 18 votos) para el periodo que va del 7 de mayo de 2009 al 6 de mayo de 2015. Presentando su juramentación ante la CSJ el 4 de mayo de 2009 (CSJ, 2009b).</w:t>
      </w:r>
    </w:p>
    <w:p>
      <w:pPr>
        <w:pStyle w:val="BodyText"/>
        <w:spacing w:line="360" w:lineRule="auto" w:before="2"/>
        <w:ind w:left="102" w:right="116" w:firstLine="707"/>
        <w:jc w:val="both"/>
      </w:pPr>
      <w:r>
        <w:rPr/>
        <w:t>Por lo que respecta a los dos magistrados elegidos que se sumaron al TSE con motivo del proceso electoral: Mario Seing Jiménez y Zetty María Bou  Valverde, éstos fueron favorecidos de entre seis magistrados suplentes: Lic. Juan Antonio Casafont Odor, Lic. Ovelio Rodríguez Chaverri, Licda. Marisol Castro Dobles, Lic. Fernando del Castillo Riggioni, Lic. Mario Seing Jiménez y Msc. Zetty María Bou Valverde; mediante una sesión extraordinaria de Corte Plena celebrada el trece de octubre del dos mil ocho ―con la asistencia inicial de los Magistrados Mora, Presidente; Rivas, Solís, León, González, Escoto, Aguirre, Vega, Ramírez, Arroyo, Pereira, Chinchilla, Vargas, Armijo, y la Suplente María Alexandra Bogantes, quien ocupa la plaza vacante de la Sala Segunda―. En dicha sesión se sometió a votación la designación de dichos magistrados en los siguientes términos:</w:t>
      </w:r>
    </w:p>
    <w:p>
      <w:pPr>
        <w:spacing w:after="0" w:line="360" w:lineRule="auto"/>
        <w:jc w:val="both"/>
        <w:sectPr>
          <w:pgSz w:w="12240" w:h="15840"/>
          <w:pgMar w:header="749" w:footer="1003" w:top="960" w:bottom="1200" w:left="1600" w:right="1580"/>
        </w:sectPr>
      </w:pPr>
    </w:p>
    <w:p>
      <w:pPr>
        <w:pStyle w:val="BodyText"/>
        <w:rPr>
          <w:sz w:val="20"/>
        </w:rPr>
      </w:pPr>
    </w:p>
    <w:p>
      <w:pPr>
        <w:pStyle w:val="BodyText"/>
        <w:rPr>
          <w:sz w:val="20"/>
        </w:rPr>
      </w:pPr>
    </w:p>
    <w:p>
      <w:pPr>
        <w:pStyle w:val="BodyText"/>
        <w:spacing w:before="5"/>
        <w:rPr>
          <w:sz w:val="28"/>
        </w:rPr>
      </w:pPr>
    </w:p>
    <w:p>
      <w:pPr>
        <w:spacing w:line="360" w:lineRule="auto" w:before="72"/>
        <w:ind w:left="810" w:right="116" w:firstLine="0"/>
        <w:jc w:val="both"/>
        <w:rPr>
          <w:sz w:val="22"/>
        </w:rPr>
      </w:pPr>
      <w:r>
        <w:rPr>
          <w:sz w:val="22"/>
        </w:rPr>
        <w:t>Se procede a realizar el primer nombramiento y en la cuarta votación, por mayoría de once votos resultó electo el licenciado Mario Seing Jiménez. La máster Zetty María Bou Valverde obtuvo nueve votos. En la primer votación el licenciado Seing Jiménez recibió ocho votos, seis la máster Bou Valverde, tres la licenciada Castro Dobles, dos el licenciado Del Castillo Riggioni y uno el licenciado Casafont Odor.  El resultado de la segunda votación fue el siguiente: la máster Bou Valverde y el licenciado Seing Jiménez recibieron ocho votos y tres la licenciada Castro Dobles. Se recibió un voto en blanco. En la tercera votación la máster Bou y el licenciado Seing obtuvieron nueve votos cada uno y dos la licenciada Castro Dobles. Seguidamente se procede a realizar el segundo nombramiento, y en la segunda votación, por mayoría de once votos fue designada la máster Bou Valverde. El licenciado Del Castillo Riggioni recibió seis votos, dos la licenciada Castro Dobles  y uno el licenciado Rodríguez Chaverri. En la primer votación la máster Bou obtuvo diez votos, cinco el licenciado Del Castillo, tres la licenciada Castro y dos el licenciado Rodríguez. Para los efectos del párrafo segundo del artículo 100 de la Constitución Política, el nombramiento del licenciado Seing Jiménez y de la máster Bou Valverde, como Integrantes del Tribunal Supremo de Elecciones, será desde un año antes y hasta seis meses después de las elecciones generales para Presidente de la República, Diputados a la Asamblea Legislativa y Regidores  (CSJ,</w:t>
      </w:r>
      <w:r>
        <w:rPr>
          <w:spacing w:val="-2"/>
          <w:sz w:val="22"/>
        </w:rPr>
        <w:t> </w:t>
      </w:r>
      <w:r>
        <w:rPr>
          <w:sz w:val="22"/>
        </w:rPr>
        <w:t>2008).</w:t>
      </w:r>
    </w:p>
    <w:p>
      <w:pPr>
        <w:pStyle w:val="BodyText"/>
        <w:rPr>
          <w:sz w:val="22"/>
        </w:rPr>
      </w:pPr>
    </w:p>
    <w:p>
      <w:pPr>
        <w:pStyle w:val="BodyText"/>
        <w:spacing w:line="360" w:lineRule="auto" w:before="130"/>
        <w:ind w:left="102" w:right="116" w:firstLine="587"/>
        <w:jc w:val="both"/>
      </w:pPr>
      <w:r>
        <w:rPr/>
        <w:t>Para elegir a los magistrados suplentes que se integrarían como propietarios durante el proceso electoral, la CSJ realizó una sesión el 13 de octubre de 2008, en ella sólo se encontraban presentes 20 de los 22 magistrados que integran la corte. Después de varias rondas los magistrados Seing Jiménez y Bou Valverde fueron elegidos no por mayoría calificada sino por mayoría absoluta de votos (la mitad más uno de los presentes), es decir, ambos fueron elegidos por once votos  a favor, sin embargo, como el código no establece que sea necesaria la mayoría calificada para elegir a los magistrados que temporalmente se integrarán al TSE la elección fue</w:t>
      </w:r>
      <w:r>
        <w:rPr>
          <w:spacing w:val="-5"/>
        </w:rPr>
        <w:t> </w:t>
      </w:r>
      <w:r>
        <w:rPr/>
        <w:t>valida.</w:t>
      </w:r>
    </w:p>
    <w:p>
      <w:pPr>
        <w:spacing w:after="0" w:line="360" w:lineRule="auto"/>
        <w:jc w:val="both"/>
        <w:sectPr>
          <w:footerReference w:type="default" r:id="rId46"/>
          <w:pgSz w:w="12240" w:h="15840"/>
          <w:pgMar w:footer="1003" w:header="749" w:top="960" w:bottom="1200" w:left="1600" w:right="1580"/>
          <w:pgNumType w:start="130"/>
        </w:sectPr>
      </w:pPr>
    </w:p>
    <w:p>
      <w:pPr>
        <w:pStyle w:val="BodyText"/>
        <w:rPr>
          <w:sz w:val="20"/>
        </w:rPr>
      </w:pPr>
    </w:p>
    <w:p>
      <w:pPr>
        <w:pStyle w:val="BodyText"/>
        <w:spacing w:line="360" w:lineRule="auto" w:before="214"/>
        <w:ind w:left="102" w:right="117" w:firstLine="587"/>
        <w:jc w:val="both"/>
      </w:pPr>
      <w:r>
        <w:rPr/>
        <w:t>De acuerdo con lo anterior en el presente indicador el TSE obtuvo una evaluación media (2.0) pues sus magistrados fueron elegidos por mayoría calificada (algunos) y otros por mayoría absoluta de votos.</w:t>
      </w:r>
    </w:p>
    <w:p>
      <w:pPr>
        <w:pStyle w:val="BodyText"/>
        <w:spacing w:before="5"/>
      </w:pPr>
    </w:p>
    <w:p>
      <w:pPr>
        <w:pStyle w:val="Heading2"/>
        <w:numPr>
          <w:ilvl w:val="0"/>
          <w:numId w:val="26"/>
        </w:numPr>
        <w:tabs>
          <w:tab w:pos="689" w:val="left" w:leader="none"/>
          <w:tab w:pos="690" w:val="left" w:leader="none"/>
        </w:tabs>
        <w:spacing w:line="240" w:lineRule="auto" w:before="0" w:after="0"/>
        <w:ind w:left="690" w:right="0" w:hanging="360"/>
        <w:jc w:val="left"/>
      </w:pPr>
      <w:r>
        <w:rPr/>
        <w:t>Actuación del órgano electoral</w:t>
      </w:r>
      <w:r>
        <w:rPr>
          <w:spacing w:val="-10"/>
        </w:rPr>
        <w:t> </w:t>
      </w:r>
      <w:r>
        <w:rPr/>
        <w:t>(TSE)</w:t>
      </w:r>
    </w:p>
    <w:p>
      <w:pPr>
        <w:pStyle w:val="BodyText"/>
        <w:rPr>
          <w:b/>
        </w:rPr>
      </w:pPr>
    </w:p>
    <w:p>
      <w:pPr>
        <w:pStyle w:val="BodyText"/>
        <w:rPr>
          <w:b/>
        </w:rPr>
      </w:pPr>
    </w:p>
    <w:p>
      <w:pPr>
        <w:pStyle w:val="BodyText"/>
        <w:spacing w:line="360" w:lineRule="auto"/>
        <w:ind w:left="102" w:right="117"/>
        <w:jc w:val="both"/>
      </w:pPr>
      <w:r>
        <w:rPr/>
        <w:t>En la presente variable el TSE se ubicó como altamente democrático (3.0), como resultado del promedio de los tres indicadores objeto de estudio: congruencia con la legalidad, imparcialidad en el resultado de la elección e imparcialidad con respecto a las agrupaciones políticas; cada uno de ellos obtuvo una alta  evaluación</w:t>
      </w:r>
      <w:r>
        <w:rPr>
          <w:spacing w:val="-3"/>
        </w:rPr>
        <w:t> </w:t>
      </w:r>
      <w:r>
        <w:rPr/>
        <w:t>(3.0).</w:t>
      </w:r>
    </w:p>
    <w:p>
      <w:pPr>
        <w:pStyle w:val="BodyText"/>
        <w:spacing w:line="360" w:lineRule="auto" w:before="2"/>
        <w:ind w:left="102" w:right="117" w:firstLine="707"/>
        <w:jc w:val="both"/>
      </w:pPr>
      <w:r>
        <w:rPr/>
        <w:t>El desempeño del TSE ha sido poco estudiado, la Auditoría Ciudadana colocó dicho tema como una de las zonas poco exploradas (las que pese a su importancia sólo se pudo reunir información preliminar) y señala que faltan  estudios que evalúen a profundidad el desempeño del TSE en los últimos años (Varios, 2001:</w:t>
      </w:r>
      <w:r>
        <w:rPr>
          <w:spacing w:val="-6"/>
        </w:rPr>
        <w:t> </w:t>
      </w:r>
      <w:r>
        <w:rPr/>
        <w:t>59).</w:t>
      </w:r>
    </w:p>
    <w:p>
      <w:pPr>
        <w:pStyle w:val="BodyText"/>
      </w:pPr>
    </w:p>
    <w:p>
      <w:pPr>
        <w:pStyle w:val="ListParagraph"/>
        <w:numPr>
          <w:ilvl w:val="1"/>
          <w:numId w:val="26"/>
        </w:numPr>
        <w:tabs>
          <w:tab w:pos="1182" w:val="left" w:leader="none"/>
        </w:tabs>
        <w:spacing w:line="240" w:lineRule="auto" w:before="142" w:after="0"/>
        <w:ind w:left="102" w:right="0" w:firstLine="720"/>
        <w:jc w:val="left"/>
        <w:rPr>
          <w:sz w:val="24"/>
        </w:rPr>
      </w:pPr>
      <w:r>
        <w:rPr>
          <w:sz w:val="24"/>
        </w:rPr>
        <w:t>Congruencia cuantitativa con la</w:t>
      </w:r>
      <w:r>
        <w:rPr>
          <w:spacing w:val="-14"/>
          <w:sz w:val="24"/>
        </w:rPr>
        <w:t> </w:t>
      </w:r>
      <w:r>
        <w:rPr>
          <w:sz w:val="24"/>
        </w:rPr>
        <w:t>legalidad</w:t>
      </w:r>
    </w:p>
    <w:p>
      <w:pPr>
        <w:pStyle w:val="BodyText"/>
      </w:pPr>
    </w:p>
    <w:p>
      <w:pPr>
        <w:pStyle w:val="BodyText"/>
      </w:pPr>
    </w:p>
    <w:p>
      <w:pPr>
        <w:pStyle w:val="BodyText"/>
        <w:spacing w:line="360" w:lineRule="auto" w:before="199"/>
        <w:ind w:left="102" w:right="115"/>
        <w:jc w:val="both"/>
      </w:pPr>
      <w:r>
        <w:rPr/>
        <w:t>El TSE ―a diferencia de los órganos mexicanos (IFE e IEEM) ― tiene una doble función: organizar las elecciones e impartir justicia en materia electoral; de ahí que los acuerdos de los magistrados sean impugnados ante el mismo tribunal pero, necesariamente, en un área distinta a la que realiza los acuerdos.</w:t>
      </w:r>
    </w:p>
    <w:p>
      <w:pPr>
        <w:pStyle w:val="BodyText"/>
        <w:spacing w:line="360" w:lineRule="auto" w:before="2"/>
        <w:ind w:left="102" w:right="120" w:firstLine="707"/>
        <w:jc w:val="both"/>
      </w:pPr>
      <w:r>
        <w:rPr/>
        <w:t>Durante los procesos electorales de febrero y diciembre de 2010 no se presentaron impugnaciones a los acuerdos aprobados, con motivo del desarrollo del proceso electoral, por los magistrados del TSE (TSE, 2013e) por lo tanto no hubo acuerdos revocados; en congruencia con lo anterior el TSE obtuvo una alta evaluación en este indicador (3.0) al deducirse que cuantitativamente sus actuaciones fueron congruentes con la legalidad.</w:t>
      </w:r>
    </w:p>
    <w:p>
      <w:pPr>
        <w:pStyle w:val="BodyText"/>
        <w:spacing w:line="360" w:lineRule="auto" w:before="2"/>
        <w:ind w:left="102" w:right="122" w:firstLine="707"/>
        <w:jc w:val="both"/>
      </w:pPr>
      <w:r>
        <w:rPr/>
        <w:t>De acuerdo con datos de la Auditoría Ciudadana sobre la Calidad de la Democracia  en  Costa  Rica  “el  régimen  electoral  costarricense  es  estable     y</w:t>
      </w:r>
    </w:p>
    <w:p>
      <w:pPr>
        <w:spacing w:after="0" w:line="360" w:lineRule="auto"/>
        <w:jc w:val="both"/>
        <w:sectPr>
          <w:pgSz w:w="12240" w:h="15840"/>
          <w:pgMar w:header="749" w:footer="1003" w:top="960" w:bottom="1200" w:left="1600" w:right="1580"/>
        </w:sectPr>
      </w:pPr>
    </w:p>
    <w:p>
      <w:pPr>
        <w:pStyle w:val="BodyText"/>
        <w:rPr>
          <w:sz w:val="20"/>
        </w:rPr>
      </w:pPr>
    </w:p>
    <w:p>
      <w:pPr>
        <w:pStyle w:val="BodyText"/>
        <w:spacing w:line="360" w:lineRule="auto" w:before="214"/>
        <w:ind w:left="102" w:right="117"/>
        <w:jc w:val="both"/>
      </w:pPr>
      <w:r>
        <w:rPr/>
        <w:t>garantiza procesos electorales libres y limpios. En el período 1978-1998, sólo  hubo un caso de impugnación de un resultado electoral dentro del total de las elecciones presidenciales, legislativas y municipales” (Varios, 2001:42); dato del que se deduce que en Costa Rica los partidos, organizaciones, agrupaciones, candidatos y ciudadanos no tienen tendencia ―como en el caso de México―a impugnar los acuerdos de la autoridad electoral. En ocasiones se presentan quejas y denuncias relativas a la jornada electoral, pero estas son derivadas de la actuación de otros actores</w:t>
      </w:r>
      <w:r>
        <w:rPr>
          <w:spacing w:val="-10"/>
        </w:rPr>
        <w:t> </w:t>
      </w:r>
      <w:r>
        <w:rPr/>
        <w:t>electorales.</w:t>
      </w:r>
    </w:p>
    <w:p>
      <w:pPr>
        <w:pStyle w:val="BodyText"/>
        <w:spacing w:line="360" w:lineRule="auto" w:before="2"/>
        <w:ind w:left="102" w:right="115" w:firstLine="707"/>
        <w:jc w:val="both"/>
      </w:pPr>
      <w:r>
        <w:rPr/>
        <w:t>Lo anterior no quiere decir que el TSE no reciba denuncias, sino que las  que se interponen no son directamente en contra de actos de los magistrados (que pongan en peligro el proceso electoral o el resultado de la elección). Por otra parte el hecho de que no haya muchas impugnaciones no quiere decir que el TSE no tenga trabajo, prueba de ello es que en 2010 el TSE emitió 8, 079 resoluciones de las cuales 299 fueron en materia electoral, 943 en inscripción, 153 municipales, 6,232 de naturalización, 33 ocursos o paternidad y 707 procedimientos administrativos (TSE, 2013g); derivado de sus funciones como: tribunal, órgano encargado de organizar las elecciones, registro electoral y registro</w:t>
      </w:r>
      <w:r>
        <w:rPr>
          <w:spacing w:val="-27"/>
        </w:rPr>
        <w:t> </w:t>
      </w:r>
      <w:r>
        <w:rPr/>
        <w:t>civil.</w:t>
      </w:r>
    </w:p>
    <w:p>
      <w:pPr>
        <w:pStyle w:val="BodyText"/>
        <w:spacing w:line="360" w:lineRule="auto" w:before="5"/>
        <w:ind w:left="102" w:right="119" w:firstLine="707"/>
        <w:jc w:val="both"/>
      </w:pPr>
      <w:r>
        <w:rPr/>
        <w:t>De las 299 resoluciones en materia electoral, materia del presente estudio: 91 fueron de amparo electoral, 58 de hermenéutica electoral, 42 de apelación electoral, 41 de denuncia electoral, 20 por denuncia de beligerancia política, 15  por demanda de nulidad, 11 por liquidación de gastos de partidos políticos y 21 en otras (TSE,</w:t>
      </w:r>
      <w:r>
        <w:rPr>
          <w:spacing w:val="-6"/>
        </w:rPr>
        <w:t> </w:t>
      </w:r>
      <w:r>
        <w:rPr/>
        <w:t>2013i).</w:t>
      </w:r>
    </w:p>
    <w:p>
      <w:pPr>
        <w:pStyle w:val="BodyText"/>
        <w:spacing w:line="360" w:lineRule="auto" w:before="2"/>
        <w:ind w:left="102" w:right="115" w:firstLine="707"/>
        <w:jc w:val="both"/>
      </w:pPr>
      <w:r>
        <w:rPr/>
        <w:t>Las acciones tramitadas ante el TSE en materia electoral (parecidas a los medios de impugnación en el caso de México) pueden ser contenciosas y no contenciosas. Las primeras se dividen en siete: a) el recurso de amparo  electoral,</w:t>
      </w:r>
    </w:p>
    <w:p>
      <w:pPr>
        <w:pStyle w:val="ListParagraph"/>
        <w:numPr>
          <w:ilvl w:val="1"/>
          <w:numId w:val="26"/>
        </w:numPr>
        <w:tabs>
          <w:tab w:pos="400" w:val="left" w:leader="none"/>
        </w:tabs>
        <w:spacing w:line="360" w:lineRule="auto" w:before="5" w:after="0"/>
        <w:ind w:left="102" w:right="114" w:firstLine="0"/>
        <w:jc w:val="both"/>
        <w:rPr>
          <w:sz w:val="24"/>
        </w:rPr>
      </w:pPr>
      <w:r>
        <w:rPr>
          <w:sz w:val="24"/>
        </w:rPr>
        <w:t>la impugnación de acuerdos de asambleas de partidos políticos en proceso de constitución e inscripción, c) la acción de nulidad de acuerdos partidarios, d) el recurso de apelación electoral, e) la demanda de nulidad relativa a resultados electorales, f) la cancelación o anulación de credenciales y g) la denuncia por parcialidad o beligerancia política (ALRC, 2009: artículo 220). Las segundas pueden</w:t>
      </w:r>
      <w:r>
        <w:rPr>
          <w:spacing w:val="55"/>
          <w:sz w:val="24"/>
        </w:rPr>
        <w:t> </w:t>
      </w:r>
      <w:r>
        <w:rPr>
          <w:sz w:val="24"/>
        </w:rPr>
        <w:t>ser</w:t>
      </w:r>
      <w:r>
        <w:rPr>
          <w:spacing w:val="54"/>
          <w:sz w:val="24"/>
        </w:rPr>
        <w:t> </w:t>
      </w:r>
      <w:r>
        <w:rPr>
          <w:sz w:val="24"/>
        </w:rPr>
        <w:t>de</w:t>
      </w:r>
      <w:r>
        <w:rPr>
          <w:spacing w:val="55"/>
          <w:sz w:val="24"/>
        </w:rPr>
        <w:t> </w:t>
      </w:r>
      <w:r>
        <w:rPr>
          <w:sz w:val="24"/>
        </w:rPr>
        <w:t>cuatro</w:t>
      </w:r>
      <w:r>
        <w:rPr>
          <w:spacing w:val="53"/>
          <w:sz w:val="24"/>
        </w:rPr>
        <w:t> </w:t>
      </w:r>
      <w:r>
        <w:rPr>
          <w:sz w:val="24"/>
        </w:rPr>
        <w:t>tipos:</w:t>
      </w:r>
      <w:r>
        <w:rPr>
          <w:spacing w:val="60"/>
          <w:sz w:val="24"/>
        </w:rPr>
        <w:t> </w:t>
      </w:r>
      <w:r>
        <w:rPr>
          <w:sz w:val="24"/>
        </w:rPr>
        <w:t>emisión</w:t>
      </w:r>
      <w:r>
        <w:rPr>
          <w:spacing w:val="53"/>
          <w:sz w:val="24"/>
        </w:rPr>
        <w:t> </w:t>
      </w:r>
      <w:r>
        <w:rPr>
          <w:sz w:val="24"/>
        </w:rPr>
        <w:t>de</w:t>
      </w:r>
      <w:r>
        <w:rPr>
          <w:spacing w:val="53"/>
          <w:sz w:val="24"/>
        </w:rPr>
        <w:t> </w:t>
      </w:r>
      <w:r>
        <w:rPr>
          <w:sz w:val="24"/>
        </w:rPr>
        <w:t>opiniones</w:t>
      </w:r>
      <w:r>
        <w:rPr>
          <w:spacing w:val="55"/>
          <w:sz w:val="24"/>
        </w:rPr>
        <w:t> </w:t>
      </w:r>
      <w:r>
        <w:rPr>
          <w:sz w:val="24"/>
        </w:rPr>
        <w:t>consultivas</w:t>
      </w:r>
      <w:r>
        <w:rPr>
          <w:spacing w:val="55"/>
          <w:sz w:val="24"/>
        </w:rPr>
        <w:t> </w:t>
      </w:r>
      <w:r>
        <w:rPr>
          <w:sz w:val="24"/>
        </w:rPr>
        <w:t>e</w:t>
      </w:r>
      <w:r>
        <w:rPr>
          <w:spacing w:val="53"/>
          <w:sz w:val="24"/>
        </w:rPr>
        <w:t> </w:t>
      </w:r>
      <w:r>
        <w:rPr>
          <w:sz w:val="24"/>
        </w:rPr>
        <w:t>interpretativas</w:t>
      </w:r>
    </w:p>
    <w:p>
      <w:pPr>
        <w:spacing w:after="0" w:line="360" w:lineRule="auto"/>
        <w:jc w:val="both"/>
        <w:rPr>
          <w:sz w:val="24"/>
        </w:rPr>
        <w:sectPr>
          <w:pgSz w:w="12240" w:h="15840"/>
          <w:pgMar w:header="749" w:footer="1003" w:top="960" w:bottom="1200" w:left="1600" w:right="1580"/>
        </w:sectPr>
      </w:pPr>
    </w:p>
    <w:p>
      <w:pPr>
        <w:pStyle w:val="BodyText"/>
        <w:rPr>
          <w:sz w:val="20"/>
        </w:rPr>
      </w:pPr>
    </w:p>
    <w:p>
      <w:pPr>
        <w:pStyle w:val="BodyText"/>
        <w:spacing w:line="360" w:lineRule="auto" w:before="214"/>
        <w:ind w:left="102" w:right="122"/>
        <w:jc w:val="both"/>
      </w:pPr>
      <w:r>
        <w:rPr/>
        <w:t>(hermenéutica), democracia semidirecta (asuntos relacionados con procesos consultivos), liquidación de gastos partidarios, declaratorias de elección (TSE, 2013h).</w:t>
      </w:r>
    </w:p>
    <w:p>
      <w:pPr>
        <w:pStyle w:val="BodyText"/>
        <w:spacing w:line="360" w:lineRule="auto" w:before="5"/>
        <w:ind w:left="102" w:right="118" w:firstLine="707"/>
        <w:jc w:val="both"/>
      </w:pPr>
      <w:r>
        <w:rPr/>
        <w:t>De acuerdo con lo antes expuesto se observa que de las 299 resoluciones emitidas en 2010, 194 fueron contenciosas y 105 no contenciosas, sin embargo, ninguna de las acciones contenciosas fueron interpuestas contra actos que señalaran directamente acciones ilegales por parte de los magistrados del TSE.</w:t>
      </w:r>
    </w:p>
    <w:p>
      <w:pPr>
        <w:pStyle w:val="BodyText"/>
        <w:spacing w:line="360" w:lineRule="auto" w:before="5"/>
        <w:ind w:left="102" w:right="115" w:firstLine="707"/>
        <w:jc w:val="both"/>
      </w:pPr>
      <w:r>
        <w:rPr/>
        <w:t>Del estudio de los datos estadísticos (TSE, 2013g) se observó que las resoluciones pueden darse en los siguientes sentidos: con lugar, sin lugar,  rechazo de plano, parcialmente con lugar, revoca parcialmente la resolución, archivo y otras (se refiere a contribuciones sobre fijación de contribución estatal a partidos políticos). El resultado “sin lugar” y “rechazo de plano” alude a lo que en México denominamos sentencia confirmatoria, el “con lugar” hace referencia a las sentencias revocadas y el “parcialmente a lugar” así como “revoca parcialmente la resolución” se refieren a las sentencias que modifican la</w:t>
      </w:r>
      <w:r>
        <w:rPr>
          <w:spacing w:val="-17"/>
        </w:rPr>
        <w:t> </w:t>
      </w:r>
      <w:r>
        <w:rPr/>
        <w:t>resolución.</w:t>
      </w:r>
    </w:p>
    <w:p>
      <w:pPr>
        <w:pStyle w:val="BodyText"/>
      </w:pPr>
    </w:p>
    <w:p>
      <w:pPr>
        <w:pStyle w:val="ListParagraph"/>
        <w:numPr>
          <w:ilvl w:val="2"/>
          <w:numId w:val="26"/>
        </w:numPr>
        <w:tabs>
          <w:tab w:pos="1182" w:val="left" w:leader="none"/>
        </w:tabs>
        <w:spacing w:line="240" w:lineRule="auto" w:before="142" w:after="0"/>
        <w:ind w:left="1182" w:right="0" w:hanging="360"/>
        <w:jc w:val="left"/>
        <w:rPr>
          <w:sz w:val="24"/>
        </w:rPr>
      </w:pPr>
      <w:r>
        <w:rPr>
          <w:sz w:val="24"/>
        </w:rPr>
        <w:t>Imparcialidad cualitativa en el resultado de la</w:t>
      </w:r>
      <w:r>
        <w:rPr>
          <w:spacing w:val="-17"/>
          <w:sz w:val="24"/>
        </w:rPr>
        <w:t> </w:t>
      </w:r>
      <w:r>
        <w:rPr>
          <w:sz w:val="24"/>
        </w:rPr>
        <w:t>elección</w:t>
      </w:r>
    </w:p>
    <w:p>
      <w:pPr>
        <w:pStyle w:val="BodyText"/>
      </w:pPr>
    </w:p>
    <w:p>
      <w:pPr>
        <w:pStyle w:val="BodyText"/>
        <w:rPr>
          <w:sz w:val="33"/>
        </w:rPr>
      </w:pPr>
    </w:p>
    <w:p>
      <w:pPr>
        <w:pStyle w:val="BodyText"/>
        <w:spacing w:line="360" w:lineRule="auto"/>
        <w:ind w:left="102" w:right="112"/>
        <w:jc w:val="both"/>
      </w:pPr>
      <w:r>
        <w:rPr/>
        <w:t>El TSE obtuvo una evaluación alta en el presente indicador (3.0), pues en sus dos procesos electorales celebrados en 2010, no tuvo acuerdos revocados por causas graves ―imputables a él― que pusieran en peligro el resultado de la elección. Sin embargo, dicho resultado se debe tomar con cautela pues el TSE es juez y parte en la materia electoral, ya que en él se tienen dos funciones: la de organizar las elecciones como un instituto electoral y la de impartir justicia electoral como tribunal. Así el TSE se ubicó cualitativamente debajo del IFE y el IEEM, pues los acuerdos de éstos últimos son impugnados ante tribunales totalmente independientes del órgano electoral que los realiza: el TEPJF en el caso del IFE y el TEEM en cuanto al IEEM.</w:t>
      </w:r>
    </w:p>
    <w:p>
      <w:pPr>
        <w:pStyle w:val="BodyText"/>
        <w:spacing w:line="360" w:lineRule="auto" w:before="2"/>
        <w:ind w:left="102" w:right="117" w:firstLine="707"/>
        <w:jc w:val="both"/>
      </w:pPr>
      <w:r>
        <w:rPr/>
        <w:t>De la búsqueda efectuada en la página del Tribunal Supremo de Elecciones (TSE, 2012), así como de la información solicitada al mismo, se desprende que durante  los  procesos  electorales  objeto  de  estudio  no  hubo  revocación      de</w:t>
      </w:r>
    </w:p>
    <w:p>
      <w:pPr>
        <w:spacing w:after="0" w:line="360" w:lineRule="auto"/>
        <w:jc w:val="both"/>
        <w:sectPr>
          <w:pgSz w:w="12240" w:h="15840"/>
          <w:pgMar w:header="749" w:footer="1003" w:top="960" w:bottom="1200" w:left="1600" w:right="1580"/>
        </w:sectPr>
      </w:pPr>
    </w:p>
    <w:p>
      <w:pPr>
        <w:pStyle w:val="BodyText"/>
        <w:rPr>
          <w:sz w:val="20"/>
        </w:rPr>
      </w:pPr>
    </w:p>
    <w:p>
      <w:pPr>
        <w:pStyle w:val="BodyText"/>
        <w:spacing w:line="360" w:lineRule="auto" w:before="214"/>
        <w:ind w:left="102" w:right="118"/>
        <w:jc w:val="both"/>
      </w:pPr>
      <w:r>
        <w:rPr/>
        <w:t>acuerdos realizados por los magistrados. Por su parte la Auditoría Ciudadana señala que “durante el período 1990-1998 el Tribunal Supremo de Elecciones no reportó ninguna denuncia por fraude en las elecciones presidenciales, legislativas y municipales. En tres procesos electorales examinados, sólo hubo una denuncia de conteo irregular de la votación que permitió la elección de un diputado. No se encontraron denuncias por amenazas contra la vida o el patrimonio de candidatas o candidatos a cargos públicos en la sala Constitucional, la Defensoría de los habitantes, los tribunales de justicia y la base de datos de dos medios escritos de comunicación colectiva” (Varios, 2001:</w:t>
      </w:r>
      <w:r>
        <w:rPr>
          <w:spacing w:val="-11"/>
        </w:rPr>
        <w:t> </w:t>
      </w:r>
      <w:r>
        <w:rPr/>
        <w:t>53).</w:t>
      </w:r>
    </w:p>
    <w:p>
      <w:pPr>
        <w:pStyle w:val="BodyText"/>
        <w:spacing w:line="360" w:lineRule="auto" w:before="5"/>
        <w:ind w:left="102" w:right="126" w:firstLine="707"/>
        <w:jc w:val="both"/>
      </w:pPr>
      <w:r>
        <w:rPr/>
        <w:t>De lo anterior se deduce que el TSE se ha desempeñado de forma  imparcial en el desarrollo de sus funciones desde hace</w:t>
      </w:r>
      <w:r>
        <w:rPr>
          <w:spacing w:val="-26"/>
        </w:rPr>
        <w:t> </w:t>
      </w:r>
      <w:r>
        <w:rPr/>
        <w:t>décadas.</w:t>
      </w:r>
    </w:p>
    <w:p>
      <w:pPr>
        <w:pStyle w:val="BodyText"/>
      </w:pPr>
    </w:p>
    <w:p>
      <w:pPr>
        <w:pStyle w:val="BodyText"/>
        <w:spacing w:before="10"/>
        <w:rPr>
          <w:sz w:val="29"/>
        </w:rPr>
      </w:pPr>
    </w:p>
    <w:p>
      <w:pPr>
        <w:pStyle w:val="ListParagraph"/>
        <w:numPr>
          <w:ilvl w:val="2"/>
          <w:numId w:val="26"/>
        </w:numPr>
        <w:tabs>
          <w:tab w:pos="1182" w:val="left" w:leader="none"/>
        </w:tabs>
        <w:spacing w:line="240" w:lineRule="auto" w:before="0" w:after="0"/>
        <w:ind w:left="1182" w:right="0" w:hanging="360"/>
        <w:jc w:val="left"/>
        <w:rPr>
          <w:sz w:val="24"/>
        </w:rPr>
      </w:pPr>
      <w:r>
        <w:rPr>
          <w:sz w:val="24"/>
        </w:rPr>
        <w:t>Imparcialidad cuantitativa con respecto a las organizaciones</w:t>
      </w:r>
      <w:r>
        <w:rPr>
          <w:spacing w:val="-25"/>
          <w:sz w:val="24"/>
        </w:rPr>
        <w:t> </w:t>
      </w:r>
      <w:r>
        <w:rPr>
          <w:sz w:val="24"/>
        </w:rPr>
        <w:t>políticas</w:t>
      </w:r>
    </w:p>
    <w:p>
      <w:pPr>
        <w:pStyle w:val="BodyText"/>
      </w:pPr>
    </w:p>
    <w:p>
      <w:pPr>
        <w:pStyle w:val="BodyText"/>
      </w:pPr>
    </w:p>
    <w:p>
      <w:pPr>
        <w:pStyle w:val="BodyText"/>
        <w:spacing w:line="360" w:lineRule="auto"/>
        <w:ind w:left="102" w:right="114"/>
        <w:jc w:val="both"/>
      </w:pPr>
      <w:r>
        <w:rPr/>
        <w:t>Derivado de la inexistencia de acuerdos revocados (por una actuación errónea o dolosa del TSE), se deduce que mostró imparcialidad con respecto a las organizaciones políticas toda vez que ningún partido, organización, agrupación, candidato o ciudadano resultó afectado o beneficiado deliberadamente por la actuación de los magistrados. Por lo tanto el TSE obtuvo una alta evaluación (3.0) en este indicador.</w:t>
      </w:r>
    </w:p>
    <w:p>
      <w:pPr>
        <w:pStyle w:val="BodyText"/>
        <w:spacing w:line="360" w:lineRule="auto" w:before="2"/>
        <w:ind w:left="102" w:right="116" w:firstLine="707"/>
        <w:jc w:val="both"/>
      </w:pPr>
      <w:r>
        <w:rPr/>
        <w:t>Por otra parte el régimen costarricense se muestra imparcial en cuanto a la formación de nuevos partidos políticos; esto se deduce de lo señalado por la Auditoría Ciudadana en cuanto a que “no se encontraron denuncias ante el Tribunal Supremo de Elecciones, ni en los medios de comunicación escrita, por obstáculos para la formación o inscripción de partidos nuevos. Sin embargo, el panel no logró una valoración de consenso en esta materia” (Varios, 2001: 57).</w:t>
      </w:r>
    </w:p>
    <w:p>
      <w:pPr>
        <w:pStyle w:val="BodyText"/>
        <w:spacing w:line="360" w:lineRule="auto" w:before="2"/>
        <w:ind w:left="102" w:right="117" w:firstLine="707"/>
        <w:jc w:val="both"/>
      </w:pPr>
      <w:r>
        <w:rPr/>
        <w:t>Recapitulando, el TSE obtuvo la evaluación más alta (2.66), seguido del IFE (2.5), quedando en el último lugar el IEEM (2.0); sin embargo, los dos primeros se ubicaron como altamente imparciales e independientes y el segundo, sólo alcanzo una evaluación media. En la elección de sus magistrados, el TSE fue superior (2.33) al IFE y el IEEM, pues ambos obtuvieron una mediana calificación (2.0). Por</w:t>
      </w:r>
    </w:p>
    <w:p>
      <w:pPr>
        <w:spacing w:after="0" w:line="360" w:lineRule="auto"/>
        <w:jc w:val="both"/>
        <w:sectPr>
          <w:pgSz w:w="12240" w:h="15840"/>
          <w:pgMar w:header="749" w:footer="1003" w:top="960" w:bottom="1200" w:left="1600" w:right="1580"/>
        </w:sectPr>
      </w:pPr>
    </w:p>
    <w:p>
      <w:pPr>
        <w:pStyle w:val="BodyText"/>
        <w:rPr>
          <w:sz w:val="20"/>
        </w:rPr>
      </w:pPr>
    </w:p>
    <w:p>
      <w:pPr>
        <w:pStyle w:val="BodyText"/>
        <w:spacing w:line="360" w:lineRule="auto" w:before="214"/>
        <w:ind w:left="102" w:right="126"/>
        <w:jc w:val="both"/>
      </w:pPr>
      <w:r>
        <w:rPr/>
        <w:t>lo que respecta a la actuación de los funcionarios electorales tanto el IFE como el TSE lograron una alta evaluación (3.0) a diferencia del IEEM que obtuvo una mediana calificación (2.0).</w:t>
      </w:r>
    </w:p>
    <w:p>
      <w:pPr>
        <w:pStyle w:val="BodyText"/>
        <w:spacing w:line="360" w:lineRule="auto" w:before="5"/>
        <w:ind w:left="102" w:right="115" w:firstLine="707"/>
        <w:jc w:val="both"/>
      </w:pPr>
      <w:r>
        <w:rPr/>
        <w:t>De acuerdo con lo anterior el TSE supera en calidad a los dos órganos mexicanos en cuanto a la elección de sus magistrados los cuales son designados de forma imparcial e independiente, sin la intervención directa de los partidos políticos y mediante el voto de la Corte Suprema de Justicia. En cuanto al desempeño o actuación de los funcionarios electorales el TSE y el IFE empataron con una alta evaluación, a diferencia del IEEM que se ubicó como medianamente imparcial e independiente por dos motivos: falta de transparencia en el proceso para elegir a sus funcionarios electorales, y haber cometido un grave error en el desempeño de sus funciones lo que tuvo como resultado la anulación por parte del Tribunal Electoral del Estado de México de la elección del Municipio de Ocoyoacac; atentando contra el resultado del proceso</w:t>
      </w:r>
      <w:r>
        <w:rPr>
          <w:spacing w:val="-14"/>
        </w:rPr>
        <w:t> </w:t>
      </w:r>
      <w:r>
        <w:rPr/>
        <w:t>electoral.</w:t>
      </w:r>
    </w:p>
    <w:p>
      <w:pPr>
        <w:spacing w:after="0" w:line="360" w:lineRule="auto"/>
        <w:jc w:val="both"/>
        <w:sectPr>
          <w:pgSz w:w="12240" w:h="15840"/>
          <w:pgMar w:header="749" w:footer="1003" w:top="960" w:bottom="1200" w:left="1600" w:right="1580"/>
        </w:sectPr>
      </w:pPr>
    </w:p>
    <w:p>
      <w:pPr>
        <w:pStyle w:val="BodyText"/>
        <w:rPr>
          <w:sz w:val="20"/>
        </w:rPr>
      </w:pPr>
    </w:p>
    <w:p>
      <w:pPr>
        <w:pStyle w:val="Heading1"/>
        <w:spacing w:line="362" w:lineRule="auto"/>
        <w:ind w:left="3671" w:right="594" w:hanging="3083"/>
      </w:pPr>
      <w:r>
        <w:rPr/>
        <w:t>III LEGALIDAD DE LOS PARTIDOS POLÍTICOS EN MATERIA FINANCIERA</w:t>
      </w:r>
    </w:p>
    <w:p>
      <w:pPr>
        <w:pStyle w:val="BodyText"/>
        <w:spacing w:before="1"/>
        <w:rPr>
          <w:sz w:val="36"/>
        </w:rPr>
      </w:pPr>
    </w:p>
    <w:p>
      <w:pPr>
        <w:pStyle w:val="BodyText"/>
        <w:spacing w:line="360" w:lineRule="auto"/>
        <w:ind w:left="102" w:right="116"/>
        <w:jc w:val="both"/>
      </w:pPr>
      <w:r>
        <w:rPr/>
        <w:t>En el presente capítulo se evaluó la legalidad de los partidos políticos en materia financiera tanto en México como en Costa Rica. Para su estudio se establecieron tres variables: la primera, hace referencia al costo que representan los partidos en relación con el presupuesto de la nación; la segunda, a las irregularidades en la aplicación del financiamiento público misma que se evaluó por medio del porcentaje que representan las sanciones en relación con el financiamiento de los partidos; la tercera, analizó el rebase de topes o montos máximos. Además se estudió el promedio de sanciones en materia de financiamiento aplicadas a los partidos en México, sin embargo, no fue posible hacer lo mismo con Costa Rica pues no se tienen sanciones en dicho sentido; por lo tanto este indicador no fue evaluado.</w:t>
      </w:r>
    </w:p>
    <w:p>
      <w:pPr>
        <w:pStyle w:val="BodyText"/>
        <w:spacing w:line="360" w:lineRule="auto" w:before="5"/>
        <w:ind w:left="102" w:right="121" w:firstLine="707"/>
        <w:jc w:val="both"/>
      </w:pPr>
      <w:r>
        <w:rPr/>
        <w:t>Los partidos estudiados se aglutinaron en cuatro grupos: dos mexicanos, uno relativo a los partidos políticos registrados en las elecciones federales por el IFE y otro, a los partidos políticos registrados en el Estado de México por el IEEM; así como dos costarricenses registrados por el TSE, uno inherente a los partidos políticos que participaron en las elecciones nacionales y otro, a los partidos políticos registrados en las elecciones cantonales en la Provincia de San José.</w:t>
      </w:r>
    </w:p>
    <w:p>
      <w:pPr>
        <w:pStyle w:val="BodyText"/>
        <w:spacing w:line="360" w:lineRule="auto" w:before="5"/>
        <w:ind w:left="102" w:right="115" w:firstLine="707"/>
        <w:jc w:val="both"/>
      </w:pPr>
      <w:r>
        <w:rPr/>
        <w:t>De los cuatro grupos de partidos políticos estudiados, el que en promedio obtuvo la mejor evaluación en esta dimensión es el de los partidos registrados en las elecciones cantonales en la Provincia de San José de Costa Rica (3.0), el segundo lugar lo obtuvieron los partidos costarricenses que participaron en las elecciones nacionales (2.66) en tercer lugar se ubicaron los partidos registrados ante el IEEM (2.33), quedando en último lugar los partidos registrados ante el IFE (2.0). De acuerdo con lo anterior, los partidos costarricenses se ubicaron en el rango de alta calidad en cuanto al apego a la legalidad en materia financiera y los partidos mexicanos se situaron en el grado de mediana calidad en este mismo sentido.</w:t>
      </w:r>
    </w:p>
    <w:p>
      <w:pPr>
        <w:spacing w:after="0" w:line="360" w:lineRule="auto"/>
        <w:jc w:val="both"/>
        <w:sectPr>
          <w:pgSz w:w="12240" w:h="15840"/>
          <w:pgMar w:header="749" w:footer="1003" w:top="960" w:bottom="1200" w:left="1600" w:right="1580"/>
        </w:sectPr>
      </w:pPr>
    </w:p>
    <w:p>
      <w:pPr>
        <w:pStyle w:val="BodyText"/>
        <w:rPr>
          <w:sz w:val="20"/>
        </w:rPr>
      </w:pPr>
    </w:p>
    <w:p>
      <w:pPr>
        <w:pStyle w:val="BodyText"/>
        <w:spacing w:line="360" w:lineRule="auto" w:before="214"/>
        <w:ind w:left="102" w:right="115" w:firstLine="707"/>
        <w:jc w:val="both"/>
      </w:pPr>
      <w:r>
        <w:rPr/>
        <w:t>Estas distintas calificaciones se deben a las evaluaciones de las tres variables que componen esta dimensión. En cuanto a la variable costo de los partidos en relación con el presupuesto de la federación o nación, los partidos registrados por el TSE para las elecciones cantonales consiguieron una alta evaluación (3.0), seguidos de los partidos registrados por el mismo órgano pero para las elecciones nacionales así como de los acreditados ante el IFE ambos obtuvieron una mediana evaluación(2.0), dejando en último lugar a los partidos registrados ante el IEEM que obtuvieron una baja evaluación (1.0) al ser los más costosos en relación con el presupuesto de la entidad mexiquense.</w:t>
      </w:r>
    </w:p>
    <w:p>
      <w:pPr>
        <w:pStyle w:val="BodyText"/>
        <w:spacing w:line="360" w:lineRule="auto" w:before="5"/>
        <w:ind w:left="102" w:right="117" w:firstLine="707"/>
        <w:jc w:val="both"/>
      </w:pPr>
      <w:r>
        <w:rPr/>
        <w:t>En cuanto a las irregularidades en la aplicación del financiamiento público medidas a través del porcentaje que representan las sanciones en relación con el financiamiento de los partidos, resultó que los partidos políticos registrados por el IFE obtuvieron la calificación más baja (1.0), al representar sus sanciones el  9.75% de las ministraciones mensuales, ubicándose como poco apegados a la legalidad. Por su parte, los tres grupos restantes obtuvieron una alta calificación (3.0), ya que las sanciones de los partidos políticos registrados por el IEEM representaron el 0.17% de sus ministraciones mensuales y en cuanto a los partidos costarricenses las reducciones a los reembolsos fueron del 3% mensual en los partidos registrados en las elecciones nacionales y 1.98% en los partidos registrados en las elecciones cantonales, ubicándose los tres grupos como altamente apegados la</w:t>
      </w:r>
      <w:r>
        <w:rPr>
          <w:spacing w:val="-10"/>
        </w:rPr>
        <w:t> </w:t>
      </w:r>
      <w:r>
        <w:rPr/>
        <w:t>legalidad.</w:t>
      </w:r>
    </w:p>
    <w:p>
      <w:pPr>
        <w:pStyle w:val="BodyText"/>
        <w:spacing w:line="360" w:lineRule="auto" w:before="5"/>
        <w:ind w:left="102" w:right="115" w:firstLine="707"/>
        <w:jc w:val="both"/>
      </w:pPr>
      <w:r>
        <w:rPr/>
        <w:t>Con respecto al rebase de topes de gastos de campaña, es necesario señalar que en Costa Rica no existe dicha figura, sin embargo, el Tribunal Supremo de Elecciones (TSE) establece los montos máximos de financiamiento público a que tienen derecho los partidos políticos de ahí que para efectos del presente estudio los equiparé a los topes de gastos aplicables en México. En esta variable los cuatro grupos de partidos obtuvieron una alta calificación (3.0) al no rebasar los topes o montos establecidos en el ámbito objeto de estudio. Cabe señalar que hubo distritos en otros estados de la República Mexicana en los cuales dos partidos rebasaron los topes de gastos de campaña relativos a la elección  de  diputados  federales;  de  igual  forma  dos  partidos   </w:t>
      </w:r>
      <w:r>
        <w:rPr>
          <w:spacing w:val="65"/>
        </w:rPr>
        <w:t> </w:t>
      </w:r>
      <w:r>
        <w:rPr/>
        <w:t>costarricenses</w:t>
      </w:r>
    </w:p>
    <w:p>
      <w:pPr>
        <w:spacing w:after="0" w:line="360" w:lineRule="auto"/>
        <w:jc w:val="both"/>
        <w:sectPr>
          <w:pgSz w:w="12240" w:h="15840"/>
          <w:pgMar w:header="749" w:footer="1003" w:top="960" w:bottom="1200" w:left="1600" w:right="1580"/>
        </w:sectPr>
      </w:pPr>
    </w:p>
    <w:p>
      <w:pPr>
        <w:pStyle w:val="BodyText"/>
        <w:rPr>
          <w:sz w:val="20"/>
        </w:rPr>
      </w:pPr>
    </w:p>
    <w:p>
      <w:pPr>
        <w:pStyle w:val="BodyText"/>
        <w:spacing w:line="362" w:lineRule="auto" w:before="214"/>
        <w:ind w:left="122" w:right="105"/>
      </w:pPr>
      <w:r>
        <w:rPr/>
        <w:t>rebasaron los montos máximos en la elección de alcaldes en provincias distintas a la de San José.</w:t>
      </w:r>
    </w:p>
    <w:p>
      <w:pPr>
        <w:pStyle w:val="BodyText"/>
        <w:spacing w:line="360" w:lineRule="auto"/>
        <w:ind w:left="122" w:right="116" w:firstLine="707"/>
        <w:jc w:val="both"/>
      </w:pPr>
      <w:r>
        <w:rPr/>
        <w:t>Por lo que respecta al promedio de sanciones aplicadas a los partidos, éste sólo se estudió para confrontar los datos obtenidos por el Estado de México en relación con el promedio nacional (sin dar una evaluación al respecto). Así resultó que en toda la República Mexicana los partidos registrados por el IFE se hicieron acreedores a 110 sanciones, las cuales al dividirse entre 32 estados da un promedio de 3.43 sanciones por Estado, pero tomando en cuenta que el Estado  de México en 2010 tenía más de cuatro veces el promedio nacional de ciudadanos por entidad, su número de sanciones podría ser de hasta 13.72 sanciones. De acuerdo con lo anterior los partidos políticos registrados por el IEEM al sólo hacerse acreedores a 7 sanciones se encuentran por debajo del promedio nacional. Dicho indicador no fue posible estudiarse en los partidos costarricenses debido a que no se señalan sanciones a los partidos por irregularidades en la aplicación del financiamiento público pues los gastos se pagan mediante reembolso.</w:t>
      </w:r>
    </w:p>
    <w:p>
      <w:pPr>
        <w:pStyle w:val="BodyText"/>
        <w:spacing w:line="352" w:lineRule="auto" w:before="2"/>
        <w:ind w:left="122" w:right="115" w:firstLine="707"/>
        <w:jc w:val="both"/>
      </w:pPr>
      <w:r>
        <w:rPr/>
        <w:t>En las elecciones de ayuntamientos de 2006 en el Estado de México ningún partido rebasó los topes de gastos de campaña en los 125 municipios</w:t>
      </w:r>
      <w:r>
        <w:rPr>
          <w:position w:val="11"/>
          <w:sz w:val="16"/>
        </w:rPr>
        <w:t>25</w:t>
      </w:r>
      <w:r>
        <w:rPr/>
        <w:t>; de igual forma los partidos políticos que participaron en la elección de diputados federales en el Estado de México en sus 40 distritos, así como los que participaron en la elección presidencial en toda la República Mexicana, tampoco rebasaron los topes</w:t>
      </w:r>
    </w:p>
    <w:p>
      <w:pPr>
        <w:pStyle w:val="BodyText"/>
        <w:spacing w:line="360" w:lineRule="auto" w:before="13"/>
        <w:ind w:left="122" w:right="105"/>
      </w:pPr>
      <w:r>
        <w:rPr/>
        <w:t>establecidos, por lo tanto ambos grupos de partidos obtuvieron una alta evaluación (3.0) en cuanto a su apego a la legalidad.</w:t>
      </w:r>
    </w:p>
    <w:p>
      <w:pPr>
        <w:pStyle w:val="BodyText"/>
        <w:spacing w:line="360" w:lineRule="auto" w:before="5"/>
        <w:ind w:left="122" w:right="116" w:firstLine="707"/>
        <w:jc w:val="both"/>
      </w:pPr>
      <w:r>
        <w:rPr/>
        <w:t>Por lo que respecta a Costa Rica, ninguno de los partidos que participaron en las elecciones por la presidencia de la República y las 57 diputaciones nacionales rebasaron los montos máximos establecidos por el TSE, así mismo los partidos que contendieron en las elecciones para elegir a los 20 alcaldes de la Provincia de San José también respetaron los montos establecidos. Por lo cual</w:t>
      </w:r>
    </w:p>
    <w:p>
      <w:pPr>
        <w:pStyle w:val="BodyText"/>
        <w:rPr>
          <w:sz w:val="20"/>
        </w:rPr>
      </w:pPr>
    </w:p>
    <w:p>
      <w:pPr>
        <w:pStyle w:val="BodyText"/>
        <w:spacing w:before="9"/>
        <w:rPr>
          <w:sz w:val="29"/>
        </w:rPr>
      </w:pPr>
      <w:r>
        <w:rPr/>
        <w:pict>
          <v:line style="position:absolute;mso-position-horizontal-relative:page;mso-position-vertical-relative:paragraph;z-index:1816;mso-wrap-distance-left:0;mso-wrap-distance-right:0" from="85.103996pt,19.454893pt" to="229.123996pt,19.454893pt" stroked="true" strokeweight=".71997pt" strokecolor="#000000">
            <w10:wrap type="topAndBottom"/>
          </v:line>
        </w:pict>
      </w:r>
    </w:p>
    <w:p>
      <w:pPr>
        <w:spacing w:before="36"/>
        <w:ind w:left="122" w:right="125" w:firstLine="0"/>
        <w:jc w:val="both"/>
        <w:rPr>
          <w:sz w:val="20"/>
        </w:rPr>
      </w:pPr>
      <w:r>
        <w:rPr>
          <w:position w:val="10"/>
          <w:sz w:val="13"/>
        </w:rPr>
        <w:t>25 </w:t>
      </w:r>
      <w:r>
        <w:rPr>
          <w:sz w:val="20"/>
        </w:rPr>
        <w:t>Así mismo ningún partido rebasó los topes de campaña en las elecciones de diputados locales  en los 45 distritos que conforman el Estado de México, sin embargo, dicha elección no es objeto  del presente estudio pues en Costa Rica no existe la figura de diputado</w:t>
      </w:r>
      <w:r>
        <w:rPr>
          <w:spacing w:val="-17"/>
          <w:sz w:val="20"/>
        </w:rPr>
        <w:t> </w:t>
      </w:r>
      <w:r>
        <w:rPr>
          <w:sz w:val="20"/>
        </w:rPr>
        <w:t>provincial.</w:t>
      </w:r>
    </w:p>
    <w:p>
      <w:pPr>
        <w:spacing w:after="0"/>
        <w:jc w:val="both"/>
        <w:rPr>
          <w:sz w:val="20"/>
        </w:rPr>
        <w:sectPr>
          <w:pgSz w:w="12240" w:h="15840"/>
          <w:pgMar w:header="749" w:footer="1003" w:top="960" w:bottom="1200" w:left="1580" w:right="1580"/>
        </w:sectPr>
      </w:pPr>
    </w:p>
    <w:p>
      <w:pPr>
        <w:pStyle w:val="BodyText"/>
        <w:rPr>
          <w:sz w:val="20"/>
        </w:rPr>
      </w:pPr>
    </w:p>
    <w:p>
      <w:pPr>
        <w:pStyle w:val="BodyText"/>
        <w:spacing w:line="362" w:lineRule="auto" w:before="214"/>
        <w:ind w:left="102" w:right="125"/>
        <w:jc w:val="both"/>
      </w:pPr>
      <w:r>
        <w:rPr/>
        <w:t>ambos grupos de partidos costarricenses obtuvieron una alta evaluación (3.0) en cuanto a su apego a la legalidad en materia de financiamiento público.</w:t>
      </w:r>
    </w:p>
    <w:p>
      <w:pPr>
        <w:pStyle w:val="BodyText"/>
      </w:pPr>
    </w:p>
    <w:p>
      <w:pPr>
        <w:pStyle w:val="Heading2"/>
        <w:numPr>
          <w:ilvl w:val="0"/>
          <w:numId w:val="27"/>
        </w:numPr>
        <w:tabs>
          <w:tab w:pos="1170" w:val="left" w:leader="none"/>
        </w:tabs>
        <w:spacing w:line="240" w:lineRule="auto" w:before="139" w:after="0"/>
        <w:ind w:left="1170" w:right="0" w:hanging="360"/>
        <w:jc w:val="left"/>
      </w:pPr>
      <w:r>
        <w:rPr/>
        <w:t>México</w:t>
      </w:r>
    </w:p>
    <w:p>
      <w:pPr>
        <w:pStyle w:val="BodyText"/>
        <w:rPr>
          <w:b/>
        </w:rPr>
      </w:pPr>
    </w:p>
    <w:p>
      <w:pPr>
        <w:pStyle w:val="BodyText"/>
        <w:rPr>
          <w:b/>
        </w:rPr>
      </w:pPr>
    </w:p>
    <w:p>
      <w:pPr>
        <w:pStyle w:val="BodyText"/>
        <w:spacing w:line="360" w:lineRule="auto"/>
        <w:ind w:left="102" w:right="116"/>
        <w:jc w:val="both"/>
      </w:pPr>
      <w:r>
        <w:rPr/>
        <w:t>Las elecciones de 2006 celebradas en la República Mexicana estuvieron  normadas en materia de fiscalización por el Reglamento que establece los lineamentos para la fiscalización de los recursos de los partidos políticos nacionales, mismo que fue aprobado mediante acuerdo CG228/2005 (CGIFE, 2005b). El financiamiento que se les otorgó a los partidos políticos registrados  para las elecciones federales de 2006 se fundamentó en el artículo 41 de la Constitución Política de los Estados Unidos Mexicanos (base II párrafo</w:t>
      </w:r>
      <w:r>
        <w:rPr>
          <w:spacing w:val="-26"/>
        </w:rPr>
        <w:t> </w:t>
      </w:r>
      <w:r>
        <w:rPr/>
        <w:t>segundo):</w:t>
      </w:r>
    </w:p>
    <w:p>
      <w:pPr>
        <w:pStyle w:val="BodyText"/>
      </w:pPr>
    </w:p>
    <w:p>
      <w:pPr>
        <w:spacing w:line="360" w:lineRule="auto" w:before="141"/>
        <w:ind w:left="954" w:right="117" w:firstLine="0"/>
        <w:jc w:val="both"/>
        <w:rPr>
          <w:sz w:val="22"/>
        </w:rPr>
      </w:pPr>
      <w:r>
        <w:rPr>
          <w:sz w:val="22"/>
        </w:rPr>
        <w:t>El financiamiento público para los partidos políticos que mantengan su registro después de cada elección, se compondrá de las ministraciones destinadas al sostenimiento de sus actividades ordinarias permanentes y las tendientes a la obtención del voto durante los procesos electorales y se otorgará conforme a lo siguiente y a lo que disponga la ley:</w:t>
      </w:r>
    </w:p>
    <w:p>
      <w:pPr>
        <w:pStyle w:val="ListParagraph"/>
        <w:numPr>
          <w:ilvl w:val="1"/>
          <w:numId w:val="27"/>
        </w:numPr>
        <w:tabs>
          <w:tab w:pos="1238" w:val="left" w:leader="none"/>
        </w:tabs>
        <w:spacing w:line="360" w:lineRule="auto" w:before="3" w:after="0"/>
        <w:ind w:left="954" w:right="120" w:firstLine="0"/>
        <w:jc w:val="both"/>
        <w:rPr>
          <w:sz w:val="22"/>
        </w:rPr>
      </w:pPr>
      <w:r>
        <w:rPr>
          <w:sz w:val="22"/>
        </w:rPr>
        <w:t>El financiamiento público para el sostenimiento de sus actividades ordinarias permanentes se fijará anualmente, aplicando los costos mínimos de campaña calculados por el Órgano Superior de Dirección del Instituto Federal Electoral, el número de senadores y diputados a elegir, el número de partidos políticos con representación en las Cámaras del Congreso de la Unión y la duración de las campañas electorales. El 30% de la cantidad total que resulte de acuerdo con lo señalado anteriormente, se distribuirá entre los partidos políticos en forma igualitaria y el 70% restante se distribuirá entre los mismos de acuerdo con el porcentaje de votos que hubieren obtenido en la elección de diputados inmediata anterior;</w:t>
      </w:r>
    </w:p>
    <w:p>
      <w:pPr>
        <w:pStyle w:val="ListParagraph"/>
        <w:numPr>
          <w:ilvl w:val="1"/>
          <w:numId w:val="27"/>
        </w:numPr>
        <w:tabs>
          <w:tab w:pos="1252" w:val="left" w:leader="none"/>
        </w:tabs>
        <w:spacing w:line="360" w:lineRule="auto" w:before="3" w:after="0"/>
        <w:ind w:left="954" w:right="118" w:firstLine="0"/>
        <w:jc w:val="both"/>
        <w:rPr>
          <w:sz w:val="22"/>
        </w:rPr>
      </w:pPr>
      <w:r>
        <w:rPr>
          <w:sz w:val="22"/>
        </w:rPr>
        <w:t>El financiamiento público para las actividades tendientes a la obtención del voto durante los procesos electorales, equivaldrá a una cantidad igual al monto del financiamiento público que le corresponda a cada partido político por actividades ordinarias en ese año;</w:t>
      </w:r>
      <w:r>
        <w:rPr>
          <w:spacing w:val="-3"/>
          <w:sz w:val="22"/>
        </w:rPr>
        <w:t> </w:t>
      </w:r>
      <w:r>
        <w:rPr>
          <w:sz w:val="22"/>
        </w:rPr>
        <w:t>y</w:t>
      </w:r>
    </w:p>
    <w:p>
      <w:pPr>
        <w:spacing w:after="0" w:line="360" w:lineRule="auto"/>
        <w:jc w:val="both"/>
        <w:rPr>
          <w:sz w:val="22"/>
        </w:rPr>
        <w:sectPr>
          <w:pgSz w:w="12240" w:h="15840"/>
          <w:pgMar w:header="749" w:footer="1003" w:top="960" w:bottom="1200" w:left="1600" w:right="1580"/>
        </w:sectPr>
      </w:pPr>
    </w:p>
    <w:p>
      <w:pPr>
        <w:pStyle w:val="BodyText"/>
        <w:rPr>
          <w:sz w:val="20"/>
        </w:rPr>
      </w:pPr>
    </w:p>
    <w:p>
      <w:pPr>
        <w:pStyle w:val="BodyText"/>
        <w:spacing w:before="7"/>
        <w:rPr>
          <w:sz w:val="18"/>
        </w:rPr>
      </w:pPr>
    </w:p>
    <w:p>
      <w:pPr>
        <w:pStyle w:val="ListParagraph"/>
        <w:numPr>
          <w:ilvl w:val="1"/>
          <w:numId w:val="27"/>
        </w:numPr>
        <w:tabs>
          <w:tab w:pos="1223" w:val="left" w:leader="none"/>
        </w:tabs>
        <w:spacing w:line="360" w:lineRule="auto" w:before="0" w:after="0"/>
        <w:ind w:left="954" w:right="116" w:firstLine="0"/>
        <w:jc w:val="both"/>
        <w:rPr>
          <w:sz w:val="22"/>
        </w:rPr>
      </w:pPr>
      <w:r>
        <w:rPr>
          <w:sz w:val="22"/>
        </w:rPr>
        <w:t>Se reintegrará un porcentaje de los gastos anuales que eroguen los partidos políticos por concepto de las actividades relativas a la educación, capacitación, investigación socioeconómica y política, así como a las tareas editoriales (PE, 1996a).</w:t>
      </w:r>
    </w:p>
    <w:p>
      <w:pPr>
        <w:pStyle w:val="BodyText"/>
        <w:rPr>
          <w:sz w:val="22"/>
        </w:rPr>
      </w:pPr>
    </w:p>
    <w:p>
      <w:pPr>
        <w:pStyle w:val="BodyText"/>
        <w:spacing w:line="360" w:lineRule="auto" w:before="163"/>
        <w:ind w:left="102" w:right="113" w:firstLine="707"/>
        <w:jc w:val="both"/>
      </w:pPr>
      <w:r>
        <w:rPr/>
        <w:t>En congruencia con la Constitución el artículo 49 párrafos séptimo, octavo y noveno del COFIPE dividió al financiamiento, de acuerdo con las actividades a realizar por parte de los partidos políticos, en tres rubros: financiamiento para actividades ordinarias permanentes, de campaña y específicas. El financiamiento para actividades ordinarias se determinó como cada año por el CGIFE con base  en los estudios que presentó el Consejero Presidente con respecto a los costos mínimos de una campaña para diputado, de una para senador y de una para Presidente de los Estados Unidos Mexicanos, tomando como base los costos aprobados para el año inmediato anterior, actualizándolos mediante la aplicación del índice nacional de precios al consumidor, que estableció el Banco de</w:t>
      </w:r>
      <w:r>
        <w:rPr>
          <w:spacing w:val="-22"/>
        </w:rPr>
        <w:t> </w:t>
      </w:r>
      <w:r>
        <w:rPr/>
        <w:t>México.</w:t>
      </w:r>
    </w:p>
    <w:p>
      <w:pPr>
        <w:pStyle w:val="BodyText"/>
        <w:spacing w:line="360" w:lineRule="auto" w:before="2"/>
        <w:ind w:left="102" w:right="117" w:firstLine="707"/>
        <w:jc w:val="both"/>
      </w:pPr>
      <w:r>
        <w:rPr/>
        <w:t>Para fijar el financiamiento público el Consejo General una vez concluido el proceso electoral ordinario, revisó los elementos o factores conforme a los cuales se fijaron los costos mínimos de campaña; en el caso de la elección de diputados el costo mínimo de una campaña se multiplicó por el total de diputados a elegir y por el número de partidos políticos con representación en las Cámaras del Congreso de la Unión. En cuanto al costo mínimo de gastos de campaña para la elección de Presidente de los Estados Unidos Mexicanos, éste se calculó tomando como base el costo mínimo de gastos de campaña para diputado el cual se multiplicó por el total de diputados a elegir por el principio de mayoría relativa, dividido entre los días que duraría la campaña para diputado por este principio, multiplicándolo por los días que duraría la campaña de Presidente.</w:t>
      </w:r>
    </w:p>
    <w:p>
      <w:pPr>
        <w:pStyle w:val="BodyText"/>
        <w:spacing w:line="360" w:lineRule="auto" w:before="5"/>
        <w:ind w:left="102" w:right="117" w:firstLine="707"/>
        <w:jc w:val="both"/>
      </w:pPr>
      <w:r>
        <w:rPr/>
        <w:t>La suma del resultado de las operaciones anteriores constituyo el financiamiento público anual de los partidos políticos para sus actividades ordinarias permanentes, el cual se distribuyó 30% de forma igualitaria entre los partidos políticos con representación en las Cámaras del Congreso de la Unión y 70% según el porcentaje de la votación nacional emitida que hubiese obtenido</w:t>
      </w:r>
    </w:p>
    <w:p>
      <w:pPr>
        <w:spacing w:after="0" w:line="360" w:lineRule="auto"/>
        <w:jc w:val="both"/>
        <w:sectPr>
          <w:footerReference w:type="default" r:id="rId47"/>
          <w:pgSz w:w="12240" w:h="15840"/>
          <w:pgMar w:footer="1003" w:header="749" w:top="960" w:bottom="1200" w:left="1600" w:right="1580"/>
          <w:pgNumType w:start="140"/>
        </w:sectPr>
      </w:pPr>
    </w:p>
    <w:p>
      <w:pPr>
        <w:pStyle w:val="BodyText"/>
        <w:rPr>
          <w:sz w:val="20"/>
        </w:rPr>
      </w:pPr>
    </w:p>
    <w:p>
      <w:pPr>
        <w:pStyle w:val="BodyText"/>
        <w:spacing w:line="362" w:lineRule="auto" w:before="214"/>
        <w:ind w:left="102" w:right="120"/>
      </w:pPr>
      <w:r>
        <w:rPr/>
        <w:t>cada partido político con representación en las Cámaras del Congreso de  la Unión, en la elección de diputados inmediata anterior.</w:t>
      </w:r>
    </w:p>
    <w:p>
      <w:pPr>
        <w:pStyle w:val="BodyText"/>
        <w:spacing w:line="360" w:lineRule="auto"/>
        <w:ind w:left="102" w:right="116" w:firstLine="707"/>
        <w:jc w:val="both"/>
      </w:pPr>
      <w:r>
        <w:rPr/>
        <w:t>Las cantidades que en su caso se determinaron para cada partido, fueron entregadas en ministraciones mensuales conforme al calendario presupuestal que se aprobó para ese año. Cada partido político debería destinar anualmente por lo menos el 2% del financiamiento público que recibió, para el desarrollo de sus fundaciones o institutos de investigación.</w:t>
      </w:r>
    </w:p>
    <w:p>
      <w:pPr>
        <w:pStyle w:val="BodyText"/>
        <w:spacing w:line="360" w:lineRule="auto" w:before="5"/>
        <w:ind w:left="102" w:right="116" w:firstLine="707"/>
        <w:jc w:val="both"/>
      </w:pPr>
      <w:r>
        <w:rPr/>
        <w:t>En cuanto al financiamiento para gastos de campaña a cada partido político se le otorgó un monto equivalente al financiamiento público que para el sostenimiento de sus actividades ordinarias permanentes le corresponda en ese año; dicho monto se otorgó a los partidos políticos en forma adicional al resto de las prerrogativas.</w:t>
      </w:r>
    </w:p>
    <w:p>
      <w:pPr>
        <w:pStyle w:val="BodyText"/>
        <w:spacing w:line="360" w:lineRule="auto" w:before="2"/>
        <w:ind w:left="102" w:right="116" w:firstLine="707"/>
        <w:jc w:val="both"/>
      </w:pPr>
      <w:r>
        <w:rPr/>
        <w:t>Para las actividades específicas de los partidos políticos destinados a la educación y capacitación política, investigación socioeconómica y política, así como las tareas editoriales se dio un apoyo el cual se determinó por medio del reglamento que fue expedido por el CGIFE. Cabe señalar que el Consejo General no puede acordar apoyos en cantidad mayor al 75% anual de los gastos comprobados que por actividades específicas hayan erogado los partidos políticos en el año inmediato anterior.</w:t>
      </w:r>
    </w:p>
    <w:p>
      <w:pPr>
        <w:pStyle w:val="BodyText"/>
        <w:spacing w:line="360" w:lineRule="auto" w:before="5"/>
        <w:ind w:left="102" w:right="116" w:firstLine="707"/>
        <w:jc w:val="both"/>
      </w:pPr>
      <w:r>
        <w:rPr/>
        <w:t>Los partidos políticos que obtuvieron su registro con fecha posterior a la última elección, tuvieron derecho al 2% del monto que por financiamiento total les correspondía a los partidos políticos para el sostenimiento de sus actividades ordinarias permanentes (proporcionales a la anualidad, a partir de la fecha en que surtió efectos el registro), así como en el año de la elección a una cantidad adicional igual a la anterior para sufragar sus gastos de campaña; y se les otorgó también un financiamiento para sus actividades específicas (CDHCU L LIX, 2005: 43-46).</w:t>
      </w:r>
    </w:p>
    <w:p>
      <w:pPr>
        <w:pStyle w:val="BodyText"/>
        <w:spacing w:line="360" w:lineRule="auto" w:before="5"/>
        <w:ind w:left="102" w:right="116" w:firstLine="707"/>
        <w:jc w:val="both"/>
      </w:pPr>
      <w:r>
        <w:rPr/>
        <w:t>Para las elecciones de 2006 el IFE otorgó financiamiento a ocho partidos políticos, de éstos, seis ya estaban registrados con anterioridad a la última elección: PAN, PRI, PRD,  PVEM, PT  y Convergencia;  y dos  eran  de     reciente</w:t>
      </w:r>
    </w:p>
    <w:p>
      <w:pPr>
        <w:spacing w:after="0" w:line="360" w:lineRule="auto"/>
        <w:jc w:val="both"/>
        <w:sectPr>
          <w:pgSz w:w="12240" w:h="15840"/>
          <w:pgMar w:header="749" w:footer="1003" w:top="960" w:bottom="1200" w:left="1600" w:right="1580"/>
        </w:sectPr>
      </w:pPr>
    </w:p>
    <w:p>
      <w:pPr>
        <w:pStyle w:val="BodyText"/>
        <w:spacing w:before="6"/>
        <w:rPr>
          <w:sz w:val="28"/>
        </w:rPr>
      </w:pPr>
    </w:p>
    <w:p>
      <w:pPr>
        <w:pStyle w:val="BodyText"/>
        <w:spacing w:line="360" w:lineRule="auto" w:before="81"/>
        <w:ind w:left="122" w:right="117"/>
        <w:jc w:val="both"/>
      </w:pPr>
      <w:r>
        <w:rPr/>
        <w:t>creación: PNA y PASC</w:t>
      </w:r>
      <w:r>
        <w:rPr>
          <w:position w:val="11"/>
          <w:sz w:val="16"/>
        </w:rPr>
        <w:t>26</w:t>
      </w:r>
      <w:r>
        <w:rPr/>
        <w:t>, a éstos últimos se les otorgó a cada uno el 2% del monto total que por financiamiento les corresponde a los partidos políticos para actividades ordinarias y otro tanto para actividades de campaña.</w:t>
      </w:r>
    </w:p>
    <w:p>
      <w:pPr>
        <w:pStyle w:val="BodyText"/>
      </w:pPr>
    </w:p>
    <w:p>
      <w:pPr>
        <w:pStyle w:val="ListParagraph"/>
        <w:numPr>
          <w:ilvl w:val="0"/>
          <w:numId w:val="28"/>
        </w:numPr>
        <w:tabs>
          <w:tab w:pos="1190" w:val="left" w:leader="none"/>
        </w:tabs>
        <w:spacing w:line="240" w:lineRule="auto" w:before="139" w:after="0"/>
        <w:ind w:left="1190" w:right="0" w:hanging="360"/>
        <w:jc w:val="left"/>
        <w:rPr>
          <w:i/>
          <w:sz w:val="24"/>
        </w:rPr>
      </w:pPr>
      <w:r>
        <w:rPr>
          <w:i/>
          <w:sz w:val="24"/>
        </w:rPr>
        <w:t>Costo de los partidos para el erario</w:t>
      </w:r>
      <w:r>
        <w:rPr>
          <w:i/>
          <w:spacing w:val="-15"/>
          <w:sz w:val="24"/>
        </w:rPr>
        <w:t> </w:t>
      </w:r>
      <w:r>
        <w:rPr>
          <w:i/>
          <w:sz w:val="24"/>
        </w:rPr>
        <w:t>público</w:t>
      </w:r>
    </w:p>
    <w:p>
      <w:pPr>
        <w:pStyle w:val="BodyText"/>
        <w:rPr>
          <w:i/>
        </w:rPr>
      </w:pPr>
    </w:p>
    <w:p>
      <w:pPr>
        <w:pStyle w:val="BodyText"/>
        <w:spacing w:before="2"/>
        <w:rPr>
          <w:i/>
        </w:rPr>
      </w:pPr>
    </w:p>
    <w:p>
      <w:pPr>
        <w:pStyle w:val="BodyText"/>
        <w:spacing w:line="355" w:lineRule="auto"/>
        <w:ind w:left="122" w:right="115"/>
      </w:pPr>
      <w:r>
        <w:rPr/>
        <w:t>De conformidad con las normas vigentes antes señaladas, el financiamiento público federal distribuido entre los partidos políticos en la República Mexicana para el año 2006 ascendió a $4, 138, 257, 364.99 pesos ($364,580,473.85  USD</w:t>
      </w:r>
      <w:r>
        <w:rPr>
          <w:position w:val="11"/>
          <w:sz w:val="16"/>
        </w:rPr>
        <w:t>27</w:t>
      </w:r>
      <w:r>
        <w:rPr/>
        <w:t>), el cual se distribuyó en tres rubros de la forma siguiente (CGIFE, 2006a): a)- Financiamiento para gastos de campaña: PAN $555, 866, 537.74 pesos ($48,971,841.97 USD), PRI $613, 405, 424.52 pesos ($54,041,017.90 USD),</w:t>
      </w:r>
      <w:r>
        <w:rPr>
          <w:spacing w:val="51"/>
        </w:rPr>
        <w:t> </w:t>
      </w:r>
      <w:r>
        <w:rPr/>
        <w:t>PRD</w:t>
      </w:r>
    </w:p>
    <w:p>
      <w:pPr>
        <w:pStyle w:val="BodyText"/>
        <w:spacing w:line="360" w:lineRule="auto" w:before="8"/>
        <w:ind w:left="122" w:right="126"/>
        <w:jc w:val="both"/>
      </w:pPr>
      <w:r>
        <w:rPr/>
        <w:t>$360, 710, 804.15 pesos ($31,778,621.84 USD), PT $135, 071, 426.34 pesos  ($11,</w:t>
      </w:r>
      <w:r>
        <w:rPr>
          <w:spacing w:val="31"/>
        </w:rPr>
        <w:t> </w:t>
      </w:r>
      <w:r>
        <w:rPr/>
        <w:t>899,792.66</w:t>
      </w:r>
      <w:r>
        <w:rPr>
          <w:spacing w:val="31"/>
        </w:rPr>
        <w:t> </w:t>
      </w:r>
      <w:r>
        <w:rPr/>
        <w:t>USD),</w:t>
      </w:r>
      <w:r>
        <w:rPr>
          <w:spacing w:val="31"/>
        </w:rPr>
        <w:t> </w:t>
      </w:r>
      <w:r>
        <w:rPr/>
        <w:t>PVEM</w:t>
      </w:r>
      <w:r>
        <w:rPr>
          <w:spacing w:val="30"/>
        </w:rPr>
        <w:t> </w:t>
      </w:r>
      <w:r>
        <w:rPr/>
        <w:t>$190,</w:t>
      </w:r>
      <w:r>
        <w:rPr>
          <w:spacing w:val="28"/>
        </w:rPr>
        <w:t> </w:t>
      </w:r>
      <w:r>
        <w:rPr/>
        <w:t>667,</w:t>
      </w:r>
      <w:r>
        <w:rPr>
          <w:spacing w:val="28"/>
        </w:rPr>
        <w:t> </w:t>
      </w:r>
      <w:r>
        <w:rPr/>
        <w:t>799.64</w:t>
      </w:r>
      <w:r>
        <w:rPr>
          <w:spacing w:val="31"/>
        </w:rPr>
        <w:t> </w:t>
      </w:r>
      <w:r>
        <w:rPr/>
        <w:t>pesos</w:t>
      </w:r>
      <w:r>
        <w:rPr>
          <w:spacing w:val="31"/>
        </w:rPr>
        <w:t> </w:t>
      </w:r>
      <w:r>
        <w:rPr/>
        <w:t>($16,797,833.14</w:t>
      </w:r>
      <w:r>
        <w:rPr>
          <w:spacing w:val="31"/>
        </w:rPr>
        <w:t> </w:t>
      </w:r>
      <w:r>
        <w:rPr/>
        <w:t>USD),</w:t>
      </w:r>
    </w:p>
    <w:p>
      <w:pPr>
        <w:pStyle w:val="BodyText"/>
        <w:spacing w:line="360" w:lineRule="auto" w:before="2"/>
        <w:ind w:left="122" w:right="117"/>
        <w:jc w:val="both"/>
      </w:pPr>
      <w:r>
        <w:rPr/>
        <w:t>Convergencia $133, 100, 713.12 pesos ($11,726,172.82 USD), PNA $39, 776, 454.11 pesos ($3,504,305.60 USD) y PASC $39, 776, 454.11 pesos ($3,504,305.60 USD).</w:t>
      </w:r>
    </w:p>
    <w:p>
      <w:pPr>
        <w:pStyle w:val="ListParagraph"/>
        <w:numPr>
          <w:ilvl w:val="0"/>
          <w:numId w:val="29"/>
        </w:numPr>
        <w:tabs>
          <w:tab w:pos="413" w:val="left" w:leader="none"/>
        </w:tabs>
        <w:spacing w:line="360" w:lineRule="auto" w:before="5" w:after="0"/>
        <w:ind w:left="122" w:right="126" w:firstLine="0"/>
        <w:jc w:val="both"/>
        <w:rPr>
          <w:sz w:val="24"/>
        </w:rPr>
      </w:pPr>
      <w:r>
        <w:rPr>
          <w:sz w:val="24"/>
        </w:rPr>
        <w:t>- Financiamiento para actividades ordinarias permanentes: una cantidad igual a la</w:t>
      </w:r>
      <w:r>
        <w:rPr>
          <w:spacing w:val="-5"/>
          <w:sz w:val="24"/>
        </w:rPr>
        <w:t> </w:t>
      </w:r>
      <w:r>
        <w:rPr>
          <w:sz w:val="24"/>
        </w:rPr>
        <w:t>anterior.</w:t>
      </w:r>
    </w:p>
    <w:p>
      <w:pPr>
        <w:pStyle w:val="ListParagraph"/>
        <w:numPr>
          <w:ilvl w:val="0"/>
          <w:numId w:val="29"/>
        </w:numPr>
        <w:tabs>
          <w:tab w:pos="420" w:val="left" w:leader="none"/>
        </w:tabs>
        <w:spacing w:line="360" w:lineRule="auto" w:before="5" w:after="0"/>
        <w:ind w:left="122" w:right="120" w:firstLine="0"/>
        <w:jc w:val="both"/>
        <w:rPr>
          <w:sz w:val="24"/>
        </w:rPr>
      </w:pPr>
      <w:r>
        <w:rPr/>
        <w:pict>
          <v:line style="position:absolute;mso-position-horizontal-relative:page;mso-position-vertical-relative:paragraph;z-index:1840;mso-wrap-distance-left:0;mso-wrap-distance-right:0" from="85.103996pt,87.105858pt" to="229.123996pt,87.105858pt" stroked="true" strokeweight=".71997pt" strokecolor="#000000">
            <w10:wrap type="topAndBottom"/>
          </v:line>
        </w:pict>
      </w:r>
      <w:r>
        <w:rPr>
          <w:sz w:val="24"/>
        </w:rPr>
        <w:t>- Apoyo para programas de radio y televisión: cada uno de los ocho partidos recibió la cantidad de $188, 267.19 pesos ($16,586.33 USD), distribuidos en 12 ministraciones mensuales de $15, 688.93 pesos ($1,382.19 USD), lo cual suma en total un importe de $1, 506, 137.53 pesos ($132,690.71</w:t>
      </w:r>
      <w:r>
        <w:rPr>
          <w:spacing w:val="-23"/>
          <w:sz w:val="24"/>
        </w:rPr>
        <w:t> </w:t>
      </w:r>
      <w:r>
        <w:rPr>
          <w:sz w:val="24"/>
        </w:rPr>
        <w:t>USD).</w:t>
      </w:r>
    </w:p>
    <w:p>
      <w:pPr>
        <w:pStyle w:val="BodyText"/>
        <w:spacing w:before="3"/>
        <w:rPr>
          <w:sz w:val="20"/>
        </w:rPr>
      </w:pPr>
    </w:p>
    <w:p>
      <w:pPr>
        <w:spacing w:before="84"/>
        <w:ind w:left="122" w:right="116" w:firstLine="0"/>
        <w:jc w:val="both"/>
        <w:rPr>
          <w:sz w:val="20"/>
        </w:rPr>
      </w:pPr>
      <w:r>
        <w:rPr>
          <w:position w:val="10"/>
          <w:sz w:val="13"/>
        </w:rPr>
        <w:t>26 </w:t>
      </w:r>
      <w:r>
        <w:rPr>
          <w:sz w:val="20"/>
        </w:rPr>
        <w:t>El Partido Alternativa Socialdemócrata y Campesina (PASC) fue fundado en 2006;  posteriormente el </w:t>
      </w:r>
      <w:hyperlink r:id="rId48">
        <w:r>
          <w:rPr>
            <w:sz w:val="20"/>
          </w:rPr>
          <w:t>13 de mayo</w:t>
        </w:r>
      </w:hyperlink>
      <w:r>
        <w:rPr>
          <w:sz w:val="20"/>
        </w:rPr>
        <w:t> de </w:t>
      </w:r>
      <w:hyperlink r:id="rId49">
        <w:r>
          <w:rPr>
            <w:sz w:val="20"/>
          </w:rPr>
          <w:t>2007</w:t>
        </w:r>
      </w:hyperlink>
      <w:r>
        <w:rPr>
          <w:sz w:val="20"/>
        </w:rPr>
        <w:t> cambio de nombre a Partido Alternativa Socialdemócrata (PAS), eliminando la palabra campesina. En 2008 nuevamente se modificó su denominación por la de Partido Socialdemócrata cambiando las siglas de su logotipo (PSD). No confundir con el Partido Social Demócrata (PSD) costarricense; el cual a diferencia del partido mexicano lleva separadas las palabras Social y Demócrata. Finalmente, el 5 de Julio de 2009 perdió su registro al tener únicamente el 1.03% del total de la votación nacional. De acuerdo con lo anterior, a lo largo de  todo el desarrollo de la presente investigación se hace referencia al Partido Alternativa Socialdemócrata y Campesina o por sus siglas PASC, pues es el nombre que tuvo registrado para las elecciones objeto de</w:t>
      </w:r>
      <w:r>
        <w:rPr>
          <w:spacing w:val="-10"/>
          <w:sz w:val="20"/>
        </w:rPr>
        <w:t> </w:t>
      </w:r>
      <w:r>
        <w:rPr>
          <w:sz w:val="20"/>
        </w:rPr>
        <w:t>estudio.</w:t>
      </w:r>
    </w:p>
    <w:p>
      <w:pPr>
        <w:spacing w:line="230" w:lineRule="exact" w:before="28"/>
        <w:ind w:left="122" w:right="119" w:firstLine="0"/>
        <w:jc w:val="both"/>
        <w:rPr>
          <w:sz w:val="20"/>
        </w:rPr>
      </w:pPr>
      <w:r>
        <w:rPr>
          <w:position w:val="10"/>
          <w:sz w:val="13"/>
        </w:rPr>
        <w:t>27 </w:t>
      </w:r>
      <w:r>
        <w:rPr>
          <w:sz w:val="20"/>
        </w:rPr>
        <w:t>El tipo de cambio para todo lo relativo al costo de los partidos se realizó tomando como base el punto medio (entre compra y venta) de cambio histórico que tuvo el peso frente al dólar el 4 de julio de 2006, día de la jornada electoral, siendo éste de $0.0881 USD por peso (OANDA, 2013).</w:t>
      </w:r>
    </w:p>
    <w:p>
      <w:pPr>
        <w:spacing w:after="0" w:line="230" w:lineRule="exact"/>
        <w:jc w:val="both"/>
        <w:rPr>
          <w:sz w:val="20"/>
        </w:rPr>
        <w:sectPr>
          <w:pgSz w:w="12240" w:h="15840"/>
          <w:pgMar w:header="749" w:footer="1003" w:top="960" w:bottom="1200" w:left="1580" w:right="1580"/>
        </w:sectPr>
      </w:pPr>
    </w:p>
    <w:p>
      <w:pPr>
        <w:pStyle w:val="BodyText"/>
        <w:rPr>
          <w:sz w:val="20"/>
        </w:rPr>
      </w:pPr>
    </w:p>
    <w:p>
      <w:pPr>
        <w:pStyle w:val="BodyText"/>
        <w:spacing w:before="214"/>
        <w:ind w:left="810"/>
      </w:pPr>
      <w:r>
        <w:rPr/>
        <w:t>Así   en   total   los   partidos   recibieron   las   siguientes   cantidades:</w:t>
      </w:r>
      <w:r>
        <w:rPr>
          <w:spacing w:val="53"/>
        </w:rPr>
        <w:t> </w:t>
      </w:r>
      <w:r>
        <w:rPr/>
        <w:t>PAN</w:t>
      </w:r>
    </w:p>
    <w:p>
      <w:pPr>
        <w:pStyle w:val="BodyText"/>
        <w:spacing w:line="360" w:lineRule="auto" w:before="139"/>
        <w:ind w:left="102" w:right="119"/>
        <w:jc w:val="both"/>
      </w:pPr>
      <w:r>
        <w:rPr/>
        <w:t>$1,111,921,342.67 pesos (26.86%) ($97,960,270.28 USD), PRI $1,226,999,116.23 pesos (29.65%) ($108,098,622.13 USD), PRD $721,609,875.49 pesos(17.43%) ($63,573,830.03 USD), PT $270,331,119.87 pesos (6.53%) ($23,816,171.66  USD), PVEM $381,523,866.47 pesos (9.21%) ($ 33,612,252.63 USD), Convergencia   $266,389,693.43   pesos   (6.43%)   ($23,468,931.99   USD), </w:t>
      </w:r>
      <w:r>
        <w:rPr>
          <w:spacing w:val="22"/>
        </w:rPr>
        <w:t> </w:t>
      </w:r>
      <w:r>
        <w:rPr/>
        <w:t>PNA</w:t>
      </w:r>
    </w:p>
    <w:p>
      <w:pPr>
        <w:pStyle w:val="BodyText"/>
        <w:spacing w:line="360" w:lineRule="auto" w:before="2"/>
        <w:ind w:left="102" w:right="118"/>
        <w:jc w:val="both"/>
      </w:pPr>
      <w:r>
        <w:rPr/>
        <w:t>$79,741,175.41 pesos (1.92%) ($7,025,197.55 USD) y PASC $79,741,175.41 pesos (1.92%) ($7,025,197.55 USD).</w:t>
      </w:r>
    </w:p>
    <w:p>
      <w:pPr>
        <w:pStyle w:val="BodyText"/>
        <w:spacing w:line="360" w:lineRule="auto" w:before="2"/>
        <w:ind w:left="102" w:right="119" w:firstLine="707"/>
        <w:jc w:val="both"/>
      </w:pPr>
      <w:r>
        <w:rPr/>
        <w:t>Es importante mencionar que el PAN, el PNA y el PASC fueron solos a la contienda; mientras el PRI junto con el PVEM formaron la coalición “Alianza por México”, por lo que al unirse obtuvieron el 38.86% del financiamiento total; por su parte el PRD, PT y C integraron la coalición “Por el Bien de Todos”, juntos obtuvieron el 30.39% del financiamiento. De lo anterior se observa que los tres partidos más grandes (PAN, PRI, y PRD) obtuvieron los porcentajes de financiamiento más altos, los cuales fueron proporcionales y se dieron de acuerdo con lo estipulado en la ley. Cabe destacar que el partido ganador (PAN) fue el que menos financiamiento público tuvo de entre los tres partidos mayoritarios al no realizar coalición con ningún partido.</w:t>
      </w:r>
    </w:p>
    <w:p>
      <w:pPr>
        <w:pStyle w:val="BodyText"/>
        <w:tabs>
          <w:tab w:pos="1388" w:val="left" w:leader="none"/>
          <w:tab w:pos="3071" w:val="left" w:leader="none"/>
          <w:tab w:pos="3702" w:val="left" w:leader="none"/>
          <w:tab w:pos="4251" w:val="left" w:leader="none"/>
          <w:tab w:pos="5736" w:val="left" w:leader="none"/>
          <w:tab w:pos="6580" w:val="left" w:leader="none"/>
          <w:tab w:pos="7476" w:val="left" w:leader="none"/>
          <w:tab w:pos="8800" w:val="left" w:leader="none"/>
        </w:tabs>
        <w:spacing w:before="2"/>
        <w:ind w:left="810"/>
      </w:pPr>
      <w:r>
        <w:rPr/>
        <w:t>El</w:t>
        <w:tab/>
        <w:t>presupuesto</w:t>
        <w:tab/>
        <w:t>de</w:t>
        <w:tab/>
        <w:t>la</w:t>
        <w:tab/>
        <w:t>federación</w:t>
        <w:tab/>
        <w:t>para</w:t>
        <w:tab/>
        <w:t>2006</w:t>
        <w:tab/>
        <w:t>ascendió</w:t>
        <w:tab/>
        <w:t>a</w:t>
      </w:r>
    </w:p>
    <w:p>
      <w:pPr>
        <w:pStyle w:val="BodyText"/>
        <w:spacing w:before="139"/>
        <w:ind w:left="102"/>
        <w:jc w:val="both"/>
      </w:pPr>
      <w:r>
        <w:rPr/>
        <w:t>$2,000,072,400,000.00    pesos    ($176,206,378,440.00    USD)    de    los  cuales</w:t>
      </w:r>
    </w:p>
    <w:p>
      <w:pPr>
        <w:pStyle w:val="BodyText"/>
        <w:spacing w:line="360" w:lineRule="auto" w:before="137"/>
        <w:ind w:left="102" w:right="117"/>
        <w:jc w:val="both"/>
      </w:pPr>
      <w:r>
        <w:rPr/>
        <w:t>$11,892,136,021 pesos ($1,047,697,183.45 USD) se destinaron al IFE, y de acuerdo con el Presupuesto de Egresos de la Federación para el ejercicio fiscal de 2006 (SHyCP, 2005), el IFE otorgó a los partidos políticos $4,175,367,000.00 pesos ($367,849,832.7 USD) lo que equivale al 0.20% del presupuesto total de la federación.</w:t>
      </w:r>
    </w:p>
    <w:p>
      <w:pPr>
        <w:pStyle w:val="BodyText"/>
        <w:spacing w:line="360" w:lineRule="auto" w:before="5"/>
        <w:ind w:left="102" w:right="115" w:firstLine="707"/>
        <w:jc w:val="both"/>
      </w:pPr>
      <w:r>
        <w:rPr/>
        <w:t>Pero lo recibido y lo gastado son dos datos distintos aunque muy parecidos en montos, así de acuerdo con datos del Informe de resultados de la revisión y fiscalización de la cuenta pública 2006 de la Auditoría Superior de la Federación (ASF), los partidos políticos en México gastaron el financiamiento de la siguiente forma: $ 2,068,375,000.00 pesos ($182,223,837.5 USD) para actividades ordinarias,  $  2,068,375,000.00  pesos  ($182,223,837.5  USD)  para  gastos   </w:t>
      </w:r>
      <w:r>
        <w:rPr>
          <w:spacing w:val="60"/>
        </w:rPr>
        <w:t> </w:t>
      </w:r>
      <w:r>
        <w:rPr/>
        <w:t>de</w:t>
      </w:r>
    </w:p>
    <w:p>
      <w:pPr>
        <w:spacing w:after="0" w:line="360" w:lineRule="auto"/>
        <w:jc w:val="both"/>
        <w:sectPr>
          <w:pgSz w:w="12240" w:h="15840"/>
          <w:pgMar w:header="749" w:footer="1003" w:top="960" w:bottom="1200" w:left="1600" w:right="1580"/>
        </w:sectPr>
      </w:pPr>
    </w:p>
    <w:p>
      <w:pPr>
        <w:pStyle w:val="BodyText"/>
        <w:rPr>
          <w:sz w:val="20"/>
        </w:rPr>
      </w:pPr>
    </w:p>
    <w:p>
      <w:pPr>
        <w:pStyle w:val="BodyText"/>
        <w:spacing w:line="360" w:lineRule="auto" w:before="214"/>
        <w:ind w:left="102" w:right="117"/>
        <w:jc w:val="both"/>
      </w:pPr>
      <w:r>
        <w:rPr/>
        <w:t>campaña, $1,506,000.00 pesos ($132,678.6 USD) para apoyo en radio y televisión y $ 37,110,000.0 pesos ($3,269,391 USD) para actividades específicas (2006: 320). Es decir, en total los partidos políticos gastaron $4, 175, 356,000.00 pesos ($367,848,863.6 USD) en la elección de 2006, lo que equivale al 0.20% del presupuesto total de la federación, monto sobre el cual se ubicó a los partidos políticos registrados ante el IFE como medianamente costosos por lo que obtuvieron una evaluación media (2.0).</w:t>
      </w:r>
    </w:p>
    <w:p>
      <w:pPr>
        <w:pStyle w:val="BodyText"/>
      </w:pPr>
    </w:p>
    <w:p>
      <w:pPr>
        <w:pStyle w:val="ListParagraph"/>
        <w:numPr>
          <w:ilvl w:val="0"/>
          <w:numId w:val="28"/>
        </w:numPr>
        <w:tabs>
          <w:tab w:pos="1170" w:val="left" w:leader="none"/>
        </w:tabs>
        <w:spacing w:line="240" w:lineRule="auto" w:before="139" w:after="0"/>
        <w:ind w:left="1170" w:right="0" w:hanging="360"/>
        <w:jc w:val="left"/>
        <w:rPr>
          <w:i/>
          <w:sz w:val="24"/>
        </w:rPr>
      </w:pPr>
      <w:r>
        <w:rPr>
          <w:i/>
          <w:sz w:val="24"/>
        </w:rPr>
        <w:t>Irregularidades en la aplicación del financiamiento</w:t>
      </w:r>
      <w:r>
        <w:rPr>
          <w:i/>
          <w:spacing w:val="-19"/>
          <w:sz w:val="24"/>
        </w:rPr>
        <w:t> </w:t>
      </w:r>
      <w:r>
        <w:rPr>
          <w:i/>
          <w:sz w:val="24"/>
        </w:rPr>
        <w:t>público</w:t>
      </w:r>
    </w:p>
    <w:p>
      <w:pPr>
        <w:pStyle w:val="BodyText"/>
        <w:rPr>
          <w:i/>
        </w:rPr>
      </w:pPr>
    </w:p>
    <w:p>
      <w:pPr>
        <w:pStyle w:val="BodyText"/>
        <w:spacing w:before="3"/>
        <w:rPr>
          <w:i/>
        </w:rPr>
      </w:pPr>
    </w:p>
    <w:p>
      <w:pPr>
        <w:pStyle w:val="BodyText"/>
        <w:spacing w:line="360" w:lineRule="auto"/>
        <w:ind w:left="102" w:right="116"/>
        <w:jc w:val="both"/>
      </w:pPr>
      <w:r>
        <w:rPr/>
        <w:t>Los partidos políticos pueden incurrir en irregularidades en cuanto a la aplicación del financiamiento público otorgado y de acreditarse se hacen acreedores a  alguna o varias de las siguientes sanciones: amonestación pública, multa, reducción de hasta el 50% de las ministraciones, supresión total de las ministraciones, negativa de registro de candidaturas, suspensión de su registro y cancelación de su registro. Las sanciones se interponen cuando el partido: incumpla con obligaciones señaladas en el COFIPE, contravenga resoluciones o acuerdos del IFE, acepte donativos por personas indebidas o superiores a los señalados por la ley, no presenten informes anuales o de campaña, sobrepasen topes de gastos de campaña o incurran en otra falta prevista en el código. Las sanciones se aplican tomando en cuenta la gravedad de la irregularidad y se incrementan si la conducta u omisión es reiterada (CDHCU L LIX, 2005: artículo 269).</w:t>
      </w:r>
    </w:p>
    <w:p>
      <w:pPr>
        <w:pStyle w:val="BodyText"/>
        <w:spacing w:line="360" w:lineRule="auto" w:before="5"/>
        <w:ind w:left="102" w:right="119" w:firstLine="707"/>
        <w:jc w:val="both"/>
      </w:pPr>
      <w:r>
        <w:rPr/>
        <w:t>Sin embargo, aun cuando se establecen las sanciones en el COFIPE, no se señala la clasificación de las mismas, ni su cuantía; así mismo la Ley General del Sistema de Medios de Impugnación en Materia Electoral tampoco señala algo al respecto (PE, 1996b). De ahí que los juzgadores deben recurrir a la jurisprudencia en la materia para determinar la multa aplicable a cada caso. Al respecto  González señala “es posible advertir que el marco sancionador electoral es insuficiente; esto es así porque, además de especificar cuáles son infracciones y cuáles no lo son, debería indicar cuáles infracciones deberán considerarse   </w:t>
      </w:r>
      <w:r>
        <w:rPr>
          <w:spacing w:val="3"/>
        </w:rPr>
        <w:t> </w:t>
      </w:r>
      <w:r>
        <w:rPr/>
        <w:t>como</w:t>
      </w:r>
    </w:p>
    <w:p>
      <w:pPr>
        <w:spacing w:after="0" w:line="360" w:lineRule="auto"/>
        <w:jc w:val="both"/>
        <w:sectPr>
          <w:pgSz w:w="12240" w:h="15840"/>
          <w:pgMar w:header="749" w:footer="1003" w:top="960" w:bottom="1200" w:left="1600" w:right="1580"/>
        </w:sectPr>
      </w:pPr>
    </w:p>
    <w:p>
      <w:pPr>
        <w:pStyle w:val="BodyText"/>
        <w:rPr>
          <w:sz w:val="20"/>
        </w:rPr>
      </w:pPr>
    </w:p>
    <w:p>
      <w:pPr>
        <w:pStyle w:val="BodyText"/>
        <w:spacing w:line="360" w:lineRule="auto" w:before="214"/>
        <w:ind w:left="102" w:right="118"/>
        <w:jc w:val="both"/>
      </w:pPr>
      <w:r>
        <w:rPr/>
        <w:t>levísimas, leves o graves y cuál es el tipo o cuantía de las sanciones. Esto, obviamente, no impactaría en la libertad del juzgador para la elección y graduación de la sanción atendiendo a las peculiaridades del caso, sino simplemente le proporcionaría un marco orientador” (2009, 108).</w:t>
      </w:r>
    </w:p>
    <w:p>
      <w:pPr>
        <w:pStyle w:val="BodyText"/>
        <w:spacing w:line="360" w:lineRule="auto" w:before="2"/>
        <w:ind w:left="102" w:right="120" w:firstLine="707"/>
        <w:jc w:val="both"/>
      </w:pPr>
      <w:r>
        <w:rPr/>
        <w:t>De acuerdo con el cuaderno de capacitación elaborado por el TEPJF las faltas cometidas por los partidos políticos se clasifican en: levísimas, leves y graves; estas últimas a su vez pueden ser ordinarias, especiales y mayores así como particularmente graves o infracciones sistémicas (2011: 25), pero no se establecieron cuantías por lo que aún queda pendiente su señalamiento.</w:t>
      </w:r>
    </w:p>
    <w:p>
      <w:pPr>
        <w:pStyle w:val="BodyText"/>
        <w:spacing w:line="360" w:lineRule="auto" w:before="5"/>
        <w:ind w:left="102" w:right="117" w:firstLine="707"/>
        <w:jc w:val="both"/>
      </w:pPr>
      <w:r>
        <w:rPr/>
        <w:t>Al revisar las sentencias emitidas por el TEPJF derivadas de faltas cometidas por los partidos políticos, en materia de financiamiento, durante los procesos objeto de estudio, observé que en total se impusieron 110 sanciones las cuales fueron impuestas a los ocho partidos registrados (todos obtuvieron sanciones), 109 fueron clasificadas como leves y sólo una fue clasificada como levísima, no hubo sanciones clasificadas como graves; por lo que dicho resultado no da parámetros para evaluar cualitativamente la actuación de los partidos políticos debido a que todos incurrieron en irregularidades y las sanciones casi en todos los casos (con excepción de una amonestación relativa al PASC, calificada como levísima) se encuentran en la misma clasificación lo que posicionaría a  todos los partidos políticos en el mismo</w:t>
      </w:r>
      <w:r>
        <w:rPr>
          <w:spacing w:val="-16"/>
        </w:rPr>
        <w:t> </w:t>
      </w:r>
      <w:r>
        <w:rPr/>
        <w:t>rango.</w:t>
      </w:r>
    </w:p>
    <w:p>
      <w:pPr>
        <w:pStyle w:val="BodyText"/>
        <w:spacing w:line="360" w:lineRule="auto" w:before="2"/>
        <w:ind w:left="102" w:right="119" w:firstLine="707"/>
        <w:jc w:val="both"/>
      </w:pPr>
      <w:r>
        <w:rPr/>
        <w:t>Para evaluar las irregularidades en la aplicación del financiamiento se obtuvo el porcentaje que representaban las sanciones (multas y reducciones) en relación con el financiamiento de los partidos.</w:t>
      </w:r>
    </w:p>
    <w:p>
      <w:pPr>
        <w:pStyle w:val="BodyText"/>
        <w:spacing w:line="360" w:lineRule="auto" w:before="5"/>
        <w:ind w:left="102" w:right="114" w:firstLine="707"/>
        <w:jc w:val="both"/>
      </w:pPr>
      <w:r>
        <w:rPr/>
        <w:t>Para conocer las sanciones a que se hicieron acreedores los partidos políticos por incurrir en inconsistencias relativas a sus informes de gastos de campaña del proceso electoral 2006 se estudió el “Dictamen consolidado que emitió la Comisión de Fiscalización de los Recursos de los Partidos  y Agrupaciones Políticas del Consejo General del Instituto Federal Electoral, respecto de la revisión de los informes de campaña de los partidos políticos nacionales y coaliciones relacionados con el proceso electoral federal 2005-2006” (CFRPAP,  2006a),  mediante  el  cual  el  Consejo  General  elaboró  y  aprobó  el</w:t>
      </w:r>
    </w:p>
    <w:p>
      <w:pPr>
        <w:spacing w:after="0" w:line="360" w:lineRule="auto"/>
        <w:jc w:val="both"/>
        <w:sectPr>
          <w:pgSz w:w="12240" w:h="15840"/>
          <w:pgMar w:header="749" w:footer="1003" w:top="960" w:bottom="1200" w:left="1600" w:right="1580"/>
        </w:sectPr>
      </w:pPr>
    </w:p>
    <w:p>
      <w:pPr>
        <w:pStyle w:val="BodyText"/>
        <w:rPr>
          <w:sz w:val="20"/>
        </w:rPr>
      </w:pPr>
    </w:p>
    <w:p>
      <w:pPr>
        <w:pStyle w:val="BodyText"/>
        <w:spacing w:line="360" w:lineRule="auto" w:before="214"/>
        <w:ind w:left="122" w:right="98"/>
        <w:jc w:val="both"/>
      </w:pPr>
      <w:r>
        <w:rPr/>
        <w:t>acuerdo CG97/2007 (CGIFE, 2007a) el cual sancionó a todos los partidos políticos por incurrir en irregularidades de fondo y/o forma en sus informes de gastos de campaña, véase el siguiente cuadro:</w:t>
      </w:r>
    </w:p>
    <w:p>
      <w:pPr>
        <w:pStyle w:val="BodyText"/>
      </w:pPr>
    </w:p>
    <w:p>
      <w:pPr>
        <w:pStyle w:val="Heading2"/>
        <w:ind w:right="694"/>
      </w:pPr>
      <w:r>
        <w:rPr/>
        <w:t>Cuadro 3.1</w:t>
      </w:r>
    </w:p>
    <w:p>
      <w:pPr>
        <w:spacing w:before="139"/>
        <w:ind w:left="714" w:right="690" w:firstLine="0"/>
        <w:jc w:val="center"/>
        <w:rPr>
          <w:b/>
          <w:sz w:val="24"/>
        </w:rPr>
      </w:pPr>
      <w:r>
        <w:rPr>
          <w:b/>
          <w:sz w:val="24"/>
        </w:rPr>
        <w:t>Sanciones aprobadas en el acuerdo CG97/2007 del CGIEEM</w:t>
      </w:r>
    </w:p>
    <w:p>
      <w:pPr>
        <w:pStyle w:val="BodyText"/>
        <w:rPr>
          <w:b/>
          <w:sz w:val="20"/>
        </w:rPr>
      </w:pPr>
    </w:p>
    <w:p>
      <w:pPr>
        <w:pStyle w:val="BodyText"/>
        <w:spacing w:before="2"/>
        <w:rPr>
          <w:b/>
          <w:sz w:val="28"/>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35"/>
        <w:gridCol w:w="1133"/>
        <w:gridCol w:w="1136"/>
        <w:gridCol w:w="1133"/>
        <w:gridCol w:w="1136"/>
        <w:gridCol w:w="991"/>
        <w:gridCol w:w="1135"/>
        <w:gridCol w:w="992"/>
      </w:tblGrid>
      <w:tr>
        <w:trPr>
          <w:trHeight w:val="286" w:hRule="exact"/>
        </w:trPr>
        <w:tc>
          <w:tcPr>
            <w:tcW w:w="1135" w:type="dxa"/>
            <w:vMerge w:val="restart"/>
            <w:shd w:val="clear" w:color="auto" w:fill="D9D9D9"/>
          </w:tcPr>
          <w:p>
            <w:pPr>
              <w:pStyle w:val="TableParagraph"/>
              <w:spacing w:line="272" w:lineRule="exact"/>
              <w:ind w:left="307" w:right="101"/>
              <w:rPr>
                <w:b/>
                <w:sz w:val="24"/>
              </w:rPr>
            </w:pPr>
            <w:r>
              <w:rPr>
                <w:b/>
                <w:sz w:val="24"/>
              </w:rPr>
              <w:t>PAN</w:t>
            </w:r>
          </w:p>
        </w:tc>
        <w:tc>
          <w:tcPr>
            <w:tcW w:w="2269" w:type="dxa"/>
            <w:gridSpan w:val="2"/>
            <w:shd w:val="clear" w:color="auto" w:fill="D9D9D9"/>
          </w:tcPr>
          <w:p>
            <w:pPr>
              <w:pStyle w:val="TableParagraph"/>
              <w:spacing w:line="272" w:lineRule="exact"/>
              <w:ind w:left="752" w:right="759"/>
              <w:jc w:val="center"/>
              <w:rPr>
                <w:b/>
                <w:sz w:val="24"/>
              </w:rPr>
            </w:pPr>
            <w:r>
              <w:rPr>
                <w:b/>
                <w:sz w:val="24"/>
              </w:rPr>
              <w:t>CAPM</w:t>
            </w:r>
          </w:p>
        </w:tc>
        <w:tc>
          <w:tcPr>
            <w:tcW w:w="3260" w:type="dxa"/>
            <w:gridSpan w:val="3"/>
            <w:shd w:val="clear" w:color="auto" w:fill="D9D9D9"/>
          </w:tcPr>
          <w:p>
            <w:pPr>
              <w:pStyle w:val="TableParagraph"/>
              <w:spacing w:line="272" w:lineRule="exact"/>
              <w:ind w:left="1277" w:right="1279"/>
              <w:jc w:val="center"/>
              <w:rPr>
                <w:b/>
                <w:sz w:val="24"/>
              </w:rPr>
            </w:pPr>
            <w:r>
              <w:rPr>
                <w:b/>
                <w:sz w:val="24"/>
              </w:rPr>
              <w:t>CPBT</w:t>
            </w:r>
          </w:p>
        </w:tc>
        <w:tc>
          <w:tcPr>
            <w:tcW w:w="1135" w:type="dxa"/>
            <w:vMerge w:val="restart"/>
            <w:shd w:val="clear" w:color="auto" w:fill="D9D9D9"/>
          </w:tcPr>
          <w:p>
            <w:pPr>
              <w:pStyle w:val="TableParagraph"/>
              <w:spacing w:line="272" w:lineRule="exact"/>
              <w:ind w:left="370" w:right="368"/>
              <w:jc w:val="center"/>
              <w:rPr>
                <w:b/>
                <w:sz w:val="24"/>
              </w:rPr>
            </w:pPr>
            <w:r>
              <w:rPr>
                <w:b/>
                <w:sz w:val="24"/>
              </w:rPr>
              <w:t>NA</w:t>
            </w:r>
          </w:p>
        </w:tc>
        <w:tc>
          <w:tcPr>
            <w:tcW w:w="992" w:type="dxa"/>
            <w:vMerge w:val="restart"/>
            <w:shd w:val="clear" w:color="auto" w:fill="D9D9D9"/>
          </w:tcPr>
          <w:p>
            <w:pPr>
              <w:pStyle w:val="TableParagraph"/>
              <w:spacing w:line="272" w:lineRule="exact"/>
              <w:ind w:left="156" w:right="94"/>
              <w:rPr>
                <w:b/>
                <w:sz w:val="24"/>
              </w:rPr>
            </w:pPr>
            <w:r>
              <w:rPr>
                <w:b/>
                <w:sz w:val="24"/>
              </w:rPr>
              <w:t>PASC</w:t>
            </w:r>
          </w:p>
        </w:tc>
      </w:tr>
      <w:tr>
        <w:trPr>
          <w:trHeight w:val="286" w:hRule="exact"/>
        </w:trPr>
        <w:tc>
          <w:tcPr>
            <w:tcW w:w="1135" w:type="dxa"/>
            <w:vMerge/>
            <w:shd w:val="clear" w:color="auto" w:fill="D9D9D9"/>
          </w:tcPr>
          <w:p>
            <w:pPr/>
          </w:p>
        </w:tc>
        <w:tc>
          <w:tcPr>
            <w:tcW w:w="1133" w:type="dxa"/>
            <w:shd w:val="clear" w:color="auto" w:fill="D9D9D9"/>
          </w:tcPr>
          <w:p>
            <w:pPr>
              <w:pStyle w:val="TableParagraph"/>
              <w:spacing w:line="272" w:lineRule="exact"/>
              <w:ind w:left="357" w:right="101"/>
              <w:rPr>
                <w:b/>
                <w:sz w:val="24"/>
              </w:rPr>
            </w:pPr>
            <w:r>
              <w:rPr>
                <w:b/>
                <w:sz w:val="24"/>
              </w:rPr>
              <w:t>PRI</w:t>
            </w:r>
          </w:p>
        </w:tc>
        <w:tc>
          <w:tcPr>
            <w:tcW w:w="1136" w:type="dxa"/>
            <w:shd w:val="clear" w:color="auto" w:fill="D9D9D9"/>
          </w:tcPr>
          <w:p>
            <w:pPr>
              <w:pStyle w:val="TableParagraph"/>
              <w:spacing w:line="272" w:lineRule="exact"/>
              <w:ind w:left="221" w:right="101"/>
              <w:rPr>
                <w:b/>
                <w:sz w:val="24"/>
              </w:rPr>
            </w:pPr>
            <w:r>
              <w:rPr>
                <w:b/>
                <w:sz w:val="24"/>
              </w:rPr>
              <w:t>PVEM</w:t>
            </w:r>
          </w:p>
        </w:tc>
        <w:tc>
          <w:tcPr>
            <w:tcW w:w="1133" w:type="dxa"/>
            <w:shd w:val="clear" w:color="auto" w:fill="D9D9D9"/>
          </w:tcPr>
          <w:p>
            <w:pPr>
              <w:pStyle w:val="TableParagraph"/>
              <w:spacing w:line="272" w:lineRule="exact"/>
              <w:ind w:left="304" w:right="101"/>
              <w:rPr>
                <w:b/>
                <w:sz w:val="24"/>
              </w:rPr>
            </w:pPr>
            <w:r>
              <w:rPr>
                <w:b/>
                <w:sz w:val="24"/>
              </w:rPr>
              <w:t>PRD</w:t>
            </w:r>
          </w:p>
        </w:tc>
        <w:tc>
          <w:tcPr>
            <w:tcW w:w="1136" w:type="dxa"/>
            <w:shd w:val="clear" w:color="auto" w:fill="D9D9D9"/>
          </w:tcPr>
          <w:p>
            <w:pPr>
              <w:pStyle w:val="TableParagraph"/>
              <w:spacing w:line="272" w:lineRule="exact"/>
              <w:ind w:left="389" w:right="390"/>
              <w:jc w:val="center"/>
              <w:rPr>
                <w:b/>
                <w:sz w:val="24"/>
              </w:rPr>
            </w:pPr>
            <w:r>
              <w:rPr>
                <w:b/>
                <w:sz w:val="24"/>
              </w:rPr>
              <w:t>PT</w:t>
            </w:r>
          </w:p>
        </w:tc>
        <w:tc>
          <w:tcPr>
            <w:tcW w:w="991" w:type="dxa"/>
            <w:shd w:val="clear" w:color="auto" w:fill="D9D9D9"/>
          </w:tcPr>
          <w:p>
            <w:pPr>
              <w:pStyle w:val="TableParagraph"/>
              <w:spacing w:line="272" w:lineRule="exact"/>
              <w:ind w:left="0" w:right="1"/>
              <w:jc w:val="center"/>
              <w:rPr>
                <w:b/>
                <w:sz w:val="24"/>
              </w:rPr>
            </w:pPr>
            <w:r>
              <w:rPr>
                <w:b/>
                <w:w w:val="99"/>
                <w:sz w:val="24"/>
              </w:rPr>
              <w:t>C</w:t>
            </w:r>
          </w:p>
        </w:tc>
        <w:tc>
          <w:tcPr>
            <w:tcW w:w="1135" w:type="dxa"/>
            <w:vMerge/>
            <w:shd w:val="clear" w:color="auto" w:fill="D9D9D9"/>
          </w:tcPr>
          <w:p>
            <w:pPr/>
          </w:p>
        </w:tc>
        <w:tc>
          <w:tcPr>
            <w:tcW w:w="992" w:type="dxa"/>
            <w:vMerge/>
            <w:shd w:val="clear" w:color="auto" w:fill="D9D9D9"/>
          </w:tcPr>
          <w:p>
            <w:pPr/>
          </w:p>
        </w:tc>
      </w:tr>
      <w:tr>
        <w:trPr>
          <w:trHeight w:val="1299" w:hRule="exact"/>
        </w:trPr>
        <w:tc>
          <w:tcPr>
            <w:tcW w:w="1135" w:type="dxa"/>
          </w:tcPr>
          <w:p>
            <w:pPr>
              <w:pStyle w:val="TableParagraph"/>
              <w:tabs>
                <w:tab w:pos="928" w:val="left" w:leader="none"/>
              </w:tabs>
              <w:spacing w:line="242" w:lineRule="auto"/>
              <w:ind w:right="101"/>
              <w:rPr>
                <w:sz w:val="16"/>
              </w:rPr>
            </w:pPr>
            <w:r>
              <w:rPr>
                <w:sz w:val="16"/>
              </w:rPr>
              <w:t>a) Reducción * 1.53%</w:t>
              <w:tab/>
              <w:t>=</w:t>
            </w:r>
          </w:p>
          <w:p>
            <w:pPr>
              <w:pStyle w:val="TableParagraph"/>
              <w:ind w:right="148"/>
              <w:rPr>
                <w:sz w:val="16"/>
              </w:rPr>
            </w:pPr>
            <w:r>
              <w:rPr>
                <w:sz w:val="16"/>
              </w:rPr>
              <w:t>$5,683,075. 20 ($500,678.9 2 USD)</w:t>
            </w:r>
          </w:p>
        </w:tc>
        <w:tc>
          <w:tcPr>
            <w:tcW w:w="1133" w:type="dxa"/>
          </w:tcPr>
          <w:p>
            <w:pPr>
              <w:pStyle w:val="TableParagraph"/>
              <w:tabs>
                <w:tab w:pos="925" w:val="left" w:leader="none"/>
              </w:tabs>
              <w:spacing w:line="242" w:lineRule="auto"/>
              <w:ind w:left="100" w:right="101"/>
              <w:rPr>
                <w:sz w:val="16"/>
              </w:rPr>
            </w:pPr>
            <w:r>
              <w:rPr>
                <w:sz w:val="16"/>
              </w:rPr>
              <w:t>a) Reducción 6.49%</w:t>
              <w:tab/>
              <w:t>=</w:t>
            </w:r>
          </w:p>
          <w:p>
            <w:pPr>
              <w:pStyle w:val="TableParagraph"/>
              <w:spacing w:line="181" w:lineRule="exact"/>
              <w:ind w:left="100"/>
              <w:rPr>
                <w:sz w:val="16"/>
              </w:rPr>
            </w:pPr>
            <w:r>
              <w:rPr>
                <w:sz w:val="16"/>
              </w:rPr>
              <w:t>$24,416,194</w:t>
            </w:r>
          </w:p>
          <w:p>
            <w:pPr>
              <w:pStyle w:val="TableParagraph"/>
              <w:spacing w:before="1"/>
              <w:ind w:left="100" w:right="104"/>
              <w:rPr>
                <w:sz w:val="16"/>
              </w:rPr>
            </w:pPr>
            <w:r>
              <w:rPr>
                <w:sz w:val="16"/>
              </w:rPr>
              <w:t>.82 ($2,151,066. 76 USD)</w:t>
            </w:r>
          </w:p>
        </w:tc>
        <w:tc>
          <w:tcPr>
            <w:tcW w:w="1136" w:type="dxa"/>
          </w:tcPr>
          <w:p>
            <w:pPr>
              <w:pStyle w:val="TableParagraph"/>
              <w:tabs>
                <w:tab w:pos="928" w:val="left" w:leader="none"/>
              </w:tabs>
              <w:spacing w:line="242" w:lineRule="auto"/>
              <w:ind w:right="101"/>
              <w:rPr>
                <w:sz w:val="16"/>
              </w:rPr>
            </w:pPr>
            <w:r>
              <w:rPr>
                <w:sz w:val="16"/>
              </w:rPr>
              <w:t>a) Reducción 4.68%</w:t>
              <w:tab/>
              <w:t>=</w:t>
            </w:r>
          </w:p>
          <w:p>
            <w:pPr>
              <w:pStyle w:val="TableParagraph"/>
              <w:ind w:right="149"/>
              <w:rPr>
                <w:sz w:val="16"/>
              </w:rPr>
            </w:pPr>
            <w:r>
              <w:rPr>
                <w:sz w:val="16"/>
              </w:rPr>
              <w:t>$7,588,255. 07 ($668,525.2 7 USD)</w:t>
            </w:r>
          </w:p>
        </w:tc>
        <w:tc>
          <w:tcPr>
            <w:tcW w:w="1133" w:type="dxa"/>
          </w:tcPr>
          <w:p>
            <w:pPr>
              <w:pStyle w:val="TableParagraph"/>
              <w:tabs>
                <w:tab w:pos="925" w:val="left" w:leader="none"/>
              </w:tabs>
              <w:spacing w:line="242" w:lineRule="auto"/>
              <w:ind w:left="100" w:right="101"/>
              <w:rPr>
                <w:sz w:val="16"/>
              </w:rPr>
            </w:pPr>
            <w:r>
              <w:rPr>
                <w:sz w:val="16"/>
              </w:rPr>
              <w:t>a) Reducción 5.85%</w:t>
              <w:tab/>
              <w:t>=</w:t>
            </w:r>
          </w:p>
          <w:p>
            <w:pPr>
              <w:pStyle w:val="TableParagraph"/>
              <w:spacing w:line="181" w:lineRule="exact"/>
              <w:ind w:left="100"/>
              <w:rPr>
                <w:sz w:val="16"/>
              </w:rPr>
            </w:pPr>
            <w:r>
              <w:rPr>
                <w:sz w:val="16"/>
              </w:rPr>
              <w:t>$13,055,145</w:t>
            </w:r>
          </w:p>
          <w:p>
            <w:pPr>
              <w:pStyle w:val="TableParagraph"/>
              <w:spacing w:before="1"/>
              <w:ind w:left="100" w:right="104"/>
              <w:rPr>
                <w:sz w:val="16"/>
              </w:rPr>
            </w:pPr>
            <w:r>
              <w:rPr>
                <w:sz w:val="16"/>
              </w:rPr>
              <w:t>.90 ($1,150,158. 35 USD)</w:t>
            </w:r>
          </w:p>
        </w:tc>
        <w:tc>
          <w:tcPr>
            <w:tcW w:w="1136" w:type="dxa"/>
          </w:tcPr>
          <w:p>
            <w:pPr>
              <w:pStyle w:val="TableParagraph"/>
              <w:tabs>
                <w:tab w:pos="928" w:val="left" w:leader="none"/>
              </w:tabs>
              <w:spacing w:line="242" w:lineRule="auto"/>
              <w:ind w:right="101"/>
              <w:rPr>
                <w:sz w:val="16"/>
              </w:rPr>
            </w:pPr>
            <w:r>
              <w:rPr>
                <w:sz w:val="16"/>
              </w:rPr>
              <w:t>a) Reducción 4.62%</w:t>
              <w:tab/>
              <w:t>=</w:t>
            </w:r>
          </w:p>
          <w:p>
            <w:pPr>
              <w:pStyle w:val="TableParagraph"/>
              <w:ind w:right="148"/>
              <w:rPr>
                <w:sz w:val="16"/>
              </w:rPr>
            </w:pPr>
            <w:r>
              <w:rPr>
                <w:sz w:val="16"/>
              </w:rPr>
              <w:t>$4,888,851. 71 ($430,707.8 3 USD)</w:t>
            </w:r>
          </w:p>
        </w:tc>
        <w:tc>
          <w:tcPr>
            <w:tcW w:w="991" w:type="dxa"/>
          </w:tcPr>
          <w:p>
            <w:pPr>
              <w:pStyle w:val="TableParagraph"/>
              <w:tabs>
                <w:tab w:pos="786" w:val="left" w:leader="none"/>
              </w:tabs>
              <w:spacing w:line="242" w:lineRule="auto"/>
              <w:ind w:left="100" w:right="98"/>
              <w:rPr>
                <w:sz w:val="16"/>
              </w:rPr>
            </w:pPr>
            <w:r>
              <w:rPr>
                <w:sz w:val="16"/>
              </w:rPr>
              <w:t>a) Reducción 4.81%</w:t>
              <w:tab/>
              <w:t>=</w:t>
            </w:r>
          </w:p>
          <w:p>
            <w:pPr>
              <w:pStyle w:val="TableParagraph"/>
              <w:ind w:left="100" w:right="96"/>
              <w:rPr>
                <w:sz w:val="16"/>
              </w:rPr>
            </w:pPr>
            <w:r>
              <w:rPr>
                <w:sz w:val="16"/>
              </w:rPr>
              <w:t>$4,816,01 9.65 ($424,291. 33 USD)</w:t>
            </w:r>
          </w:p>
        </w:tc>
        <w:tc>
          <w:tcPr>
            <w:tcW w:w="1135" w:type="dxa"/>
          </w:tcPr>
          <w:p>
            <w:pPr>
              <w:pStyle w:val="TableParagraph"/>
              <w:tabs>
                <w:tab w:pos="928" w:val="left" w:leader="none"/>
              </w:tabs>
              <w:spacing w:line="242" w:lineRule="auto"/>
              <w:ind w:right="101"/>
              <w:rPr>
                <w:sz w:val="16"/>
              </w:rPr>
            </w:pPr>
            <w:r>
              <w:rPr>
                <w:sz w:val="16"/>
              </w:rPr>
              <w:t>a) Reducción 1%</w:t>
              <w:tab/>
              <w:t>=</w:t>
            </w:r>
          </w:p>
          <w:p>
            <w:pPr>
              <w:pStyle w:val="TableParagraph"/>
              <w:ind w:right="148"/>
              <w:rPr>
                <w:sz w:val="16"/>
              </w:rPr>
            </w:pPr>
            <w:r>
              <w:rPr>
                <w:sz w:val="16"/>
              </w:rPr>
              <w:t>$4,088,798. 05 ($360,223.1 0 USD)</w:t>
            </w:r>
          </w:p>
        </w:tc>
        <w:tc>
          <w:tcPr>
            <w:tcW w:w="992" w:type="dxa"/>
          </w:tcPr>
          <w:p>
            <w:pPr>
              <w:pStyle w:val="TableParagraph"/>
              <w:spacing w:line="242" w:lineRule="auto"/>
              <w:ind w:right="138"/>
              <w:rPr>
                <w:sz w:val="16"/>
              </w:rPr>
            </w:pPr>
            <w:r>
              <w:rPr>
                <w:sz w:val="16"/>
              </w:rPr>
              <w:t>a) Amonest</w:t>
            </w:r>
            <w:r>
              <w:rPr>
                <w:sz w:val="16"/>
                <w:u w:val="single"/>
              </w:rPr>
              <w:t>a </w:t>
            </w:r>
            <w:r>
              <w:rPr>
                <w:sz w:val="16"/>
              </w:rPr>
              <w:t>ción</w:t>
            </w:r>
          </w:p>
        </w:tc>
      </w:tr>
      <w:tr>
        <w:trPr>
          <w:trHeight w:val="1298" w:hRule="exact"/>
        </w:trPr>
        <w:tc>
          <w:tcPr>
            <w:tcW w:w="1135" w:type="dxa"/>
          </w:tcPr>
          <w:p>
            <w:pPr>
              <w:pStyle w:val="TableParagraph"/>
              <w:tabs>
                <w:tab w:pos="628" w:val="left" w:leader="none"/>
              </w:tabs>
              <w:ind w:right="103"/>
              <w:rPr>
                <w:sz w:val="16"/>
              </w:rPr>
            </w:pPr>
            <w:r>
              <w:rPr>
                <w:sz w:val="16"/>
              </w:rPr>
              <w:t>b)</w:t>
              <w:tab/>
            </w:r>
            <w:r>
              <w:rPr>
                <w:spacing w:val="-1"/>
                <w:sz w:val="16"/>
              </w:rPr>
              <w:t>Multa </w:t>
            </w:r>
            <w:r>
              <w:rPr>
                <w:sz w:val="16"/>
              </w:rPr>
              <w:t>1100 DSMDGV</w:t>
            </w:r>
            <w:r>
              <w:rPr>
                <w:spacing w:val="1"/>
                <w:sz w:val="16"/>
              </w:rPr>
              <w:t> </w:t>
            </w:r>
            <w:r>
              <w:rPr>
                <w:sz w:val="16"/>
              </w:rPr>
              <w:t>**</w:t>
            </w:r>
          </w:p>
          <w:p>
            <w:pPr>
              <w:pStyle w:val="TableParagraph"/>
              <w:spacing w:before="1"/>
              <w:ind w:left="148"/>
              <w:rPr>
                <w:sz w:val="16"/>
              </w:rPr>
            </w:pPr>
            <w:r>
              <w:rPr>
                <w:w w:val="100"/>
                <w:sz w:val="16"/>
              </w:rPr>
              <w:t>=</w:t>
            </w:r>
          </w:p>
          <w:p>
            <w:pPr>
              <w:pStyle w:val="TableParagraph"/>
              <w:spacing w:before="1"/>
              <w:ind w:right="201"/>
              <w:rPr>
                <w:sz w:val="16"/>
              </w:rPr>
            </w:pPr>
            <w:r>
              <w:rPr>
                <w:sz w:val="16"/>
              </w:rPr>
              <w:t>$53,537.00 ($4,716.60</w:t>
            </w:r>
          </w:p>
          <w:p>
            <w:pPr>
              <w:pStyle w:val="TableParagraph"/>
              <w:spacing w:before="1"/>
              <w:ind w:right="101"/>
              <w:rPr>
                <w:sz w:val="16"/>
              </w:rPr>
            </w:pPr>
            <w:r>
              <w:rPr>
                <w:sz w:val="16"/>
              </w:rPr>
              <w:t>USD)</w:t>
            </w:r>
          </w:p>
        </w:tc>
        <w:tc>
          <w:tcPr>
            <w:tcW w:w="1133" w:type="dxa"/>
          </w:tcPr>
          <w:p>
            <w:pPr>
              <w:pStyle w:val="TableParagraph"/>
              <w:spacing w:line="180" w:lineRule="exact"/>
              <w:ind w:left="100"/>
              <w:rPr>
                <w:sz w:val="16"/>
              </w:rPr>
            </w:pPr>
            <w:r>
              <w:rPr>
                <w:sz w:val="16"/>
              </w:rPr>
              <w:t>b) Multa 150</w:t>
            </w:r>
          </w:p>
          <w:p>
            <w:pPr>
              <w:pStyle w:val="TableParagraph"/>
              <w:spacing w:before="1"/>
              <w:ind w:left="100" w:right="101"/>
              <w:rPr>
                <w:sz w:val="16"/>
              </w:rPr>
            </w:pPr>
            <w:r>
              <w:rPr>
                <w:sz w:val="16"/>
              </w:rPr>
              <w:t>= $7,300.50 ($643.17</w:t>
            </w:r>
          </w:p>
          <w:p>
            <w:pPr>
              <w:pStyle w:val="TableParagraph"/>
              <w:spacing w:before="1"/>
              <w:ind w:left="100" w:right="101"/>
              <w:rPr>
                <w:sz w:val="16"/>
              </w:rPr>
            </w:pPr>
            <w:r>
              <w:rPr>
                <w:sz w:val="16"/>
              </w:rPr>
              <w:t>USD)</w:t>
            </w:r>
          </w:p>
        </w:tc>
        <w:tc>
          <w:tcPr>
            <w:tcW w:w="1136" w:type="dxa"/>
          </w:tcPr>
          <w:p>
            <w:pPr>
              <w:pStyle w:val="TableParagraph"/>
              <w:spacing w:line="180" w:lineRule="exact"/>
              <w:rPr>
                <w:sz w:val="16"/>
              </w:rPr>
            </w:pPr>
            <w:r>
              <w:rPr>
                <w:sz w:val="16"/>
              </w:rPr>
              <w:t>b)  Multa  50</w:t>
            </w:r>
          </w:p>
          <w:p>
            <w:pPr>
              <w:pStyle w:val="TableParagraph"/>
              <w:tabs>
                <w:tab w:pos="530" w:val="left" w:leader="none"/>
              </w:tabs>
              <w:spacing w:before="1"/>
              <w:ind w:right="101"/>
              <w:rPr>
                <w:sz w:val="16"/>
              </w:rPr>
            </w:pPr>
            <w:r>
              <w:rPr>
                <w:sz w:val="16"/>
              </w:rPr>
              <w:t>= $2,433.50 ($</w:t>
              <w:tab/>
              <w:t>214.39</w:t>
            </w:r>
          </w:p>
          <w:p>
            <w:pPr>
              <w:pStyle w:val="TableParagraph"/>
              <w:spacing w:before="1"/>
              <w:ind w:right="101"/>
              <w:rPr>
                <w:sz w:val="16"/>
              </w:rPr>
            </w:pPr>
            <w:r>
              <w:rPr>
                <w:sz w:val="16"/>
              </w:rPr>
              <w:t>USD)</w:t>
            </w:r>
          </w:p>
        </w:tc>
        <w:tc>
          <w:tcPr>
            <w:tcW w:w="1133" w:type="dxa"/>
          </w:tcPr>
          <w:p>
            <w:pPr>
              <w:pStyle w:val="TableParagraph"/>
              <w:tabs>
                <w:tab w:pos="626" w:val="left" w:leader="none"/>
                <w:tab w:pos="923" w:val="left" w:leader="none"/>
              </w:tabs>
              <w:ind w:left="100" w:right="103"/>
              <w:rPr>
                <w:sz w:val="16"/>
              </w:rPr>
            </w:pPr>
            <w:r>
              <w:rPr>
                <w:sz w:val="16"/>
              </w:rPr>
              <w:t>b)</w:t>
              <w:tab/>
            </w:r>
            <w:r>
              <w:rPr>
                <w:spacing w:val="-1"/>
                <w:sz w:val="16"/>
              </w:rPr>
              <w:t>Multa </w:t>
            </w:r>
            <w:r>
              <w:rPr>
                <w:sz w:val="16"/>
              </w:rPr>
              <w:t>2900</w:t>
              <w:tab/>
              <w:tab/>
              <w:t>=</w:t>
            </w:r>
          </w:p>
          <w:p>
            <w:pPr>
              <w:pStyle w:val="TableParagraph"/>
              <w:ind w:left="100" w:right="113"/>
              <w:rPr>
                <w:sz w:val="16"/>
              </w:rPr>
            </w:pPr>
            <w:r>
              <w:rPr>
                <w:sz w:val="16"/>
              </w:rPr>
              <w:t>$141,143.00 ($12,434.69</w:t>
            </w:r>
          </w:p>
          <w:p>
            <w:pPr>
              <w:pStyle w:val="TableParagraph"/>
              <w:spacing w:before="1"/>
              <w:ind w:left="100" w:right="101"/>
              <w:rPr>
                <w:sz w:val="16"/>
              </w:rPr>
            </w:pPr>
            <w:r>
              <w:rPr>
                <w:sz w:val="16"/>
              </w:rPr>
              <w:t>USD)</w:t>
            </w:r>
          </w:p>
        </w:tc>
        <w:tc>
          <w:tcPr>
            <w:tcW w:w="1136" w:type="dxa"/>
          </w:tcPr>
          <w:p>
            <w:pPr>
              <w:pStyle w:val="TableParagraph"/>
              <w:tabs>
                <w:tab w:pos="628" w:val="left" w:leader="none"/>
                <w:tab w:pos="925" w:val="left" w:leader="none"/>
              </w:tabs>
              <w:ind w:right="103"/>
              <w:rPr>
                <w:sz w:val="16"/>
              </w:rPr>
            </w:pPr>
            <w:r>
              <w:rPr>
                <w:sz w:val="16"/>
              </w:rPr>
              <w:t>b)</w:t>
              <w:tab/>
              <w:t>Multa 1050</w:t>
              <w:tab/>
              <w:tab/>
              <w:t>=</w:t>
            </w:r>
          </w:p>
          <w:p>
            <w:pPr>
              <w:pStyle w:val="TableParagraph"/>
              <w:ind w:right="202"/>
              <w:rPr>
                <w:sz w:val="16"/>
              </w:rPr>
            </w:pPr>
            <w:r>
              <w:rPr>
                <w:sz w:val="16"/>
              </w:rPr>
              <w:t>$51,103.50 ($4,502.21</w:t>
            </w:r>
          </w:p>
          <w:p>
            <w:pPr>
              <w:pStyle w:val="TableParagraph"/>
              <w:spacing w:before="1"/>
              <w:rPr>
                <w:sz w:val="16"/>
              </w:rPr>
            </w:pPr>
            <w:r>
              <w:rPr>
                <w:sz w:val="16"/>
              </w:rPr>
              <w:t>USD)</w:t>
            </w:r>
          </w:p>
        </w:tc>
        <w:tc>
          <w:tcPr>
            <w:tcW w:w="991" w:type="dxa"/>
          </w:tcPr>
          <w:p>
            <w:pPr>
              <w:pStyle w:val="TableParagraph"/>
              <w:tabs>
                <w:tab w:pos="484" w:val="left" w:leader="none"/>
                <w:tab w:pos="784" w:val="left" w:leader="none"/>
              </w:tabs>
              <w:ind w:left="100" w:right="101"/>
              <w:rPr>
                <w:sz w:val="16"/>
              </w:rPr>
            </w:pPr>
            <w:r>
              <w:rPr>
                <w:sz w:val="16"/>
              </w:rPr>
              <w:t>b)</w:t>
              <w:tab/>
              <w:t>Multa 1050</w:t>
              <w:tab/>
              <w:tab/>
              <w:t>=</w:t>
            </w:r>
          </w:p>
          <w:p>
            <w:pPr>
              <w:pStyle w:val="TableParagraph"/>
              <w:ind w:left="100" w:right="96"/>
              <w:rPr>
                <w:sz w:val="16"/>
              </w:rPr>
            </w:pPr>
            <w:r>
              <w:rPr>
                <w:sz w:val="16"/>
              </w:rPr>
              <w:t>$51,103.5 0 ($4,502.21</w:t>
            </w:r>
          </w:p>
          <w:p>
            <w:pPr>
              <w:pStyle w:val="TableParagraph"/>
              <w:spacing w:line="182" w:lineRule="exact"/>
              <w:ind w:left="100" w:right="98"/>
              <w:rPr>
                <w:sz w:val="16"/>
              </w:rPr>
            </w:pPr>
            <w:r>
              <w:rPr>
                <w:sz w:val="16"/>
              </w:rPr>
              <w:t>USD)</w:t>
            </w:r>
          </w:p>
        </w:tc>
        <w:tc>
          <w:tcPr>
            <w:tcW w:w="1135" w:type="dxa"/>
          </w:tcPr>
          <w:p>
            <w:pPr>
              <w:pStyle w:val="TableParagraph"/>
              <w:spacing w:line="180" w:lineRule="exact"/>
              <w:rPr>
                <w:sz w:val="16"/>
              </w:rPr>
            </w:pPr>
            <w:r>
              <w:rPr>
                <w:sz w:val="16"/>
              </w:rPr>
              <w:t>b) Multa 200</w:t>
            </w:r>
          </w:p>
          <w:p>
            <w:pPr>
              <w:pStyle w:val="TableParagraph"/>
              <w:spacing w:before="1"/>
              <w:ind w:right="101"/>
              <w:rPr>
                <w:sz w:val="16"/>
              </w:rPr>
            </w:pPr>
            <w:r>
              <w:rPr>
                <w:sz w:val="16"/>
              </w:rPr>
              <w:t>= $9,734.00 ($857.56</w:t>
            </w:r>
          </w:p>
          <w:p>
            <w:pPr>
              <w:pStyle w:val="TableParagraph"/>
              <w:spacing w:before="1"/>
              <w:ind w:right="101"/>
              <w:rPr>
                <w:sz w:val="16"/>
              </w:rPr>
            </w:pPr>
            <w:r>
              <w:rPr>
                <w:sz w:val="16"/>
              </w:rPr>
              <w:t>USD)</w:t>
            </w:r>
          </w:p>
        </w:tc>
        <w:tc>
          <w:tcPr>
            <w:tcW w:w="992" w:type="dxa"/>
          </w:tcPr>
          <w:p>
            <w:pPr>
              <w:pStyle w:val="TableParagraph"/>
              <w:tabs>
                <w:tab w:pos="486" w:val="left" w:leader="none"/>
                <w:tab w:pos="786" w:val="left" w:leader="none"/>
              </w:tabs>
              <w:ind w:right="99"/>
              <w:rPr>
                <w:sz w:val="16"/>
              </w:rPr>
            </w:pPr>
            <w:r>
              <w:rPr>
                <w:sz w:val="16"/>
              </w:rPr>
              <w:t>b)</w:t>
              <w:tab/>
              <w:t>Multa 1,700</w:t>
              <w:tab/>
              <w:t>=</w:t>
            </w:r>
          </w:p>
          <w:p>
            <w:pPr>
              <w:pStyle w:val="TableParagraph"/>
              <w:ind w:right="94"/>
              <w:rPr>
                <w:sz w:val="16"/>
              </w:rPr>
            </w:pPr>
            <w:r>
              <w:rPr>
                <w:sz w:val="16"/>
              </w:rPr>
              <w:t>$82,739.0 0 ($7,289.30</w:t>
            </w:r>
          </w:p>
          <w:p>
            <w:pPr>
              <w:pStyle w:val="TableParagraph"/>
              <w:spacing w:line="182" w:lineRule="exact"/>
              <w:ind w:right="94"/>
              <w:rPr>
                <w:sz w:val="16"/>
              </w:rPr>
            </w:pPr>
            <w:r>
              <w:rPr>
                <w:sz w:val="16"/>
              </w:rPr>
              <w:t>USD)</w:t>
            </w:r>
          </w:p>
        </w:tc>
      </w:tr>
      <w:tr>
        <w:trPr>
          <w:trHeight w:val="1296" w:hRule="exact"/>
        </w:trPr>
        <w:tc>
          <w:tcPr>
            <w:tcW w:w="1135" w:type="dxa"/>
          </w:tcPr>
          <w:p>
            <w:pPr>
              <w:pStyle w:val="TableParagraph"/>
              <w:spacing w:line="180" w:lineRule="exact"/>
              <w:ind w:right="101"/>
              <w:rPr>
                <w:sz w:val="16"/>
              </w:rPr>
            </w:pPr>
            <w:r>
              <w:rPr>
                <w:sz w:val="16"/>
              </w:rPr>
              <w:t>c) Multa 600</w:t>
            </w:r>
          </w:p>
          <w:p>
            <w:pPr>
              <w:pStyle w:val="TableParagraph"/>
              <w:spacing w:line="183" w:lineRule="exact" w:before="1"/>
              <w:rPr>
                <w:sz w:val="16"/>
              </w:rPr>
            </w:pPr>
            <w:r>
              <w:rPr>
                <w:w w:val="100"/>
                <w:sz w:val="16"/>
              </w:rPr>
              <w:t>=</w:t>
            </w:r>
          </w:p>
          <w:p>
            <w:pPr>
              <w:pStyle w:val="TableParagraph"/>
              <w:spacing w:line="183" w:lineRule="exact"/>
              <w:ind w:right="101"/>
              <w:rPr>
                <w:sz w:val="16"/>
              </w:rPr>
            </w:pPr>
            <w:r>
              <w:rPr>
                <w:sz w:val="16"/>
              </w:rPr>
              <w:t>$29,202.00(</w:t>
            </w:r>
          </w:p>
          <w:p>
            <w:pPr>
              <w:pStyle w:val="TableParagraph"/>
              <w:spacing w:before="1"/>
              <w:ind w:right="101"/>
              <w:rPr>
                <w:sz w:val="16"/>
              </w:rPr>
            </w:pPr>
            <w:r>
              <w:rPr>
                <w:sz w:val="16"/>
              </w:rPr>
              <w:t>$2,572.69</w:t>
            </w:r>
          </w:p>
          <w:p>
            <w:pPr>
              <w:pStyle w:val="TableParagraph"/>
              <w:spacing w:before="1"/>
              <w:ind w:right="101"/>
              <w:rPr>
                <w:sz w:val="16"/>
              </w:rPr>
            </w:pPr>
            <w:r>
              <w:rPr>
                <w:sz w:val="16"/>
              </w:rPr>
              <w:t>USD)</w:t>
            </w:r>
          </w:p>
        </w:tc>
        <w:tc>
          <w:tcPr>
            <w:tcW w:w="1133" w:type="dxa"/>
          </w:tcPr>
          <w:p>
            <w:pPr>
              <w:pStyle w:val="TableParagraph"/>
              <w:tabs>
                <w:tab w:pos="925" w:val="left" w:leader="none"/>
              </w:tabs>
              <w:ind w:left="100" w:right="101"/>
              <w:rPr>
                <w:sz w:val="16"/>
              </w:rPr>
            </w:pPr>
            <w:r>
              <w:rPr>
                <w:sz w:val="16"/>
              </w:rPr>
              <w:t>c) Reducción 0.51%</w:t>
              <w:tab/>
              <w:t>=</w:t>
            </w:r>
          </w:p>
          <w:p>
            <w:pPr>
              <w:pStyle w:val="TableParagraph"/>
              <w:spacing w:before="1"/>
              <w:ind w:left="100" w:right="149"/>
              <w:rPr>
                <w:sz w:val="16"/>
              </w:rPr>
            </w:pPr>
            <w:r>
              <w:rPr>
                <w:sz w:val="16"/>
              </w:rPr>
              <w:t>$1,316,358. 77 ($115,971.2 0 USD)</w:t>
            </w:r>
          </w:p>
        </w:tc>
        <w:tc>
          <w:tcPr>
            <w:tcW w:w="1136" w:type="dxa"/>
          </w:tcPr>
          <w:p>
            <w:pPr>
              <w:pStyle w:val="TableParagraph"/>
              <w:ind w:right="102"/>
              <w:rPr>
                <w:sz w:val="16"/>
              </w:rPr>
            </w:pPr>
            <w:r>
              <w:rPr>
                <w:sz w:val="16"/>
              </w:rPr>
              <w:t>c) Reducción de  0.37% </w:t>
            </w:r>
            <w:r>
              <w:rPr>
                <w:spacing w:val="12"/>
                <w:sz w:val="16"/>
              </w:rPr>
              <w:t> </w:t>
            </w:r>
            <w:r>
              <w:rPr>
                <w:sz w:val="16"/>
              </w:rPr>
              <w:t>=</w:t>
            </w:r>
          </w:p>
          <w:p>
            <w:pPr>
              <w:pStyle w:val="TableParagraph"/>
              <w:spacing w:before="1"/>
              <w:ind w:right="113"/>
              <w:rPr>
                <w:sz w:val="16"/>
              </w:rPr>
            </w:pPr>
            <w:r>
              <w:rPr>
                <w:sz w:val="16"/>
              </w:rPr>
              <w:t>$409,108.23 ($36,042.43</w:t>
            </w:r>
          </w:p>
          <w:p>
            <w:pPr>
              <w:pStyle w:val="TableParagraph"/>
              <w:spacing w:line="182" w:lineRule="exact"/>
              <w:ind w:right="101"/>
              <w:rPr>
                <w:sz w:val="16"/>
              </w:rPr>
            </w:pPr>
            <w:r>
              <w:rPr>
                <w:sz w:val="16"/>
              </w:rPr>
              <w:t>USD)</w:t>
            </w:r>
          </w:p>
        </w:tc>
        <w:tc>
          <w:tcPr>
            <w:tcW w:w="1133" w:type="dxa"/>
          </w:tcPr>
          <w:p>
            <w:pPr>
              <w:pStyle w:val="TableParagraph"/>
              <w:spacing w:line="180" w:lineRule="exact"/>
              <w:ind w:left="100" w:right="101"/>
              <w:rPr>
                <w:sz w:val="16"/>
              </w:rPr>
            </w:pPr>
            <w:r>
              <w:rPr>
                <w:sz w:val="16"/>
              </w:rPr>
              <w:t>c)Multa  890</w:t>
            </w:r>
          </w:p>
          <w:p>
            <w:pPr>
              <w:pStyle w:val="TableParagraph"/>
              <w:spacing w:line="183" w:lineRule="exact" w:before="1"/>
              <w:ind w:left="100"/>
              <w:rPr>
                <w:sz w:val="16"/>
              </w:rPr>
            </w:pPr>
            <w:r>
              <w:rPr>
                <w:w w:val="100"/>
                <w:sz w:val="16"/>
              </w:rPr>
              <w:t>=</w:t>
            </w:r>
          </w:p>
          <w:p>
            <w:pPr>
              <w:pStyle w:val="TableParagraph"/>
              <w:ind w:left="100" w:right="202"/>
              <w:rPr>
                <w:sz w:val="16"/>
              </w:rPr>
            </w:pPr>
            <w:r>
              <w:rPr>
                <w:sz w:val="16"/>
              </w:rPr>
              <w:t>$43,316.30 ($3,816.16</w:t>
            </w:r>
          </w:p>
          <w:p>
            <w:pPr>
              <w:pStyle w:val="TableParagraph"/>
              <w:spacing w:before="1"/>
              <w:ind w:left="100" w:right="101"/>
              <w:rPr>
                <w:sz w:val="16"/>
              </w:rPr>
            </w:pPr>
            <w:r>
              <w:rPr>
                <w:sz w:val="16"/>
              </w:rPr>
              <w:t>USD)</w:t>
            </w:r>
          </w:p>
        </w:tc>
        <w:tc>
          <w:tcPr>
            <w:tcW w:w="1136" w:type="dxa"/>
          </w:tcPr>
          <w:p>
            <w:pPr>
              <w:pStyle w:val="TableParagraph"/>
              <w:spacing w:line="180" w:lineRule="exact"/>
              <w:rPr>
                <w:sz w:val="16"/>
              </w:rPr>
            </w:pPr>
            <w:r>
              <w:rPr>
                <w:sz w:val="16"/>
              </w:rPr>
              <w:t>c) Multa 336</w:t>
            </w:r>
          </w:p>
          <w:p>
            <w:pPr>
              <w:pStyle w:val="TableParagraph"/>
              <w:spacing w:line="183" w:lineRule="exact" w:before="1"/>
              <w:rPr>
                <w:sz w:val="16"/>
              </w:rPr>
            </w:pPr>
            <w:r>
              <w:rPr>
                <w:w w:val="100"/>
                <w:sz w:val="16"/>
              </w:rPr>
              <w:t>=</w:t>
            </w:r>
          </w:p>
          <w:p>
            <w:pPr>
              <w:pStyle w:val="TableParagraph"/>
              <w:ind w:right="202"/>
              <w:rPr>
                <w:sz w:val="16"/>
              </w:rPr>
            </w:pPr>
            <w:r>
              <w:rPr>
                <w:sz w:val="16"/>
              </w:rPr>
              <w:t>$16,353.12 ($1,440.7</w:t>
            </w:r>
          </w:p>
          <w:p>
            <w:pPr>
              <w:pStyle w:val="TableParagraph"/>
              <w:spacing w:before="1"/>
              <w:rPr>
                <w:sz w:val="16"/>
              </w:rPr>
            </w:pPr>
            <w:r>
              <w:rPr>
                <w:sz w:val="16"/>
              </w:rPr>
              <w:t>USD)</w:t>
            </w:r>
          </w:p>
        </w:tc>
        <w:tc>
          <w:tcPr>
            <w:tcW w:w="991" w:type="dxa"/>
          </w:tcPr>
          <w:p>
            <w:pPr>
              <w:pStyle w:val="TableParagraph"/>
              <w:tabs>
                <w:tab w:pos="486" w:val="left" w:leader="none"/>
              </w:tabs>
              <w:spacing w:line="180" w:lineRule="exact"/>
              <w:ind w:left="100"/>
              <w:rPr>
                <w:sz w:val="16"/>
              </w:rPr>
            </w:pPr>
            <w:r>
              <w:rPr>
                <w:sz w:val="16"/>
              </w:rPr>
              <w:t>c)</w:t>
              <w:tab/>
              <w:t>Multa</w:t>
            </w:r>
          </w:p>
          <w:p>
            <w:pPr>
              <w:pStyle w:val="TableParagraph"/>
              <w:tabs>
                <w:tab w:pos="784" w:val="left" w:leader="none"/>
              </w:tabs>
              <w:spacing w:line="183" w:lineRule="exact" w:before="1"/>
              <w:ind w:left="100"/>
              <w:rPr>
                <w:sz w:val="16"/>
              </w:rPr>
            </w:pPr>
            <w:r>
              <w:rPr>
                <w:sz w:val="16"/>
              </w:rPr>
              <w:t>330</w:t>
              <w:tab/>
              <w:t>=</w:t>
            </w:r>
          </w:p>
          <w:p>
            <w:pPr>
              <w:pStyle w:val="TableParagraph"/>
              <w:ind w:left="100" w:right="96"/>
              <w:rPr>
                <w:sz w:val="16"/>
              </w:rPr>
            </w:pPr>
            <w:r>
              <w:rPr>
                <w:sz w:val="16"/>
              </w:rPr>
              <w:t>$16,061.1 0 ($1,414.98</w:t>
            </w:r>
          </w:p>
          <w:p>
            <w:pPr>
              <w:pStyle w:val="TableParagraph"/>
              <w:spacing w:line="182" w:lineRule="exact"/>
              <w:ind w:left="100" w:right="98"/>
              <w:rPr>
                <w:sz w:val="16"/>
              </w:rPr>
            </w:pPr>
            <w:r>
              <w:rPr>
                <w:sz w:val="16"/>
              </w:rPr>
              <w:t>USD)</w:t>
            </w:r>
          </w:p>
        </w:tc>
        <w:tc>
          <w:tcPr>
            <w:tcW w:w="1135" w:type="dxa"/>
          </w:tcPr>
          <w:p>
            <w:pPr>
              <w:pStyle w:val="TableParagraph"/>
              <w:spacing w:line="180" w:lineRule="exact"/>
              <w:ind w:right="101"/>
              <w:rPr>
                <w:sz w:val="16"/>
              </w:rPr>
            </w:pPr>
            <w:r>
              <w:rPr>
                <w:sz w:val="16"/>
              </w:rPr>
              <w:t>c) Multa 250</w:t>
            </w:r>
          </w:p>
          <w:p>
            <w:pPr>
              <w:pStyle w:val="TableParagraph"/>
              <w:spacing w:line="183" w:lineRule="exact" w:before="1"/>
              <w:rPr>
                <w:sz w:val="16"/>
              </w:rPr>
            </w:pPr>
            <w:r>
              <w:rPr>
                <w:w w:val="100"/>
                <w:sz w:val="16"/>
              </w:rPr>
              <w:t>=</w:t>
            </w:r>
          </w:p>
          <w:p>
            <w:pPr>
              <w:pStyle w:val="TableParagraph"/>
              <w:ind w:right="201"/>
              <w:rPr>
                <w:sz w:val="16"/>
              </w:rPr>
            </w:pPr>
            <w:r>
              <w:rPr>
                <w:sz w:val="16"/>
              </w:rPr>
              <w:t>$12,167.50 ($1,071.95</w:t>
            </w:r>
          </w:p>
          <w:p>
            <w:pPr>
              <w:pStyle w:val="TableParagraph"/>
              <w:spacing w:before="1"/>
              <w:ind w:right="101"/>
              <w:rPr>
                <w:sz w:val="16"/>
              </w:rPr>
            </w:pPr>
            <w:r>
              <w:rPr>
                <w:sz w:val="16"/>
              </w:rPr>
              <w:t>USD)</w:t>
            </w:r>
          </w:p>
        </w:tc>
        <w:tc>
          <w:tcPr>
            <w:tcW w:w="992" w:type="dxa"/>
          </w:tcPr>
          <w:p>
            <w:pPr>
              <w:pStyle w:val="TableParagraph"/>
              <w:tabs>
                <w:tab w:pos="489" w:val="left" w:leader="none"/>
                <w:tab w:pos="784" w:val="left" w:leader="none"/>
              </w:tabs>
              <w:ind w:right="99"/>
              <w:rPr>
                <w:sz w:val="16"/>
              </w:rPr>
            </w:pPr>
            <w:r>
              <w:rPr>
                <w:sz w:val="16"/>
              </w:rPr>
              <w:t>c)</w:t>
              <w:tab/>
            </w:r>
            <w:r>
              <w:rPr>
                <w:spacing w:val="-1"/>
                <w:sz w:val="16"/>
              </w:rPr>
              <w:t>Multa </w:t>
            </w:r>
            <w:r>
              <w:rPr>
                <w:sz w:val="16"/>
              </w:rPr>
              <w:t>1000</w:t>
              <w:tab/>
              <w:tab/>
              <w:t>=</w:t>
            </w:r>
          </w:p>
          <w:p>
            <w:pPr>
              <w:pStyle w:val="TableParagraph"/>
              <w:ind w:right="94"/>
              <w:rPr>
                <w:sz w:val="16"/>
              </w:rPr>
            </w:pPr>
            <w:r>
              <w:rPr>
                <w:sz w:val="16"/>
              </w:rPr>
              <w:t>$48,670.0 0 ($4,287.82</w:t>
            </w:r>
          </w:p>
          <w:p>
            <w:pPr>
              <w:pStyle w:val="TableParagraph"/>
              <w:spacing w:line="182" w:lineRule="exact"/>
              <w:ind w:right="94"/>
              <w:rPr>
                <w:sz w:val="16"/>
              </w:rPr>
            </w:pPr>
            <w:r>
              <w:rPr>
                <w:sz w:val="16"/>
              </w:rPr>
              <w:t>USD)</w:t>
            </w:r>
          </w:p>
        </w:tc>
      </w:tr>
      <w:tr>
        <w:trPr>
          <w:trHeight w:val="1298" w:hRule="exact"/>
        </w:trPr>
        <w:tc>
          <w:tcPr>
            <w:tcW w:w="1135" w:type="dxa"/>
          </w:tcPr>
          <w:p>
            <w:pPr>
              <w:pStyle w:val="TableParagraph"/>
              <w:tabs>
                <w:tab w:pos="628" w:val="left" w:leader="none"/>
                <w:tab w:pos="928" w:val="left" w:leader="none"/>
              </w:tabs>
              <w:ind w:right="101"/>
              <w:rPr>
                <w:sz w:val="16"/>
              </w:rPr>
            </w:pPr>
            <w:r>
              <w:rPr>
                <w:sz w:val="16"/>
              </w:rPr>
              <w:t>d)</w:t>
              <w:tab/>
              <w:t>Multa 2,500</w:t>
              <w:tab/>
              <w:tab/>
              <w:t>=</w:t>
            </w:r>
          </w:p>
          <w:p>
            <w:pPr>
              <w:pStyle w:val="TableParagraph"/>
              <w:spacing w:before="1"/>
              <w:ind w:right="112"/>
              <w:rPr>
                <w:sz w:val="16"/>
              </w:rPr>
            </w:pPr>
            <w:r>
              <w:rPr>
                <w:sz w:val="16"/>
              </w:rPr>
              <w:t>$121,675.00 ($10,719.56</w:t>
            </w:r>
          </w:p>
          <w:p>
            <w:pPr>
              <w:pStyle w:val="TableParagraph"/>
              <w:spacing w:line="182" w:lineRule="exact"/>
              <w:ind w:right="101"/>
              <w:rPr>
                <w:sz w:val="16"/>
              </w:rPr>
            </w:pPr>
            <w:r>
              <w:rPr>
                <w:sz w:val="16"/>
              </w:rPr>
              <w:t>USD)</w:t>
            </w:r>
          </w:p>
        </w:tc>
        <w:tc>
          <w:tcPr>
            <w:tcW w:w="1133" w:type="dxa"/>
          </w:tcPr>
          <w:p>
            <w:pPr>
              <w:pStyle w:val="TableParagraph"/>
              <w:tabs>
                <w:tab w:pos="925" w:val="left" w:leader="none"/>
              </w:tabs>
              <w:ind w:left="100" w:right="101"/>
              <w:rPr>
                <w:sz w:val="16"/>
              </w:rPr>
            </w:pPr>
            <w:r>
              <w:rPr>
                <w:sz w:val="16"/>
              </w:rPr>
              <w:t>d) Reducción 0.69%</w:t>
              <w:tab/>
              <w:t>=</w:t>
            </w:r>
          </w:p>
          <w:p>
            <w:pPr>
              <w:pStyle w:val="TableParagraph"/>
              <w:spacing w:before="1"/>
              <w:ind w:left="100" w:right="149"/>
              <w:rPr>
                <w:sz w:val="16"/>
              </w:rPr>
            </w:pPr>
            <w:r>
              <w:rPr>
                <w:sz w:val="16"/>
              </w:rPr>
              <w:t>$1,787,963. 74 ($157,519.6 0 USD)</w:t>
            </w:r>
          </w:p>
        </w:tc>
        <w:tc>
          <w:tcPr>
            <w:tcW w:w="1136" w:type="dxa"/>
          </w:tcPr>
          <w:p>
            <w:pPr>
              <w:pStyle w:val="TableParagraph"/>
              <w:tabs>
                <w:tab w:pos="928" w:val="left" w:leader="none"/>
              </w:tabs>
              <w:ind w:right="101"/>
              <w:rPr>
                <w:sz w:val="16"/>
              </w:rPr>
            </w:pPr>
            <w:r>
              <w:rPr>
                <w:sz w:val="16"/>
              </w:rPr>
              <w:t>d) Reducción 0.50%</w:t>
              <w:tab/>
              <w:t>=</w:t>
            </w:r>
          </w:p>
          <w:p>
            <w:pPr>
              <w:pStyle w:val="TableParagraph"/>
              <w:spacing w:before="1"/>
              <w:ind w:right="113"/>
              <w:rPr>
                <w:sz w:val="16"/>
              </w:rPr>
            </w:pPr>
            <w:r>
              <w:rPr>
                <w:sz w:val="16"/>
              </w:rPr>
              <w:t>$555,677.29 ($48,955.16</w:t>
            </w:r>
          </w:p>
          <w:p>
            <w:pPr>
              <w:pStyle w:val="TableParagraph"/>
              <w:spacing w:before="1"/>
              <w:ind w:right="101"/>
              <w:rPr>
                <w:sz w:val="16"/>
              </w:rPr>
            </w:pPr>
            <w:r>
              <w:rPr>
                <w:sz w:val="16"/>
              </w:rPr>
              <w:t>USD)</w:t>
            </w:r>
          </w:p>
        </w:tc>
        <w:tc>
          <w:tcPr>
            <w:tcW w:w="1133" w:type="dxa"/>
          </w:tcPr>
          <w:p>
            <w:pPr>
              <w:pStyle w:val="TableParagraph"/>
              <w:tabs>
                <w:tab w:pos="626" w:val="left" w:leader="none"/>
                <w:tab w:pos="925" w:val="left" w:leader="none"/>
              </w:tabs>
              <w:ind w:left="100" w:right="101"/>
              <w:rPr>
                <w:sz w:val="16"/>
              </w:rPr>
            </w:pPr>
            <w:r>
              <w:rPr>
                <w:sz w:val="16"/>
              </w:rPr>
              <w:t>d)</w:t>
              <w:tab/>
              <w:t>Multa 2,310</w:t>
              <w:tab/>
              <w:tab/>
              <w:t>=</w:t>
            </w:r>
          </w:p>
          <w:p>
            <w:pPr>
              <w:pStyle w:val="TableParagraph"/>
              <w:spacing w:before="1"/>
              <w:ind w:left="100" w:right="113"/>
              <w:rPr>
                <w:sz w:val="16"/>
              </w:rPr>
            </w:pPr>
            <w:r>
              <w:rPr>
                <w:sz w:val="16"/>
              </w:rPr>
              <w:t>$112,427.70 ($9,904.88</w:t>
            </w:r>
          </w:p>
          <w:p>
            <w:pPr>
              <w:pStyle w:val="TableParagraph"/>
              <w:spacing w:line="182" w:lineRule="exact"/>
              <w:ind w:left="100" w:right="101"/>
              <w:rPr>
                <w:sz w:val="16"/>
              </w:rPr>
            </w:pPr>
            <w:r>
              <w:rPr>
                <w:sz w:val="16"/>
              </w:rPr>
              <w:t>USD)</w:t>
            </w:r>
          </w:p>
        </w:tc>
        <w:tc>
          <w:tcPr>
            <w:tcW w:w="1136" w:type="dxa"/>
          </w:tcPr>
          <w:p>
            <w:pPr>
              <w:pStyle w:val="TableParagraph"/>
              <w:spacing w:line="182" w:lineRule="exact"/>
              <w:rPr>
                <w:sz w:val="16"/>
              </w:rPr>
            </w:pPr>
            <w:r>
              <w:rPr>
                <w:sz w:val="16"/>
              </w:rPr>
              <w:t>d) Multa 865</w:t>
            </w:r>
          </w:p>
          <w:p>
            <w:pPr>
              <w:pStyle w:val="TableParagraph"/>
              <w:spacing w:line="183" w:lineRule="exact"/>
              <w:rPr>
                <w:sz w:val="16"/>
              </w:rPr>
            </w:pPr>
            <w:r>
              <w:rPr>
                <w:w w:val="100"/>
                <w:sz w:val="16"/>
              </w:rPr>
              <w:t>=</w:t>
            </w:r>
          </w:p>
          <w:p>
            <w:pPr>
              <w:pStyle w:val="TableParagraph"/>
              <w:spacing w:before="1"/>
              <w:ind w:right="202"/>
              <w:rPr>
                <w:sz w:val="16"/>
              </w:rPr>
            </w:pPr>
            <w:r>
              <w:rPr>
                <w:sz w:val="16"/>
              </w:rPr>
              <w:t>$42,099.55 ($3,708.97</w:t>
            </w:r>
          </w:p>
          <w:p>
            <w:pPr>
              <w:pStyle w:val="TableParagraph"/>
              <w:spacing w:line="182" w:lineRule="exact"/>
              <w:rPr>
                <w:sz w:val="16"/>
              </w:rPr>
            </w:pPr>
            <w:r>
              <w:rPr>
                <w:sz w:val="16"/>
              </w:rPr>
              <w:t>USD)</w:t>
            </w:r>
          </w:p>
        </w:tc>
        <w:tc>
          <w:tcPr>
            <w:tcW w:w="991" w:type="dxa"/>
          </w:tcPr>
          <w:p>
            <w:pPr>
              <w:pStyle w:val="TableParagraph"/>
              <w:tabs>
                <w:tab w:pos="484" w:val="left" w:leader="none"/>
              </w:tabs>
              <w:spacing w:line="182" w:lineRule="exact"/>
              <w:ind w:left="100"/>
              <w:rPr>
                <w:sz w:val="16"/>
              </w:rPr>
            </w:pPr>
            <w:r>
              <w:rPr>
                <w:sz w:val="16"/>
              </w:rPr>
              <w:t>d)</w:t>
              <w:tab/>
              <w:t>Multa</w:t>
            </w:r>
          </w:p>
          <w:p>
            <w:pPr>
              <w:pStyle w:val="TableParagraph"/>
              <w:tabs>
                <w:tab w:pos="784" w:val="left" w:leader="none"/>
              </w:tabs>
              <w:spacing w:line="183" w:lineRule="exact"/>
              <w:ind w:left="100"/>
              <w:rPr>
                <w:sz w:val="16"/>
              </w:rPr>
            </w:pPr>
            <w:r>
              <w:rPr>
                <w:sz w:val="16"/>
              </w:rPr>
              <w:t>852</w:t>
              <w:tab/>
              <w:t>=</w:t>
            </w:r>
          </w:p>
          <w:p>
            <w:pPr>
              <w:pStyle w:val="TableParagraph"/>
              <w:spacing w:before="1"/>
              <w:ind w:left="100" w:right="96"/>
              <w:rPr>
                <w:sz w:val="16"/>
              </w:rPr>
            </w:pPr>
            <w:r>
              <w:rPr>
                <w:sz w:val="16"/>
              </w:rPr>
              <w:t>$41,466.8 4 ($3,653.22</w:t>
            </w:r>
          </w:p>
          <w:p>
            <w:pPr>
              <w:pStyle w:val="TableParagraph"/>
              <w:spacing w:before="1"/>
              <w:ind w:left="100" w:right="98"/>
              <w:rPr>
                <w:sz w:val="16"/>
              </w:rPr>
            </w:pPr>
            <w:r>
              <w:rPr>
                <w:sz w:val="16"/>
              </w:rPr>
              <w:t>USD)</w:t>
            </w:r>
          </w:p>
        </w:tc>
        <w:tc>
          <w:tcPr>
            <w:tcW w:w="1135" w:type="dxa"/>
          </w:tcPr>
          <w:p>
            <w:pPr>
              <w:pStyle w:val="TableParagraph"/>
              <w:spacing w:line="182" w:lineRule="exact"/>
              <w:rPr>
                <w:sz w:val="16"/>
              </w:rPr>
            </w:pPr>
            <w:r>
              <w:rPr>
                <w:sz w:val="16"/>
              </w:rPr>
              <w:t>d) Multa 350</w:t>
            </w:r>
          </w:p>
          <w:p>
            <w:pPr>
              <w:pStyle w:val="TableParagraph"/>
              <w:spacing w:line="183" w:lineRule="exact"/>
              <w:rPr>
                <w:sz w:val="16"/>
              </w:rPr>
            </w:pPr>
            <w:r>
              <w:rPr>
                <w:w w:val="100"/>
                <w:sz w:val="16"/>
              </w:rPr>
              <w:t>=</w:t>
            </w:r>
          </w:p>
          <w:p>
            <w:pPr>
              <w:pStyle w:val="TableParagraph"/>
              <w:spacing w:before="1"/>
              <w:ind w:right="201"/>
              <w:rPr>
                <w:sz w:val="16"/>
              </w:rPr>
            </w:pPr>
            <w:r>
              <w:rPr>
                <w:sz w:val="16"/>
              </w:rPr>
              <w:t>$17,034.50 ($1,500.73</w:t>
            </w:r>
          </w:p>
          <w:p>
            <w:pPr>
              <w:pStyle w:val="TableParagraph"/>
              <w:spacing w:line="182" w:lineRule="exact"/>
              <w:ind w:right="101"/>
              <w:rPr>
                <w:sz w:val="16"/>
              </w:rPr>
            </w:pPr>
            <w:r>
              <w:rPr>
                <w:sz w:val="16"/>
              </w:rPr>
              <w:t>USD)</w:t>
            </w:r>
          </w:p>
        </w:tc>
        <w:tc>
          <w:tcPr>
            <w:tcW w:w="992" w:type="dxa"/>
          </w:tcPr>
          <w:p>
            <w:pPr>
              <w:pStyle w:val="TableParagraph"/>
              <w:tabs>
                <w:tab w:pos="486" w:val="left" w:leader="none"/>
              </w:tabs>
              <w:spacing w:line="182" w:lineRule="exact"/>
              <w:rPr>
                <w:sz w:val="16"/>
              </w:rPr>
            </w:pPr>
            <w:r>
              <w:rPr>
                <w:sz w:val="16"/>
              </w:rPr>
              <w:t>d)</w:t>
              <w:tab/>
              <w:t>Multa</w:t>
            </w:r>
          </w:p>
          <w:p>
            <w:pPr>
              <w:pStyle w:val="TableParagraph"/>
              <w:tabs>
                <w:tab w:pos="784" w:val="left" w:leader="none"/>
              </w:tabs>
              <w:spacing w:line="183" w:lineRule="exact"/>
              <w:rPr>
                <w:sz w:val="16"/>
              </w:rPr>
            </w:pPr>
            <w:r>
              <w:rPr>
                <w:sz w:val="16"/>
              </w:rPr>
              <w:t>140</w:t>
              <w:tab/>
              <w:t>=</w:t>
            </w:r>
          </w:p>
          <w:p>
            <w:pPr>
              <w:pStyle w:val="TableParagraph"/>
              <w:spacing w:before="1"/>
              <w:ind w:right="147"/>
              <w:rPr>
                <w:sz w:val="16"/>
              </w:rPr>
            </w:pPr>
            <w:r>
              <w:rPr>
                <w:sz w:val="16"/>
              </w:rPr>
              <w:t>$6,813.80 ($600.29</w:t>
            </w:r>
          </w:p>
          <w:p>
            <w:pPr>
              <w:pStyle w:val="TableParagraph"/>
              <w:spacing w:line="182" w:lineRule="exact"/>
              <w:ind w:right="94"/>
              <w:rPr>
                <w:sz w:val="16"/>
              </w:rPr>
            </w:pPr>
            <w:r>
              <w:rPr>
                <w:sz w:val="16"/>
              </w:rPr>
              <w:t>USD)</w:t>
            </w:r>
          </w:p>
        </w:tc>
      </w:tr>
      <w:tr>
        <w:trPr>
          <w:trHeight w:val="1298" w:hRule="exact"/>
        </w:trPr>
        <w:tc>
          <w:tcPr>
            <w:tcW w:w="1135" w:type="dxa"/>
          </w:tcPr>
          <w:p>
            <w:pPr>
              <w:pStyle w:val="TableParagraph"/>
              <w:tabs>
                <w:tab w:pos="928" w:val="left" w:leader="none"/>
              </w:tabs>
              <w:ind w:right="101"/>
              <w:rPr>
                <w:sz w:val="16"/>
              </w:rPr>
            </w:pPr>
            <w:r>
              <w:rPr>
                <w:sz w:val="16"/>
              </w:rPr>
              <w:t>e) Reducción 0.07%</w:t>
              <w:tab/>
              <w:t>=</w:t>
            </w:r>
          </w:p>
          <w:p>
            <w:pPr>
              <w:pStyle w:val="TableParagraph"/>
              <w:ind w:right="112"/>
              <w:rPr>
                <w:sz w:val="16"/>
              </w:rPr>
            </w:pPr>
            <w:r>
              <w:rPr>
                <w:sz w:val="16"/>
              </w:rPr>
              <w:t>$274,400.00 ($24,174.64</w:t>
            </w:r>
          </w:p>
          <w:p>
            <w:pPr>
              <w:pStyle w:val="TableParagraph"/>
              <w:spacing w:before="1"/>
              <w:ind w:right="101"/>
              <w:rPr>
                <w:sz w:val="16"/>
              </w:rPr>
            </w:pPr>
            <w:r>
              <w:rPr>
                <w:sz w:val="16"/>
              </w:rPr>
              <w:t>USD)</w:t>
            </w:r>
          </w:p>
        </w:tc>
        <w:tc>
          <w:tcPr>
            <w:tcW w:w="1133" w:type="dxa"/>
          </w:tcPr>
          <w:p>
            <w:pPr>
              <w:pStyle w:val="TableParagraph"/>
              <w:tabs>
                <w:tab w:pos="849" w:val="left" w:leader="none"/>
              </w:tabs>
              <w:spacing w:line="180" w:lineRule="exact"/>
              <w:ind w:left="100"/>
              <w:rPr>
                <w:sz w:val="16"/>
              </w:rPr>
            </w:pPr>
            <w:r>
              <w:rPr>
                <w:sz w:val="16"/>
              </w:rPr>
              <w:t>No</w:t>
              <w:tab/>
              <w:t>se</w:t>
            </w:r>
          </w:p>
          <w:p>
            <w:pPr>
              <w:pStyle w:val="TableParagraph"/>
              <w:spacing w:before="1"/>
              <w:ind w:left="100" w:right="282"/>
              <w:rPr>
                <w:sz w:val="16"/>
              </w:rPr>
            </w:pPr>
            <w:r>
              <w:rPr>
                <w:sz w:val="16"/>
              </w:rPr>
              <w:t>estableció inciso e)</w:t>
            </w:r>
          </w:p>
        </w:tc>
        <w:tc>
          <w:tcPr>
            <w:tcW w:w="1136" w:type="dxa"/>
          </w:tcPr>
          <w:p>
            <w:pPr>
              <w:pStyle w:val="TableParagraph"/>
              <w:tabs>
                <w:tab w:pos="851" w:val="left" w:leader="none"/>
              </w:tabs>
              <w:spacing w:line="180" w:lineRule="exact"/>
              <w:rPr>
                <w:sz w:val="16"/>
              </w:rPr>
            </w:pPr>
            <w:r>
              <w:rPr>
                <w:sz w:val="16"/>
              </w:rPr>
              <w:t>No</w:t>
              <w:tab/>
              <w:t>se</w:t>
            </w:r>
          </w:p>
          <w:p>
            <w:pPr>
              <w:pStyle w:val="TableParagraph"/>
              <w:spacing w:before="1"/>
              <w:ind w:right="282"/>
              <w:rPr>
                <w:sz w:val="16"/>
              </w:rPr>
            </w:pPr>
            <w:r>
              <w:rPr>
                <w:sz w:val="16"/>
              </w:rPr>
              <w:t>estableció inciso e)</w:t>
            </w:r>
          </w:p>
        </w:tc>
        <w:tc>
          <w:tcPr>
            <w:tcW w:w="1133" w:type="dxa"/>
          </w:tcPr>
          <w:p>
            <w:pPr>
              <w:pStyle w:val="TableParagraph"/>
              <w:tabs>
                <w:tab w:pos="925" w:val="left" w:leader="none"/>
              </w:tabs>
              <w:ind w:left="100" w:right="101"/>
              <w:rPr>
                <w:sz w:val="16"/>
              </w:rPr>
            </w:pPr>
            <w:r>
              <w:rPr>
                <w:sz w:val="16"/>
              </w:rPr>
              <w:t>e) Reducción 0.55%</w:t>
              <w:tab/>
              <w:t>=</w:t>
            </w:r>
          </w:p>
          <w:p>
            <w:pPr>
              <w:pStyle w:val="TableParagraph"/>
              <w:ind w:left="100" w:right="149"/>
              <w:rPr>
                <w:sz w:val="16"/>
              </w:rPr>
            </w:pPr>
            <w:r>
              <w:rPr>
                <w:sz w:val="16"/>
              </w:rPr>
              <w:t>$1,222,226. 88 ($107,678.1 8 USD)</w:t>
            </w:r>
          </w:p>
        </w:tc>
        <w:tc>
          <w:tcPr>
            <w:tcW w:w="1136" w:type="dxa"/>
          </w:tcPr>
          <w:p>
            <w:pPr>
              <w:pStyle w:val="TableParagraph"/>
              <w:tabs>
                <w:tab w:pos="928" w:val="left" w:leader="none"/>
              </w:tabs>
              <w:ind w:right="101"/>
              <w:rPr>
                <w:sz w:val="16"/>
              </w:rPr>
            </w:pPr>
            <w:r>
              <w:rPr>
                <w:sz w:val="16"/>
              </w:rPr>
              <w:t>e)Reducción 0.43%</w:t>
              <w:tab/>
              <w:t>=</w:t>
            </w:r>
          </w:p>
          <w:p>
            <w:pPr>
              <w:pStyle w:val="TableParagraph"/>
              <w:spacing w:before="1"/>
              <w:ind w:right="113"/>
              <w:rPr>
                <w:sz w:val="16"/>
              </w:rPr>
            </w:pPr>
            <w:r>
              <w:rPr>
                <w:sz w:val="16"/>
              </w:rPr>
              <w:t>$457,695.84 ($40,323.00</w:t>
            </w:r>
          </w:p>
          <w:p>
            <w:pPr>
              <w:pStyle w:val="TableParagraph"/>
              <w:spacing w:before="1"/>
              <w:rPr>
                <w:sz w:val="16"/>
              </w:rPr>
            </w:pPr>
            <w:r>
              <w:rPr>
                <w:sz w:val="16"/>
              </w:rPr>
              <w:t>USD)</w:t>
            </w:r>
          </w:p>
        </w:tc>
        <w:tc>
          <w:tcPr>
            <w:tcW w:w="991" w:type="dxa"/>
          </w:tcPr>
          <w:p>
            <w:pPr>
              <w:pStyle w:val="TableParagraph"/>
              <w:ind w:left="100" w:right="96"/>
              <w:rPr>
                <w:sz w:val="16"/>
              </w:rPr>
            </w:pPr>
            <w:r>
              <w:rPr>
                <w:sz w:val="16"/>
              </w:rPr>
              <w:t>e)Reducci ón   0.45%</w:t>
            </w:r>
          </w:p>
          <w:p>
            <w:pPr>
              <w:pStyle w:val="TableParagraph"/>
              <w:spacing w:line="183" w:lineRule="exact" w:before="1"/>
              <w:ind w:left="100"/>
              <w:rPr>
                <w:sz w:val="16"/>
              </w:rPr>
            </w:pPr>
            <w:r>
              <w:rPr>
                <w:w w:val="100"/>
                <w:sz w:val="16"/>
              </w:rPr>
              <w:t>=</w:t>
            </w:r>
          </w:p>
          <w:p>
            <w:pPr>
              <w:pStyle w:val="TableParagraph"/>
              <w:ind w:left="100" w:right="96"/>
              <w:rPr>
                <w:sz w:val="16"/>
              </w:rPr>
            </w:pPr>
            <w:r>
              <w:rPr>
                <w:sz w:val="16"/>
              </w:rPr>
              <w:t>$450,877. 28 ($39,722.2 8 USD)</w:t>
            </w:r>
          </w:p>
        </w:tc>
        <w:tc>
          <w:tcPr>
            <w:tcW w:w="1135" w:type="dxa"/>
          </w:tcPr>
          <w:p>
            <w:pPr>
              <w:pStyle w:val="TableParagraph"/>
              <w:spacing w:line="180" w:lineRule="exact"/>
              <w:rPr>
                <w:sz w:val="16"/>
              </w:rPr>
            </w:pPr>
            <w:r>
              <w:rPr>
                <w:sz w:val="16"/>
              </w:rPr>
              <w:t>e) Multa 250</w:t>
            </w:r>
          </w:p>
          <w:p>
            <w:pPr>
              <w:pStyle w:val="TableParagraph"/>
              <w:spacing w:before="1"/>
              <w:rPr>
                <w:sz w:val="16"/>
              </w:rPr>
            </w:pPr>
            <w:r>
              <w:rPr>
                <w:w w:val="100"/>
                <w:sz w:val="16"/>
              </w:rPr>
              <w:t>=</w:t>
            </w:r>
          </w:p>
          <w:p>
            <w:pPr>
              <w:pStyle w:val="TableParagraph"/>
              <w:spacing w:before="1"/>
              <w:ind w:right="201"/>
              <w:rPr>
                <w:sz w:val="16"/>
              </w:rPr>
            </w:pPr>
            <w:r>
              <w:rPr>
                <w:sz w:val="16"/>
              </w:rPr>
              <w:t>$12,167.50 ($1,071.95</w:t>
            </w:r>
          </w:p>
          <w:p>
            <w:pPr>
              <w:pStyle w:val="TableParagraph"/>
              <w:spacing w:before="1"/>
              <w:ind w:right="101"/>
              <w:rPr>
                <w:sz w:val="16"/>
              </w:rPr>
            </w:pPr>
            <w:r>
              <w:rPr>
                <w:sz w:val="16"/>
              </w:rPr>
              <w:t>USD)</w:t>
            </w:r>
          </w:p>
        </w:tc>
        <w:tc>
          <w:tcPr>
            <w:tcW w:w="992" w:type="dxa"/>
          </w:tcPr>
          <w:p>
            <w:pPr>
              <w:pStyle w:val="TableParagraph"/>
              <w:tabs>
                <w:tab w:pos="486" w:val="left" w:leader="none"/>
                <w:tab w:pos="784" w:val="left" w:leader="none"/>
              </w:tabs>
              <w:ind w:right="101"/>
              <w:rPr>
                <w:sz w:val="16"/>
              </w:rPr>
            </w:pPr>
            <w:r>
              <w:rPr>
                <w:sz w:val="16"/>
              </w:rPr>
              <w:t>e)</w:t>
              <w:tab/>
              <w:t>Multa 2000</w:t>
              <w:tab/>
              <w:tab/>
              <w:t>=</w:t>
            </w:r>
          </w:p>
          <w:p>
            <w:pPr>
              <w:pStyle w:val="TableParagraph"/>
              <w:spacing w:before="1"/>
              <w:ind w:right="94"/>
              <w:rPr>
                <w:sz w:val="16"/>
              </w:rPr>
            </w:pPr>
            <w:r>
              <w:rPr>
                <w:sz w:val="16"/>
              </w:rPr>
              <w:t>$97,340.0 0 ($8,575.65</w:t>
            </w:r>
          </w:p>
          <w:p>
            <w:pPr>
              <w:pStyle w:val="TableParagraph"/>
              <w:spacing w:before="1"/>
              <w:ind w:right="94"/>
              <w:rPr>
                <w:sz w:val="16"/>
              </w:rPr>
            </w:pPr>
            <w:r>
              <w:rPr>
                <w:sz w:val="16"/>
              </w:rPr>
              <w:t>USD)</w:t>
            </w:r>
          </w:p>
        </w:tc>
      </w:tr>
      <w:tr>
        <w:trPr>
          <w:trHeight w:val="1299" w:hRule="exact"/>
        </w:trPr>
        <w:tc>
          <w:tcPr>
            <w:tcW w:w="1135" w:type="dxa"/>
          </w:tcPr>
          <w:p>
            <w:pPr>
              <w:pStyle w:val="TableParagraph"/>
              <w:tabs>
                <w:tab w:pos="928" w:val="left" w:leader="none"/>
              </w:tabs>
              <w:ind w:right="100"/>
              <w:rPr>
                <w:sz w:val="16"/>
              </w:rPr>
            </w:pPr>
            <w:r>
              <w:rPr>
                <w:sz w:val="16"/>
              </w:rPr>
              <w:t>f) Reducción 2.09%</w:t>
              <w:tab/>
              <w:t>=</w:t>
            </w:r>
          </w:p>
          <w:p>
            <w:pPr>
              <w:pStyle w:val="TableParagraph"/>
              <w:spacing w:before="1"/>
              <w:ind w:right="148"/>
              <w:rPr>
                <w:sz w:val="16"/>
              </w:rPr>
            </w:pPr>
            <w:r>
              <w:rPr>
                <w:sz w:val="16"/>
              </w:rPr>
              <w:t>$7,747,986. 05 ($682,597.5 7 USD)</w:t>
            </w:r>
          </w:p>
        </w:tc>
        <w:tc>
          <w:tcPr>
            <w:tcW w:w="1133" w:type="dxa"/>
          </w:tcPr>
          <w:p>
            <w:pPr>
              <w:pStyle w:val="TableParagraph"/>
              <w:ind w:left="100"/>
              <w:rPr>
                <w:sz w:val="16"/>
              </w:rPr>
            </w:pPr>
            <w:r>
              <w:rPr>
                <w:sz w:val="16"/>
              </w:rPr>
              <w:t>f) Reducción 0.94% =</w:t>
            </w:r>
          </w:p>
          <w:p>
            <w:pPr>
              <w:pStyle w:val="TableParagraph"/>
              <w:spacing w:before="1"/>
              <w:ind w:left="100" w:right="149"/>
              <w:rPr>
                <w:sz w:val="16"/>
              </w:rPr>
            </w:pPr>
            <w:r>
              <w:rPr>
                <w:sz w:val="16"/>
              </w:rPr>
              <w:t>$2,433,670. 23 ($214,406.3 4 USD)</w:t>
            </w:r>
          </w:p>
        </w:tc>
        <w:tc>
          <w:tcPr>
            <w:tcW w:w="1136" w:type="dxa"/>
          </w:tcPr>
          <w:p>
            <w:pPr>
              <w:pStyle w:val="TableParagraph"/>
              <w:tabs>
                <w:tab w:pos="928" w:val="left" w:leader="none"/>
              </w:tabs>
              <w:ind w:right="101"/>
              <w:rPr>
                <w:sz w:val="16"/>
              </w:rPr>
            </w:pPr>
            <w:r>
              <w:rPr>
                <w:sz w:val="16"/>
              </w:rPr>
              <w:t>f) Reducción 0.68%</w:t>
              <w:tab/>
              <w:t>=</w:t>
            </w:r>
          </w:p>
          <w:p>
            <w:pPr>
              <w:pStyle w:val="TableParagraph"/>
              <w:spacing w:before="1"/>
              <w:ind w:right="113"/>
              <w:rPr>
                <w:sz w:val="16"/>
              </w:rPr>
            </w:pPr>
            <w:r>
              <w:rPr>
                <w:sz w:val="16"/>
              </w:rPr>
              <w:t>$756,354.98 ($66,634.87</w:t>
            </w:r>
          </w:p>
          <w:p>
            <w:pPr>
              <w:pStyle w:val="TableParagraph"/>
              <w:spacing w:before="1"/>
              <w:ind w:right="101"/>
              <w:rPr>
                <w:sz w:val="16"/>
              </w:rPr>
            </w:pPr>
            <w:r>
              <w:rPr>
                <w:sz w:val="16"/>
              </w:rPr>
              <w:t>USD)</w:t>
            </w:r>
          </w:p>
        </w:tc>
        <w:tc>
          <w:tcPr>
            <w:tcW w:w="1133" w:type="dxa"/>
          </w:tcPr>
          <w:p>
            <w:pPr>
              <w:pStyle w:val="TableParagraph"/>
              <w:tabs>
                <w:tab w:pos="925" w:val="left" w:leader="none"/>
              </w:tabs>
              <w:ind w:left="100" w:right="100"/>
              <w:rPr>
                <w:sz w:val="16"/>
              </w:rPr>
            </w:pPr>
            <w:r>
              <w:rPr>
                <w:sz w:val="16"/>
              </w:rPr>
              <w:t>f) Reducción 0.11%</w:t>
              <w:tab/>
              <w:t>=</w:t>
            </w:r>
          </w:p>
          <w:p>
            <w:pPr>
              <w:pStyle w:val="TableParagraph"/>
              <w:spacing w:before="1"/>
              <w:ind w:left="100" w:right="113"/>
              <w:rPr>
                <w:sz w:val="16"/>
              </w:rPr>
            </w:pPr>
            <w:r>
              <w:rPr>
                <w:sz w:val="16"/>
              </w:rPr>
              <w:t>$238,914.46 ($21,048.36</w:t>
            </w:r>
          </w:p>
          <w:p>
            <w:pPr>
              <w:pStyle w:val="TableParagraph"/>
              <w:spacing w:before="1"/>
              <w:ind w:left="100" w:right="101"/>
              <w:rPr>
                <w:sz w:val="16"/>
              </w:rPr>
            </w:pPr>
            <w:r>
              <w:rPr>
                <w:sz w:val="16"/>
              </w:rPr>
              <w:t>USD)</w:t>
            </w:r>
          </w:p>
        </w:tc>
        <w:tc>
          <w:tcPr>
            <w:tcW w:w="1136" w:type="dxa"/>
          </w:tcPr>
          <w:p>
            <w:pPr>
              <w:pStyle w:val="TableParagraph"/>
              <w:tabs>
                <w:tab w:pos="928" w:val="left" w:leader="none"/>
              </w:tabs>
              <w:ind w:right="101"/>
              <w:rPr>
                <w:sz w:val="16"/>
              </w:rPr>
            </w:pPr>
            <w:r>
              <w:rPr>
                <w:sz w:val="16"/>
              </w:rPr>
              <w:t>f) Reducción 0.23%</w:t>
              <w:tab/>
              <w:t>=</w:t>
            </w:r>
          </w:p>
          <w:p>
            <w:pPr>
              <w:pStyle w:val="TableParagraph"/>
              <w:spacing w:before="1"/>
              <w:ind w:right="113"/>
              <w:rPr>
                <w:sz w:val="16"/>
              </w:rPr>
            </w:pPr>
            <w:r>
              <w:rPr>
                <w:sz w:val="16"/>
              </w:rPr>
              <w:t>$238,914.46 ($21,048.36</w:t>
            </w:r>
          </w:p>
          <w:p>
            <w:pPr>
              <w:pStyle w:val="TableParagraph"/>
              <w:spacing w:before="1"/>
              <w:rPr>
                <w:sz w:val="16"/>
              </w:rPr>
            </w:pPr>
            <w:r>
              <w:rPr>
                <w:sz w:val="16"/>
              </w:rPr>
              <w:t>USD)</w:t>
            </w:r>
          </w:p>
        </w:tc>
        <w:tc>
          <w:tcPr>
            <w:tcW w:w="991" w:type="dxa"/>
          </w:tcPr>
          <w:p>
            <w:pPr>
              <w:pStyle w:val="TableParagraph"/>
              <w:tabs>
                <w:tab w:pos="786" w:val="left" w:leader="none"/>
              </w:tabs>
              <w:ind w:left="100" w:right="98"/>
              <w:rPr>
                <w:sz w:val="16"/>
              </w:rPr>
            </w:pPr>
            <w:r>
              <w:rPr>
                <w:sz w:val="16"/>
              </w:rPr>
              <w:t>f) Reducción 0.24%</w:t>
              <w:tab/>
              <w:t>=</w:t>
            </w:r>
          </w:p>
          <w:p>
            <w:pPr>
              <w:pStyle w:val="TableParagraph"/>
              <w:ind w:left="100" w:right="96"/>
              <w:rPr>
                <w:sz w:val="16"/>
              </w:rPr>
            </w:pPr>
            <w:r>
              <w:rPr>
                <w:sz w:val="16"/>
              </w:rPr>
              <w:t>$238,914. 46 ($21,048.3 6 USD)</w:t>
            </w:r>
          </w:p>
        </w:tc>
        <w:tc>
          <w:tcPr>
            <w:tcW w:w="1135" w:type="dxa"/>
          </w:tcPr>
          <w:p>
            <w:pPr>
              <w:pStyle w:val="TableParagraph"/>
              <w:spacing w:line="180" w:lineRule="exact"/>
              <w:rPr>
                <w:sz w:val="16"/>
              </w:rPr>
            </w:pPr>
            <w:r>
              <w:rPr>
                <w:sz w:val="16"/>
              </w:rPr>
              <w:t>f)  Multa 500</w:t>
            </w:r>
          </w:p>
          <w:p>
            <w:pPr>
              <w:pStyle w:val="TableParagraph"/>
              <w:spacing w:before="1"/>
              <w:rPr>
                <w:sz w:val="16"/>
              </w:rPr>
            </w:pPr>
            <w:r>
              <w:rPr>
                <w:w w:val="100"/>
                <w:sz w:val="16"/>
              </w:rPr>
              <w:t>=</w:t>
            </w:r>
          </w:p>
          <w:p>
            <w:pPr>
              <w:pStyle w:val="TableParagraph"/>
              <w:spacing w:before="1"/>
              <w:ind w:right="201"/>
              <w:rPr>
                <w:sz w:val="16"/>
              </w:rPr>
            </w:pPr>
            <w:r>
              <w:rPr>
                <w:sz w:val="16"/>
              </w:rPr>
              <w:t>$24,335.00 ($2,143.91</w:t>
            </w:r>
          </w:p>
          <w:p>
            <w:pPr>
              <w:pStyle w:val="TableParagraph"/>
              <w:spacing w:before="1"/>
              <w:ind w:right="101"/>
              <w:rPr>
                <w:sz w:val="16"/>
              </w:rPr>
            </w:pPr>
            <w:r>
              <w:rPr>
                <w:sz w:val="16"/>
              </w:rPr>
              <w:t>USD)</w:t>
            </w:r>
          </w:p>
        </w:tc>
        <w:tc>
          <w:tcPr>
            <w:tcW w:w="992" w:type="dxa"/>
          </w:tcPr>
          <w:p>
            <w:pPr>
              <w:pStyle w:val="TableParagraph"/>
              <w:tabs>
                <w:tab w:pos="489" w:val="left" w:leader="none"/>
              </w:tabs>
              <w:spacing w:line="180" w:lineRule="exact"/>
              <w:rPr>
                <w:sz w:val="16"/>
              </w:rPr>
            </w:pPr>
            <w:r>
              <w:rPr>
                <w:sz w:val="16"/>
              </w:rPr>
              <w:t>f)</w:t>
              <w:tab/>
              <w:t>Multa</w:t>
            </w:r>
          </w:p>
          <w:p>
            <w:pPr>
              <w:pStyle w:val="TableParagraph"/>
              <w:tabs>
                <w:tab w:pos="784" w:val="left" w:leader="none"/>
              </w:tabs>
              <w:spacing w:before="1"/>
              <w:rPr>
                <w:sz w:val="16"/>
              </w:rPr>
            </w:pPr>
            <w:r>
              <w:rPr>
                <w:sz w:val="16"/>
              </w:rPr>
              <w:t>150</w:t>
              <w:tab/>
              <w:t>=</w:t>
            </w:r>
          </w:p>
          <w:p>
            <w:pPr>
              <w:pStyle w:val="TableParagraph"/>
              <w:spacing w:before="1"/>
              <w:ind w:right="147"/>
              <w:rPr>
                <w:sz w:val="16"/>
              </w:rPr>
            </w:pPr>
            <w:r>
              <w:rPr>
                <w:sz w:val="16"/>
              </w:rPr>
              <w:t>$7,300.50 ($643.17</w:t>
            </w:r>
          </w:p>
          <w:p>
            <w:pPr>
              <w:pStyle w:val="TableParagraph"/>
              <w:spacing w:before="1"/>
              <w:ind w:right="94"/>
              <w:rPr>
                <w:sz w:val="16"/>
              </w:rPr>
            </w:pPr>
            <w:r>
              <w:rPr>
                <w:sz w:val="16"/>
              </w:rPr>
              <w:t>USD)</w:t>
            </w:r>
          </w:p>
        </w:tc>
      </w:tr>
      <w:tr>
        <w:trPr>
          <w:trHeight w:val="1298" w:hRule="exact"/>
        </w:trPr>
        <w:tc>
          <w:tcPr>
            <w:tcW w:w="1135" w:type="dxa"/>
          </w:tcPr>
          <w:p>
            <w:pPr>
              <w:pStyle w:val="TableParagraph"/>
              <w:tabs>
                <w:tab w:pos="928" w:val="left" w:leader="none"/>
              </w:tabs>
              <w:ind w:right="101"/>
              <w:rPr>
                <w:sz w:val="16"/>
              </w:rPr>
            </w:pPr>
            <w:r>
              <w:rPr>
                <w:sz w:val="16"/>
              </w:rPr>
              <w:t>g) Reducción 0.08%</w:t>
              <w:tab/>
              <w:t>=</w:t>
            </w:r>
          </w:p>
          <w:p>
            <w:pPr>
              <w:pStyle w:val="TableParagraph"/>
              <w:spacing w:before="1"/>
              <w:ind w:right="148"/>
              <w:rPr>
                <w:sz w:val="16"/>
              </w:rPr>
            </w:pPr>
            <w:r>
              <w:rPr>
                <w:sz w:val="16"/>
              </w:rPr>
              <w:t>296,887.00 ($26,155.74</w:t>
            </w:r>
          </w:p>
          <w:p>
            <w:pPr>
              <w:pStyle w:val="TableParagraph"/>
              <w:spacing w:line="182" w:lineRule="exact"/>
              <w:ind w:right="101"/>
              <w:rPr>
                <w:sz w:val="16"/>
              </w:rPr>
            </w:pPr>
            <w:r>
              <w:rPr>
                <w:sz w:val="16"/>
              </w:rPr>
              <w:t>USD)</w:t>
            </w:r>
          </w:p>
        </w:tc>
        <w:tc>
          <w:tcPr>
            <w:tcW w:w="1133" w:type="dxa"/>
          </w:tcPr>
          <w:p>
            <w:pPr>
              <w:pStyle w:val="TableParagraph"/>
              <w:tabs>
                <w:tab w:pos="925" w:val="left" w:leader="none"/>
              </w:tabs>
              <w:ind w:left="100" w:right="101"/>
              <w:rPr>
                <w:sz w:val="16"/>
              </w:rPr>
            </w:pPr>
            <w:r>
              <w:rPr>
                <w:sz w:val="16"/>
              </w:rPr>
              <w:t>g) Reducción 1.29%</w:t>
              <w:tab/>
              <w:t>=</w:t>
            </w:r>
          </w:p>
          <w:p>
            <w:pPr>
              <w:pStyle w:val="TableParagraph"/>
              <w:spacing w:before="1"/>
              <w:ind w:left="100" w:right="149"/>
              <w:rPr>
                <w:sz w:val="16"/>
              </w:rPr>
            </w:pPr>
            <w:r>
              <w:rPr>
                <w:sz w:val="16"/>
              </w:rPr>
              <w:t>$3,351,004. 06 ($295,223.4 5 USD)</w:t>
            </w:r>
          </w:p>
        </w:tc>
        <w:tc>
          <w:tcPr>
            <w:tcW w:w="1136" w:type="dxa"/>
          </w:tcPr>
          <w:p>
            <w:pPr>
              <w:pStyle w:val="TableParagraph"/>
              <w:tabs>
                <w:tab w:pos="928" w:val="left" w:leader="none"/>
              </w:tabs>
              <w:ind w:right="101"/>
              <w:rPr>
                <w:sz w:val="16"/>
              </w:rPr>
            </w:pPr>
            <w:r>
              <w:rPr>
                <w:sz w:val="16"/>
              </w:rPr>
              <w:t>g) Reducción 0.93%</w:t>
              <w:tab/>
              <w:t>=</w:t>
            </w:r>
          </w:p>
          <w:p>
            <w:pPr>
              <w:pStyle w:val="TableParagraph"/>
              <w:spacing w:before="1"/>
              <w:ind w:right="149"/>
              <w:rPr>
                <w:sz w:val="16"/>
              </w:rPr>
            </w:pPr>
            <w:r>
              <w:rPr>
                <w:sz w:val="16"/>
              </w:rPr>
              <w:t>$1,041,451. 13 ($91,751.84</w:t>
            </w:r>
          </w:p>
          <w:p>
            <w:pPr>
              <w:pStyle w:val="TableParagraph"/>
              <w:ind w:right="101"/>
              <w:rPr>
                <w:sz w:val="16"/>
              </w:rPr>
            </w:pPr>
            <w:r>
              <w:rPr>
                <w:sz w:val="16"/>
              </w:rPr>
              <w:t>USD)</w:t>
            </w:r>
          </w:p>
        </w:tc>
        <w:tc>
          <w:tcPr>
            <w:tcW w:w="1133" w:type="dxa"/>
          </w:tcPr>
          <w:p>
            <w:pPr>
              <w:pStyle w:val="TableParagraph"/>
              <w:spacing w:line="180" w:lineRule="exact"/>
              <w:ind w:left="100"/>
              <w:rPr>
                <w:sz w:val="16"/>
              </w:rPr>
            </w:pPr>
            <w:r>
              <w:rPr>
                <w:sz w:val="16"/>
              </w:rPr>
              <w:t>g) Multa 257</w:t>
            </w:r>
          </w:p>
          <w:p>
            <w:pPr>
              <w:pStyle w:val="TableParagraph"/>
              <w:spacing w:line="183" w:lineRule="exact" w:before="1"/>
              <w:ind w:left="100"/>
              <w:rPr>
                <w:sz w:val="16"/>
              </w:rPr>
            </w:pPr>
            <w:r>
              <w:rPr>
                <w:w w:val="100"/>
                <w:sz w:val="16"/>
              </w:rPr>
              <w:t>=</w:t>
            </w:r>
          </w:p>
          <w:p>
            <w:pPr>
              <w:pStyle w:val="TableParagraph"/>
              <w:ind w:left="100" w:right="202"/>
              <w:rPr>
                <w:sz w:val="16"/>
              </w:rPr>
            </w:pPr>
            <w:r>
              <w:rPr>
                <w:sz w:val="16"/>
              </w:rPr>
              <w:t>$12,508.19 ($1,101.97</w:t>
            </w:r>
          </w:p>
          <w:p>
            <w:pPr>
              <w:pStyle w:val="TableParagraph"/>
              <w:spacing w:before="1"/>
              <w:ind w:left="100" w:right="101"/>
              <w:rPr>
                <w:sz w:val="16"/>
              </w:rPr>
            </w:pPr>
            <w:r>
              <w:rPr>
                <w:sz w:val="16"/>
              </w:rPr>
              <w:t>USD)</w:t>
            </w:r>
          </w:p>
        </w:tc>
        <w:tc>
          <w:tcPr>
            <w:tcW w:w="1136" w:type="dxa"/>
          </w:tcPr>
          <w:p>
            <w:pPr>
              <w:pStyle w:val="TableParagraph"/>
              <w:spacing w:line="180" w:lineRule="exact"/>
              <w:rPr>
                <w:sz w:val="16"/>
              </w:rPr>
            </w:pPr>
            <w:r>
              <w:rPr>
                <w:sz w:val="16"/>
              </w:rPr>
              <w:t>g)  Multa  96</w:t>
            </w:r>
          </w:p>
          <w:p>
            <w:pPr>
              <w:pStyle w:val="TableParagraph"/>
              <w:spacing w:before="1"/>
              <w:rPr>
                <w:sz w:val="16"/>
              </w:rPr>
            </w:pPr>
            <w:r>
              <w:rPr>
                <w:sz w:val="16"/>
              </w:rPr>
              <w:t>= $4,672.32 ($411.63</w:t>
            </w:r>
          </w:p>
          <w:p>
            <w:pPr>
              <w:pStyle w:val="TableParagraph"/>
              <w:spacing w:before="1"/>
              <w:rPr>
                <w:sz w:val="16"/>
              </w:rPr>
            </w:pPr>
            <w:r>
              <w:rPr>
                <w:sz w:val="16"/>
              </w:rPr>
              <w:t>USD)</w:t>
            </w:r>
          </w:p>
        </w:tc>
        <w:tc>
          <w:tcPr>
            <w:tcW w:w="991" w:type="dxa"/>
          </w:tcPr>
          <w:p>
            <w:pPr>
              <w:pStyle w:val="TableParagraph"/>
              <w:tabs>
                <w:tab w:pos="484" w:val="left" w:leader="none"/>
              </w:tabs>
              <w:spacing w:line="180" w:lineRule="exact"/>
              <w:ind w:left="100"/>
              <w:rPr>
                <w:sz w:val="16"/>
              </w:rPr>
            </w:pPr>
            <w:r>
              <w:rPr>
                <w:sz w:val="16"/>
              </w:rPr>
              <w:t>g)</w:t>
              <w:tab/>
              <w:t>Multa</w:t>
            </w:r>
          </w:p>
          <w:p>
            <w:pPr>
              <w:pStyle w:val="TableParagraph"/>
              <w:tabs>
                <w:tab w:pos="784" w:val="left" w:leader="none"/>
              </w:tabs>
              <w:spacing w:line="183" w:lineRule="exact" w:before="1"/>
              <w:ind w:left="100"/>
              <w:rPr>
                <w:sz w:val="16"/>
              </w:rPr>
            </w:pPr>
            <w:r>
              <w:rPr>
                <w:sz w:val="16"/>
              </w:rPr>
              <w:t>95</w:t>
              <w:tab/>
              <w:t>=</w:t>
            </w:r>
          </w:p>
          <w:p>
            <w:pPr>
              <w:pStyle w:val="TableParagraph"/>
              <w:ind w:left="100" w:right="149"/>
              <w:rPr>
                <w:sz w:val="16"/>
              </w:rPr>
            </w:pPr>
            <w:r>
              <w:rPr>
                <w:sz w:val="16"/>
              </w:rPr>
              <w:t>$4,623.46 ($407.32</w:t>
            </w:r>
          </w:p>
          <w:p>
            <w:pPr>
              <w:pStyle w:val="TableParagraph"/>
              <w:spacing w:before="1"/>
              <w:ind w:left="100" w:right="98"/>
              <w:rPr>
                <w:sz w:val="16"/>
              </w:rPr>
            </w:pPr>
            <w:r>
              <w:rPr>
                <w:sz w:val="16"/>
              </w:rPr>
              <w:t>USD)</w:t>
            </w:r>
          </w:p>
        </w:tc>
        <w:tc>
          <w:tcPr>
            <w:tcW w:w="1135" w:type="dxa"/>
          </w:tcPr>
          <w:p>
            <w:pPr/>
          </w:p>
        </w:tc>
        <w:tc>
          <w:tcPr>
            <w:tcW w:w="992" w:type="dxa"/>
          </w:tcPr>
          <w:p>
            <w:pPr>
              <w:pStyle w:val="TableParagraph"/>
              <w:tabs>
                <w:tab w:pos="486" w:val="left" w:leader="none"/>
              </w:tabs>
              <w:spacing w:line="180" w:lineRule="exact"/>
              <w:rPr>
                <w:sz w:val="16"/>
              </w:rPr>
            </w:pPr>
            <w:r>
              <w:rPr>
                <w:sz w:val="16"/>
              </w:rPr>
              <w:t>g)</w:t>
              <w:tab/>
              <w:t>Multa</w:t>
            </w:r>
          </w:p>
          <w:p>
            <w:pPr>
              <w:pStyle w:val="TableParagraph"/>
              <w:tabs>
                <w:tab w:pos="784" w:val="left" w:leader="none"/>
              </w:tabs>
              <w:spacing w:line="183" w:lineRule="exact" w:before="1"/>
              <w:rPr>
                <w:sz w:val="16"/>
              </w:rPr>
            </w:pPr>
            <w:r>
              <w:rPr>
                <w:sz w:val="16"/>
              </w:rPr>
              <w:t>400</w:t>
              <w:tab/>
              <w:t>=</w:t>
            </w:r>
          </w:p>
          <w:p>
            <w:pPr>
              <w:pStyle w:val="TableParagraph"/>
              <w:ind w:right="94"/>
              <w:rPr>
                <w:sz w:val="16"/>
              </w:rPr>
            </w:pPr>
            <w:r>
              <w:rPr>
                <w:sz w:val="16"/>
              </w:rPr>
              <w:t>$19,468.0 0 ($1,715.13</w:t>
            </w:r>
          </w:p>
          <w:p>
            <w:pPr>
              <w:pStyle w:val="TableParagraph"/>
              <w:spacing w:line="182" w:lineRule="exact"/>
              <w:ind w:right="94"/>
              <w:rPr>
                <w:sz w:val="16"/>
              </w:rPr>
            </w:pPr>
            <w:r>
              <w:rPr>
                <w:sz w:val="16"/>
              </w:rPr>
              <w:t>USD)</w:t>
            </w:r>
          </w:p>
        </w:tc>
      </w:tr>
      <w:tr>
        <w:trPr>
          <w:trHeight w:val="377" w:hRule="exact"/>
        </w:trPr>
        <w:tc>
          <w:tcPr>
            <w:tcW w:w="1135" w:type="dxa"/>
          </w:tcPr>
          <w:p>
            <w:pPr>
              <w:pStyle w:val="TableParagraph"/>
              <w:spacing w:line="182" w:lineRule="exact" w:before="1"/>
              <w:ind w:right="101"/>
              <w:rPr>
                <w:sz w:val="16"/>
              </w:rPr>
            </w:pPr>
            <w:r>
              <w:rPr>
                <w:sz w:val="16"/>
              </w:rPr>
              <w:t>No se tiene inciso h)</w:t>
            </w:r>
          </w:p>
        </w:tc>
        <w:tc>
          <w:tcPr>
            <w:tcW w:w="1133" w:type="dxa"/>
          </w:tcPr>
          <w:p>
            <w:pPr>
              <w:pStyle w:val="TableParagraph"/>
              <w:spacing w:line="182" w:lineRule="exact" w:before="1"/>
              <w:ind w:left="100" w:right="247"/>
              <w:rPr>
                <w:sz w:val="16"/>
              </w:rPr>
            </w:pPr>
            <w:r>
              <w:rPr>
                <w:sz w:val="16"/>
              </w:rPr>
              <w:t>h) Reducción</w:t>
            </w:r>
          </w:p>
        </w:tc>
        <w:tc>
          <w:tcPr>
            <w:tcW w:w="1136" w:type="dxa"/>
          </w:tcPr>
          <w:p>
            <w:pPr>
              <w:pStyle w:val="TableParagraph"/>
              <w:spacing w:line="182" w:lineRule="exact" w:before="1"/>
              <w:ind w:right="247"/>
              <w:rPr>
                <w:sz w:val="16"/>
              </w:rPr>
            </w:pPr>
            <w:r>
              <w:rPr>
                <w:sz w:val="16"/>
              </w:rPr>
              <w:t>h) Reducción</w:t>
            </w:r>
          </w:p>
        </w:tc>
        <w:tc>
          <w:tcPr>
            <w:tcW w:w="1133" w:type="dxa"/>
          </w:tcPr>
          <w:p>
            <w:pPr>
              <w:pStyle w:val="TableParagraph"/>
              <w:tabs>
                <w:tab w:pos="626" w:val="left" w:leader="none"/>
                <w:tab w:pos="923" w:val="left" w:leader="none"/>
              </w:tabs>
              <w:spacing w:line="182" w:lineRule="exact" w:before="1"/>
              <w:ind w:left="100" w:right="103"/>
              <w:rPr>
                <w:sz w:val="16"/>
              </w:rPr>
            </w:pPr>
            <w:r>
              <w:rPr>
                <w:sz w:val="16"/>
              </w:rPr>
              <w:t>h)</w:t>
              <w:tab/>
            </w:r>
            <w:r>
              <w:rPr>
                <w:spacing w:val="-1"/>
                <w:sz w:val="16"/>
              </w:rPr>
              <w:t>Multa </w:t>
            </w:r>
            <w:r>
              <w:rPr>
                <w:sz w:val="16"/>
              </w:rPr>
              <w:t>2868</w:t>
              <w:tab/>
              <w:tab/>
              <w:t>=</w:t>
            </w:r>
          </w:p>
        </w:tc>
        <w:tc>
          <w:tcPr>
            <w:tcW w:w="1136" w:type="dxa"/>
          </w:tcPr>
          <w:p>
            <w:pPr>
              <w:pStyle w:val="TableParagraph"/>
              <w:tabs>
                <w:tab w:pos="628" w:val="left" w:leader="none"/>
                <w:tab w:pos="925" w:val="left" w:leader="none"/>
              </w:tabs>
              <w:spacing w:line="182" w:lineRule="exact" w:before="1"/>
              <w:ind w:right="103"/>
              <w:rPr>
                <w:sz w:val="16"/>
              </w:rPr>
            </w:pPr>
            <w:r>
              <w:rPr>
                <w:sz w:val="16"/>
              </w:rPr>
              <w:t>h)</w:t>
              <w:tab/>
              <w:t>Multa 1074</w:t>
              <w:tab/>
              <w:tab/>
              <w:t>=</w:t>
            </w:r>
          </w:p>
        </w:tc>
        <w:tc>
          <w:tcPr>
            <w:tcW w:w="991" w:type="dxa"/>
          </w:tcPr>
          <w:p>
            <w:pPr>
              <w:pStyle w:val="TableParagraph"/>
              <w:tabs>
                <w:tab w:pos="484" w:val="left" w:leader="none"/>
                <w:tab w:pos="784" w:val="left" w:leader="none"/>
              </w:tabs>
              <w:spacing w:line="182" w:lineRule="exact" w:before="1"/>
              <w:ind w:left="100" w:right="101"/>
              <w:rPr>
                <w:sz w:val="16"/>
              </w:rPr>
            </w:pPr>
            <w:r>
              <w:rPr>
                <w:sz w:val="16"/>
              </w:rPr>
              <w:t>h)</w:t>
              <w:tab/>
              <w:t>Multa 1058</w:t>
              <w:tab/>
              <w:tab/>
              <w:t>=</w:t>
            </w:r>
          </w:p>
        </w:tc>
        <w:tc>
          <w:tcPr>
            <w:tcW w:w="1135" w:type="dxa"/>
          </w:tcPr>
          <w:p>
            <w:pPr/>
          </w:p>
        </w:tc>
        <w:tc>
          <w:tcPr>
            <w:tcW w:w="992" w:type="dxa"/>
          </w:tcPr>
          <w:p>
            <w:pPr/>
          </w:p>
        </w:tc>
      </w:tr>
    </w:tbl>
    <w:p>
      <w:pPr>
        <w:spacing w:after="0"/>
        <w:sectPr>
          <w:pgSz w:w="12240" w:h="15840"/>
          <w:pgMar w:header="749" w:footer="1003" w:top="960" w:bottom="1200" w:left="1580" w:right="1600"/>
        </w:sectPr>
      </w:pPr>
    </w:p>
    <w:p>
      <w:pPr>
        <w:pStyle w:val="BodyText"/>
        <w:rPr>
          <w:b/>
          <w:sz w:val="20"/>
        </w:rPr>
      </w:pPr>
    </w:p>
    <w:p>
      <w:pPr>
        <w:pStyle w:val="BodyText"/>
        <w:spacing w:before="9"/>
        <w:rPr>
          <w:b/>
          <w:sz w:val="18"/>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35"/>
        <w:gridCol w:w="1133"/>
        <w:gridCol w:w="1136"/>
        <w:gridCol w:w="1133"/>
        <w:gridCol w:w="1136"/>
        <w:gridCol w:w="991"/>
        <w:gridCol w:w="1135"/>
        <w:gridCol w:w="992"/>
      </w:tblGrid>
      <w:tr>
        <w:trPr>
          <w:trHeight w:val="747" w:hRule="exact"/>
        </w:trPr>
        <w:tc>
          <w:tcPr>
            <w:tcW w:w="1135" w:type="dxa"/>
          </w:tcPr>
          <w:p>
            <w:pPr/>
          </w:p>
        </w:tc>
        <w:tc>
          <w:tcPr>
            <w:tcW w:w="1133" w:type="dxa"/>
          </w:tcPr>
          <w:p>
            <w:pPr>
              <w:pStyle w:val="TableParagraph"/>
              <w:tabs>
                <w:tab w:pos="925" w:val="left" w:leader="none"/>
              </w:tabs>
              <w:spacing w:line="182" w:lineRule="exact"/>
              <w:ind w:left="100"/>
              <w:rPr>
                <w:sz w:val="16"/>
              </w:rPr>
            </w:pPr>
            <w:r>
              <w:rPr>
                <w:sz w:val="16"/>
              </w:rPr>
              <w:t>0.18%</w:t>
              <w:tab/>
              <w:t>=</w:t>
            </w:r>
          </w:p>
          <w:p>
            <w:pPr>
              <w:pStyle w:val="TableParagraph"/>
              <w:ind w:left="100" w:right="113"/>
              <w:rPr>
                <w:sz w:val="16"/>
              </w:rPr>
            </w:pPr>
            <w:r>
              <w:rPr>
                <w:sz w:val="16"/>
              </w:rPr>
              <w:t>$478,811.30 ($42,183.27</w:t>
            </w:r>
          </w:p>
          <w:p>
            <w:pPr>
              <w:pStyle w:val="TableParagraph"/>
              <w:spacing w:before="1"/>
              <w:ind w:left="100" w:right="101"/>
              <w:rPr>
                <w:sz w:val="16"/>
              </w:rPr>
            </w:pPr>
            <w:r>
              <w:rPr>
                <w:sz w:val="16"/>
              </w:rPr>
              <w:t>USD)</w:t>
            </w:r>
          </w:p>
        </w:tc>
        <w:tc>
          <w:tcPr>
            <w:tcW w:w="1136" w:type="dxa"/>
          </w:tcPr>
          <w:p>
            <w:pPr>
              <w:pStyle w:val="TableParagraph"/>
              <w:tabs>
                <w:tab w:pos="928" w:val="left" w:leader="none"/>
              </w:tabs>
              <w:spacing w:line="182" w:lineRule="exact"/>
              <w:rPr>
                <w:sz w:val="16"/>
              </w:rPr>
            </w:pPr>
            <w:r>
              <w:rPr>
                <w:sz w:val="16"/>
              </w:rPr>
              <w:t>0.13%</w:t>
              <w:tab/>
              <w:t>=</w:t>
            </w:r>
          </w:p>
          <w:p>
            <w:pPr>
              <w:pStyle w:val="TableParagraph"/>
              <w:ind w:right="113"/>
              <w:rPr>
                <w:sz w:val="16"/>
              </w:rPr>
            </w:pPr>
            <w:r>
              <w:rPr>
                <w:sz w:val="16"/>
              </w:rPr>
              <w:t>$148,808.70 ($13,110.04</w:t>
            </w:r>
          </w:p>
          <w:p>
            <w:pPr>
              <w:pStyle w:val="TableParagraph"/>
              <w:spacing w:before="1"/>
              <w:ind w:right="101"/>
              <w:rPr>
                <w:sz w:val="16"/>
              </w:rPr>
            </w:pPr>
            <w:r>
              <w:rPr>
                <w:sz w:val="16"/>
              </w:rPr>
              <w:t>USD)</w:t>
            </w:r>
          </w:p>
        </w:tc>
        <w:tc>
          <w:tcPr>
            <w:tcW w:w="1133" w:type="dxa"/>
          </w:tcPr>
          <w:p>
            <w:pPr>
              <w:pStyle w:val="TableParagraph"/>
              <w:ind w:left="100" w:right="113"/>
              <w:rPr>
                <w:sz w:val="16"/>
              </w:rPr>
            </w:pPr>
            <w:r>
              <w:rPr>
                <w:sz w:val="16"/>
              </w:rPr>
              <w:t>$139,585.56 ($12,297.48</w:t>
            </w:r>
          </w:p>
          <w:p>
            <w:pPr>
              <w:pStyle w:val="TableParagraph"/>
              <w:spacing w:before="1"/>
              <w:ind w:left="100" w:right="101"/>
              <w:rPr>
                <w:sz w:val="16"/>
              </w:rPr>
            </w:pPr>
            <w:r>
              <w:rPr>
                <w:sz w:val="16"/>
              </w:rPr>
              <w:t>USD)</w:t>
            </w:r>
          </w:p>
        </w:tc>
        <w:tc>
          <w:tcPr>
            <w:tcW w:w="1136" w:type="dxa"/>
          </w:tcPr>
          <w:p>
            <w:pPr>
              <w:pStyle w:val="TableParagraph"/>
              <w:ind w:right="202"/>
              <w:rPr>
                <w:sz w:val="16"/>
              </w:rPr>
            </w:pPr>
            <w:r>
              <w:rPr>
                <w:sz w:val="16"/>
              </w:rPr>
              <w:t>$52,271.58 ($4,605.12</w:t>
            </w:r>
          </w:p>
          <w:p>
            <w:pPr>
              <w:pStyle w:val="TableParagraph"/>
              <w:spacing w:before="1"/>
              <w:rPr>
                <w:sz w:val="16"/>
              </w:rPr>
            </w:pPr>
            <w:r>
              <w:rPr>
                <w:sz w:val="16"/>
              </w:rPr>
              <w:t>USD)</w:t>
            </w:r>
          </w:p>
        </w:tc>
        <w:tc>
          <w:tcPr>
            <w:tcW w:w="991" w:type="dxa"/>
          </w:tcPr>
          <w:p>
            <w:pPr>
              <w:pStyle w:val="TableParagraph"/>
              <w:ind w:left="100" w:right="96"/>
              <w:rPr>
                <w:sz w:val="16"/>
              </w:rPr>
            </w:pPr>
            <w:r>
              <w:rPr>
                <w:sz w:val="16"/>
              </w:rPr>
              <w:t>$51,492.8 6 ($4,536.52</w:t>
            </w:r>
          </w:p>
          <w:p>
            <w:pPr>
              <w:pStyle w:val="TableParagraph"/>
              <w:spacing w:before="1"/>
              <w:ind w:left="100" w:right="98"/>
              <w:rPr>
                <w:sz w:val="16"/>
              </w:rPr>
            </w:pPr>
            <w:r>
              <w:rPr>
                <w:sz w:val="16"/>
              </w:rPr>
              <w:t>USD)</w:t>
            </w:r>
          </w:p>
        </w:tc>
        <w:tc>
          <w:tcPr>
            <w:tcW w:w="1135" w:type="dxa"/>
          </w:tcPr>
          <w:p>
            <w:pPr/>
          </w:p>
        </w:tc>
        <w:tc>
          <w:tcPr>
            <w:tcW w:w="992" w:type="dxa"/>
          </w:tcPr>
          <w:p>
            <w:pPr/>
          </w:p>
        </w:tc>
      </w:tr>
      <w:tr>
        <w:trPr>
          <w:trHeight w:val="1114" w:hRule="exact"/>
        </w:trPr>
        <w:tc>
          <w:tcPr>
            <w:tcW w:w="1135" w:type="dxa"/>
          </w:tcPr>
          <w:p>
            <w:pPr>
              <w:pStyle w:val="TableParagraph"/>
              <w:tabs>
                <w:tab w:pos="928" w:val="left" w:leader="none"/>
              </w:tabs>
              <w:ind w:right="101"/>
              <w:rPr>
                <w:sz w:val="16"/>
              </w:rPr>
            </w:pPr>
            <w:r>
              <w:rPr>
                <w:sz w:val="16"/>
              </w:rPr>
              <w:t>i) Reducción 0.8%</w:t>
              <w:tab/>
              <w:t>=</w:t>
            </w:r>
          </w:p>
          <w:p>
            <w:pPr>
              <w:pStyle w:val="TableParagraph"/>
              <w:spacing w:before="1"/>
              <w:ind w:right="148"/>
              <w:rPr>
                <w:sz w:val="16"/>
              </w:rPr>
            </w:pPr>
            <w:r>
              <w:rPr>
                <w:sz w:val="16"/>
              </w:rPr>
              <w:t>$2,975,618. 84 ($262,151.9 4 USD)</w:t>
            </w:r>
          </w:p>
        </w:tc>
        <w:tc>
          <w:tcPr>
            <w:tcW w:w="1133" w:type="dxa"/>
          </w:tcPr>
          <w:p>
            <w:pPr>
              <w:pStyle w:val="TableParagraph"/>
              <w:tabs>
                <w:tab w:pos="626" w:val="left" w:leader="none"/>
                <w:tab w:pos="923" w:val="left" w:leader="none"/>
              </w:tabs>
              <w:ind w:left="100" w:right="103"/>
              <w:rPr>
                <w:sz w:val="16"/>
              </w:rPr>
            </w:pPr>
            <w:r>
              <w:rPr>
                <w:sz w:val="16"/>
              </w:rPr>
              <w:t>i)</w:t>
              <w:tab/>
            </w:r>
            <w:r>
              <w:rPr>
                <w:spacing w:val="-1"/>
                <w:sz w:val="16"/>
              </w:rPr>
              <w:t>Multa </w:t>
            </w:r>
            <w:r>
              <w:rPr>
                <w:sz w:val="16"/>
              </w:rPr>
              <w:t>3462</w:t>
              <w:tab/>
              <w:tab/>
              <w:t>=</w:t>
            </w:r>
          </w:p>
          <w:p>
            <w:pPr>
              <w:pStyle w:val="TableParagraph"/>
              <w:spacing w:before="1"/>
              <w:ind w:left="100" w:right="113"/>
              <w:rPr>
                <w:sz w:val="16"/>
              </w:rPr>
            </w:pPr>
            <w:r>
              <w:rPr>
                <w:sz w:val="16"/>
              </w:rPr>
              <w:t>$168,495.54 ($14,844.45</w:t>
            </w:r>
          </w:p>
          <w:p>
            <w:pPr>
              <w:pStyle w:val="TableParagraph"/>
              <w:spacing w:before="1"/>
              <w:ind w:left="100" w:right="101"/>
              <w:rPr>
                <w:sz w:val="16"/>
              </w:rPr>
            </w:pPr>
            <w:r>
              <w:rPr>
                <w:sz w:val="16"/>
              </w:rPr>
              <w:t>USD)</w:t>
            </w:r>
          </w:p>
        </w:tc>
        <w:tc>
          <w:tcPr>
            <w:tcW w:w="1136" w:type="dxa"/>
          </w:tcPr>
          <w:p>
            <w:pPr>
              <w:pStyle w:val="TableParagraph"/>
              <w:tabs>
                <w:tab w:pos="628" w:val="left" w:leader="none"/>
                <w:tab w:pos="925" w:val="left" w:leader="none"/>
              </w:tabs>
              <w:ind w:right="103"/>
              <w:rPr>
                <w:sz w:val="16"/>
              </w:rPr>
            </w:pPr>
            <w:r>
              <w:rPr>
                <w:sz w:val="16"/>
              </w:rPr>
              <w:t>i)</w:t>
              <w:tab/>
              <w:t>Multa 1075</w:t>
              <w:tab/>
              <w:tab/>
              <w:t>=</w:t>
            </w:r>
          </w:p>
          <w:p>
            <w:pPr>
              <w:pStyle w:val="TableParagraph"/>
              <w:spacing w:before="1"/>
              <w:ind w:right="202"/>
              <w:rPr>
                <w:sz w:val="16"/>
              </w:rPr>
            </w:pPr>
            <w:r>
              <w:rPr>
                <w:sz w:val="16"/>
              </w:rPr>
              <w:t>$52,320.25 ($4,609.41</w:t>
            </w:r>
          </w:p>
          <w:p>
            <w:pPr>
              <w:pStyle w:val="TableParagraph"/>
              <w:spacing w:before="1"/>
              <w:ind w:right="101"/>
              <w:rPr>
                <w:sz w:val="16"/>
              </w:rPr>
            </w:pPr>
            <w:r>
              <w:rPr>
                <w:sz w:val="16"/>
              </w:rPr>
              <w:t>USD)</w:t>
            </w:r>
          </w:p>
        </w:tc>
        <w:tc>
          <w:tcPr>
            <w:tcW w:w="1133" w:type="dxa"/>
          </w:tcPr>
          <w:p>
            <w:pPr/>
          </w:p>
        </w:tc>
        <w:tc>
          <w:tcPr>
            <w:tcW w:w="1136" w:type="dxa"/>
          </w:tcPr>
          <w:p>
            <w:pPr/>
          </w:p>
        </w:tc>
        <w:tc>
          <w:tcPr>
            <w:tcW w:w="991" w:type="dxa"/>
          </w:tcPr>
          <w:p>
            <w:pPr/>
          </w:p>
        </w:tc>
        <w:tc>
          <w:tcPr>
            <w:tcW w:w="1135" w:type="dxa"/>
          </w:tcPr>
          <w:p>
            <w:pPr/>
          </w:p>
        </w:tc>
        <w:tc>
          <w:tcPr>
            <w:tcW w:w="992" w:type="dxa"/>
          </w:tcPr>
          <w:p>
            <w:pPr/>
          </w:p>
        </w:tc>
      </w:tr>
      <w:tr>
        <w:trPr>
          <w:trHeight w:val="931" w:hRule="exact"/>
        </w:trPr>
        <w:tc>
          <w:tcPr>
            <w:tcW w:w="1135" w:type="dxa"/>
          </w:tcPr>
          <w:p>
            <w:pPr/>
          </w:p>
        </w:tc>
        <w:tc>
          <w:tcPr>
            <w:tcW w:w="1133" w:type="dxa"/>
          </w:tcPr>
          <w:p>
            <w:pPr>
              <w:pStyle w:val="TableParagraph"/>
              <w:tabs>
                <w:tab w:pos="626" w:val="left" w:leader="none"/>
                <w:tab w:pos="923" w:val="left" w:leader="none"/>
              </w:tabs>
              <w:ind w:left="100" w:right="103"/>
              <w:rPr>
                <w:sz w:val="16"/>
              </w:rPr>
            </w:pPr>
            <w:r>
              <w:rPr>
                <w:sz w:val="16"/>
              </w:rPr>
              <w:t>j)</w:t>
              <w:tab/>
            </w:r>
            <w:r>
              <w:rPr>
                <w:spacing w:val="-1"/>
                <w:sz w:val="16"/>
              </w:rPr>
              <w:t>Multa </w:t>
            </w:r>
            <w:r>
              <w:rPr>
                <w:sz w:val="16"/>
              </w:rPr>
              <w:t>1144</w:t>
              <w:tab/>
              <w:tab/>
              <w:t>=</w:t>
            </w:r>
          </w:p>
          <w:p>
            <w:pPr>
              <w:pStyle w:val="TableParagraph"/>
              <w:spacing w:before="1"/>
              <w:ind w:left="100" w:right="202"/>
              <w:rPr>
                <w:sz w:val="16"/>
              </w:rPr>
            </w:pPr>
            <w:r>
              <w:rPr>
                <w:sz w:val="16"/>
              </w:rPr>
              <w:t>$55,678.48 ($4,905.27</w:t>
            </w:r>
          </w:p>
          <w:p>
            <w:pPr>
              <w:pStyle w:val="TableParagraph"/>
              <w:spacing w:before="1"/>
              <w:ind w:left="100" w:right="101"/>
              <w:rPr>
                <w:sz w:val="16"/>
              </w:rPr>
            </w:pPr>
            <w:r>
              <w:rPr>
                <w:sz w:val="16"/>
              </w:rPr>
              <w:t>USD)</w:t>
            </w:r>
          </w:p>
        </w:tc>
        <w:tc>
          <w:tcPr>
            <w:tcW w:w="1136" w:type="dxa"/>
          </w:tcPr>
          <w:p>
            <w:pPr>
              <w:pStyle w:val="TableParagraph"/>
              <w:spacing w:line="182" w:lineRule="exact"/>
              <w:ind w:right="101"/>
              <w:rPr>
                <w:sz w:val="16"/>
              </w:rPr>
            </w:pPr>
            <w:r>
              <w:rPr>
                <w:sz w:val="16"/>
              </w:rPr>
              <w:t>j)  Multa 355</w:t>
            </w:r>
          </w:p>
          <w:p>
            <w:pPr>
              <w:pStyle w:val="TableParagraph"/>
              <w:spacing w:line="183" w:lineRule="exact"/>
              <w:rPr>
                <w:sz w:val="16"/>
              </w:rPr>
            </w:pPr>
            <w:r>
              <w:rPr>
                <w:w w:val="100"/>
                <w:sz w:val="16"/>
              </w:rPr>
              <w:t>=</w:t>
            </w:r>
          </w:p>
          <w:p>
            <w:pPr>
              <w:pStyle w:val="TableParagraph"/>
              <w:spacing w:before="1"/>
              <w:ind w:right="202"/>
              <w:rPr>
                <w:sz w:val="16"/>
              </w:rPr>
            </w:pPr>
            <w:r>
              <w:rPr>
                <w:sz w:val="16"/>
              </w:rPr>
              <w:t>$17,277.85 ($1,522.17</w:t>
            </w:r>
          </w:p>
          <w:p>
            <w:pPr>
              <w:pStyle w:val="TableParagraph"/>
              <w:spacing w:before="1"/>
              <w:ind w:right="101"/>
              <w:rPr>
                <w:sz w:val="16"/>
              </w:rPr>
            </w:pPr>
            <w:r>
              <w:rPr>
                <w:sz w:val="16"/>
              </w:rPr>
              <w:t>USD)</w:t>
            </w:r>
          </w:p>
        </w:tc>
        <w:tc>
          <w:tcPr>
            <w:tcW w:w="1133" w:type="dxa"/>
          </w:tcPr>
          <w:p>
            <w:pPr/>
          </w:p>
        </w:tc>
        <w:tc>
          <w:tcPr>
            <w:tcW w:w="1136" w:type="dxa"/>
          </w:tcPr>
          <w:p>
            <w:pPr/>
          </w:p>
        </w:tc>
        <w:tc>
          <w:tcPr>
            <w:tcW w:w="991" w:type="dxa"/>
          </w:tcPr>
          <w:p>
            <w:pPr/>
          </w:p>
        </w:tc>
        <w:tc>
          <w:tcPr>
            <w:tcW w:w="1135" w:type="dxa"/>
          </w:tcPr>
          <w:p>
            <w:pPr/>
          </w:p>
        </w:tc>
        <w:tc>
          <w:tcPr>
            <w:tcW w:w="992" w:type="dxa"/>
          </w:tcPr>
          <w:p>
            <w:pPr/>
          </w:p>
        </w:tc>
      </w:tr>
      <w:tr>
        <w:trPr>
          <w:trHeight w:val="562" w:hRule="exact"/>
        </w:trPr>
        <w:tc>
          <w:tcPr>
            <w:tcW w:w="1135" w:type="dxa"/>
          </w:tcPr>
          <w:p>
            <w:pPr/>
          </w:p>
        </w:tc>
        <w:tc>
          <w:tcPr>
            <w:tcW w:w="1133" w:type="dxa"/>
          </w:tcPr>
          <w:p>
            <w:pPr>
              <w:pStyle w:val="TableParagraph"/>
              <w:tabs>
                <w:tab w:pos="849" w:val="left" w:leader="none"/>
              </w:tabs>
              <w:spacing w:line="180" w:lineRule="exact"/>
              <w:ind w:left="100"/>
              <w:rPr>
                <w:sz w:val="16"/>
              </w:rPr>
            </w:pPr>
            <w:r>
              <w:rPr>
                <w:sz w:val="16"/>
              </w:rPr>
              <w:t>No</w:t>
              <w:tab/>
              <w:t>se</w:t>
            </w:r>
          </w:p>
          <w:p>
            <w:pPr>
              <w:pStyle w:val="TableParagraph"/>
              <w:spacing w:before="1"/>
              <w:ind w:left="100" w:right="282"/>
              <w:rPr>
                <w:sz w:val="16"/>
              </w:rPr>
            </w:pPr>
            <w:r>
              <w:rPr>
                <w:sz w:val="16"/>
              </w:rPr>
              <w:t>estableció inciso k)</w:t>
            </w:r>
          </w:p>
        </w:tc>
        <w:tc>
          <w:tcPr>
            <w:tcW w:w="1136" w:type="dxa"/>
          </w:tcPr>
          <w:p>
            <w:pPr>
              <w:pStyle w:val="TableParagraph"/>
              <w:tabs>
                <w:tab w:pos="851" w:val="left" w:leader="none"/>
              </w:tabs>
              <w:spacing w:line="180" w:lineRule="exact"/>
              <w:rPr>
                <w:sz w:val="16"/>
              </w:rPr>
            </w:pPr>
            <w:r>
              <w:rPr>
                <w:sz w:val="16"/>
              </w:rPr>
              <w:t>No</w:t>
              <w:tab/>
              <w:t>se</w:t>
            </w:r>
          </w:p>
          <w:p>
            <w:pPr>
              <w:pStyle w:val="TableParagraph"/>
              <w:spacing w:before="1"/>
              <w:ind w:right="282"/>
              <w:rPr>
                <w:sz w:val="16"/>
              </w:rPr>
            </w:pPr>
            <w:r>
              <w:rPr>
                <w:sz w:val="16"/>
              </w:rPr>
              <w:t>estableció inciso k)</w:t>
            </w:r>
          </w:p>
        </w:tc>
        <w:tc>
          <w:tcPr>
            <w:tcW w:w="1133" w:type="dxa"/>
          </w:tcPr>
          <w:p>
            <w:pPr/>
          </w:p>
        </w:tc>
        <w:tc>
          <w:tcPr>
            <w:tcW w:w="1136" w:type="dxa"/>
          </w:tcPr>
          <w:p>
            <w:pPr/>
          </w:p>
        </w:tc>
        <w:tc>
          <w:tcPr>
            <w:tcW w:w="991" w:type="dxa"/>
          </w:tcPr>
          <w:p>
            <w:pPr/>
          </w:p>
        </w:tc>
        <w:tc>
          <w:tcPr>
            <w:tcW w:w="1135" w:type="dxa"/>
          </w:tcPr>
          <w:p>
            <w:pPr/>
          </w:p>
        </w:tc>
        <w:tc>
          <w:tcPr>
            <w:tcW w:w="992" w:type="dxa"/>
          </w:tcPr>
          <w:p>
            <w:pPr/>
          </w:p>
        </w:tc>
      </w:tr>
      <w:tr>
        <w:trPr>
          <w:trHeight w:val="562" w:hRule="exact"/>
        </w:trPr>
        <w:tc>
          <w:tcPr>
            <w:tcW w:w="1135" w:type="dxa"/>
          </w:tcPr>
          <w:p>
            <w:pPr/>
          </w:p>
        </w:tc>
        <w:tc>
          <w:tcPr>
            <w:tcW w:w="1133" w:type="dxa"/>
          </w:tcPr>
          <w:p>
            <w:pPr>
              <w:pStyle w:val="TableParagraph"/>
              <w:tabs>
                <w:tab w:pos="849" w:val="left" w:leader="none"/>
              </w:tabs>
              <w:spacing w:line="180" w:lineRule="exact"/>
              <w:ind w:left="100"/>
              <w:rPr>
                <w:sz w:val="16"/>
              </w:rPr>
            </w:pPr>
            <w:r>
              <w:rPr>
                <w:sz w:val="16"/>
              </w:rPr>
              <w:t>No</w:t>
              <w:tab/>
              <w:t>se</w:t>
            </w:r>
          </w:p>
          <w:p>
            <w:pPr>
              <w:pStyle w:val="TableParagraph"/>
              <w:spacing w:before="1"/>
              <w:ind w:left="100" w:right="282"/>
              <w:rPr>
                <w:sz w:val="16"/>
              </w:rPr>
            </w:pPr>
            <w:r>
              <w:rPr>
                <w:sz w:val="16"/>
              </w:rPr>
              <w:t>estableció inciso l)</w:t>
            </w:r>
          </w:p>
        </w:tc>
        <w:tc>
          <w:tcPr>
            <w:tcW w:w="1136" w:type="dxa"/>
          </w:tcPr>
          <w:p>
            <w:pPr>
              <w:pStyle w:val="TableParagraph"/>
              <w:tabs>
                <w:tab w:pos="851" w:val="left" w:leader="none"/>
              </w:tabs>
              <w:spacing w:line="180" w:lineRule="exact"/>
              <w:rPr>
                <w:sz w:val="16"/>
              </w:rPr>
            </w:pPr>
            <w:r>
              <w:rPr>
                <w:sz w:val="16"/>
              </w:rPr>
              <w:t>No</w:t>
              <w:tab/>
              <w:t>se</w:t>
            </w:r>
          </w:p>
          <w:p>
            <w:pPr>
              <w:pStyle w:val="TableParagraph"/>
              <w:spacing w:before="1"/>
              <w:ind w:right="282"/>
              <w:rPr>
                <w:sz w:val="16"/>
              </w:rPr>
            </w:pPr>
            <w:r>
              <w:rPr>
                <w:sz w:val="16"/>
              </w:rPr>
              <w:t>estableció inciso l)</w:t>
            </w:r>
          </w:p>
        </w:tc>
        <w:tc>
          <w:tcPr>
            <w:tcW w:w="1133" w:type="dxa"/>
          </w:tcPr>
          <w:p>
            <w:pPr/>
          </w:p>
        </w:tc>
        <w:tc>
          <w:tcPr>
            <w:tcW w:w="1136" w:type="dxa"/>
          </w:tcPr>
          <w:p>
            <w:pPr/>
          </w:p>
        </w:tc>
        <w:tc>
          <w:tcPr>
            <w:tcW w:w="991" w:type="dxa"/>
          </w:tcPr>
          <w:p>
            <w:pPr/>
          </w:p>
        </w:tc>
        <w:tc>
          <w:tcPr>
            <w:tcW w:w="1135" w:type="dxa"/>
          </w:tcPr>
          <w:p>
            <w:pPr/>
          </w:p>
        </w:tc>
        <w:tc>
          <w:tcPr>
            <w:tcW w:w="992" w:type="dxa"/>
          </w:tcPr>
          <w:p>
            <w:pPr/>
          </w:p>
        </w:tc>
      </w:tr>
      <w:tr>
        <w:trPr>
          <w:trHeight w:val="1298" w:hRule="exact"/>
        </w:trPr>
        <w:tc>
          <w:tcPr>
            <w:tcW w:w="1135" w:type="dxa"/>
          </w:tcPr>
          <w:p>
            <w:pPr/>
          </w:p>
        </w:tc>
        <w:tc>
          <w:tcPr>
            <w:tcW w:w="1133" w:type="dxa"/>
          </w:tcPr>
          <w:p>
            <w:pPr>
              <w:pStyle w:val="TableParagraph"/>
              <w:tabs>
                <w:tab w:pos="925" w:val="left" w:leader="none"/>
              </w:tabs>
              <w:ind w:left="100" w:right="101"/>
              <w:rPr>
                <w:sz w:val="16"/>
              </w:rPr>
            </w:pPr>
            <w:r>
              <w:rPr>
                <w:sz w:val="16"/>
              </w:rPr>
              <w:t>m) Reducción 1.27%</w:t>
              <w:tab/>
              <w:t>=</w:t>
            </w:r>
          </w:p>
          <w:p>
            <w:pPr>
              <w:pStyle w:val="TableParagraph"/>
              <w:ind w:left="100" w:right="149"/>
              <w:rPr>
                <w:sz w:val="16"/>
              </w:rPr>
            </w:pPr>
            <w:r>
              <w:rPr>
                <w:sz w:val="16"/>
              </w:rPr>
              <w:t>$3,302,662. 75 ($290,964.5 8 USD)</w:t>
            </w:r>
          </w:p>
        </w:tc>
        <w:tc>
          <w:tcPr>
            <w:tcW w:w="1136" w:type="dxa"/>
          </w:tcPr>
          <w:p>
            <w:pPr>
              <w:pStyle w:val="TableParagraph"/>
              <w:tabs>
                <w:tab w:pos="928" w:val="left" w:leader="none"/>
              </w:tabs>
              <w:ind w:right="101"/>
              <w:rPr>
                <w:sz w:val="16"/>
              </w:rPr>
            </w:pPr>
            <w:r>
              <w:rPr>
                <w:sz w:val="16"/>
              </w:rPr>
              <w:t>m) Reducción 2.96%</w:t>
              <w:tab/>
              <w:t>=</w:t>
            </w:r>
          </w:p>
          <w:p>
            <w:pPr>
              <w:pStyle w:val="TableParagraph"/>
              <w:ind w:right="149"/>
              <w:rPr>
                <w:sz w:val="16"/>
              </w:rPr>
            </w:pPr>
            <w:r>
              <w:rPr>
                <w:sz w:val="16"/>
              </w:rPr>
              <w:t>$3,302,662. 75 ($290,964.5 8 USD)</w:t>
            </w:r>
          </w:p>
        </w:tc>
        <w:tc>
          <w:tcPr>
            <w:tcW w:w="1133" w:type="dxa"/>
          </w:tcPr>
          <w:p>
            <w:pPr/>
          </w:p>
        </w:tc>
        <w:tc>
          <w:tcPr>
            <w:tcW w:w="1136" w:type="dxa"/>
          </w:tcPr>
          <w:p>
            <w:pPr/>
          </w:p>
        </w:tc>
        <w:tc>
          <w:tcPr>
            <w:tcW w:w="991" w:type="dxa"/>
          </w:tcPr>
          <w:p>
            <w:pPr/>
          </w:p>
        </w:tc>
        <w:tc>
          <w:tcPr>
            <w:tcW w:w="1135" w:type="dxa"/>
          </w:tcPr>
          <w:p>
            <w:pPr/>
          </w:p>
        </w:tc>
        <w:tc>
          <w:tcPr>
            <w:tcW w:w="992" w:type="dxa"/>
          </w:tcPr>
          <w:p>
            <w:pPr/>
          </w:p>
        </w:tc>
      </w:tr>
      <w:tr>
        <w:trPr>
          <w:trHeight w:val="929" w:hRule="exact"/>
        </w:trPr>
        <w:tc>
          <w:tcPr>
            <w:tcW w:w="1135" w:type="dxa"/>
          </w:tcPr>
          <w:p>
            <w:pPr/>
          </w:p>
        </w:tc>
        <w:tc>
          <w:tcPr>
            <w:tcW w:w="1133" w:type="dxa"/>
          </w:tcPr>
          <w:p>
            <w:pPr>
              <w:pStyle w:val="TableParagraph"/>
              <w:tabs>
                <w:tab w:pos="626" w:val="left" w:leader="none"/>
                <w:tab w:pos="923" w:val="left" w:leader="none"/>
              </w:tabs>
              <w:ind w:left="100" w:right="103"/>
              <w:rPr>
                <w:sz w:val="16"/>
              </w:rPr>
            </w:pPr>
            <w:r>
              <w:rPr>
                <w:sz w:val="16"/>
              </w:rPr>
              <w:t>n)</w:t>
              <w:tab/>
            </w:r>
            <w:r>
              <w:rPr>
                <w:spacing w:val="-1"/>
                <w:sz w:val="16"/>
              </w:rPr>
              <w:t>Multa </w:t>
            </w:r>
            <w:r>
              <w:rPr>
                <w:sz w:val="16"/>
              </w:rPr>
              <w:t>3000</w:t>
              <w:tab/>
              <w:tab/>
              <w:t>=</w:t>
            </w:r>
          </w:p>
          <w:p>
            <w:pPr>
              <w:pStyle w:val="TableParagraph"/>
              <w:ind w:left="100" w:right="113"/>
              <w:rPr>
                <w:sz w:val="16"/>
              </w:rPr>
            </w:pPr>
            <w:r>
              <w:rPr>
                <w:sz w:val="16"/>
              </w:rPr>
              <w:t>$146,010.00 ($12,863.48</w:t>
            </w:r>
          </w:p>
          <w:p>
            <w:pPr>
              <w:pStyle w:val="TableParagraph"/>
              <w:spacing w:before="1"/>
              <w:ind w:left="100" w:right="101"/>
              <w:rPr>
                <w:sz w:val="16"/>
              </w:rPr>
            </w:pPr>
            <w:r>
              <w:rPr>
                <w:sz w:val="16"/>
              </w:rPr>
              <w:t>USD)</w:t>
            </w:r>
          </w:p>
        </w:tc>
        <w:tc>
          <w:tcPr>
            <w:tcW w:w="1136" w:type="dxa"/>
          </w:tcPr>
          <w:p>
            <w:pPr>
              <w:pStyle w:val="TableParagraph"/>
              <w:spacing w:line="180" w:lineRule="exact"/>
              <w:rPr>
                <w:sz w:val="16"/>
              </w:rPr>
            </w:pPr>
            <w:r>
              <w:rPr>
                <w:sz w:val="16"/>
              </w:rPr>
              <w:t>n) Multa 932</w:t>
            </w:r>
          </w:p>
          <w:p>
            <w:pPr>
              <w:pStyle w:val="TableParagraph"/>
              <w:spacing w:line="183" w:lineRule="exact" w:before="1"/>
              <w:rPr>
                <w:sz w:val="16"/>
              </w:rPr>
            </w:pPr>
            <w:r>
              <w:rPr>
                <w:w w:val="100"/>
                <w:sz w:val="16"/>
              </w:rPr>
              <w:t>=</w:t>
            </w:r>
          </w:p>
          <w:p>
            <w:pPr>
              <w:pStyle w:val="TableParagraph"/>
              <w:ind w:right="202"/>
              <w:rPr>
                <w:sz w:val="16"/>
              </w:rPr>
            </w:pPr>
            <w:r>
              <w:rPr>
                <w:sz w:val="16"/>
              </w:rPr>
              <w:t>$45,360.44 ($3,996.25</w:t>
            </w:r>
          </w:p>
          <w:p>
            <w:pPr>
              <w:pStyle w:val="TableParagraph"/>
              <w:spacing w:before="1"/>
              <w:ind w:right="101"/>
              <w:rPr>
                <w:sz w:val="16"/>
              </w:rPr>
            </w:pPr>
            <w:r>
              <w:rPr>
                <w:sz w:val="16"/>
              </w:rPr>
              <w:t>USD)</w:t>
            </w:r>
          </w:p>
        </w:tc>
        <w:tc>
          <w:tcPr>
            <w:tcW w:w="1133" w:type="dxa"/>
          </w:tcPr>
          <w:p>
            <w:pPr/>
          </w:p>
        </w:tc>
        <w:tc>
          <w:tcPr>
            <w:tcW w:w="1136" w:type="dxa"/>
          </w:tcPr>
          <w:p>
            <w:pPr/>
          </w:p>
        </w:tc>
        <w:tc>
          <w:tcPr>
            <w:tcW w:w="991" w:type="dxa"/>
          </w:tcPr>
          <w:p>
            <w:pPr/>
          </w:p>
        </w:tc>
        <w:tc>
          <w:tcPr>
            <w:tcW w:w="1135" w:type="dxa"/>
          </w:tcPr>
          <w:p>
            <w:pPr/>
          </w:p>
        </w:tc>
        <w:tc>
          <w:tcPr>
            <w:tcW w:w="992" w:type="dxa"/>
          </w:tcPr>
          <w:p>
            <w:pPr/>
          </w:p>
        </w:tc>
      </w:tr>
      <w:tr>
        <w:trPr>
          <w:trHeight w:val="470" w:hRule="exact"/>
        </w:trPr>
        <w:tc>
          <w:tcPr>
            <w:tcW w:w="8790" w:type="dxa"/>
            <w:gridSpan w:val="8"/>
          </w:tcPr>
          <w:p>
            <w:pPr>
              <w:pStyle w:val="TableParagraph"/>
              <w:rPr>
                <w:sz w:val="20"/>
              </w:rPr>
            </w:pPr>
            <w:r>
              <w:rPr>
                <w:sz w:val="20"/>
              </w:rPr>
              <w:t>El IFE ordenó Iniciar procedimientos oficiosos administrativos a todos los partidos en los incisos que corresponda.</w:t>
            </w:r>
          </w:p>
        </w:tc>
      </w:tr>
    </w:tbl>
    <w:p>
      <w:pPr>
        <w:spacing w:line="227" w:lineRule="exact" w:before="0"/>
        <w:ind w:left="122" w:right="0" w:firstLine="0"/>
        <w:jc w:val="both"/>
        <w:rPr>
          <w:sz w:val="20"/>
        </w:rPr>
      </w:pPr>
      <w:r>
        <w:rPr>
          <w:sz w:val="20"/>
        </w:rPr>
        <w:t>Fuente: elaboración propia con base en el acuerdo CG97/2007 (CGIFE, 2007a).</w:t>
      </w:r>
    </w:p>
    <w:p>
      <w:pPr>
        <w:spacing w:before="0"/>
        <w:ind w:left="122" w:right="126" w:firstLine="0"/>
        <w:jc w:val="both"/>
        <w:rPr>
          <w:sz w:val="20"/>
        </w:rPr>
      </w:pPr>
      <w:r>
        <w:rPr>
          <w:sz w:val="20"/>
        </w:rPr>
        <w:t>Notas: * en todos los casos en los cuales se hace referencia a “reducción” se refiere a las reducciones mensuales a las que se hicieron acreedores los partidos políticos, con respecto a las ministraciones por financiamiento público otorgadas para el sostenimiento de sus actividades ordinarias. Cabe destacar que sólo se reduce el financiamiento de las actividades ordinarias  porque se tendrán que descontar durante las mensualidades siguientes. ** La abreviatura DSMDGV se refiere a que las multas establecidas están calculadas con base en días de salario mínimo diario general vigente en el Distrito Federal, aplicables en</w:t>
      </w:r>
      <w:r>
        <w:rPr>
          <w:spacing w:val="-19"/>
          <w:sz w:val="20"/>
        </w:rPr>
        <w:t> </w:t>
      </w:r>
      <w:r>
        <w:rPr>
          <w:sz w:val="20"/>
        </w:rPr>
        <w:t>2006.</w:t>
      </w:r>
    </w:p>
    <w:p>
      <w:pPr>
        <w:pStyle w:val="BodyText"/>
        <w:rPr>
          <w:sz w:val="20"/>
        </w:rPr>
      </w:pPr>
    </w:p>
    <w:p>
      <w:pPr>
        <w:pStyle w:val="BodyText"/>
        <w:rPr>
          <w:sz w:val="16"/>
        </w:rPr>
      </w:pPr>
    </w:p>
    <w:p>
      <w:pPr>
        <w:pStyle w:val="BodyText"/>
        <w:spacing w:line="360" w:lineRule="auto"/>
        <w:ind w:left="122" w:right="118" w:firstLine="707"/>
        <w:jc w:val="both"/>
      </w:pPr>
      <w:r>
        <w:rPr/>
        <w:t>El acuerdo CG97/2007 fue impugnado ante el TEPJF por los partidos NA y la coalición "Por el Bien de Todos" mediante los expedientes SUP-RAP-46/2007, SUP-RAP-47/2007 y SUP-RAP-48/2007, los cuales fueron resueltos en las sentencias de fechas 17 de diciembre de 2007 (TEPJF, 2007a), 23 de enero de 2008    (TEPJF,    2008),    y    12    de    diciembre    de    2007    (TEPJF,</w:t>
      </w:r>
      <w:r>
        <w:rPr>
          <w:spacing w:val="58"/>
        </w:rPr>
        <w:t> </w:t>
      </w:r>
      <w:r>
        <w:rPr/>
        <w:t>2007b),</w:t>
      </w:r>
    </w:p>
    <w:p>
      <w:pPr>
        <w:pStyle w:val="BodyText"/>
        <w:spacing w:line="360" w:lineRule="auto" w:before="5"/>
        <w:ind w:left="122" w:right="125"/>
        <w:jc w:val="both"/>
      </w:pPr>
      <w:r>
        <w:rPr/>
        <w:t>respectivamente, las cuales modificaban el acuerdo del Consejo General en algunos de sus puntos y en otros lo confirmaban; así en general señalaban que se debía dejar sin efecto la orden de realizar el procedimiento oficioso administrativo que señalaba el IFE y reponer el procedimiento de revisión de informes de campaña correspondientes a los partidos que impugnaron.</w:t>
      </w:r>
    </w:p>
    <w:p>
      <w:pPr>
        <w:spacing w:after="0" w:line="360" w:lineRule="auto"/>
        <w:jc w:val="both"/>
        <w:sectPr>
          <w:pgSz w:w="12240" w:h="15840"/>
          <w:pgMar w:header="749" w:footer="1003" w:top="960" w:bottom="1200" w:left="1580" w:right="1580"/>
        </w:sectPr>
      </w:pPr>
    </w:p>
    <w:p>
      <w:pPr>
        <w:pStyle w:val="BodyText"/>
        <w:rPr>
          <w:sz w:val="20"/>
        </w:rPr>
      </w:pPr>
    </w:p>
    <w:p>
      <w:pPr>
        <w:pStyle w:val="BodyText"/>
        <w:spacing w:line="360" w:lineRule="auto" w:before="214"/>
        <w:ind w:left="122" w:right="319" w:firstLine="707"/>
        <w:jc w:val="both"/>
      </w:pPr>
      <w:r>
        <w:rPr/>
        <w:t>En cumplimiento a las sentencias dictadas por el TEPJF el IFE repuso el procedimiento de revisión de informes y determinó modificar y anexar multas mediante los acuerdos CG20/2008 (CGIFE, 2008a), CG21/2008 (CGIFE, 2008b), CG33/2008 (CGIFE, 2008c), CG37/2008 (CGIFE, 2008d), CG96/2008 (CGIFE, 2008e), CG329/2008 (CGIFE, 2008f) y CG330/2008 (CGIFE, 2008g); quedando</w:t>
      </w:r>
    </w:p>
    <w:p>
      <w:pPr>
        <w:pStyle w:val="BodyText"/>
        <w:spacing w:before="5"/>
        <w:ind w:left="122"/>
      </w:pPr>
      <w:r>
        <w:rPr/>
        <w:t>las sanciones de la siguiente forma:</w:t>
      </w:r>
    </w:p>
    <w:p>
      <w:pPr>
        <w:pStyle w:val="BodyText"/>
      </w:pPr>
    </w:p>
    <w:p>
      <w:pPr>
        <w:pStyle w:val="BodyText"/>
        <w:spacing w:before="9"/>
        <w:rPr>
          <w:sz w:val="23"/>
        </w:rPr>
      </w:pPr>
    </w:p>
    <w:p>
      <w:pPr>
        <w:pStyle w:val="Heading2"/>
        <w:spacing w:before="0"/>
        <w:ind w:left="2111" w:right="2308"/>
      </w:pPr>
      <w:r>
        <w:rPr/>
        <w:t>Cuadro 3.2</w:t>
      </w:r>
    </w:p>
    <w:p>
      <w:pPr>
        <w:pStyle w:val="BodyText"/>
        <w:rPr>
          <w:b/>
        </w:rPr>
      </w:pPr>
    </w:p>
    <w:p>
      <w:pPr>
        <w:spacing w:before="0"/>
        <w:ind w:left="2111" w:right="2313" w:firstLine="0"/>
        <w:jc w:val="center"/>
        <w:rPr>
          <w:b/>
          <w:sz w:val="24"/>
        </w:rPr>
      </w:pPr>
      <w:r>
        <w:rPr/>
        <w:pict>
          <v:group style="position:absolute;margin-left:240.770004pt;margin-top:89.525879pt;width:113.45pt;height:81.5pt;mso-position-horizontal-relative:page;mso-position-vertical-relative:paragraph;z-index:-330544" coordorigin="4815,1791" coordsize="2269,1630">
            <v:shape style="position:absolute;left:4825;top:1791;width:103;height:922" type="#_x0000_t75" stroked="false">
              <v:imagedata r:id="rId50" o:title=""/>
            </v:shape>
            <v:shape style="position:absolute;left:5845;top:1791;width:103;height:922" type="#_x0000_t75" stroked="false">
              <v:imagedata r:id="rId51" o:title=""/>
            </v:shape>
            <v:shape style="position:absolute;left:4825;top:2712;width:1123;height:228" type="#_x0000_t75" stroked="false">
              <v:imagedata r:id="rId52" o:title=""/>
            </v:shape>
            <v:shape style="position:absolute;left:4928;top:1791;width:917;height:230" type="#_x0000_t75" stroked="false">
              <v:imagedata r:id="rId53" o:title=""/>
            </v:shape>
            <v:shape style="position:absolute;left:4928;top:2021;width:917;height:230" type="#_x0000_t75" stroked="false">
              <v:imagedata r:id="rId54" o:title=""/>
            </v:shape>
            <v:shape style="position:absolute;left:4928;top:2251;width:917;height:230" type="#_x0000_t75" stroked="false">
              <v:imagedata r:id="rId55" o:title=""/>
            </v:shape>
            <v:shape style="position:absolute;left:4928;top:2482;width:917;height:230" type="#_x0000_t75" stroked="false">
              <v:imagedata r:id="rId56" o:title=""/>
            </v:shape>
            <v:shape style="position:absolute;left:5960;top:1791;width:101;height:1150" type="#_x0000_t75" stroked="false">
              <v:imagedata r:id="rId57" o:title=""/>
            </v:shape>
            <v:shape style="position:absolute;left:6981;top:1791;width:103;height:1150" type="#_x0000_t75" stroked="false">
              <v:imagedata r:id="rId58" o:title=""/>
            </v:shape>
            <v:shape style="position:absolute;left:6061;top:1791;width:920;height:230" type="#_x0000_t75" stroked="false">
              <v:imagedata r:id="rId59" o:title=""/>
            </v:shape>
            <v:shape style="position:absolute;left:6061;top:2021;width:920;height:230" type="#_x0000_t75" stroked="false">
              <v:imagedata r:id="rId60" o:title=""/>
            </v:shape>
            <v:shape style="position:absolute;left:6061;top:2251;width:920;height:230" type="#_x0000_t75" stroked="false">
              <v:imagedata r:id="rId61" o:title=""/>
            </v:shape>
            <v:shape style="position:absolute;left:6061;top:2482;width:920;height:230" type="#_x0000_t75" stroked="false">
              <v:imagedata r:id="rId62" o:title=""/>
            </v:shape>
            <v:shape style="position:absolute;left:6061;top:2712;width:920;height:228" type="#_x0000_t75" stroked="false">
              <v:imagedata r:id="rId63" o:title=""/>
            </v:shape>
            <v:shape style="position:absolute;left:5960;top:2952;width:101;height:458" type="#_x0000_t75" stroked="false">
              <v:imagedata r:id="rId64" o:title=""/>
            </v:shape>
            <v:shape style="position:absolute;left:6981;top:2952;width:103;height:458" type="#_x0000_t75" stroked="false">
              <v:imagedata r:id="rId65" o:title=""/>
            </v:shape>
            <v:shape style="position:absolute;left:6061;top:2952;width:920;height:228" type="#_x0000_t75" stroked="false">
              <v:imagedata r:id="rId66" o:title=""/>
            </v:shape>
            <v:shape style="position:absolute;left:6061;top:3180;width:920;height:230" type="#_x0000_t75" stroked="false">
              <v:imagedata r:id="rId67" o:title=""/>
            </v:shape>
            <v:shape style="position:absolute;left:4815;top:2940;width:10;height:10" type="#_x0000_t75" stroked="false">
              <v:imagedata r:id="rId68" o:title=""/>
            </v:shape>
            <v:shape style="position:absolute;left:5929;top:2940;width:29;height:10" type="#_x0000_t75" stroked="false">
              <v:imagedata r:id="rId69" o:title=""/>
            </v:shape>
            <v:shape style="position:absolute;left:4815;top:2950;width:10;height:48" type="#_x0000_t75" stroked="false">
              <v:imagedata r:id="rId70" o:title=""/>
            </v:shape>
            <v:shape style="position:absolute;left:5948;top:2950;width:10;height:48" type="#_x0000_t75" stroked="false">
              <v:imagedata r:id="rId70" o:title=""/>
            </v:shape>
            <v:shape style="position:absolute;left:4815;top:3382;width:58;height:38" type="#_x0000_t75" stroked="false">
              <v:imagedata r:id="rId71" o:title=""/>
            </v:shape>
            <v:shape style="position:absolute;left:4873;top:3415;width:1056;height:2" coordorigin="4873,3415" coordsize="1056,0" path="m4873,3415l4921,3415m4921,3415l4969,3415m4969,3415l5017,3415m5017,3415l5065,3415m5065,3415l5113,3415m5113,3415l5161,3415m5161,3415l5209,3415m5209,3415l5257,3415m5257,3415l5305,3415m5305,3415l5353,3415m5353,3415l5401,3415m5401,3415l5449,3415m5449,3415l5497,3415m5497,3415l5545,3415m5545,3415l5593,3415m5593,3415l5641,3415m5641,3415l5689,3415m5689,3415l5737,3415m5737,3415l5785,3415m5785,3415l5833,3415m5833,3415l5881,3415m5881,3415l5929,3415e" filled="false" stroked="true" strokeweight=".48001pt" strokecolor="#000000">
              <v:path arrowok="t"/>
            </v:shape>
            <v:shape style="position:absolute;left:5929;top:3382;width:29;height:38" type="#_x0000_t75" stroked="false">
              <v:imagedata r:id="rId72" o:title=""/>
            </v:shape>
            <w10:wrap type="none"/>
          </v:group>
        </w:pict>
      </w:r>
      <w:r>
        <w:rPr/>
        <w:pict>
          <v:group style="position:absolute;margin-left:409.630005pt;margin-top:89.525879pt;width:56.3pt;height:81pt;mso-position-horizontal-relative:page;mso-position-vertical-relative:paragraph;z-index:-330520" coordorigin="8193,1791" coordsize="1126,1620">
            <v:shape style="position:absolute;left:8193;top:1791;width:103;height:1150" type="#_x0000_t75" stroked="false">
              <v:imagedata r:id="rId73" o:title=""/>
            </v:shape>
            <v:shape style="position:absolute;left:9215;top:1791;width:103;height:1150" type="#_x0000_t75" stroked="false">
              <v:imagedata r:id="rId74" o:title=""/>
            </v:shape>
            <v:shape style="position:absolute;left:8193;top:2940;width:1126;height:470" type="#_x0000_t75" stroked="false">
              <v:imagedata r:id="rId75" o:title=""/>
            </v:shape>
            <v:shape style="position:absolute;left:8296;top:1791;width:919;height:230" type="#_x0000_t75" stroked="false">
              <v:imagedata r:id="rId76" o:title=""/>
            </v:shape>
            <v:shape style="position:absolute;left:8296;top:2021;width:919;height:230" type="#_x0000_t75" stroked="false">
              <v:imagedata r:id="rId77" o:title=""/>
            </v:shape>
            <v:shape style="position:absolute;left:8296;top:2251;width:919;height:230" type="#_x0000_t75" stroked="false">
              <v:imagedata r:id="rId78" o:title=""/>
            </v:shape>
            <v:shape style="position:absolute;left:8296;top:2482;width:919;height:230" type="#_x0000_t75" stroked="false">
              <v:imagedata r:id="rId79" o:title=""/>
            </v:shape>
            <v:shape style="position:absolute;left:8296;top:2712;width:919;height:228" type="#_x0000_t75" stroked="false">
              <v:imagedata r:id="rId80" o:title=""/>
            </v:shape>
            <w10:wrap type="none"/>
          </v:group>
        </w:pict>
      </w:r>
      <w:r>
        <w:rPr>
          <w:b/>
          <w:sz w:val="24"/>
        </w:rPr>
        <w:t>Modificaciones a las sanciones aprobadas en el acuerdo CG97/2007 del CGIEEM</w:t>
      </w:r>
    </w:p>
    <w:p>
      <w:pPr>
        <w:pStyle w:val="BodyText"/>
        <w:rPr>
          <w:b/>
          <w:sz w:val="20"/>
        </w:rPr>
      </w:pPr>
    </w:p>
    <w:p>
      <w:pPr>
        <w:pStyle w:val="BodyText"/>
        <w:rPr>
          <w:b/>
          <w:sz w:val="20"/>
        </w:rPr>
      </w:pPr>
    </w:p>
    <w:p>
      <w:pPr>
        <w:pStyle w:val="BodyText"/>
        <w:spacing w:before="10"/>
        <w:rPr>
          <w:b/>
          <w:sz w:val="12"/>
        </w:rPr>
      </w:pP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94"/>
        <w:gridCol w:w="991"/>
        <w:gridCol w:w="1136"/>
        <w:gridCol w:w="1133"/>
        <w:gridCol w:w="1136"/>
        <w:gridCol w:w="1099"/>
        <w:gridCol w:w="1133"/>
        <w:gridCol w:w="1419"/>
      </w:tblGrid>
      <w:tr>
        <w:trPr>
          <w:trHeight w:val="217" w:hRule="exact"/>
        </w:trPr>
        <w:tc>
          <w:tcPr>
            <w:tcW w:w="994" w:type="dxa"/>
            <w:tcBorders>
              <w:bottom w:val="nil"/>
            </w:tcBorders>
            <w:shd w:val="clear" w:color="auto" w:fill="BEBEBE"/>
          </w:tcPr>
          <w:p>
            <w:pPr>
              <w:pStyle w:val="TableParagraph"/>
              <w:spacing w:line="203" w:lineRule="exact"/>
              <w:ind w:right="140"/>
              <w:rPr>
                <w:b/>
                <w:sz w:val="18"/>
              </w:rPr>
            </w:pPr>
            <w:r>
              <w:rPr>
                <w:b/>
                <w:sz w:val="18"/>
              </w:rPr>
              <w:t>PAN</w:t>
            </w:r>
          </w:p>
        </w:tc>
        <w:tc>
          <w:tcPr>
            <w:tcW w:w="2127" w:type="dxa"/>
            <w:gridSpan w:val="2"/>
            <w:shd w:val="clear" w:color="auto" w:fill="BEBEBE"/>
          </w:tcPr>
          <w:p>
            <w:pPr>
              <w:pStyle w:val="TableParagraph"/>
              <w:spacing w:line="203" w:lineRule="exact"/>
              <w:ind w:left="771" w:right="775"/>
              <w:jc w:val="center"/>
              <w:rPr>
                <w:b/>
                <w:sz w:val="18"/>
              </w:rPr>
            </w:pPr>
            <w:r>
              <w:rPr>
                <w:b/>
                <w:sz w:val="18"/>
              </w:rPr>
              <w:t>CAPM</w:t>
            </w:r>
          </w:p>
        </w:tc>
        <w:tc>
          <w:tcPr>
            <w:tcW w:w="3368" w:type="dxa"/>
            <w:gridSpan w:val="3"/>
            <w:shd w:val="clear" w:color="auto" w:fill="BEBEBE"/>
          </w:tcPr>
          <w:p>
            <w:pPr>
              <w:pStyle w:val="TableParagraph"/>
              <w:spacing w:line="203" w:lineRule="exact"/>
              <w:ind w:left="1348" w:right="1349"/>
              <w:jc w:val="center"/>
              <w:rPr>
                <w:b/>
                <w:sz w:val="18"/>
              </w:rPr>
            </w:pPr>
            <w:r>
              <w:rPr>
                <w:b/>
                <w:sz w:val="18"/>
              </w:rPr>
              <w:t>CAPBT</w:t>
            </w:r>
          </w:p>
        </w:tc>
        <w:tc>
          <w:tcPr>
            <w:tcW w:w="1133" w:type="dxa"/>
            <w:tcBorders>
              <w:bottom w:val="nil"/>
            </w:tcBorders>
            <w:shd w:val="clear" w:color="auto" w:fill="BEBEBE"/>
          </w:tcPr>
          <w:p>
            <w:pPr>
              <w:pStyle w:val="TableParagraph"/>
              <w:spacing w:line="203" w:lineRule="exact"/>
              <w:ind w:left="411" w:right="411"/>
              <w:jc w:val="center"/>
              <w:rPr>
                <w:b/>
                <w:sz w:val="18"/>
              </w:rPr>
            </w:pPr>
            <w:r>
              <w:rPr>
                <w:b/>
                <w:sz w:val="18"/>
              </w:rPr>
              <w:t>NA</w:t>
            </w:r>
          </w:p>
        </w:tc>
        <w:tc>
          <w:tcPr>
            <w:tcW w:w="1419" w:type="dxa"/>
            <w:tcBorders>
              <w:bottom w:val="nil"/>
            </w:tcBorders>
            <w:shd w:val="clear" w:color="auto" w:fill="BEBEBE"/>
          </w:tcPr>
          <w:p>
            <w:pPr>
              <w:pStyle w:val="TableParagraph"/>
              <w:spacing w:line="203" w:lineRule="exact"/>
              <w:ind w:left="434" w:right="434"/>
              <w:jc w:val="center"/>
              <w:rPr>
                <w:b/>
                <w:sz w:val="18"/>
              </w:rPr>
            </w:pPr>
            <w:r>
              <w:rPr>
                <w:b/>
                <w:sz w:val="18"/>
              </w:rPr>
              <w:t>PASC</w:t>
            </w:r>
          </w:p>
        </w:tc>
      </w:tr>
      <w:tr>
        <w:trPr>
          <w:trHeight w:val="211" w:hRule="exact"/>
        </w:trPr>
        <w:tc>
          <w:tcPr>
            <w:tcW w:w="994" w:type="dxa"/>
            <w:vMerge w:val="restart"/>
            <w:tcBorders>
              <w:top w:val="nil"/>
            </w:tcBorders>
            <w:shd w:val="clear" w:color="auto" w:fill="BEBEBE"/>
          </w:tcPr>
          <w:p>
            <w:pPr/>
          </w:p>
        </w:tc>
        <w:tc>
          <w:tcPr>
            <w:tcW w:w="991" w:type="dxa"/>
            <w:tcBorders>
              <w:bottom w:val="nil"/>
            </w:tcBorders>
            <w:shd w:val="clear" w:color="auto" w:fill="BEBEBE"/>
          </w:tcPr>
          <w:p>
            <w:pPr>
              <w:pStyle w:val="TableParagraph"/>
              <w:spacing w:line="201" w:lineRule="exact"/>
              <w:ind w:left="118" w:right="118"/>
              <w:jc w:val="center"/>
              <w:rPr>
                <w:b/>
                <w:sz w:val="18"/>
              </w:rPr>
            </w:pPr>
            <w:r>
              <w:rPr>
                <w:b/>
                <w:sz w:val="18"/>
              </w:rPr>
              <w:t>PRI</w:t>
            </w:r>
          </w:p>
        </w:tc>
        <w:tc>
          <w:tcPr>
            <w:tcW w:w="1136" w:type="dxa"/>
            <w:tcBorders>
              <w:bottom w:val="nil"/>
            </w:tcBorders>
            <w:shd w:val="clear" w:color="auto" w:fill="BEBEBE"/>
          </w:tcPr>
          <w:p>
            <w:pPr>
              <w:pStyle w:val="TableParagraph"/>
              <w:spacing w:line="201" w:lineRule="exact"/>
              <w:ind w:left="304" w:right="101"/>
              <w:rPr>
                <w:b/>
                <w:sz w:val="18"/>
              </w:rPr>
            </w:pPr>
            <w:r>
              <w:rPr>
                <w:b/>
                <w:sz w:val="18"/>
              </w:rPr>
              <w:t>PVEM</w:t>
            </w:r>
          </w:p>
        </w:tc>
        <w:tc>
          <w:tcPr>
            <w:tcW w:w="1133" w:type="dxa"/>
            <w:tcBorders>
              <w:bottom w:val="nil"/>
            </w:tcBorders>
            <w:shd w:val="clear" w:color="auto" w:fill="BEBEBE"/>
          </w:tcPr>
          <w:p>
            <w:pPr>
              <w:pStyle w:val="TableParagraph"/>
              <w:spacing w:line="201" w:lineRule="exact"/>
              <w:ind w:left="372" w:right="101"/>
              <w:rPr>
                <w:b/>
                <w:sz w:val="18"/>
              </w:rPr>
            </w:pPr>
            <w:r>
              <w:rPr>
                <w:b/>
                <w:sz w:val="18"/>
              </w:rPr>
              <w:t>PRD</w:t>
            </w:r>
          </w:p>
        </w:tc>
        <w:tc>
          <w:tcPr>
            <w:tcW w:w="1136" w:type="dxa"/>
            <w:tcBorders>
              <w:bottom w:val="nil"/>
            </w:tcBorders>
            <w:shd w:val="clear" w:color="auto" w:fill="BEBEBE"/>
          </w:tcPr>
          <w:p>
            <w:pPr>
              <w:pStyle w:val="TableParagraph"/>
              <w:spacing w:line="201" w:lineRule="exact"/>
              <w:ind w:left="389" w:right="390"/>
              <w:jc w:val="center"/>
              <w:rPr>
                <w:b/>
                <w:sz w:val="18"/>
              </w:rPr>
            </w:pPr>
            <w:r>
              <w:rPr>
                <w:b/>
                <w:sz w:val="18"/>
              </w:rPr>
              <w:t>PT</w:t>
            </w:r>
          </w:p>
        </w:tc>
        <w:tc>
          <w:tcPr>
            <w:tcW w:w="1099" w:type="dxa"/>
            <w:tcBorders>
              <w:bottom w:val="nil"/>
            </w:tcBorders>
            <w:shd w:val="clear" w:color="auto" w:fill="BEBEBE"/>
          </w:tcPr>
          <w:p>
            <w:pPr>
              <w:pStyle w:val="TableParagraph"/>
              <w:spacing w:line="201" w:lineRule="exact"/>
              <w:ind w:left="0"/>
              <w:jc w:val="center"/>
              <w:rPr>
                <w:b/>
                <w:sz w:val="18"/>
              </w:rPr>
            </w:pPr>
            <w:r>
              <w:rPr>
                <w:b/>
                <w:w w:val="99"/>
                <w:sz w:val="18"/>
              </w:rPr>
              <w:t>C</w:t>
            </w:r>
          </w:p>
        </w:tc>
        <w:tc>
          <w:tcPr>
            <w:tcW w:w="1133" w:type="dxa"/>
            <w:vMerge w:val="restart"/>
            <w:tcBorders>
              <w:top w:val="nil"/>
            </w:tcBorders>
            <w:shd w:val="clear" w:color="auto" w:fill="BEBEBE"/>
          </w:tcPr>
          <w:p>
            <w:pPr/>
          </w:p>
        </w:tc>
        <w:tc>
          <w:tcPr>
            <w:tcW w:w="1419" w:type="dxa"/>
            <w:vMerge w:val="restart"/>
            <w:tcBorders>
              <w:top w:val="nil"/>
            </w:tcBorders>
            <w:shd w:val="clear" w:color="auto" w:fill="BEBEBE"/>
          </w:tcPr>
          <w:p>
            <w:pPr/>
          </w:p>
        </w:tc>
      </w:tr>
      <w:tr>
        <w:trPr>
          <w:trHeight w:val="190" w:hRule="exact"/>
        </w:trPr>
        <w:tc>
          <w:tcPr>
            <w:tcW w:w="994" w:type="dxa"/>
            <w:vMerge/>
            <w:shd w:val="clear" w:color="auto" w:fill="BEBEBE"/>
          </w:tcPr>
          <w:p>
            <w:pPr/>
          </w:p>
        </w:tc>
        <w:tc>
          <w:tcPr>
            <w:tcW w:w="991" w:type="dxa"/>
            <w:vMerge w:val="restart"/>
            <w:tcBorders>
              <w:top w:val="nil"/>
              <w:left w:val="single" w:sz="41" w:space="0" w:color="A6A6A6"/>
              <w:right w:val="single" w:sz="40" w:space="0" w:color="A6A6A6"/>
            </w:tcBorders>
            <w:shd w:val="clear" w:color="auto" w:fill="BEBEBE"/>
          </w:tcPr>
          <w:p>
            <w:pPr/>
          </w:p>
        </w:tc>
        <w:tc>
          <w:tcPr>
            <w:tcW w:w="1136" w:type="dxa"/>
            <w:tcBorders>
              <w:top w:val="nil"/>
            </w:tcBorders>
            <w:shd w:val="clear" w:color="auto" w:fill="BEBEBE"/>
          </w:tcPr>
          <w:p>
            <w:pPr/>
          </w:p>
        </w:tc>
        <w:tc>
          <w:tcPr>
            <w:tcW w:w="1133" w:type="dxa"/>
            <w:tcBorders>
              <w:top w:val="nil"/>
            </w:tcBorders>
            <w:shd w:val="clear" w:color="auto" w:fill="BEBEBE"/>
          </w:tcPr>
          <w:p>
            <w:pPr/>
          </w:p>
        </w:tc>
        <w:tc>
          <w:tcPr>
            <w:tcW w:w="1136" w:type="dxa"/>
            <w:tcBorders>
              <w:top w:val="nil"/>
            </w:tcBorders>
            <w:shd w:val="clear" w:color="auto" w:fill="BEBEBE"/>
          </w:tcPr>
          <w:p>
            <w:pPr/>
          </w:p>
        </w:tc>
        <w:tc>
          <w:tcPr>
            <w:tcW w:w="1099" w:type="dxa"/>
            <w:tcBorders>
              <w:top w:val="nil"/>
            </w:tcBorders>
            <w:shd w:val="clear" w:color="auto" w:fill="BEBEBE"/>
          </w:tcPr>
          <w:p>
            <w:pPr/>
          </w:p>
        </w:tc>
        <w:tc>
          <w:tcPr>
            <w:tcW w:w="1133" w:type="dxa"/>
            <w:vMerge/>
            <w:shd w:val="clear" w:color="auto" w:fill="BEBEBE"/>
          </w:tcPr>
          <w:p>
            <w:pPr/>
          </w:p>
        </w:tc>
        <w:tc>
          <w:tcPr>
            <w:tcW w:w="1419" w:type="dxa"/>
            <w:vMerge/>
            <w:shd w:val="clear" w:color="auto" w:fill="BEBEBE"/>
          </w:tcPr>
          <w:p>
            <w:pPr/>
          </w:p>
        </w:tc>
      </w:tr>
      <w:tr>
        <w:trPr>
          <w:trHeight w:val="1162" w:hRule="exact"/>
        </w:trPr>
        <w:tc>
          <w:tcPr>
            <w:tcW w:w="994" w:type="dxa"/>
            <w:vMerge w:val="restart"/>
            <w:shd w:val="clear" w:color="auto" w:fill="A6A6A6"/>
          </w:tcPr>
          <w:p>
            <w:pPr>
              <w:pStyle w:val="TableParagraph"/>
              <w:spacing w:line="242" w:lineRule="auto"/>
              <w:ind w:right="340"/>
              <w:rPr>
                <w:b/>
                <w:sz w:val="18"/>
              </w:rPr>
            </w:pPr>
            <w:r>
              <w:rPr>
                <w:b/>
                <w:sz w:val="18"/>
              </w:rPr>
              <w:t>CG96/ 2008</w:t>
            </w:r>
          </w:p>
        </w:tc>
        <w:tc>
          <w:tcPr>
            <w:tcW w:w="991" w:type="dxa"/>
            <w:vMerge/>
            <w:tcBorders>
              <w:left w:val="single" w:sz="41" w:space="0" w:color="A6A6A6"/>
              <w:right w:val="single" w:sz="40" w:space="0" w:color="A6A6A6"/>
            </w:tcBorders>
            <w:shd w:val="clear" w:color="auto" w:fill="BEBEBE"/>
          </w:tcPr>
          <w:p>
            <w:pPr/>
          </w:p>
        </w:tc>
        <w:tc>
          <w:tcPr>
            <w:tcW w:w="1136" w:type="dxa"/>
            <w:vMerge w:val="restart"/>
            <w:shd w:val="clear" w:color="auto" w:fill="A6A6A6"/>
          </w:tcPr>
          <w:p>
            <w:pPr>
              <w:pStyle w:val="TableParagraph"/>
              <w:spacing w:line="242" w:lineRule="auto"/>
              <w:ind w:left="360" w:right="285" w:hanging="60"/>
              <w:rPr>
                <w:b/>
                <w:sz w:val="18"/>
              </w:rPr>
            </w:pPr>
            <w:r>
              <w:rPr>
                <w:b/>
                <w:sz w:val="18"/>
              </w:rPr>
              <w:t>CG96/ 2008</w:t>
            </w:r>
          </w:p>
        </w:tc>
        <w:tc>
          <w:tcPr>
            <w:tcW w:w="1133" w:type="dxa"/>
            <w:tcBorders>
              <w:left w:val="single" w:sz="41" w:space="0" w:color="A6A6A6"/>
            </w:tcBorders>
          </w:tcPr>
          <w:p>
            <w:pPr>
              <w:pStyle w:val="TableParagraph"/>
              <w:ind w:left="61" w:right="108"/>
              <w:jc w:val="center"/>
              <w:rPr>
                <w:b/>
                <w:sz w:val="20"/>
              </w:rPr>
            </w:pPr>
            <w:r>
              <w:rPr>
                <w:b/>
                <w:w w:val="95"/>
                <w:sz w:val="20"/>
              </w:rPr>
              <w:t>CG21/200 </w:t>
            </w:r>
            <w:r>
              <w:rPr>
                <w:b/>
                <w:sz w:val="20"/>
              </w:rPr>
              <w:t>8 (SUP- RAP- 48/2007)</w:t>
            </w:r>
          </w:p>
        </w:tc>
        <w:tc>
          <w:tcPr>
            <w:tcW w:w="1136" w:type="dxa"/>
            <w:tcBorders>
              <w:right w:val="single" w:sz="45" w:space="0" w:color="A6A6A6"/>
            </w:tcBorders>
          </w:tcPr>
          <w:p>
            <w:pPr>
              <w:pStyle w:val="TableParagraph"/>
              <w:ind w:left="165" w:right="120"/>
              <w:jc w:val="center"/>
              <w:rPr>
                <w:b/>
                <w:sz w:val="20"/>
              </w:rPr>
            </w:pPr>
            <w:r>
              <w:rPr>
                <w:b/>
                <w:sz w:val="20"/>
              </w:rPr>
              <w:t>CG33/ 2008 (SUP- RAP- </w:t>
            </w:r>
            <w:r>
              <w:rPr>
                <w:b/>
                <w:w w:val="95"/>
                <w:sz w:val="20"/>
              </w:rPr>
              <w:t>47/2007)</w:t>
            </w:r>
          </w:p>
        </w:tc>
        <w:tc>
          <w:tcPr>
            <w:tcW w:w="1099" w:type="dxa"/>
            <w:vMerge w:val="restart"/>
            <w:shd w:val="clear" w:color="auto" w:fill="A6A6A6"/>
          </w:tcPr>
          <w:p>
            <w:pPr>
              <w:pStyle w:val="TableParagraph"/>
              <w:spacing w:line="242" w:lineRule="auto"/>
              <w:ind w:left="343" w:right="266" w:hanging="60"/>
              <w:rPr>
                <w:b/>
                <w:sz w:val="18"/>
              </w:rPr>
            </w:pPr>
            <w:r>
              <w:rPr>
                <w:b/>
                <w:sz w:val="18"/>
              </w:rPr>
              <w:t>CG96/ 2008</w:t>
            </w:r>
          </w:p>
        </w:tc>
        <w:tc>
          <w:tcPr>
            <w:tcW w:w="1133" w:type="dxa"/>
            <w:vMerge w:val="restart"/>
            <w:tcBorders>
              <w:left w:val="single" w:sz="41" w:space="0" w:color="A6A6A6"/>
              <w:right w:val="single" w:sz="41" w:space="0" w:color="A6A6A6"/>
            </w:tcBorders>
          </w:tcPr>
          <w:p>
            <w:pPr>
              <w:pStyle w:val="TableParagraph"/>
              <w:ind w:left="61" w:right="62"/>
              <w:jc w:val="center"/>
              <w:rPr>
                <w:b/>
                <w:sz w:val="20"/>
              </w:rPr>
            </w:pPr>
            <w:r>
              <w:rPr>
                <w:b/>
                <w:w w:val="95"/>
                <w:sz w:val="20"/>
              </w:rPr>
              <w:t>CG20/200 </w:t>
            </w:r>
            <w:r>
              <w:rPr>
                <w:b/>
                <w:sz w:val="20"/>
              </w:rPr>
              <w:t>8</w:t>
            </w:r>
          </w:p>
          <w:p>
            <w:pPr>
              <w:pStyle w:val="TableParagraph"/>
              <w:ind w:left="58" w:right="62"/>
              <w:jc w:val="center"/>
              <w:rPr>
                <w:b/>
                <w:sz w:val="20"/>
              </w:rPr>
            </w:pPr>
            <w:r>
              <w:rPr>
                <w:b/>
                <w:sz w:val="20"/>
              </w:rPr>
              <w:t>(SUP- RAP- </w:t>
            </w:r>
            <w:r>
              <w:rPr>
                <w:b/>
                <w:w w:val="95"/>
                <w:sz w:val="20"/>
              </w:rPr>
              <w:t>46/2007)</w:t>
            </w:r>
          </w:p>
        </w:tc>
        <w:tc>
          <w:tcPr>
            <w:tcW w:w="1419" w:type="dxa"/>
            <w:vMerge w:val="restart"/>
            <w:shd w:val="clear" w:color="auto" w:fill="A6A6A6"/>
          </w:tcPr>
          <w:p>
            <w:pPr>
              <w:pStyle w:val="TableParagraph"/>
              <w:spacing w:line="242" w:lineRule="auto"/>
              <w:ind w:left="506" w:right="423" w:hanging="60"/>
              <w:rPr>
                <w:b/>
                <w:sz w:val="18"/>
              </w:rPr>
            </w:pPr>
            <w:r>
              <w:rPr>
                <w:b/>
                <w:sz w:val="18"/>
              </w:rPr>
              <w:t>CG96/ 2008</w:t>
            </w:r>
          </w:p>
        </w:tc>
      </w:tr>
      <w:tr>
        <w:trPr>
          <w:trHeight w:val="475" w:hRule="exact"/>
        </w:trPr>
        <w:tc>
          <w:tcPr>
            <w:tcW w:w="994" w:type="dxa"/>
            <w:vMerge/>
            <w:shd w:val="clear" w:color="auto" w:fill="A6A6A6"/>
          </w:tcPr>
          <w:p>
            <w:pPr/>
          </w:p>
        </w:tc>
        <w:tc>
          <w:tcPr>
            <w:tcW w:w="991" w:type="dxa"/>
            <w:vMerge/>
            <w:tcBorders>
              <w:left w:val="single" w:sz="41" w:space="0" w:color="A6A6A6"/>
              <w:right w:val="single" w:sz="40" w:space="0" w:color="A6A6A6"/>
            </w:tcBorders>
            <w:shd w:val="clear" w:color="auto" w:fill="BEBEBE"/>
          </w:tcPr>
          <w:p>
            <w:pPr/>
          </w:p>
        </w:tc>
        <w:tc>
          <w:tcPr>
            <w:tcW w:w="1136" w:type="dxa"/>
            <w:vMerge/>
            <w:shd w:val="clear" w:color="auto" w:fill="A6A6A6"/>
          </w:tcPr>
          <w:p>
            <w:pPr/>
          </w:p>
        </w:tc>
        <w:tc>
          <w:tcPr>
            <w:tcW w:w="1133" w:type="dxa"/>
            <w:tcBorders>
              <w:bottom w:val="nil"/>
            </w:tcBorders>
          </w:tcPr>
          <w:p>
            <w:pPr>
              <w:pStyle w:val="TableParagraph"/>
              <w:spacing w:line="206" w:lineRule="exact"/>
              <w:ind w:right="379"/>
              <w:rPr>
                <w:b/>
                <w:sz w:val="18"/>
              </w:rPr>
            </w:pPr>
            <w:r>
              <w:rPr>
                <w:b/>
                <w:sz w:val="18"/>
              </w:rPr>
              <w:t>CG329/ 2008</w:t>
            </w:r>
          </w:p>
        </w:tc>
        <w:tc>
          <w:tcPr>
            <w:tcW w:w="1136" w:type="dxa"/>
          </w:tcPr>
          <w:p>
            <w:pPr>
              <w:pStyle w:val="TableParagraph"/>
              <w:spacing w:line="228" w:lineRule="exact" w:before="2"/>
              <w:rPr>
                <w:b/>
                <w:sz w:val="20"/>
              </w:rPr>
            </w:pPr>
            <w:r>
              <w:rPr>
                <w:b/>
                <w:w w:val="95"/>
                <w:sz w:val="20"/>
              </w:rPr>
              <w:t>CG330/ </w:t>
            </w:r>
            <w:r>
              <w:rPr>
                <w:b/>
                <w:sz w:val="20"/>
              </w:rPr>
              <w:t>2008</w:t>
            </w:r>
          </w:p>
        </w:tc>
        <w:tc>
          <w:tcPr>
            <w:tcW w:w="1099" w:type="dxa"/>
            <w:vMerge/>
            <w:shd w:val="clear" w:color="auto" w:fill="A6A6A6"/>
          </w:tcPr>
          <w:p>
            <w:pPr/>
          </w:p>
        </w:tc>
        <w:tc>
          <w:tcPr>
            <w:tcW w:w="1133" w:type="dxa"/>
            <w:vMerge/>
            <w:tcBorders>
              <w:left w:val="single" w:sz="41" w:space="0" w:color="A6A6A6"/>
              <w:right w:val="single" w:sz="41" w:space="0" w:color="A6A6A6"/>
            </w:tcBorders>
          </w:tcPr>
          <w:p>
            <w:pPr/>
          </w:p>
        </w:tc>
        <w:tc>
          <w:tcPr>
            <w:tcW w:w="1419" w:type="dxa"/>
            <w:vMerge/>
            <w:shd w:val="clear" w:color="auto" w:fill="A6A6A6"/>
          </w:tcPr>
          <w:p>
            <w:pPr/>
          </w:p>
        </w:tc>
      </w:tr>
      <w:tr>
        <w:trPr>
          <w:trHeight w:val="1452" w:hRule="exact"/>
        </w:trPr>
        <w:tc>
          <w:tcPr>
            <w:tcW w:w="994" w:type="dxa"/>
            <w:shd w:val="clear" w:color="auto" w:fill="F1F1F1"/>
          </w:tcPr>
          <w:p>
            <w:pPr>
              <w:pStyle w:val="TableParagraph"/>
              <w:spacing w:line="242" w:lineRule="auto"/>
              <w:ind w:right="180"/>
              <w:rPr>
                <w:sz w:val="18"/>
              </w:rPr>
            </w:pPr>
            <w:r>
              <w:rPr>
                <w:w w:val="90"/>
                <w:sz w:val="18"/>
              </w:rPr>
              <w:t>a) </w:t>
            </w:r>
            <w:r>
              <w:rPr>
                <w:w w:val="80"/>
                <w:sz w:val="18"/>
              </w:rPr>
              <w:t>Reducción</w:t>
            </w:r>
          </w:p>
          <w:p>
            <w:pPr>
              <w:pStyle w:val="TableParagraph"/>
              <w:spacing w:line="204" w:lineRule="exact"/>
              <w:rPr>
                <w:sz w:val="18"/>
              </w:rPr>
            </w:pPr>
            <w:r>
              <w:rPr>
                <w:w w:val="90"/>
                <w:sz w:val="18"/>
              </w:rPr>
              <w:t>¤ 1.53% =</w:t>
            </w:r>
          </w:p>
          <w:p>
            <w:pPr>
              <w:pStyle w:val="TableParagraph"/>
              <w:spacing w:line="206" w:lineRule="exact"/>
              <w:rPr>
                <w:sz w:val="18"/>
              </w:rPr>
            </w:pPr>
            <w:r>
              <w:rPr>
                <w:w w:val="90"/>
                <w:sz w:val="18"/>
              </w:rPr>
              <w:t>$5,683,075</w:t>
            </w:r>
          </w:p>
          <w:p>
            <w:pPr>
              <w:pStyle w:val="TableParagraph"/>
              <w:ind w:right="172"/>
              <w:rPr>
                <w:sz w:val="18"/>
              </w:rPr>
            </w:pPr>
            <w:r>
              <w:rPr>
                <w:w w:val="90"/>
                <w:sz w:val="18"/>
              </w:rPr>
              <w:t>.20 </w:t>
            </w:r>
            <w:r>
              <w:rPr>
                <w:w w:val="80"/>
                <w:sz w:val="18"/>
              </w:rPr>
              <w:t>($500,678. </w:t>
            </w:r>
            <w:r>
              <w:rPr>
                <w:w w:val="85"/>
                <w:sz w:val="18"/>
              </w:rPr>
              <w:t>92 USD)</w:t>
            </w:r>
          </w:p>
        </w:tc>
        <w:tc>
          <w:tcPr>
            <w:tcW w:w="991" w:type="dxa"/>
            <w:shd w:val="clear" w:color="auto" w:fill="F1F1F1"/>
          </w:tcPr>
          <w:p>
            <w:pPr>
              <w:pStyle w:val="TableParagraph"/>
              <w:tabs>
                <w:tab w:pos="789" w:val="left" w:leader="none"/>
              </w:tabs>
              <w:ind w:right="103"/>
              <w:rPr>
                <w:sz w:val="18"/>
              </w:rPr>
            </w:pPr>
            <w:r>
              <w:rPr>
                <w:w w:val="90"/>
                <w:sz w:val="18"/>
              </w:rPr>
              <w:t>a) </w:t>
            </w:r>
            <w:r>
              <w:rPr>
                <w:w w:val="85"/>
                <w:sz w:val="18"/>
              </w:rPr>
              <w:t>Reducción </w:t>
            </w:r>
            <w:r>
              <w:rPr>
                <w:w w:val="90"/>
                <w:sz w:val="18"/>
              </w:rPr>
              <w:t>6.49%</w:t>
              <w:tab/>
            </w:r>
            <w:r>
              <w:rPr>
                <w:w w:val="80"/>
                <w:sz w:val="18"/>
              </w:rPr>
              <w:t>=</w:t>
            </w:r>
          </w:p>
          <w:p>
            <w:pPr>
              <w:pStyle w:val="TableParagraph"/>
              <w:ind w:right="137"/>
              <w:rPr>
                <w:sz w:val="18"/>
              </w:rPr>
            </w:pPr>
            <w:r>
              <w:rPr>
                <w:w w:val="80"/>
                <w:sz w:val="18"/>
              </w:rPr>
              <w:t>$24,416,19 </w:t>
            </w:r>
            <w:r>
              <w:rPr>
                <w:w w:val="90"/>
                <w:sz w:val="18"/>
              </w:rPr>
              <w:t>4.82 </w:t>
            </w:r>
            <w:r>
              <w:rPr>
                <w:w w:val="80"/>
                <w:sz w:val="18"/>
              </w:rPr>
              <w:t>($2,151,06</w:t>
            </w:r>
          </w:p>
          <w:p>
            <w:pPr>
              <w:pStyle w:val="TableParagraph"/>
              <w:spacing w:line="206" w:lineRule="exact"/>
              <w:ind w:right="98"/>
              <w:rPr>
                <w:sz w:val="18"/>
              </w:rPr>
            </w:pPr>
            <w:r>
              <w:rPr>
                <w:w w:val="85"/>
                <w:sz w:val="18"/>
              </w:rPr>
              <w:t>6.76 USD)</w:t>
            </w:r>
          </w:p>
        </w:tc>
        <w:tc>
          <w:tcPr>
            <w:tcW w:w="1136" w:type="dxa"/>
            <w:shd w:val="clear" w:color="auto" w:fill="F1F1F1"/>
          </w:tcPr>
          <w:p>
            <w:pPr>
              <w:pStyle w:val="TableParagraph"/>
              <w:tabs>
                <w:tab w:pos="933" w:val="left" w:leader="none"/>
              </w:tabs>
              <w:spacing w:line="242" w:lineRule="auto"/>
              <w:ind w:right="103"/>
              <w:rPr>
                <w:sz w:val="18"/>
              </w:rPr>
            </w:pPr>
            <w:r>
              <w:rPr>
                <w:w w:val="85"/>
                <w:sz w:val="18"/>
              </w:rPr>
              <w:t>a) Reducción </w:t>
            </w:r>
            <w:r>
              <w:rPr>
                <w:w w:val="90"/>
                <w:sz w:val="18"/>
              </w:rPr>
              <w:t>4.68%</w:t>
              <w:tab/>
            </w:r>
            <w:r>
              <w:rPr>
                <w:w w:val="80"/>
                <w:sz w:val="18"/>
              </w:rPr>
              <w:t>=</w:t>
            </w:r>
          </w:p>
          <w:p>
            <w:pPr>
              <w:pStyle w:val="TableParagraph"/>
              <w:spacing w:line="206" w:lineRule="exact" w:before="1"/>
              <w:ind w:right="149"/>
              <w:rPr>
                <w:sz w:val="18"/>
              </w:rPr>
            </w:pPr>
            <w:r>
              <w:rPr>
                <w:w w:val="80"/>
                <w:sz w:val="18"/>
              </w:rPr>
              <w:t>$7,588,255.0 </w:t>
            </w:r>
            <w:r>
              <w:rPr>
                <w:w w:val="90"/>
                <w:sz w:val="18"/>
              </w:rPr>
              <w:t>7 </w:t>
            </w:r>
            <w:r>
              <w:rPr>
                <w:w w:val="80"/>
                <w:sz w:val="18"/>
              </w:rPr>
              <w:t>($668,525.27</w:t>
            </w:r>
          </w:p>
          <w:p>
            <w:pPr>
              <w:pStyle w:val="TableParagraph"/>
              <w:spacing w:line="203" w:lineRule="exact"/>
              <w:ind w:right="101"/>
              <w:rPr>
                <w:sz w:val="18"/>
              </w:rPr>
            </w:pPr>
            <w:r>
              <w:rPr>
                <w:w w:val="90"/>
                <w:sz w:val="18"/>
              </w:rPr>
              <w:t>USD)</w:t>
            </w:r>
          </w:p>
        </w:tc>
        <w:tc>
          <w:tcPr>
            <w:tcW w:w="1133" w:type="dxa"/>
            <w:tcBorders>
              <w:top w:val="nil"/>
            </w:tcBorders>
            <w:shd w:val="clear" w:color="auto" w:fill="F1F1F1"/>
          </w:tcPr>
          <w:p>
            <w:pPr>
              <w:pStyle w:val="TableParagraph"/>
              <w:tabs>
                <w:tab w:pos="933" w:val="left" w:leader="none"/>
              </w:tabs>
              <w:spacing w:line="242" w:lineRule="auto"/>
              <w:ind w:right="100"/>
              <w:rPr>
                <w:sz w:val="18"/>
              </w:rPr>
            </w:pPr>
            <w:r>
              <w:rPr>
                <w:w w:val="85"/>
                <w:sz w:val="18"/>
              </w:rPr>
              <w:t>a) Reducción </w:t>
            </w:r>
            <w:r>
              <w:rPr>
                <w:w w:val="90"/>
                <w:sz w:val="18"/>
              </w:rPr>
              <w:t>5.85%</w:t>
              <w:tab/>
            </w:r>
            <w:r>
              <w:rPr>
                <w:w w:val="80"/>
                <w:sz w:val="18"/>
              </w:rPr>
              <w:t>=</w:t>
            </w:r>
          </w:p>
          <w:p>
            <w:pPr>
              <w:pStyle w:val="TableParagraph"/>
              <w:spacing w:line="206" w:lineRule="exact" w:before="1"/>
              <w:ind w:right="106"/>
              <w:rPr>
                <w:sz w:val="18"/>
              </w:rPr>
            </w:pPr>
            <w:r>
              <w:rPr>
                <w:w w:val="85"/>
                <w:sz w:val="18"/>
              </w:rPr>
              <w:t>$13,055,145. </w:t>
            </w:r>
            <w:r>
              <w:rPr>
                <w:w w:val="90"/>
                <w:sz w:val="18"/>
              </w:rPr>
              <w:t>90 </w:t>
            </w:r>
            <w:r>
              <w:rPr>
                <w:w w:val="80"/>
                <w:sz w:val="18"/>
              </w:rPr>
              <w:t>($1,150,158.3 </w:t>
            </w:r>
            <w:r>
              <w:rPr>
                <w:w w:val="85"/>
                <w:sz w:val="18"/>
              </w:rPr>
              <w:t>5 USD)</w:t>
            </w:r>
          </w:p>
        </w:tc>
        <w:tc>
          <w:tcPr>
            <w:tcW w:w="1136" w:type="dxa"/>
            <w:shd w:val="clear" w:color="auto" w:fill="F1F1F1"/>
          </w:tcPr>
          <w:p>
            <w:pPr>
              <w:pStyle w:val="TableParagraph"/>
              <w:tabs>
                <w:tab w:pos="933" w:val="left" w:leader="none"/>
              </w:tabs>
              <w:spacing w:line="242" w:lineRule="auto"/>
              <w:ind w:right="103"/>
              <w:rPr>
                <w:sz w:val="18"/>
              </w:rPr>
            </w:pPr>
            <w:r>
              <w:rPr>
                <w:w w:val="85"/>
                <w:sz w:val="18"/>
              </w:rPr>
              <w:t>a) Reducción </w:t>
            </w:r>
            <w:r>
              <w:rPr>
                <w:w w:val="90"/>
                <w:sz w:val="18"/>
              </w:rPr>
              <w:t>4.62%</w:t>
              <w:tab/>
            </w:r>
            <w:r>
              <w:rPr>
                <w:w w:val="80"/>
                <w:sz w:val="18"/>
              </w:rPr>
              <w:t>=</w:t>
            </w:r>
          </w:p>
          <w:p>
            <w:pPr>
              <w:pStyle w:val="TableParagraph"/>
              <w:spacing w:line="206" w:lineRule="exact" w:before="1"/>
              <w:ind w:right="148"/>
              <w:rPr>
                <w:sz w:val="18"/>
              </w:rPr>
            </w:pPr>
            <w:r>
              <w:rPr>
                <w:w w:val="80"/>
                <w:sz w:val="18"/>
              </w:rPr>
              <w:t>$4,888,851.7 </w:t>
            </w:r>
            <w:r>
              <w:rPr>
                <w:w w:val="90"/>
                <w:sz w:val="18"/>
              </w:rPr>
              <w:t>1 </w:t>
            </w:r>
            <w:r>
              <w:rPr>
                <w:w w:val="80"/>
                <w:sz w:val="18"/>
              </w:rPr>
              <w:t>($430,707.83</w:t>
            </w:r>
          </w:p>
          <w:p>
            <w:pPr>
              <w:pStyle w:val="TableParagraph"/>
              <w:spacing w:line="203" w:lineRule="exact"/>
              <w:rPr>
                <w:sz w:val="18"/>
              </w:rPr>
            </w:pPr>
            <w:r>
              <w:rPr>
                <w:w w:val="90"/>
                <w:sz w:val="18"/>
              </w:rPr>
              <w:t>USD)</w:t>
            </w:r>
          </w:p>
        </w:tc>
        <w:tc>
          <w:tcPr>
            <w:tcW w:w="1099" w:type="dxa"/>
            <w:shd w:val="clear" w:color="auto" w:fill="F1F1F1"/>
          </w:tcPr>
          <w:p>
            <w:pPr>
              <w:pStyle w:val="TableParagraph"/>
              <w:tabs>
                <w:tab w:pos="897" w:val="left" w:leader="none"/>
              </w:tabs>
              <w:spacing w:line="242" w:lineRule="auto"/>
              <w:ind w:right="100"/>
              <w:rPr>
                <w:sz w:val="18"/>
              </w:rPr>
            </w:pPr>
            <w:r>
              <w:rPr>
                <w:w w:val="85"/>
                <w:sz w:val="18"/>
              </w:rPr>
              <w:t>a)</w:t>
            </w:r>
            <w:r>
              <w:rPr>
                <w:spacing w:val="-18"/>
                <w:w w:val="85"/>
                <w:sz w:val="18"/>
              </w:rPr>
              <w:t> </w:t>
            </w:r>
            <w:r>
              <w:rPr>
                <w:w w:val="85"/>
                <w:sz w:val="18"/>
              </w:rPr>
              <w:t>Reducción </w:t>
            </w:r>
            <w:r>
              <w:rPr>
                <w:w w:val="90"/>
                <w:sz w:val="18"/>
              </w:rPr>
              <w:t>4.81%</w:t>
              <w:tab/>
            </w:r>
            <w:r>
              <w:rPr>
                <w:w w:val="85"/>
                <w:sz w:val="18"/>
              </w:rPr>
              <w:t>=</w:t>
            </w:r>
          </w:p>
          <w:p>
            <w:pPr>
              <w:pStyle w:val="TableParagraph"/>
              <w:spacing w:line="206" w:lineRule="exact" w:before="1"/>
              <w:ind w:right="100"/>
              <w:rPr>
                <w:sz w:val="18"/>
              </w:rPr>
            </w:pPr>
            <w:r>
              <w:rPr>
                <w:w w:val="80"/>
                <w:sz w:val="18"/>
              </w:rPr>
              <w:t>$4,816,019.6 </w:t>
            </w:r>
            <w:r>
              <w:rPr>
                <w:w w:val="90"/>
                <w:sz w:val="18"/>
              </w:rPr>
              <w:t>5 </w:t>
            </w:r>
            <w:r>
              <w:rPr>
                <w:w w:val="80"/>
                <w:sz w:val="18"/>
              </w:rPr>
              <w:t>($424,291.33</w:t>
            </w:r>
          </w:p>
          <w:p>
            <w:pPr>
              <w:pStyle w:val="TableParagraph"/>
              <w:spacing w:line="203" w:lineRule="exact"/>
              <w:ind w:right="266"/>
              <w:rPr>
                <w:sz w:val="18"/>
              </w:rPr>
            </w:pPr>
            <w:r>
              <w:rPr>
                <w:w w:val="90"/>
                <w:sz w:val="18"/>
              </w:rPr>
              <w:t>USD)</w:t>
            </w:r>
          </w:p>
        </w:tc>
        <w:tc>
          <w:tcPr>
            <w:tcW w:w="1133" w:type="dxa"/>
            <w:shd w:val="clear" w:color="auto" w:fill="F1F1F1"/>
          </w:tcPr>
          <w:p>
            <w:pPr>
              <w:pStyle w:val="TableParagraph"/>
              <w:tabs>
                <w:tab w:pos="933" w:val="left" w:leader="none"/>
              </w:tabs>
              <w:spacing w:line="242" w:lineRule="auto"/>
              <w:ind w:right="100"/>
              <w:rPr>
                <w:sz w:val="18"/>
              </w:rPr>
            </w:pPr>
            <w:r>
              <w:rPr>
                <w:w w:val="85"/>
                <w:sz w:val="18"/>
              </w:rPr>
              <w:t>a) Reducción </w:t>
            </w:r>
            <w:r>
              <w:rPr>
                <w:w w:val="90"/>
                <w:sz w:val="18"/>
              </w:rPr>
              <w:t>1%</w:t>
              <w:tab/>
            </w:r>
            <w:r>
              <w:rPr>
                <w:w w:val="80"/>
                <w:sz w:val="18"/>
              </w:rPr>
              <w:t>=</w:t>
            </w:r>
          </w:p>
          <w:p>
            <w:pPr>
              <w:pStyle w:val="TableParagraph"/>
              <w:spacing w:line="206" w:lineRule="exact" w:before="1"/>
              <w:ind w:right="113"/>
              <w:rPr>
                <w:sz w:val="18"/>
              </w:rPr>
            </w:pPr>
            <w:r>
              <w:rPr>
                <w:w w:val="80"/>
                <w:sz w:val="18"/>
              </w:rPr>
              <w:t>$4,088,798.0 </w:t>
            </w:r>
            <w:r>
              <w:rPr>
                <w:w w:val="90"/>
                <w:sz w:val="18"/>
              </w:rPr>
              <w:t>5 </w:t>
            </w:r>
            <w:r>
              <w:rPr>
                <w:w w:val="80"/>
                <w:sz w:val="18"/>
              </w:rPr>
              <w:t>($360,223.10</w:t>
            </w:r>
          </w:p>
          <w:p>
            <w:pPr>
              <w:pStyle w:val="TableParagraph"/>
              <w:spacing w:line="203" w:lineRule="exact"/>
              <w:ind w:right="101"/>
              <w:rPr>
                <w:sz w:val="18"/>
              </w:rPr>
            </w:pPr>
            <w:r>
              <w:rPr>
                <w:w w:val="90"/>
                <w:sz w:val="18"/>
              </w:rPr>
              <w:t>USD)</w:t>
            </w:r>
          </w:p>
        </w:tc>
        <w:tc>
          <w:tcPr>
            <w:tcW w:w="1419" w:type="dxa"/>
            <w:shd w:val="clear" w:color="auto" w:fill="F1F1F1"/>
          </w:tcPr>
          <w:p>
            <w:pPr>
              <w:pStyle w:val="TableParagraph"/>
              <w:spacing w:line="201" w:lineRule="exact"/>
              <w:ind w:left="105" w:right="35"/>
              <w:rPr>
                <w:sz w:val="18"/>
              </w:rPr>
            </w:pPr>
            <w:r>
              <w:rPr>
                <w:w w:val="80"/>
                <w:sz w:val="18"/>
              </w:rPr>
              <w:t>a) Amonestación</w:t>
            </w:r>
          </w:p>
        </w:tc>
      </w:tr>
      <w:tr>
        <w:trPr>
          <w:trHeight w:val="1250" w:hRule="exact"/>
        </w:trPr>
        <w:tc>
          <w:tcPr>
            <w:tcW w:w="994" w:type="dxa"/>
            <w:shd w:val="clear" w:color="auto" w:fill="F1F1F1"/>
          </w:tcPr>
          <w:p>
            <w:pPr>
              <w:pStyle w:val="TableParagraph"/>
              <w:tabs>
                <w:tab w:pos="518" w:val="left" w:leader="none"/>
              </w:tabs>
              <w:ind w:right="103"/>
              <w:rPr>
                <w:sz w:val="18"/>
                <w:szCs w:val="18"/>
              </w:rPr>
            </w:pPr>
            <w:r>
              <w:rPr>
                <w:w w:val="95"/>
                <w:sz w:val="18"/>
                <w:szCs w:val="18"/>
              </w:rPr>
              <w:t>b)</w:t>
              <w:tab/>
            </w:r>
            <w:r>
              <w:rPr>
                <w:w w:val="80"/>
                <w:sz w:val="18"/>
                <w:szCs w:val="18"/>
              </w:rPr>
              <w:t>Multa </w:t>
            </w:r>
            <w:r>
              <w:rPr>
                <w:w w:val="95"/>
                <w:sz w:val="18"/>
                <w:szCs w:val="18"/>
              </w:rPr>
              <w:t>1100 </w:t>
            </w:r>
            <w:r>
              <w:rPr>
                <w:w w:val="90"/>
                <w:sz w:val="18"/>
                <w:szCs w:val="18"/>
              </w:rPr>
              <w:t>dsmdgv</w:t>
            </w:r>
            <w:r>
              <w:rPr>
                <w:w w:val="90"/>
                <w:sz w:val="18"/>
                <w:szCs w:val="18"/>
                <w:rtl/>
              </w:rPr>
              <w:t>٭</w:t>
            </w:r>
            <w:r>
              <w:rPr>
                <w:spacing w:val="-18"/>
                <w:w w:val="90"/>
                <w:sz w:val="18"/>
                <w:szCs w:val="18"/>
              </w:rPr>
              <w:t> </w:t>
            </w:r>
            <w:r>
              <w:rPr>
                <w:w w:val="90"/>
                <w:sz w:val="18"/>
                <w:szCs w:val="18"/>
              </w:rPr>
              <w:t>=</w:t>
            </w:r>
          </w:p>
          <w:p>
            <w:pPr>
              <w:pStyle w:val="TableParagraph"/>
              <w:ind w:right="140"/>
              <w:rPr>
                <w:sz w:val="18"/>
              </w:rPr>
            </w:pPr>
            <w:r>
              <w:rPr>
                <w:w w:val="80"/>
                <w:sz w:val="18"/>
              </w:rPr>
              <w:t>$53,537.00 ($4,716.60</w:t>
            </w:r>
          </w:p>
          <w:p>
            <w:pPr>
              <w:pStyle w:val="TableParagraph"/>
              <w:spacing w:before="2"/>
              <w:ind w:right="140"/>
              <w:rPr>
                <w:sz w:val="18"/>
              </w:rPr>
            </w:pPr>
            <w:r>
              <w:rPr>
                <w:w w:val="90"/>
                <w:sz w:val="18"/>
              </w:rPr>
              <w:t>USD)</w:t>
            </w:r>
          </w:p>
        </w:tc>
        <w:tc>
          <w:tcPr>
            <w:tcW w:w="991" w:type="dxa"/>
            <w:shd w:val="clear" w:color="auto" w:fill="F1F1F1"/>
          </w:tcPr>
          <w:p>
            <w:pPr>
              <w:pStyle w:val="TableParagraph"/>
              <w:tabs>
                <w:tab w:pos="515" w:val="left" w:leader="none"/>
              </w:tabs>
              <w:spacing w:line="206" w:lineRule="exact"/>
              <w:rPr>
                <w:sz w:val="18"/>
              </w:rPr>
            </w:pPr>
            <w:r>
              <w:rPr>
                <w:w w:val="90"/>
                <w:sz w:val="18"/>
              </w:rPr>
              <w:t>b)</w:t>
              <w:tab/>
              <w:t>Multa</w:t>
            </w:r>
          </w:p>
          <w:p>
            <w:pPr>
              <w:pStyle w:val="TableParagraph"/>
              <w:tabs>
                <w:tab w:pos="791" w:val="left" w:leader="none"/>
              </w:tabs>
              <w:spacing w:line="206" w:lineRule="exact"/>
              <w:rPr>
                <w:sz w:val="18"/>
              </w:rPr>
            </w:pPr>
            <w:r>
              <w:rPr>
                <w:w w:val="90"/>
                <w:sz w:val="18"/>
              </w:rPr>
              <w:t>150</w:t>
              <w:tab/>
              <w:t>=</w:t>
            </w:r>
          </w:p>
          <w:p>
            <w:pPr>
              <w:pStyle w:val="TableParagraph"/>
              <w:ind w:right="218"/>
              <w:rPr>
                <w:sz w:val="18"/>
              </w:rPr>
            </w:pPr>
            <w:r>
              <w:rPr>
                <w:w w:val="80"/>
                <w:sz w:val="18"/>
              </w:rPr>
              <w:t>$7,300.50 </w:t>
            </w:r>
            <w:r>
              <w:rPr>
                <w:w w:val="85"/>
                <w:sz w:val="18"/>
              </w:rPr>
              <w:t>($643.17</w:t>
            </w:r>
          </w:p>
          <w:p>
            <w:pPr>
              <w:pStyle w:val="TableParagraph"/>
              <w:spacing w:line="206" w:lineRule="exact"/>
              <w:ind w:right="98"/>
              <w:rPr>
                <w:sz w:val="18"/>
              </w:rPr>
            </w:pPr>
            <w:r>
              <w:rPr>
                <w:w w:val="90"/>
                <w:sz w:val="18"/>
              </w:rPr>
              <w:t>USD)</w:t>
            </w:r>
          </w:p>
        </w:tc>
        <w:tc>
          <w:tcPr>
            <w:tcW w:w="1136" w:type="dxa"/>
            <w:shd w:val="clear" w:color="auto" w:fill="F1F1F1"/>
          </w:tcPr>
          <w:p>
            <w:pPr>
              <w:pStyle w:val="TableParagraph"/>
              <w:spacing w:line="206" w:lineRule="exact"/>
              <w:rPr>
                <w:sz w:val="18"/>
              </w:rPr>
            </w:pPr>
            <w:r>
              <w:rPr>
                <w:w w:val="90"/>
                <w:sz w:val="18"/>
              </w:rPr>
              <w:t>b) Multa 50 =</w:t>
            </w:r>
          </w:p>
          <w:p>
            <w:pPr>
              <w:pStyle w:val="TableParagraph"/>
              <w:ind w:right="362"/>
              <w:rPr>
                <w:sz w:val="18"/>
              </w:rPr>
            </w:pPr>
            <w:r>
              <w:rPr>
                <w:w w:val="80"/>
                <w:sz w:val="18"/>
              </w:rPr>
              <w:t>$2,433.50 </w:t>
            </w:r>
            <w:r>
              <w:rPr>
                <w:w w:val="85"/>
                <w:sz w:val="18"/>
              </w:rPr>
              <w:t>($214.39</w:t>
            </w:r>
          </w:p>
          <w:p>
            <w:pPr>
              <w:pStyle w:val="TableParagraph"/>
              <w:spacing w:line="206" w:lineRule="exact"/>
              <w:ind w:right="101"/>
              <w:rPr>
                <w:sz w:val="18"/>
              </w:rPr>
            </w:pPr>
            <w:r>
              <w:rPr>
                <w:w w:val="90"/>
                <w:sz w:val="18"/>
              </w:rPr>
              <w:t>USD)</w:t>
            </w:r>
          </w:p>
        </w:tc>
        <w:tc>
          <w:tcPr>
            <w:tcW w:w="1133" w:type="dxa"/>
            <w:shd w:val="clear" w:color="auto" w:fill="F1F1F1"/>
          </w:tcPr>
          <w:p>
            <w:pPr>
              <w:pStyle w:val="TableParagraph"/>
              <w:spacing w:line="206" w:lineRule="exact"/>
              <w:rPr>
                <w:sz w:val="18"/>
              </w:rPr>
            </w:pPr>
            <w:r>
              <w:rPr>
                <w:w w:val="85"/>
                <w:sz w:val="18"/>
              </w:rPr>
              <w:t>b) Multa 2900</w:t>
            </w:r>
          </w:p>
          <w:p>
            <w:pPr>
              <w:pStyle w:val="TableParagraph"/>
              <w:spacing w:line="206" w:lineRule="exact"/>
              <w:rPr>
                <w:sz w:val="18"/>
              </w:rPr>
            </w:pPr>
            <w:r>
              <w:rPr>
                <w:w w:val="82"/>
                <w:sz w:val="18"/>
              </w:rPr>
              <w:t>=</w:t>
            </w:r>
          </w:p>
          <w:p>
            <w:pPr>
              <w:pStyle w:val="TableParagraph"/>
              <w:ind w:right="101"/>
              <w:rPr>
                <w:sz w:val="18"/>
              </w:rPr>
            </w:pPr>
            <w:r>
              <w:rPr>
                <w:w w:val="80"/>
                <w:sz w:val="18"/>
              </w:rPr>
              <w:t>$141,143.00 ($12,434.69</w:t>
            </w:r>
          </w:p>
          <w:p>
            <w:pPr>
              <w:pStyle w:val="TableParagraph"/>
              <w:spacing w:line="206" w:lineRule="exact"/>
              <w:ind w:right="101"/>
              <w:rPr>
                <w:sz w:val="18"/>
              </w:rPr>
            </w:pPr>
            <w:r>
              <w:rPr>
                <w:w w:val="90"/>
                <w:sz w:val="18"/>
              </w:rPr>
              <w:t>USD)</w:t>
            </w:r>
          </w:p>
        </w:tc>
        <w:tc>
          <w:tcPr>
            <w:tcW w:w="1136" w:type="dxa"/>
            <w:shd w:val="clear" w:color="auto" w:fill="F1F1F1"/>
          </w:tcPr>
          <w:p>
            <w:pPr>
              <w:pStyle w:val="TableParagraph"/>
              <w:spacing w:line="206" w:lineRule="exact"/>
              <w:rPr>
                <w:sz w:val="18"/>
              </w:rPr>
            </w:pPr>
            <w:r>
              <w:rPr>
                <w:w w:val="85"/>
                <w:sz w:val="18"/>
              </w:rPr>
              <w:t>b) Multa 1050</w:t>
            </w:r>
          </w:p>
          <w:p>
            <w:pPr>
              <w:pStyle w:val="TableParagraph"/>
              <w:rPr>
                <w:sz w:val="18"/>
              </w:rPr>
            </w:pPr>
            <w:r>
              <w:rPr>
                <w:w w:val="85"/>
                <w:sz w:val="18"/>
              </w:rPr>
              <w:t>= $51,103.50 </w:t>
            </w:r>
            <w:r>
              <w:rPr>
                <w:w w:val="90"/>
                <w:sz w:val="18"/>
              </w:rPr>
              <w:t>($4,502.21</w:t>
            </w:r>
          </w:p>
          <w:p>
            <w:pPr>
              <w:pStyle w:val="TableParagraph"/>
              <w:spacing w:line="206" w:lineRule="exact"/>
              <w:rPr>
                <w:sz w:val="18"/>
              </w:rPr>
            </w:pPr>
            <w:r>
              <w:rPr>
                <w:w w:val="90"/>
                <w:sz w:val="18"/>
              </w:rPr>
              <w:t>USD)</w:t>
            </w:r>
          </w:p>
        </w:tc>
        <w:tc>
          <w:tcPr>
            <w:tcW w:w="1099" w:type="dxa"/>
            <w:shd w:val="clear" w:color="auto" w:fill="F1F1F1"/>
          </w:tcPr>
          <w:p>
            <w:pPr>
              <w:pStyle w:val="TableParagraph"/>
              <w:tabs>
                <w:tab w:pos="623" w:val="left" w:leader="none"/>
              </w:tabs>
              <w:spacing w:line="206" w:lineRule="exact"/>
              <w:rPr>
                <w:sz w:val="18"/>
              </w:rPr>
            </w:pPr>
            <w:r>
              <w:rPr>
                <w:w w:val="90"/>
                <w:sz w:val="18"/>
              </w:rPr>
              <w:t>b)</w:t>
              <w:tab/>
              <w:t>Multa</w:t>
            </w:r>
          </w:p>
          <w:p>
            <w:pPr>
              <w:pStyle w:val="TableParagraph"/>
              <w:tabs>
                <w:tab w:pos="899" w:val="left" w:leader="none"/>
              </w:tabs>
              <w:spacing w:line="206" w:lineRule="exact"/>
              <w:rPr>
                <w:sz w:val="18"/>
              </w:rPr>
            </w:pPr>
            <w:r>
              <w:rPr>
                <w:w w:val="90"/>
                <w:sz w:val="18"/>
              </w:rPr>
              <w:t>1050</w:t>
              <w:tab/>
              <w:t>=</w:t>
            </w:r>
          </w:p>
          <w:p>
            <w:pPr>
              <w:pStyle w:val="TableParagraph"/>
              <w:ind w:right="245"/>
              <w:rPr>
                <w:sz w:val="18"/>
              </w:rPr>
            </w:pPr>
            <w:r>
              <w:rPr>
                <w:w w:val="80"/>
                <w:sz w:val="18"/>
              </w:rPr>
              <w:t>$51,103.50 ($4,502.21</w:t>
            </w:r>
          </w:p>
          <w:p>
            <w:pPr>
              <w:pStyle w:val="TableParagraph"/>
              <w:spacing w:line="206" w:lineRule="exact"/>
              <w:ind w:right="266"/>
              <w:rPr>
                <w:sz w:val="18"/>
              </w:rPr>
            </w:pPr>
            <w:r>
              <w:rPr>
                <w:w w:val="90"/>
                <w:sz w:val="18"/>
              </w:rPr>
              <w:t>USD)</w:t>
            </w:r>
          </w:p>
        </w:tc>
        <w:tc>
          <w:tcPr>
            <w:tcW w:w="1133" w:type="dxa"/>
            <w:shd w:val="clear" w:color="auto" w:fill="F1F1F1"/>
          </w:tcPr>
          <w:p>
            <w:pPr>
              <w:pStyle w:val="TableParagraph"/>
              <w:spacing w:line="206" w:lineRule="exact"/>
              <w:rPr>
                <w:sz w:val="18"/>
              </w:rPr>
            </w:pPr>
            <w:r>
              <w:rPr>
                <w:w w:val="90"/>
                <w:sz w:val="18"/>
              </w:rPr>
              <w:t>b) Multa 200</w:t>
            </w:r>
          </w:p>
          <w:p>
            <w:pPr>
              <w:pStyle w:val="TableParagraph"/>
              <w:ind w:right="101"/>
              <w:rPr>
                <w:sz w:val="18"/>
              </w:rPr>
            </w:pPr>
            <w:r>
              <w:rPr>
                <w:w w:val="90"/>
                <w:sz w:val="18"/>
              </w:rPr>
              <w:t>= $9,734.00</w:t>
            </w:r>
            <w:r>
              <w:rPr>
                <w:w w:val="82"/>
                <w:sz w:val="18"/>
              </w:rPr>
              <w:t> </w:t>
            </w:r>
            <w:r>
              <w:rPr>
                <w:w w:val="90"/>
                <w:sz w:val="18"/>
              </w:rPr>
              <w:t>($857.56</w:t>
            </w:r>
          </w:p>
          <w:p>
            <w:pPr>
              <w:pStyle w:val="TableParagraph"/>
              <w:spacing w:line="206" w:lineRule="exact"/>
              <w:ind w:right="101"/>
              <w:rPr>
                <w:sz w:val="18"/>
              </w:rPr>
            </w:pPr>
            <w:r>
              <w:rPr>
                <w:w w:val="90"/>
                <w:sz w:val="18"/>
              </w:rPr>
              <w:t>USD)</w:t>
            </w:r>
          </w:p>
        </w:tc>
        <w:tc>
          <w:tcPr>
            <w:tcW w:w="1419" w:type="dxa"/>
            <w:shd w:val="clear" w:color="auto" w:fill="F1F1F1"/>
          </w:tcPr>
          <w:p>
            <w:pPr>
              <w:pStyle w:val="TableParagraph"/>
              <w:spacing w:line="206" w:lineRule="exact"/>
              <w:ind w:left="105" w:right="35"/>
              <w:rPr>
                <w:sz w:val="18"/>
              </w:rPr>
            </w:pPr>
            <w:r>
              <w:rPr>
                <w:w w:val="90"/>
                <w:sz w:val="18"/>
              </w:rPr>
              <w:t>b) Multa 1,700 =</w:t>
            </w:r>
          </w:p>
          <w:p>
            <w:pPr>
              <w:pStyle w:val="TableParagraph"/>
              <w:ind w:left="105" w:right="35"/>
              <w:rPr>
                <w:sz w:val="18"/>
              </w:rPr>
            </w:pPr>
            <w:r>
              <w:rPr>
                <w:w w:val="90"/>
                <w:sz w:val="18"/>
              </w:rPr>
              <w:t>$82,739.00 </w:t>
            </w:r>
            <w:r>
              <w:rPr>
                <w:w w:val="80"/>
                <w:sz w:val="18"/>
              </w:rPr>
              <w:t>($7,289.3 USD)</w:t>
            </w:r>
          </w:p>
        </w:tc>
      </w:tr>
      <w:tr>
        <w:trPr>
          <w:trHeight w:val="1455" w:hRule="exact"/>
        </w:trPr>
        <w:tc>
          <w:tcPr>
            <w:tcW w:w="994" w:type="dxa"/>
            <w:shd w:val="clear" w:color="auto" w:fill="F1F1F1"/>
          </w:tcPr>
          <w:p>
            <w:pPr>
              <w:pStyle w:val="TableParagraph"/>
              <w:tabs>
                <w:tab w:pos="518" w:val="left" w:leader="none"/>
              </w:tabs>
              <w:spacing w:line="206" w:lineRule="exact"/>
              <w:rPr>
                <w:sz w:val="18"/>
              </w:rPr>
            </w:pPr>
            <w:r>
              <w:rPr>
                <w:w w:val="90"/>
                <w:sz w:val="18"/>
              </w:rPr>
              <w:t>c)</w:t>
              <w:tab/>
              <w:t>Multa</w:t>
            </w:r>
          </w:p>
          <w:p>
            <w:pPr>
              <w:pStyle w:val="TableParagraph"/>
              <w:tabs>
                <w:tab w:pos="793" w:val="left" w:leader="none"/>
              </w:tabs>
              <w:spacing w:line="206" w:lineRule="exact"/>
              <w:rPr>
                <w:sz w:val="18"/>
              </w:rPr>
            </w:pPr>
            <w:r>
              <w:rPr>
                <w:w w:val="90"/>
                <w:sz w:val="18"/>
              </w:rPr>
              <w:t>600</w:t>
              <w:tab/>
              <w:t>=</w:t>
            </w:r>
          </w:p>
          <w:p>
            <w:pPr>
              <w:pStyle w:val="TableParagraph"/>
              <w:ind w:right="140"/>
              <w:rPr>
                <w:sz w:val="18"/>
              </w:rPr>
            </w:pPr>
            <w:r>
              <w:rPr>
                <w:w w:val="80"/>
                <w:sz w:val="18"/>
              </w:rPr>
              <w:t>$29,202.00 ($2,572.69</w:t>
            </w:r>
          </w:p>
          <w:p>
            <w:pPr>
              <w:pStyle w:val="TableParagraph"/>
              <w:spacing w:line="206" w:lineRule="exact"/>
              <w:ind w:right="140"/>
              <w:rPr>
                <w:sz w:val="18"/>
              </w:rPr>
            </w:pPr>
            <w:r>
              <w:rPr>
                <w:w w:val="90"/>
                <w:sz w:val="18"/>
              </w:rPr>
              <w:t>USD)</w:t>
            </w:r>
          </w:p>
        </w:tc>
        <w:tc>
          <w:tcPr>
            <w:tcW w:w="991" w:type="dxa"/>
            <w:shd w:val="clear" w:color="auto" w:fill="F1F1F1"/>
          </w:tcPr>
          <w:p>
            <w:pPr>
              <w:pStyle w:val="TableParagraph"/>
              <w:tabs>
                <w:tab w:pos="789" w:val="left" w:leader="none"/>
              </w:tabs>
              <w:ind w:right="103"/>
              <w:rPr>
                <w:sz w:val="18"/>
              </w:rPr>
            </w:pPr>
            <w:r>
              <w:rPr>
                <w:w w:val="90"/>
                <w:sz w:val="18"/>
              </w:rPr>
              <w:t>c) </w:t>
            </w:r>
            <w:r>
              <w:rPr>
                <w:w w:val="85"/>
                <w:sz w:val="18"/>
              </w:rPr>
              <w:t>Reducción </w:t>
            </w:r>
            <w:r>
              <w:rPr>
                <w:w w:val="90"/>
                <w:sz w:val="18"/>
              </w:rPr>
              <w:t>0.51%</w:t>
              <w:tab/>
            </w:r>
            <w:r>
              <w:rPr>
                <w:w w:val="80"/>
                <w:sz w:val="18"/>
              </w:rPr>
              <w:t>=</w:t>
            </w:r>
          </w:p>
          <w:p>
            <w:pPr>
              <w:pStyle w:val="TableParagraph"/>
              <w:spacing w:line="206" w:lineRule="exact"/>
              <w:rPr>
                <w:sz w:val="18"/>
              </w:rPr>
            </w:pPr>
            <w:r>
              <w:rPr>
                <w:w w:val="90"/>
                <w:sz w:val="18"/>
              </w:rPr>
              <w:t>$1,316,358</w:t>
            </w:r>
          </w:p>
          <w:p>
            <w:pPr>
              <w:pStyle w:val="TableParagraph"/>
              <w:ind w:right="170"/>
              <w:rPr>
                <w:sz w:val="18"/>
              </w:rPr>
            </w:pPr>
            <w:r>
              <w:rPr>
                <w:w w:val="90"/>
                <w:sz w:val="18"/>
              </w:rPr>
              <w:t>.77 </w:t>
            </w:r>
            <w:r>
              <w:rPr>
                <w:w w:val="80"/>
                <w:sz w:val="18"/>
              </w:rPr>
              <w:t>($115,971. </w:t>
            </w:r>
            <w:r>
              <w:rPr>
                <w:w w:val="85"/>
                <w:sz w:val="18"/>
              </w:rPr>
              <w:t>20 USD)</w:t>
            </w:r>
          </w:p>
        </w:tc>
        <w:tc>
          <w:tcPr>
            <w:tcW w:w="1136" w:type="dxa"/>
            <w:shd w:val="clear" w:color="auto" w:fill="F1F1F1"/>
          </w:tcPr>
          <w:p>
            <w:pPr>
              <w:pStyle w:val="TableParagraph"/>
              <w:ind w:right="89"/>
              <w:rPr>
                <w:sz w:val="18"/>
              </w:rPr>
            </w:pPr>
            <w:r>
              <w:rPr>
                <w:w w:val="85"/>
                <w:sz w:val="18"/>
              </w:rPr>
              <w:t>c) Reducción </w:t>
            </w:r>
            <w:r>
              <w:rPr>
                <w:w w:val="90"/>
                <w:sz w:val="18"/>
              </w:rPr>
              <w:t>de  0.37%  =</w:t>
            </w:r>
          </w:p>
          <w:p>
            <w:pPr>
              <w:pStyle w:val="TableParagraph"/>
              <w:ind w:right="101"/>
              <w:rPr>
                <w:sz w:val="18"/>
              </w:rPr>
            </w:pPr>
            <w:r>
              <w:rPr>
                <w:w w:val="80"/>
                <w:sz w:val="18"/>
              </w:rPr>
              <w:t>$409,108.23 ($36,042.43</w:t>
            </w:r>
          </w:p>
          <w:p>
            <w:pPr>
              <w:pStyle w:val="TableParagraph"/>
              <w:spacing w:line="206" w:lineRule="exact"/>
              <w:ind w:right="101"/>
              <w:rPr>
                <w:sz w:val="18"/>
              </w:rPr>
            </w:pPr>
            <w:r>
              <w:rPr>
                <w:w w:val="90"/>
                <w:sz w:val="18"/>
              </w:rPr>
              <w:t>USD)</w:t>
            </w:r>
          </w:p>
        </w:tc>
        <w:tc>
          <w:tcPr>
            <w:tcW w:w="1133" w:type="dxa"/>
            <w:shd w:val="clear" w:color="auto" w:fill="F1F1F1"/>
          </w:tcPr>
          <w:p>
            <w:pPr>
              <w:pStyle w:val="TableParagraph"/>
              <w:spacing w:line="206" w:lineRule="exact"/>
              <w:rPr>
                <w:sz w:val="18"/>
              </w:rPr>
            </w:pPr>
            <w:r>
              <w:rPr>
                <w:w w:val="90"/>
                <w:sz w:val="18"/>
              </w:rPr>
              <w:t>c) Multa 890</w:t>
            </w:r>
          </w:p>
          <w:p>
            <w:pPr>
              <w:pStyle w:val="TableParagraph"/>
              <w:rPr>
                <w:sz w:val="18"/>
              </w:rPr>
            </w:pPr>
            <w:r>
              <w:rPr>
                <w:w w:val="85"/>
                <w:sz w:val="18"/>
              </w:rPr>
              <w:t>= $43,316.30 </w:t>
            </w:r>
            <w:r>
              <w:rPr>
                <w:w w:val="90"/>
                <w:sz w:val="18"/>
              </w:rPr>
              <w:t>($3,816.16</w:t>
            </w:r>
          </w:p>
          <w:p>
            <w:pPr>
              <w:pStyle w:val="TableParagraph"/>
              <w:spacing w:line="206" w:lineRule="exact"/>
              <w:ind w:right="101"/>
              <w:rPr>
                <w:sz w:val="18"/>
              </w:rPr>
            </w:pPr>
            <w:r>
              <w:rPr>
                <w:w w:val="90"/>
                <w:sz w:val="18"/>
              </w:rPr>
              <w:t>USD)</w:t>
            </w:r>
          </w:p>
        </w:tc>
        <w:tc>
          <w:tcPr>
            <w:tcW w:w="1136" w:type="dxa"/>
            <w:shd w:val="clear" w:color="auto" w:fill="F1F1F1"/>
          </w:tcPr>
          <w:p>
            <w:pPr>
              <w:pStyle w:val="TableParagraph"/>
              <w:spacing w:line="206" w:lineRule="exact"/>
              <w:rPr>
                <w:sz w:val="18"/>
              </w:rPr>
            </w:pPr>
            <w:r>
              <w:rPr>
                <w:w w:val="90"/>
                <w:sz w:val="18"/>
              </w:rPr>
              <w:t>c) Multa 336</w:t>
            </w:r>
          </w:p>
          <w:p>
            <w:pPr>
              <w:pStyle w:val="TableParagraph"/>
              <w:rPr>
                <w:sz w:val="18"/>
              </w:rPr>
            </w:pPr>
            <w:r>
              <w:rPr>
                <w:w w:val="85"/>
                <w:sz w:val="18"/>
              </w:rPr>
              <w:t>= $16,353.12 </w:t>
            </w:r>
            <w:r>
              <w:rPr>
                <w:w w:val="90"/>
                <w:sz w:val="18"/>
              </w:rPr>
              <w:t>($1,440.7</w:t>
            </w:r>
          </w:p>
          <w:p>
            <w:pPr>
              <w:pStyle w:val="TableParagraph"/>
              <w:spacing w:line="206" w:lineRule="exact"/>
              <w:rPr>
                <w:sz w:val="18"/>
              </w:rPr>
            </w:pPr>
            <w:r>
              <w:rPr>
                <w:w w:val="90"/>
                <w:sz w:val="18"/>
              </w:rPr>
              <w:t>USD)</w:t>
            </w:r>
          </w:p>
        </w:tc>
        <w:tc>
          <w:tcPr>
            <w:tcW w:w="1099" w:type="dxa"/>
            <w:shd w:val="clear" w:color="auto" w:fill="F1F1F1"/>
          </w:tcPr>
          <w:p>
            <w:pPr>
              <w:pStyle w:val="TableParagraph"/>
              <w:spacing w:line="206" w:lineRule="exact"/>
              <w:rPr>
                <w:sz w:val="18"/>
              </w:rPr>
            </w:pPr>
            <w:r>
              <w:rPr>
                <w:w w:val="90"/>
                <w:sz w:val="18"/>
              </w:rPr>
              <w:t>c) Multa 330</w:t>
            </w:r>
          </w:p>
          <w:p>
            <w:pPr>
              <w:pStyle w:val="TableParagraph"/>
              <w:rPr>
                <w:sz w:val="18"/>
              </w:rPr>
            </w:pPr>
            <w:r>
              <w:rPr>
                <w:w w:val="85"/>
                <w:sz w:val="18"/>
              </w:rPr>
              <w:t>= $16,061.10 </w:t>
            </w:r>
            <w:r>
              <w:rPr>
                <w:w w:val="90"/>
                <w:sz w:val="18"/>
              </w:rPr>
              <w:t>($1,414.98</w:t>
            </w:r>
          </w:p>
          <w:p>
            <w:pPr>
              <w:pStyle w:val="TableParagraph"/>
              <w:spacing w:line="206" w:lineRule="exact"/>
              <w:ind w:right="266"/>
              <w:rPr>
                <w:sz w:val="18"/>
              </w:rPr>
            </w:pPr>
            <w:r>
              <w:rPr>
                <w:w w:val="90"/>
                <w:sz w:val="18"/>
              </w:rPr>
              <w:t>USD)</w:t>
            </w:r>
          </w:p>
        </w:tc>
        <w:tc>
          <w:tcPr>
            <w:tcW w:w="1133" w:type="dxa"/>
            <w:shd w:val="clear" w:color="auto" w:fill="F1F1F1"/>
          </w:tcPr>
          <w:p>
            <w:pPr>
              <w:pStyle w:val="TableParagraph"/>
              <w:spacing w:line="206" w:lineRule="exact"/>
              <w:rPr>
                <w:sz w:val="18"/>
              </w:rPr>
            </w:pPr>
            <w:r>
              <w:rPr>
                <w:w w:val="90"/>
                <w:sz w:val="18"/>
              </w:rPr>
              <w:t>c) Multa 250</w:t>
            </w:r>
          </w:p>
          <w:p>
            <w:pPr>
              <w:pStyle w:val="TableParagraph"/>
              <w:rPr>
                <w:sz w:val="18"/>
              </w:rPr>
            </w:pPr>
            <w:r>
              <w:rPr>
                <w:w w:val="85"/>
                <w:sz w:val="18"/>
              </w:rPr>
              <w:t>= $12,167.50 </w:t>
            </w:r>
            <w:r>
              <w:rPr>
                <w:w w:val="90"/>
                <w:sz w:val="18"/>
              </w:rPr>
              <w:t>($1,071.95</w:t>
            </w:r>
          </w:p>
          <w:p>
            <w:pPr>
              <w:pStyle w:val="TableParagraph"/>
              <w:spacing w:line="206" w:lineRule="exact"/>
              <w:ind w:right="101"/>
              <w:rPr>
                <w:sz w:val="18"/>
              </w:rPr>
            </w:pPr>
            <w:r>
              <w:rPr>
                <w:w w:val="90"/>
                <w:sz w:val="18"/>
              </w:rPr>
              <w:t>USD)</w:t>
            </w:r>
          </w:p>
        </w:tc>
        <w:tc>
          <w:tcPr>
            <w:tcW w:w="1419" w:type="dxa"/>
            <w:shd w:val="clear" w:color="auto" w:fill="F1F1F1"/>
          </w:tcPr>
          <w:p>
            <w:pPr>
              <w:pStyle w:val="TableParagraph"/>
              <w:spacing w:line="206" w:lineRule="exact"/>
              <w:ind w:left="105" w:right="35"/>
              <w:rPr>
                <w:sz w:val="18"/>
              </w:rPr>
            </w:pPr>
            <w:r>
              <w:rPr>
                <w:w w:val="90"/>
                <w:sz w:val="18"/>
              </w:rPr>
              <w:t>c)  Multa  1000 =</w:t>
            </w:r>
          </w:p>
          <w:p>
            <w:pPr>
              <w:pStyle w:val="TableParagraph"/>
              <w:ind w:left="105" w:right="35"/>
              <w:rPr>
                <w:sz w:val="18"/>
              </w:rPr>
            </w:pPr>
            <w:r>
              <w:rPr>
                <w:w w:val="90"/>
                <w:sz w:val="18"/>
              </w:rPr>
              <w:t>$48,670.00 </w:t>
            </w:r>
            <w:r>
              <w:rPr>
                <w:w w:val="80"/>
                <w:sz w:val="18"/>
              </w:rPr>
              <w:t>($4,287.82 USD)</w:t>
            </w:r>
          </w:p>
        </w:tc>
      </w:tr>
      <w:tr>
        <w:trPr>
          <w:trHeight w:val="1457" w:hRule="exact"/>
        </w:trPr>
        <w:tc>
          <w:tcPr>
            <w:tcW w:w="994" w:type="dxa"/>
            <w:shd w:val="clear" w:color="auto" w:fill="F1F1F1"/>
          </w:tcPr>
          <w:p>
            <w:pPr>
              <w:pStyle w:val="TableParagraph"/>
              <w:tabs>
                <w:tab w:pos="518" w:val="left" w:leader="none"/>
                <w:tab w:pos="791" w:val="left" w:leader="none"/>
              </w:tabs>
              <w:ind w:right="103"/>
              <w:rPr>
                <w:sz w:val="18"/>
              </w:rPr>
            </w:pPr>
            <w:r>
              <w:rPr>
                <w:w w:val="90"/>
                <w:sz w:val="18"/>
              </w:rPr>
              <w:t>d)</w:t>
              <w:tab/>
            </w:r>
            <w:r>
              <w:rPr>
                <w:w w:val="80"/>
                <w:sz w:val="18"/>
              </w:rPr>
              <w:t>Multa </w:t>
            </w:r>
            <w:r>
              <w:rPr>
                <w:w w:val="85"/>
                <w:sz w:val="18"/>
              </w:rPr>
              <w:t>2,500</w:t>
              <w:tab/>
              <w:tab/>
            </w:r>
            <w:r>
              <w:rPr>
                <w:w w:val="80"/>
                <w:sz w:val="18"/>
              </w:rPr>
              <w:t>=</w:t>
            </w:r>
          </w:p>
          <w:p>
            <w:pPr>
              <w:pStyle w:val="TableParagraph"/>
              <w:ind w:right="140"/>
              <w:rPr>
                <w:sz w:val="18"/>
              </w:rPr>
            </w:pPr>
            <w:r>
              <w:rPr>
                <w:w w:val="80"/>
                <w:sz w:val="18"/>
              </w:rPr>
              <w:t>$121,675.0 </w:t>
            </w:r>
            <w:r>
              <w:rPr>
                <w:w w:val="90"/>
                <w:sz w:val="18"/>
              </w:rPr>
              <w:t>0 </w:t>
            </w:r>
            <w:r>
              <w:rPr>
                <w:w w:val="80"/>
                <w:sz w:val="18"/>
              </w:rPr>
              <w:t>($10,719.5 </w:t>
            </w:r>
            <w:r>
              <w:rPr>
                <w:w w:val="85"/>
                <w:sz w:val="18"/>
              </w:rPr>
              <w:t>6 USD)</w:t>
            </w:r>
          </w:p>
        </w:tc>
        <w:tc>
          <w:tcPr>
            <w:tcW w:w="991" w:type="dxa"/>
            <w:shd w:val="clear" w:color="auto" w:fill="F1F1F1"/>
          </w:tcPr>
          <w:p>
            <w:pPr>
              <w:pStyle w:val="TableParagraph"/>
              <w:tabs>
                <w:tab w:pos="789" w:val="left" w:leader="none"/>
              </w:tabs>
              <w:ind w:right="103"/>
              <w:rPr>
                <w:sz w:val="18"/>
              </w:rPr>
            </w:pPr>
            <w:r>
              <w:rPr>
                <w:w w:val="90"/>
                <w:sz w:val="18"/>
              </w:rPr>
              <w:t>d) </w:t>
            </w:r>
            <w:r>
              <w:rPr>
                <w:w w:val="85"/>
                <w:sz w:val="18"/>
              </w:rPr>
              <w:t>Reducción </w:t>
            </w:r>
            <w:r>
              <w:rPr>
                <w:w w:val="90"/>
                <w:sz w:val="18"/>
              </w:rPr>
              <w:t>0.69%</w:t>
              <w:tab/>
            </w:r>
            <w:r>
              <w:rPr>
                <w:w w:val="80"/>
                <w:sz w:val="18"/>
              </w:rPr>
              <w:t>=</w:t>
            </w:r>
          </w:p>
          <w:p>
            <w:pPr>
              <w:pStyle w:val="TableParagraph"/>
              <w:spacing w:line="207" w:lineRule="exact" w:before="2"/>
              <w:rPr>
                <w:sz w:val="18"/>
              </w:rPr>
            </w:pPr>
            <w:r>
              <w:rPr>
                <w:w w:val="90"/>
                <w:sz w:val="18"/>
              </w:rPr>
              <w:t>$1,787,963</w:t>
            </w:r>
          </w:p>
          <w:p>
            <w:pPr>
              <w:pStyle w:val="TableParagraph"/>
              <w:tabs>
                <w:tab w:pos="746" w:val="left" w:leader="none"/>
              </w:tabs>
              <w:spacing w:line="206" w:lineRule="exact"/>
              <w:rPr>
                <w:sz w:val="18"/>
              </w:rPr>
            </w:pPr>
            <w:r>
              <w:rPr>
                <w:w w:val="90"/>
                <w:sz w:val="18"/>
              </w:rPr>
              <w:t>.74</w:t>
              <w:tab/>
              <w:t>($</w:t>
            </w:r>
          </w:p>
          <w:p>
            <w:pPr>
              <w:pStyle w:val="TableParagraph"/>
              <w:spacing w:line="206" w:lineRule="exact"/>
              <w:rPr>
                <w:sz w:val="18"/>
              </w:rPr>
            </w:pPr>
            <w:r>
              <w:rPr>
                <w:w w:val="90"/>
                <w:sz w:val="18"/>
              </w:rPr>
              <w:t>157,519.60</w:t>
            </w:r>
          </w:p>
          <w:p>
            <w:pPr>
              <w:pStyle w:val="TableParagraph"/>
              <w:spacing w:line="207" w:lineRule="exact"/>
              <w:ind w:right="98"/>
              <w:rPr>
                <w:sz w:val="18"/>
              </w:rPr>
            </w:pPr>
            <w:r>
              <w:rPr>
                <w:w w:val="90"/>
                <w:sz w:val="18"/>
              </w:rPr>
              <w:t>USD)</w:t>
            </w:r>
          </w:p>
        </w:tc>
        <w:tc>
          <w:tcPr>
            <w:tcW w:w="1136" w:type="dxa"/>
            <w:shd w:val="clear" w:color="auto" w:fill="F1F1F1"/>
          </w:tcPr>
          <w:p>
            <w:pPr>
              <w:pStyle w:val="TableParagraph"/>
              <w:ind w:right="101"/>
              <w:rPr>
                <w:sz w:val="18"/>
              </w:rPr>
            </w:pPr>
            <w:r>
              <w:rPr>
                <w:w w:val="85"/>
                <w:sz w:val="18"/>
              </w:rPr>
              <w:t>d) Reducción </w:t>
            </w:r>
            <w:r>
              <w:rPr>
                <w:w w:val="90"/>
                <w:sz w:val="18"/>
              </w:rPr>
              <w:t>de  0.50% =</w:t>
            </w:r>
          </w:p>
          <w:p>
            <w:pPr>
              <w:pStyle w:val="TableParagraph"/>
              <w:ind w:right="101"/>
              <w:rPr>
                <w:sz w:val="18"/>
              </w:rPr>
            </w:pPr>
            <w:r>
              <w:rPr>
                <w:w w:val="80"/>
                <w:sz w:val="18"/>
              </w:rPr>
              <w:t>$555,677.29 ($48,955.16</w:t>
            </w:r>
          </w:p>
          <w:p>
            <w:pPr>
              <w:pStyle w:val="TableParagraph"/>
              <w:spacing w:line="206" w:lineRule="exact"/>
              <w:ind w:right="101"/>
              <w:rPr>
                <w:sz w:val="18"/>
              </w:rPr>
            </w:pPr>
            <w:r>
              <w:rPr>
                <w:w w:val="90"/>
                <w:sz w:val="18"/>
              </w:rPr>
              <w:t>USD)</w:t>
            </w:r>
          </w:p>
        </w:tc>
        <w:tc>
          <w:tcPr>
            <w:tcW w:w="1133" w:type="dxa"/>
            <w:shd w:val="clear" w:color="auto" w:fill="F1F1F1"/>
          </w:tcPr>
          <w:p>
            <w:pPr>
              <w:pStyle w:val="TableParagraph"/>
              <w:tabs>
                <w:tab w:pos="657" w:val="left" w:leader="none"/>
                <w:tab w:pos="933" w:val="left" w:leader="none"/>
              </w:tabs>
              <w:ind w:right="101"/>
              <w:rPr>
                <w:sz w:val="18"/>
              </w:rPr>
            </w:pPr>
            <w:r>
              <w:rPr>
                <w:w w:val="90"/>
                <w:sz w:val="18"/>
              </w:rPr>
              <w:t>d)</w:t>
              <w:tab/>
            </w:r>
            <w:r>
              <w:rPr>
                <w:w w:val="80"/>
                <w:sz w:val="18"/>
              </w:rPr>
              <w:t>Multa </w:t>
            </w:r>
            <w:r>
              <w:rPr>
                <w:w w:val="90"/>
                <w:sz w:val="18"/>
              </w:rPr>
              <w:t>2,310</w:t>
              <w:tab/>
              <w:tab/>
            </w:r>
            <w:r>
              <w:rPr>
                <w:w w:val="80"/>
                <w:sz w:val="18"/>
              </w:rPr>
              <w:t>=</w:t>
            </w:r>
          </w:p>
          <w:p>
            <w:pPr>
              <w:pStyle w:val="TableParagraph"/>
              <w:ind w:right="101"/>
              <w:rPr>
                <w:sz w:val="18"/>
              </w:rPr>
            </w:pPr>
            <w:r>
              <w:rPr>
                <w:w w:val="80"/>
                <w:sz w:val="18"/>
              </w:rPr>
              <w:t>$112,427.70 </w:t>
            </w:r>
            <w:r>
              <w:rPr>
                <w:w w:val="90"/>
                <w:sz w:val="18"/>
              </w:rPr>
              <w:t>($9,904.88</w:t>
            </w:r>
          </w:p>
          <w:p>
            <w:pPr>
              <w:pStyle w:val="TableParagraph"/>
              <w:spacing w:line="206" w:lineRule="exact"/>
              <w:ind w:right="101"/>
              <w:rPr>
                <w:sz w:val="18"/>
              </w:rPr>
            </w:pPr>
            <w:r>
              <w:rPr>
                <w:w w:val="90"/>
                <w:sz w:val="18"/>
              </w:rPr>
              <w:t>USD)</w:t>
            </w:r>
          </w:p>
        </w:tc>
        <w:tc>
          <w:tcPr>
            <w:tcW w:w="1136" w:type="dxa"/>
            <w:shd w:val="clear" w:color="auto" w:fill="F1F1F1"/>
          </w:tcPr>
          <w:p>
            <w:pPr>
              <w:pStyle w:val="TableParagraph"/>
              <w:spacing w:line="206" w:lineRule="exact"/>
              <w:rPr>
                <w:sz w:val="18"/>
              </w:rPr>
            </w:pPr>
            <w:r>
              <w:rPr>
                <w:w w:val="90"/>
                <w:sz w:val="18"/>
              </w:rPr>
              <w:t>d) Multa 865</w:t>
            </w:r>
          </w:p>
          <w:p>
            <w:pPr>
              <w:pStyle w:val="TableParagraph"/>
              <w:rPr>
                <w:sz w:val="18"/>
              </w:rPr>
            </w:pPr>
            <w:r>
              <w:rPr>
                <w:w w:val="85"/>
                <w:sz w:val="18"/>
              </w:rPr>
              <w:t>= $42,099.55 </w:t>
            </w:r>
            <w:r>
              <w:rPr>
                <w:w w:val="90"/>
                <w:sz w:val="18"/>
              </w:rPr>
              <w:t>($3,708.97</w:t>
            </w:r>
          </w:p>
          <w:p>
            <w:pPr>
              <w:pStyle w:val="TableParagraph"/>
              <w:spacing w:before="2"/>
              <w:rPr>
                <w:sz w:val="18"/>
              </w:rPr>
            </w:pPr>
            <w:r>
              <w:rPr>
                <w:w w:val="90"/>
                <w:sz w:val="18"/>
              </w:rPr>
              <w:t>USD)</w:t>
            </w:r>
          </w:p>
        </w:tc>
        <w:tc>
          <w:tcPr>
            <w:tcW w:w="1099" w:type="dxa"/>
            <w:shd w:val="clear" w:color="auto" w:fill="F1F1F1"/>
          </w:tcPr>
          <w:p>
            <w:pPr>
              <w:pStyle w:val="TableParagraph"/>
              <w:spacing w:line="206" w:lineRule="exact"/>
              <w:rPr>
                <w:sz w:val="18"/>
              </w:rPr>
            </w:pPr>
            <w:r>
              <w:rPr>
                <w:w w:val="90"/>
                <w:sz w:val="18"/>
              </w:rPr>
              <w:t>d) Multa 852</w:t>
            </w:r>
          </w:p>
          <w:p>
            <w:pPr>
              <w:pStyle w:val="TableParagraph"/>
              <w:rPr>
                <w:sz w:val="18"/>
              </w:rPr>
            </w:pPr>
            <w:r>
              <w:rPr>
                <w:w w:val="85"/>
                <w:sz w:val="18"/>
              </w:rPr>
              <w:t>= $41,466.84 </w:t>
            </w:r>
            <w:r>
              <w:rPr>
                <w:w w:val="90"/>
                <w:sz w:val="18"/>
              </w:rPr>
              <w:t>($3,653.22</w:t>
            </w:r>
          </w:p>
          <w:p>
            <w:pPr>
              <w:pStyle w:val="TableParagraph"/>
              <w:spacing w:before="2"/>
              <w:ind w:right="266"/>
              <w:rPr>
                <w:sz w:val="18"/>
              </w:rPr>
            </w:pPr>
            <w:r>
              <w:rPr>
                <w:w w:val="90"/>
                <w:sz w:val="18"/>
              </w:rPr>
              <w:t>USD)</w:t>
            </w:r>
          </w:p>
        </w:tc>
        <w:tc>
          <w:tcPr>
            <w:tcW w:w="1133" w:type="dxa"/>
            <w:shd w:val="clear" w:color="auto" w:fill="F1F1F1"/>
          </w:tcPr>
          <w:p>
            <w:pPr>
              <w:pStyle w:val="TableParagraph"/>
              <w:spacing w:line="206" w:lineRule="exact"/>
              <w:rPr>
                <w:sz w:val="18"/>
              </w:rPr>
            </w:pPr>
            <w:r>
              <w:rPr>
                <w:w w:val="90"/>
                <w:sz w:val="18"/>
              </w:rPr>
              <w:t>d) Multa 350</w:t>
            </w:r>
          </w:p>
          <w:p>
            <w:pPr>
              <w:pStyle w:val="TableParagraph"/>
              <w:rPr>
                <w:sz w:val="18"/>
              </w:rPr>
            </w:pPr>
            <w:r>
              <w:rPr>
                <w:w w:val="85"/>
                <w:sz w:val="18"/>
              </w:rPr>
              <w:t>= $17,034.50 </w:t>
            </w:r>
            <w:r>
              <w:rPr>
                <w:w w:val="90"/>
                <w:sz w:val="18"/>
              </w:rPr>
              <w:t>($1,500.73</w:t>
            </w:r>
          </w:p>
          <w:p>
            <w:pPr>
              <w:pStyle w:val="TableParagraph"/>
              <w:spacing w:before="2"/>
              <w:ind w:right="101"/>
              <w:rPr>
                <w:sz w:val="18"/>
              </w:rPr>
            </w:pPr>
            <w:r>
              <w:rPr>
                <w:w w:val="90"/>
                <w:sz w:val="18"/>
              </w:rPr>
              <w:t>USD)</w:t>
            </w:r>
          </w:p>
        </w:tc>
        <w:tc>
          <w:tcPr>
            <w:tcW w:w="1419" w:type="dxa"/>
            <w:shd w:val="clear" w:color="auto" w:fill="F1F1F1"/>
          </w:tcPr>
          <w:p>
            <w:pPr>
              <w:pStyle w:val="TableParagraph"/>
              <w:spacing w:line="206" w:lineRule="exact"/>
              <w:ind w:left="105" w:right="35"/>
              <w:rPr>
                <w:sz w:val="18"/>
              </w:rPr>
            </w:pPr>
            <w:r>
              <w:rPr>
                <w:w w:val="90"/>
                <w:sz w:val="18"/>
              </w:rPr>
              <w:t>d)  Multa  140  =</w:t>
            </w:r>
          </w:p>
          <w:p>
            <w:pPr>
              <w:pStyle w:val="TableParagraph"/>
              <w:ind w:left="105" w:right="35"/>
              <w:rPr>
                <w:sz w:val="18"/>
              </w:rPr>
            </w:pPr>
            <w:r>
              <w:rPr>
                <w:w w:val="90"/>
                <w:sz w:val="18"/>
              </w:rPr>
              <w:t>$6,813.80 </w:t>
            </w:r>
            <w:r>
              <w:rPr>
                <w:w w:val="80"/>
                <w:sz w:val="18"/>
              </w:rPr>
              <w:t>($600.29 USD)</w:t>
            </w:r>
          </w:p>
        </w:tc>
      </w:tr>
      <w:tr>
        <w:trPr>
          <w:trHeight w:val="422" w:hRule="exact"/>
        </w:trPr>
        <w:tc>
          <w:tcPr>
            <w:tcW w:w="994" w:type="dxa"/>
            <w:shd w:val="clear" w:color="auto" w:fill="F1F1F1"/>
          </w:tcPr>
          <w:p>
            <w:pPr>
              <w:pStyle w:val="TableParagraph"/>
              <w:ind w:right="180"/>
              <w:rPr>
                <w:sz w:val="18"/>
              </w:rPr>
            </w:pPr>
            <w:r>
              <w:rPr>
                <w:w w:val="90"/>
                <w:sz w:val="18"/>
              </w:rPr>
              <w:t>e) </w:t>
            </w:r>
            <w:r>
              <w:rPr>
                <w:w w:val="80"/>
                <w:sz w:val="18"/>
              </w:rPr>
              <w:t>Reducción</w:t>
            </w:r>
          </w:p>
        </w:tc>
        <w:tc>
          <w:tcPr>
            <w:tcW w:w="991" w:type="dxa"/>
            <w:tcBorders>
              <w:right w:val="thickThinMediumGap" w:sz="23" w:space="0" w:color="A6A6A6"/>
            </w:tcBorders>
            <w:shd w:val="clear" w:color="auto" w:fill="F1F1F1"/>
          </w:tcPr>
          <w:p>
            <w:pPr>
              <w:pStyle w:val="TableParagraph"/>
              <w:tabs>
                <w:tab w:pos="722" w:val="left" w:leader="none"/>
              </w:tabs>
              <w:spacing w:line="206" w:lineRule="exact"/>
              <w:rPr>
                <w:sz w:val="18"/>
              </w:rPr>
            </w:pPr>
            <w:r>
              <w:rPr>
                <w:w w:val="90"/>
                <w:sz w:val="18"/>
              </w:rPr>
              <w:t>No</w:t>
              <w:tab/>
              <w:t>se</w:t>
            </w:r>
          </w:p>
          <w:p>
            <w:pPr>
              <w:pStyle w:val="TableParagraph"/>
              <w:spacing w:line="207" w:lineRule="exact"/>
              <w:rPr>
                <w:sz w:val="18"/>
              </w:rPr>
            </w:pPr>
            <w:r>
              <w:rPr>
                <w:w w:val="90"/>
                <w:sz w:val="18"/>
              </w:rPr>
              <w:t>estableció</w:t>
            </w:r>
          </w:p>
        </w:tc>
        <w:tc>
          <w:tcPr>
            <w:tcW w:w="1136" w:type="dxa"/>
            <w:shd w:val="clear" w:color="auto" w:fill="A6A6A6"/>
          </w:tcPr>
          <w:p>
            <w:pPr>
              <w:pStyle w:val="TableParagraph"/>
              <w:tabs>
                <w:tab w:pos="806" w:val="left" w:leader="none"/>
              </w:tabs>
              <w:ind w:right="102"/>
              <w:rPr>
                <w:sz w:val="18"/>
              </w:rPr>
            </w:pPr>
            <w:r>
              <w:rPr>
                <w:w w:val="85"/>
                <w:sz w:val="18"/>
              </w:rPr>
              <w:t>e) Reducción </w:t>
            </w:r>
            <w:r>
              <w:rPr>
                <w:w w:val="90"/>
                <w:sz w:val="18"/>
              </w:rPr>
              <w:t>de</w:t>
              <w:tab/>
            </w:r>
            <w:r>
              <w:rPr>
                <w:w w:val="80"/>
                <w:sz w:val="18"/>
              </w:rPr>
              <w:t>1%</w:t>
            </w:r>
          </w:p>
        </w:tc>
        <w:tc>
          <w:tcPr>
            <w:tcW w:w="1133" w:type="dxa"/>
            <w:tcBorders>
              <w:left w:val="single" w:sz="41" w:space="0" w:color="A6A6A6"/>
            </w:tcBorders>
            <w:shd w:val="clear" w:color="auto" w:fill="F1F1F1"/>
          </w:tcPr>
          <w:p>
            <w:pPr>
              <w:pStyle w:val="TableParagraph"/>
              <w:tabs>
                <w:tab w:pos="886" w:val="left" w:leader="none"/>
              </w:tabs>
              <w:ind w:left="56" w:right="100"/>
              <w:rPr>
                <w:sz w:val="18"/>
              </w:rPr>
            </w:pPr>
            <w:r>
              <w:rPr>
                <w:w w:val="85"/>
                <w:sz w:val="18"/>
              </w:rPr>
              <w:t>e) Reducción </w:t>
            </w:r>
            <w:r>
              <w:rPr>
                <w:w w:val="90"/>
                <w:sz w:val="18"/>
              </w:rPr>
              <w:t>0.55%</w:t>
              <w:tab/>
            </w:r>
            <w:r>
              <w:rPr>
                <w:w w:val="80"/>
                <w:sz w:val="18"/>
              </w:rPr>
              <w:t>=</w:t>
            </w:r>
          </w:p>
        </w:tc>
        <w:tc>
          <w:tcPr>
            <w:tcW w:w="1136" w:type="dxa"/>
            <w:shd w:val="clear" w:color="auto" w:fill="F1F1F1"/>
          </w:tcPr>
          <w:p>
            <w:pPr>
              <w:pStyle w:val="TableParagraph"/>
              <w:tabs>
                <w:tab w:pos="933" w:val="left" w:leader="none"/>
              </w:tabs>
              <w:ind w:right="103"/>
              <w:rPr>
                <w:sz w:val="18"/>
              </w:rPr>
            </w:pPr>
            <w:r>
              <w:rPr>
                <w:w w:val="85"/>
                <w:sz w:val="18"/>
              </w:rPr>
              <w:t>e) Reducción </w:t>
            </w:r>
            <w:r>
              <w:rPr>
                <w:w w:val="90"/>
                <w:sz w:val="18"/>
              </w:rPr>
              <w:t>0.43%</w:t>
              <w:tab/>
            </w:r>
            <w:r>
              <w:rPr>
                <w:w w:val="80"/>
                <w:sz w:val="18"/>
              </w:rPr>
              <w:t>=</w:t>
            </w:r>
          </w:p>
        </w:tc>
        <w:tc>
          <w:tcPr>
            <w:tcW w:w="1099" w:type="dxa"/>
            <w:shd w:val="clear" w:color="auto" w:fill="F1F1F1"/>
          </w:tcPr>
          <w:p>
            <w:pPr>
              <w:pStyle w:val="TableParagraph"/>
              <w:tabs>
                <w:tab w:pos="897" w:val="left" w:leader="none"/>
              </w:tabs>
              <w:ind w:right="100"/>
              <w:rPr>
                <w:sz w:val="18"/>
              </w:rPr>
            </w:pPr>
            <w:r>
              <w:rPr>
                <w:w w:val="85"/>
                <w:sz w:val="18"/>
              </w:rPr>
              <w:t>e)</w:t>
            </w:r>
            <w:r>
              <w:rPr>
                <w:spacing w:val="-18"/>
                <w:w w:val="85"/>
                <w:sz w:val="18"/>
              </w:rPr>
              <w:t> </w:t>
            </w:r>
            <w:r>
              <w:rPr>
                <w:w w:val="85"/>
                <w:sz w:val="18"/>
              </w:rPr>
              <w:t>Reducción </w:t>
            </w:r>
            <w:r>
              <w:rPr>
                <w:w w:val="90"/>
                <w:sz w:val="18"/>
              </w:rPr>
              <w:t>0.45%</w:t>
              <w:tab/>
            </w:r>
            <w:r>
              <w:rPr>
                <w:w w:val="85"/>
                <w:sz w:val="18"/>
              </w:rPr>
              <w:t>=</w:t>
            </w:r>
          </w:p>
        </w:tc>
        <w:tc>
          <w:tcPr>
            <w:tcW w:w="1133" w:type="dxa"/>
            <w:shd w:val="clear" w:color="auto" w:fill="F1F1F1"/>
          </w:tcPr>
          <w:p>
            <w:pPr>
              <w:pStyle w:val="TableParagraph"/>
              <w:spacing w:line="206" w:lineRule="exact"/>
              <w:rPr>
                <w:sz w:val="18"/>
              </w:rPr>
            </w:pPr>
            <w:r>
              <w:rPr>
                <w:w w:val="90"/>
                <w:sz w:val="18"/>
              </w:rPr>
              <w:t>e) Multa 250</w:t>
            </w:r>
          </w:p>
          <w:p>
            <w:pPr>
              <w:pStyle w:val="TableParagraph"/>
              <w:spacing w:line="207" w:lineRule="exact"/>
              <w:rPr>
                <w:sz w:val="18"/>
              </w:rPr>
            </w:pPr>
            <w:r>
              <w:rPr>
                <w:w w:val="85"/>
                <w:sz w:val="18"/>
              </w:rPr>
              <w:t>= $12,167.50</w:t>
            </w:r>
          </w:p>
        </w:tc>
        <w:tc>
          <w:tcPr>
            <w:tcW w:w="1419" w:type="dxa"/>
            <w:shd w:val="clear" w:color="auto" w:fill="F1F1F1"/>
          </w:tcPr>
          <w:p>
            <w:pPr>
              <w:pStyle w:val="TableParagraph"/>
              <w:spacing w:line="206" w:lineRule="exact"/>
              <w:ind w:left="105" w:right="35"/>
              <w:rPr>
                <w:sz w:val="18"/>
              </w:rPr>
            </w:pPr>
            <w:r>
              <w:rPr>
                <w:w w:val="90"/>
                <w:sz w:val="18"/>
              </w:rPr>
              <w:t>e) Multa 2000  =</w:t>
            </w:r>
          </w:p>
          <w:p>
            <w:pPr>
              <w:pStyle w:val="TableParagraph"/>
              <w:spacing w:line="207" w:lineRule="exact"/>
              <w:ind w:left="105" w:right="423"/>
              <w:rPr>
                <w:sz w:val="18"/>
              </w:rPr>
            </w:pPr>
            <w:r>
              <w:rPr>
                <w:w w:val="90"/>
                <w:sz w:val="18"/>
              </w:rPr>
              <w:t>$97,340.00</w:t>
            </w:r>
          </w:p>
        </w:tc>
      </w:tr>
    </w:tbl>
    <w:p>
      <w:pPr>
        <w:spacing w:after="0" w:line="207" w:lineRule="exact"/>
        <w:rPr>
          <w:sz w:val="18"/>
        </w:rPr>
        <w:sectPr>
          <w:pgSz w:w="12240" w:h="15840"/>
          <w:pgMar w:header="749" w:footer="1003" w:top="960" w:bottom="1200" w:left="1580" w:right="1380"/>
        </w:sectPr>
      </w:pPr>
    </w:p>
    <w:p>
      <w:pPr>
        <w:pStyle w:val="BodyText"/>
        <w:rPr>
          <w:rFonts w:ascii="Times New Roman"/>
          <w:sz w:val="20"/>
        </w:rPr>
      </w:pPr>
      <w:r>
        <w:rPr/>
        <w:pict>
          <v:group style="position:absolute;margin-left:409.630005pt;margin-top:196.339996pt;width:56.3pt;height:301.05pt;mso-position-horizontal-relative:page;mso-position-vertical-relative:page;z-index:-330496" coordorigin="8193,3927" coordsize="1126,6021">
            <v:shape style="position:absolute;left:8193;top:3927;width:103;height:1032" type="#_x0000_t75" stroked="false">
              <v:imagedata r:id="rId81" o:title=""/>
            </v:shape>
            <v:shape style="position:absolute;left:9215;top:3927;width:103;height:1032" type="#_x0000_t75" stroked="false">
              <v:imagedata r:id="rId82" o:title=""/>
            </v:shape>
            <v:shape style="position:absolute;left:8193;top:4959;width:1126;height:413" type="#_x0000_t75" stroked="false">
              <v:imagedata r:id="rId83" o:title=""/>
            </v:shape>
            <v:shape style="position:absolute;left:8296;top:3927;width:919;height:206" type="#_x0000_t75" stroked="false">
              <v:imagedata r:id="rId84" o:title=""/>
            </v:shape>
            <v:shape style="position:absolute;left:8296;top:4133;width:919;height:206" type="#_x0000_t75" stroked="false">
              <v:imagedata r:id="rId85" o:title=""/>
            </v:shape>
            <v:shape style="position:absolute;left:8296;top:4340;width:919;height:206" type="#_x0000_t75" stroked="false">
              <v:imagedata r:id="rId86" o:title=""/>
            </v:shape>
            <v:shape style="position:absolute;left:8296;top:4546;width:919;height:206" type="#_x0000_t75" stroked="false">
              <v:imagedata r:id="rId87" o:title=""/>
            </v:shape>
            <v:shape style="position:absolute;left:8296;top:4752;width:919;height:206" type="#_x0000_t75" stroked="false">
              <v:imagedata r:id="rId88" o:title=""/>
            </v:shape>
            <v:shape style="position:absolute;left:8193;top:5382;width:103;height:1034" type="#_x0000_t75" stroked="false">
              <v:imagedata r:id="rId89" o:title=""/>
            </v:shape>
            <v:shape style="position:absolute;left:9215;top:5382;width:103;height:1034" type="#_x0000_t75" stroked="false">
              <v:imagedata r:id="rId90" o:title=""/>
            </v:shape>
            <v:shape style="position:absolute;left:8193;top:6416;width:1126;height:413" type="#_x0000_t75" stroked="false">
              <v:imagedata r:id="rId91" o:title=""/>
            </v:shape>
            <v:shape style="position:absolute;left:8296;top:5382;width:919;height:206" type="#_x0000_t75" stroked="false">
              <v:imagedata r:id="rId92" o:title=""/>
            </v:shape>
            <v:shape style="position:absolute;left:8296;top:5588;width:919;height:206" type="#_x0000_t75" stroked="false">
              <v:imagedata r:id="rId93" o:title=""/>
            </v:shape>
            <v:shape style="position:absolute;left:8296;top:5795;width:919;height:206" type="#_x0000_t75" stroked="false">
              <v:imagedata r:id="rId94" o:title=""/>
            </v:shape>
            <v:shape style="position:absolute;left:8296;top:6001;width:919;height:206" type="#_x0000_t75" stroked="false">
              <v:imagedata r:id="rId95" o:title=""/>
            </v:shape>
            <v:shape style="position:absolute;left:8296;top:6207;width:919;height:209" type="#_x0000_t75" stroked="false">
              <v:imagedata r:id="rId96" o:title=""/>
            </v:shape>
            <v:shape style="position:absolute;left:8193;top:6839;width:103;height:1032" type="#_x0000_t75" stroked="false">
              <v:imagedata r:id="rId97" o:title=""/>
            </v:shape>
            <v:shape style="position:absolute;left:9215;top:6839;width:103;height:1032" type="#_x0000_t75" stroked="false">
              <v:imagedata r:id="rId98" o:title=""/>
            </v:shape>
            <v:shape style="position:absolute;left:8193;top:7871;width:1126;height:413" type="#_x0000_t75" stroked="false">
              <v:imagedata r:id="rId99" o:title=""/>
            </v:shape>
            <v:shape style="position:absolute;left:8296;top:6839;width:919;height:206" type="#_x0000_t75" stroked="false">
              <v:imagedata r:id="rId100" o:title=""/>
            </v:shape>
            <v:shape style="position:absolute;left:8296;top:7045;width:919;height:206" type="#_x0000_t75" stroked="false">
              <v:imagedata r:id="rId101" o:title=""/>
            </v:shape>
            <v:shape style="position:absolute;left:8296;top:7251;width:919;height:206" type="#_x0000_t75" stroked="false">
              <v:imagedata r:id="rId102" o:title=""/>
            </v:shape>
            <v:shape style="position:absolute;left:8296;top:7458;width:919;height:206" type="#_x0000_t75" stroked="false">
              <v:imagedata r:id="rId103" o:title=""/>
            </v:shape>
            <v:shape style="position:absolute;left:8296;top:7664;width:919;height:206" type="#_x0000_t75" stroked="false">
              <v:imagedata r:id="rId104" o:title=""/>
            </v:shape>
            <v:shape style="position:absolute;left:8193;top:8293;width:103;height:1241" type="#_x0000_t75" stroked="false">
              <v:imagedata r:id="rId105" o:title=""/>
            </v:shape>
            <v:shape style="position:absolute;left:9215;top:8293;width:103;height:1241" type="#_x0000_t75" stroked="false">
              <v:imagedata r:id="rId106" o:title=""/>
            </v:shape>
            <v:shape style="position:absolute;left:8193;top:9534;width:1126;height:413" type="#_x0000_t75" stroked="false">
              <v:imagedata r:id="rId107" o:title=""/>
            </v:shape>
            <v:shape style="position:absolute;left:8296;top:8293;width:919;height:206" type="#_x0000_t75" stroked="false">
              <v:imagedata r:id="rId108" o:title=""/>
            </v:shape>
            <v:shape style="position:absolute;left:8296;top:8499;width:919;height:209" type="#_x0000_t75" stroked="false">
              <v:imagedata r:id="rId109" o:title=""/>
            </v:shape>
            <v:shape style="position:absolute;left:8296;top:8709;width:919;height:206" type="#_x0000_t75" stroked="false">
              <v:imagedata r:id="rId110" o:title=""/>
            </v:shape>
            <v:shape style="position:absolute;left:8296;top:8915;width:919;height:206" type="#_x0000_t75" stroked="false">
              <v:imagedata r:id="rId111" o:title=""/>
            </v:shape>
            <v:shape style="position:absolute;left:8296;top:9121;width:919;height:206" type="#_x0000_t75" stroked="false">
              <v:imagedata r:id="rId112" o:title=""/>
            </v:shape>
            <v:shape style="position:absolute;left:8296;top:9328;width:919;height:206" type="#_x0000_t75" stroked="false">
              <v:imagedata r:id="rId113" o:title=""/>
            </v:shape>
            <w10:wrap type="none"/>
          </v:group>
        </w:pict>
      </w:r>
      <w:r>
        <w:rPr/>
        <w:pict>
          <v:group style="position:absolute;margin-left:241.25pt;margin-top:341.929993pt;width:112.95pt;height:374.35pt;mso-position-horizontal-relative:page;mso-position-vertical-relative:page;z-index:-330472" coordorigin="4825,6839" coordsize="2259,7487">
            <v:shape style="position:absolute;left:4825;top:6839;width:103;height:1238" type="#_x0000_t75" stroked="false">
              <v:imagedata r:id="rId114" o:title=""/>
            </v:shape>
            <v:shape style="position:absolute;left:5845;top:6839;width:103;height:1238" type="#_x0000_t75" stroked="false">
              <v:imagedata r:id="rId115" o:title=""/>
            </v:shape>
            <v:shape style="position:absolute;left:4825;top:8077;width:1123;height:206" type="#_x0000_t75" stroked="false">
              <v:imagedata r:id="rId116" o:title=""/>
            </v:shape>
            <v:shape style="position:absolute;left:4928;top:6839;width:917;height:206" type="#_x0000_t75" stroked="false">
              <v:imagedata r:id="rId117" o:title=""/>
            </v:shape>
            <v:shape style="position:absolute;left:4928;top:7045;width:917;height:206" type="#_x0000_t75" stroked="false">
              <v:imagedata r:id="rId118" o:title=""/>
            </v:shape>
            <v:shape style="position:absolute;left:4928;top:7251;width:917;height:206" type="#_x0000_t75" stroked="false">
              <v:imagedata r:id="rId119" o:title=""/>
            </v:shape>
            <v:shape style="position:absolute;left:4928;top:7458;width:917;height:206" type="#_x0000_t75" stroked="false">
              <v:imagedata r:id="rId120" o:title=""/>
            </v:shape>
            <v:shape style="position:absolute;left:4928;top:7664;width:917;height:206" type="#_x0000_t75" stroked="false">
              <v:imagedata r:id="rId121" o:title=""/>
            </v:shape>
            <v:shape style="position:absolute;left:4928;top:7871;width:917;height:206" type="#_x0000_t75" stroked="false">
              <v:imagedata r:id="rId122" o:title=""/>
            </v:shape>
            <v:shape style="position:absolute;left:5960;top:6839;width:101;height:1032" type="#_x0000_t75" stroked="false">
              <v:imagedata r:id="rId123" o:title=""/>
            </v:shape>
            <v:shape style="position:absolute;left:6981;top:6839;width:103;height:1032" type="#_x0000_t75" stroked="false">
              <v:imagedata r:id="rId124" o:title=""/>
            </v:shape>
            <v:shape style="position:absolute;left:5960;top:7871;width:1124;height:413" type="#_x0000_t75" stroked="false">
              <v:imagedata r:id="rId125" o:title=""/>
            </v:shape>
            <v:shape style="position:absolute;left:6061;top:6839;width:920;height:206" type="#_x0000_t75" stroked="false">
              <v:imagedata r:id="rId126" o:title=""/>
            </v:shape>
            <v:shape style="position:absolute;left:6061;top:7045;width:920;height:206" type="#_x0000_t75" stroked="false">
              <v:imagedata r:id="rId127" o:title=""/>
            </v:shape>
            <v:shape style="position:absolute;left:6061;top:7251;width:920;height:206" type="#_x0000_t75" stroked="false">
              <v:imagedata r:id="rId128" o:title=""/>
            </v:shape>
            <v:shape style="position:absolute;left:6061;top:7458;width:920;height:206" type="#_x0000_t75" stroked="false">
              <v:imagedata r:id="rId129" o:title=""/>
            </v:shape>
            <v:shape style="position:absolute;left:6061;top:7664;width:920;height:206" type="#_x0000_t75" stroked="false">
              <v:imagedata r:id="rId130" o:title=""/>
            </v:shape>
            <v:shape style="position:absolute;left:4825;top:8293;width:103;height:828" type="#_x0000_t75" stroked="false">
              <v:imagedata r:id="rId131" o:title=""/>
            </v:shape>
            <v:shape style="position:absolute;left:5845;top:8293;width:103;height:828" type="#_x0000_t75" stroked="false">
              <v:imagedata r:id="rId132" o:title=""/>
            </v:shape>
            <v:shape style="position:absolute;left:4825;top:9121;width:1123;height:826" type="#_x0000_t75" stroked="false">
              <v:imagedata r:id="rId133" o:title=""/>
            </v:shape>
            <v:shape style="position:absolute;left:4928;top:8293;width:917;height:206" type="#_x0000_t75" stroked="false">
              <v:imagedata r:id="rId134" o:title=""/>
            </v:shape>
            <v:shape style="position:absolute;left:4928;top:8499;width:917;height:209" type="#_x0000_t75" stroked="false">
              <v:imagedata r:id="rId135" o:title=""/>
            </v:shape>
            <v:shape style="position:absolute;left:4928;top:8709;width:917;height:206" type="#_x0000_t75" stroked="false">
              <v:imagedata r:id="rId136" o:title=""/>
            </v:shape>
            <v:shape style="position:absolute;left:4928;top:8915;width:917;height:206" type="#_x0000_t75" stroked="false">
              <v:imagedata r:id="rId137" o:title=""/>
            </v:shape>
            <v:shape style="position:absolute;left:5960;top:8293;width:101;height:828" type="#_x0000_t75" stroked="false">
              <v:imagedata r:id="rId138" o:title=""/>
            </v:shape>
            <v:shape style="position:absolute;left:6981;top:8293;width:103;height:828" type="#_x0000_t75" stroked="false">
              <v:imagedata r:id="rId139" o:title=""/>
            </v:shape>
            <v:shape style="position:absolute;left:5960;top:9121;width:1124;height:826" type="#_x0000_t75" stroked="false">
              <v:imagedata r:id="rId140" o:title=""/>
            </v:shape>
            <v:shape style="position:absolute;left:6061;top:8293;width:920;height:206" type="#_x0000_t75" stroked="false">
              <v:imagedata r:id="rId141" o:title=""/>
            </v:shape>
            <v:shape style="position:absolute;left:6061;top:8499;width:920;height:209" type="#_x0000_t75" stroked="false">
              <v:imagedata r:id="rId142" o:title=""/>
            </v:shape>
            <v:shape style="position:absolute;left:6061;top:8709;width:920;height:206" type="#_x0000_t75" stroked="false">
              <v:imagedata r:id="rId143" o:title=""/>
            </v:shape>
            <v:shape style="position:absolute;left:6061;top:8915;width:920;height:206" type="#_x0000_t75" stroked="false">
              <v:imagedata r:id="rId144" o:title=""/>
            </v:shape>
            <v:shape style="position:absolute;left:4825;top:9957;width:103;height:1032" type="#_x0000_t75" stroked="false">
              <v:imagedata r:id="rId145" o:title=""/>
            </v:shape>
            <v:shape style="position:absolute;left:5845;top:9957;width:103;height:1032" type="#_x0000_t75" stroked="false">
              <v:imagedata r:id="rId146" o:title=""/>
            </v:shape>
            <v:shape style="position:absolute;left:4825;top:10989;width:1123;height:413" type="#_x0000_t75" stroked="false">
              <v:imagedata r:id="rId147" o:title=""/>
            </v:shape>
            <v:shape style="position:absolute;left:4928;top:9957;width:917;height:206" type="#_x0000_t75" stroked="false">
              <v:imagedata r:id="rId148" o:title=""/>
            </v:shape>
            <v:shape style="position:absolute;left:4928;top:10163;width:917;height:206" type="#_x0000_t75" stroked="false">
              <v:imagedata r:id="rId149" o:title=""/>
            </v:shape>
            <v:shape style="position:absolute;left:4928;top:10369;width:917;height:206" type="#_x0000_t75" stroked="false">
              <v:imagedata r:id="rId150" o:title=""/>
            </v:shape>
            <v:shape style="position:absolute;left:4928;top:10576;width:917;height:206" type="#_x0000_t75" stroked="false">
              <v:imagedata r:id="rId151" o:title=""/>
            </v:shape>
            <v:shape style="position:absolute;left:4928;top:10782;width:917;height:206" type="#_x0000_t75" stroked="false">
              <v:imagedata r:id="rId152" o:title=""/>
            </v:shape>
            <v:shape style="position:absolute;left:5960;top:9957;width:101;height:826" type="#_x0000_t75" stroked="false">
              <v:imagedata r:id="rId153" o:title=""/>
            </v:shape>
            <v:shape style="position:absolute;left:6981;top:9957;width:103;height:826" type="#_x0000_t75" stroked="false">
              <v:imagedata r:id="rId154" o:title=""/>
            </v:shape>
            <v:shape style="position:absolute;left:5960;top:10782;width:1124;height:619" type="#_x0000_t75" stroked="false">
              <v:imagedata r:id="rId155" o:title=""/>
            </v:shape>
            <v:shape style="position:absolute;left:6061;top:9957;width:920;height:206" type="#_x0000_t75" stroked="false">
              <v:imagedata r:id="rId156" o:title=""/>
            </v:shape>
            <v:shape style="position:absolute;left:6061;top:10163;width:920;height:206" type="#_x0000_t75" stroked="false">
              <v:imagedata r:id="rId157" o:title=""/>
            </v:shape>
            <v:shape style="position:absolute;left:6061;top:10369;width:920;height:206" type="#_x0000_t75" stroked="false">
              <v:imagedata r:id="rId158" o:title=""/>
            </v:shape>
            <v:shape style="position:absolute;left:6061;top:10576;width:920;height:206" type="#_x0000_t75" stroked="false">
              <v:imagedata r:id="rId159" o:title=""/>
            </v:shape>
            <v:shape style="position:absolute;left:4825;top:11414;width:103;height:1239" type="#_x0000_t75" stroked="false">
              <v:imagedata r:id="rId160" o:title=""/>
            </v:shape>
            <v:shape style="position:absolute;left:5845;top:11414;width:103;height:1239" type="#_x0000_t75" stroked="false">
              <v:imagedata r:id="rId161" o:title=""/>
            </v:shape>
            <v:shape style="position:absolute;left:4928;top:11413;width:917;height:206" type="#_x0000_t75" stroked="false">
              <v:imagedata r:id="rId162" o:title=""/>
            </v:shape>
            <v:shape style="position:absolute;left:4928;top:11620;width:917;height:206" type="#_x0000_t75" stroked="false">
              <v:imagedata r:id="rId163" o:title=""/>
            </v:shape>
            <v:shape style="position:absolute;left:4928;top:11826;width:917;height:206" type="#_x0000_t75" stroked="false">
              <v:imagedata r:id="rId164" o:title=""/>
            </v:shape>
            <v:shape style="position:absolute;left:4928;top:12033;width:917;height:207" type="#_x0000_t75" stroked="false">
              <v:imagedata r:id="rId165" o:title=""/>
            </v:shape>
            <v:shape style="position:absolute;left:4928;top:12240;width:917;height:206" type="#_x0000_t75" stroked="false">
              <v:imagedata r:id="rId119" o:title=""/>
            </v:shape>
            <v:shape style="position:absolute;left:4928;top:12446;width:917;height:206" type="#_x0000_t75" stroked="false">
              <v:imagedata r:id="rId166" o:title=""/>
            </v:shape>
            <v:shape style="position:absolute;left:5960;top:11414;width:101;height:1239" type="#_x0000_t75" stroked="false">
              <v:imagedata r:id="rId167" o:title=""/>
            </v:shape>
            <v:shape style="position:absolute;left:6981;top:11414;width:103;height:1239" type="#_x0000_t75" stroked="false">
              <v:imagedata r:id="rId168" o:title=""/>
            </v:shape>
            <v:shape style="position:absolute;left:6061;top:11413;width:920;height:206" type="#_x0000_t75" stroked="false">
              <v:imagedata r:id="rId169" o:title=""/>
            </v:shape>
            <v:shape style="position:absolute;left:6061;top:11620;width:920;height:206" type="#_x0000_t75" stroked="false">
              <v:imagedata r:id="rId170" o:title=""/>
            </v:shape>
            <v:shape style="position:absolute;left:6061;top:11826;width:920;height:206" type="#_x0000_t75" stroked="false">
              <v:imagedata r:id="rId171" o:title=""/>
            </v:shape>
            <v:shape style="position:absolute;left:6061;top:12033;width:920;height:207" type="#_x0000_t75" stroked="false">
              <v:imagedata r:id="rId172" o:title=""/>
            </v:shape>
            <v:shape style="position:absolute;left:6061;top:12240;width:920;height:206" type="#_x0000_t75" stroked="false">
              <v:imagedata r:id="rId173" o:title=""/>
            </v:shape>
            <v:shape style="position:absolute;left:6061;top:12446;width:920;height:206" type="#_x0000_t75" stroked="false">
              <v:imagedata r:id="rId174" o:title=""/>
            </v:shape>
            <v:shape style="position:absolute;left:4825;top:12662;width:103;height:1032" type="#_x0000_t75" stroked="false">
              <v:imagedata r:id="rId175" o:title=""/>
            </v:shape>
            <v:shape style="position:absolute;left:5845;top:12662;width:103;height:1032" type="#_x0000_t75" stroked="false">
              <v:imagedata r:id="rId176" o:title=""/>
            </v:shape>
            <v:shape style="position:absolute;left:4825;top:13694;width:1123;height:415" type="#_x0000_t75" stroked="false">
              <v:imagedata r:id="rId177" o:title=""/>
            </v:shape>
            <v:shape style="position:absolute;left:4928;top:12662;width:917;height:206" type="#_x0000_t75" stroked="false">
              <v:imagedata r:id="rId178" o:title=""/>
            </v:shape>
            <v:shape style="position:absolute;left:4928;top:12868;width:917;height:206" type="#_x0000_t75" stroked="false">
              <v:imagedata r:id="rId179" o:title=""/>
            </v:shape>
            <v:shape style="position:absolute;left:4928;top:13075;width:917;height:206" type="#_x0000_t75" stroked="false">
              <v:imagedata r:id="rId117" o:title=""/>
            </v:shape>
            <v:shape style="position:absolute;left:4928;top:13281;width:917;height:206" type="#_x0000_t75" stroked="false">
              <v:imagedata r:id="rId180" o:title=""/>
            </v:shape>
            <v:shape style="position:absolute;left:4928;top:13488;width:917;height:206" type="#_x0000_t75" stroked="false">
              <v:imagedata r:id="rId181" o:title=""/>
            </v:shape>
            <v:shape style="position:absolute;left:5960;top:12662;width:101;height:1032" type="#_x0000_t75" stroked="false">
              <v:imagedata r:id="rId182" o:title=""/>
            </v:shape>
            <v:shape style="position:absolute;left:6981;top:12662;width:103;height:1032" type="#_x0000_t75" stroked="false">
              <v:imagedata r:id="rId183" o:title=""/>
            </v:shape>
            <v:shape style="position:absolute;left:5960;top:13694;width:1124;height:415" type="#_x0000_t75" stroked="false">
              <v:imagedata r:id="rId184" o:title=""/>
            </v:shape>
            <v:shape style="position:absolute;left:6061;top:12662;width:920;height:206" type="#_x0000_t75" stroked="false">
              <v:imagedata r:id="rId185" o:title=""/>
            </v:shape>
            <v:shape style="position:absolute;left:6061;top:12868;width:920;height:206" type="#_x0000_t75" stroked="false">
              <v:imagedata r:id="rId186" o:title=""/>
            </v:shape>
            <v:shape style="position:absolute;left:6061;top:13075;width:920;height:206" type="#_x0000_t75" stroked="false">
              <v:imagedata r:id="rId126" o:title=""/>
            </v:shape>
            <v:shape style="position:absolute;left:6061;top:13281;width:920;height:206" type="#_x0000_t75" stroked="false">
              <v:imagedata r:id="rId187" o:title=""/>
            </v:shape>
            <v:shape style="position:absolute;left:6061;top:13488;width:920;height:206" type="#_x0000_t75" stroked="false">
              <v:imagedata r:id="rId188" o:title=""/>
            </v:shape>
            <v:shape style="position:absolute;left:4825;top:14119;width:103;height:206" type="#_x0000_t75" stroked="false">
              <v:imagedata r:id="rId189" o:title=""/>
            </v:shape>
            <v:shape style="position:absolute;left:5845;top:14119;width:103;height:206" type="#_x0000_t75" stroked="false">
              <v:imagedata r:id="rId190" o:title=""/>
            </v:shape>
            <v:shape style="position:absolute;left:4928;top:14119;width:917;height:206" type="#_x0000_t75" stroked="false">
              <v:imagedata r:id="rId122" o:title=""/>
            </v:shape>
            <v:shape style="position:absolute;left:5960;top:14119;width:101;height:206" type="#_x0000_t75" stroked="false">
              <v:imagedata r:id="rId191" o:title=""/>
            </v:shape>
            <v:shape style="position:absolute;left:6981;top:14119;width:103;height:206" type="#_x0000_t75" stroked="false">
              <v:imagedata r:id="rId192" o:title=""/>
            </v:shape>
            <v:shape style="position:absolute;left:6061;top:14119;width:920;height:206" type="#_x0000_t75" stroked="false">
              <v:imagedata r:id="rId193" o:title=""/>
            </v:shape>
            <w10:wrap type="none"/>
          </v:group>
        </w:pict>
      </w:r>
    </w:p>
    <w:p>
      <w:pPr>
        <w:pStyle w:val="BodyText"/>
        <w:spacing w:before="10"/>
        <w:rPr>
          <w:rFonts w:ascii="Times New Roman"/>
          <w:sz w:val="18"/>
        </w:rPr>
      </w:pP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94"/>
        <w:gridCol w:w="991"/>
        <w:gridCol w:w="1136"/>
        <w:gridCol w:w="1133"/>
        <w:gridCol w:w="1136"/>
        <w:gridCol w:w="1099"/>
        <w:gridCol w:w="1133"/>
        <w:gridCol w:w="1419"/>
      </w:tblGrid>
      <w:tr>
        <w:trPr>
          <w:trHeight w:val="1043" w:hRule="exact"/>
        </w:trPr>
        <w:tc>
          <w:tcPr>
            <w:tcW w:w="994" w:type="dxa"/>
            <w:shd w:val="clear" w:color="auto" w:fill="F1F1F1"/>
          </w:tcPr>
          <w:p>
            <w:pPr>
              <w:pStyle w:val="TableParagraph"/>
              <w:tabs>
                <w:tab w:pos="791" w:val="left" w:leader="none"/>
              </w:tabs>
              <w:rPr>
                <w:sz w:val="18"/>
              </w:rPr>
            </w:pPr>
            <w:r>
              <w:rPr>
                <w:w w:val="90"/>
                <w:sz w:val="18"/>
              </w:rPr>
              <w:t>0.07%</w:t>
              <w:tab/>
              <w:t>=</w:t>
            </w:r>
          </w:p>
          <w:p>
            <w:pPr>
              <w:pStyle w:val="TableParagraph"/>
              <w:ind w:right="140"/>
              <w:rPr>
                <w:sz w:val="18"/>
              </w:rPr>
            </w:pPr>
            <w:r>
              <w:rPr>
                <w:w w:val="80"/>
                <w:sz w:val="18"/>
              </w:rPr>
              <w:t>$274,400.0 </w:t>
            </w:r>
            <w:r>
              <w:rPr>
                <w:w w:val="90"/>
                <w:sz w:val="18"/>
              </w:rPr>
              <w:t>0 </w:t>
            </w:r>
            <w:r>
              <w:rPr>
                <w:w w:val="80"/>
                <w:sz w:val="18"/>
              </w:rPr>
              <w:t>($24,174.6 </w:t>
            </w:r>
            <w:r>
              <w:rPr>
                <w:w w:val="85"/>
                <w:sz w:val="18"/>
              </w:rPr>
              <w:t>4 USD)</w:t>
            </w:r>
          </w:p>
        </w:tc>
        <w:tc>
          <w:tcPr>
            <w:tcW w:w="991" w:type="dxa"/>
            <w:tcBorders>
              <w:right w:val="thickThinMediumGap" w:sz="23" w:space="0" w:color="A6A6A6"/>
            </w:tcBorders>
            <w:shd w:val="clear" w:color="auto" w:fill="F1F1F1"/>
          </w:tcPr>
          <w:p>
            <w:pPr>
              <w:pStyle w:val="TableParagraph"/>
              <w:rPr>
                <w:sz w:val="18"/>
              </w:rPr>
            </w:pPr>
            <w:r>
              <w:rPr>
                <w:w w:val="85"/>
                <w:sz w:val="18"/>
              </w:rPr>
              <w:t>inciso e)</w:t>
            </w:r>
          </w:p>
        </w:tc>
        <w:tc>
          <w:tcPr>
            <w:tcW w:w="1136" w:type="dxa"/>
            <w:tcBorders>
              <w:left w:val="single" w:sz="41" w:space="0" w:color="F1F1F1"/>
              <w:right w:val="single" w:sz="45" w:space="0" w:color="F1F1F1"/>
            </w:tcBorders>
            <w:shd w:val="clear" w:color="auto" w:fill="A6A6A6"/>
          </w:tcPr>
          <w:p>
            <w:pPr>
              <w:pStyle w:val="TableParagraph"/>
              <w:ind w:left="56"/>
              <w:rPr>
                <w:sz w:val="18"/>
              </w:rPr>
            </w:pPr>
            <w:r>
              <w:rPr>
                <w:w w:val="85"/>
                <w:sz w:val="18"/>
              </w:rPr>
              <w:t>=$1,545,384.</w:t>
            </w:r>
          </w:p>
          <w:p>
            <w:pPr>
              <w:pStyle w:val="TableParagraph"/>
              <w:ind w:left="56" w:right="50"/>
              <w:rPr>
                <w:sz w:val="18"/>
              </w:rPr>
            </w:pPr>
            <w:r>
              <w:rPr>
                <w:w w:val="90"/>
                <w:sz w:val="18"/>
              </w:rPr>
              <w:t>81, no se tenía </w:t>
            </w:r>
            <w:r>
              <w:rPr>
                <w:w w:val="85"/>
                <w:sz w:val="18"/>
              </w:rPr>
              <w:t>($136,148.40 </w:t>
            </w:r>
            <w:r>
              <w:rPr>
                <w:w w:val="90"/>
                <w:sz w:val="18"/>
              </w:rPr>
              <w:t>USD)</w:t>
            </w:r>
          </w:p>
        </w:tc>
        <w:tc>
          <w:tcPr>
            <w:tcW w:w="1133" w:type="dxa"/>
            <w:tcBorders>
              <w:left w:val="single" w:sz="41" w:space="0" w:color="A6A6A6"/>
            </w:tcBorders>
            <w:shd w:val="clear" w:color="auto" w:fill="F1F1F1"/>
          </w:tcPr>
          <w:p>
            <w:pPr>
              <w:pStyle w:val="TableParagraph"/>
              <w:ind w:left="56" w:right="139"/>
              <w:rPr>
                <w:sz w:val="18"/>
              </w:rPr>
            </w:pPr>
            <w:r>
              <w:rPr>
                <w:w w:val="80"/>
                <w:sz w:val="18"/>
              </w:rPr>
              <w:t>$1,222,226.8 </w:t>
            </w:r>
            <w:r>
              <w:rPr>
                <w:w w:val="90"/>
                <w:sz w:val="18"/>
              </w:rPr>
              <w:t>8 </w:t>
            </w:r>
            <w:r>
              <w:rPr>
                <w:w w:val="80"/>
                <w:sz w:val="18"/>
              </w:rPr>
              <w:t>($107,678.18</w:t>
            </w:r>
          </w:p>
          <w:p>
            <w:pPr>
              <w:pStyle w:val="TableParagraph"/>
              <w:spacing w:line="206" w:lineRule="exact"/>
              <w:ind w:left="56" w:right="100"/>
              <w:rPr>
                <w:sz w:val="18"/>
              </w:rPr>
            </w:pPr>
            <w:r>
              <w:rPr>
                <w:w w:val="90"/>
                <w:sz w:val="18"/>
              </w:rPr>
              <w:t>USD)</w:t>
            </w:r>
          </w:p>
        </w:tc>
        <w:tc>
          <w:tcPr>
            <w:tcW w:w="1136" w:type="dxa"/>
            <w:shd w:val="clear" w:color="auto" w:fill="F1F1F1"/>
          </w:tcPr>
          <w:p>
            <w:pPr>
              <w:pStyle w:val="TableParagraph"/>
              <w:rPr>
                <w:sz w:val="18"/>
              </w:rPr>
            </w:pPr>
            <w:r>
              <w:rPr>
                <w:w w:val="80"/>
                <w:sz w:val="18"/>
              </w:rPr>
              <w:t>$457,695.84 ($40,323.00</w:t>
            </w:r>
          </w:p>
          <w:p>
            <w:pPr>
              <w:pStyle w:val="TableParagraph"/>
              <w:spacing w:line="206" w:lineRule="exact"/>
              <w:rPr>
                <w:sz w:val="18"/>
              </w:rPr>
            </w:pPr>
            <w:r>
              <w:rPr>
                <w:w w:val="90"/>
                <w:sz w:val="18"/>
              </w:rPr>
              <w:t>USD)</w:t>
            </w:r>
          </w:p>
        </w:tc>
        <w:tc>
          <w:tcPr>
            <w:tcW w:w="1099" w:type="dxa"/>
            <w:shd w:val="clear" w:color="auto" w:fill="F1F1F1"/>
          </w:tcPr>
          <w:p>
            <w:pPr>
              <w:pStyle w:val="TableParagraph"/>
              <w:ind w:right="100"/>
              <w:rPr>
                <w:sz w:val="18"/>
              </w:rPr>
            </w:pPr>
            <w:r>
              <w:rPr>
                <w:w w:val="80"/>
                <w:sz w:val="18"/>
              </w:rPr>
              <w:t>$450,877.28 ($39,722.28</w:t>
            </w:r>
          </w:p>
          <w:p>
            <w:pPr>
              <w:pStyle w:val="TableParagraph"/>
              <w:spacing w:line="206" w:lineRule="exact"/>
              <w:ind w:right="266"/>
              <w:rPr>
                <w:sz w:val="18"/>
              </w:rPr>
            </w:pPr>
            <w:r>
              <w:rPr>
                <w:w w:val="90"/>
                <w:sz w:val="18"/>
              </w:rPr>
              <w:t>USD)</w:t>
            </w:r>
          </w:p>
        </w:tc>
        <w:tc>
          <w:tcPr>
            <w:tcW w:w="1133" w:type="dxa"/>
            <w:shd w:val="clear" w:color="auto" w:fill="F1F1F1"/>
          </w:tcPr>
          <w:p>
            <w:pPr>
              <w:pStyle w:val="TableParagraph"/>
              <w:ind w:right="101"/>
              <w:rPr>
                <w:sz w:val="18"/>
              </w:rPr>
            </w:pPr>
            <w:r>
              <w:rPr>
                <w:w w:val="90"/>
                <w:sz w:val="18"/>
              </w:rPr>
              <w:t>($1,071.95</w:t>
            </w:r>
          </w:p>
          <w:p>
            <w:pPr>
              <w:pStyle w:val="TableParagraph"/>
              <w:ind w:right="101"/>
              <w:rPr>
                <w:sz w:val="18"/>
              </w:rPr>
            </w:pPr>
            <w:r>
              <w:rPr>
                <w:w w:val="90"/>
                <w:sz w:val="18"/>
              </w:rPr>
              <w:t>USD)</w:t>
            </w:r>
          </w:p>
        </w:tc>
        <w:tc>
          <w:tcPr>
            <w:tcW w:w="1419" w:type="dxa"/>
            <w:shd w:val="clear" w:color="auto" w:fill="F1F1F1"/>
          </w:tcPr>
          <w:p>
            <w:pPr>
              <w:pStyle w:val="TableParagraph"/>
              <w:ind w:left="105" w:right="35"/>
              <w:rPr>
                <w:sz w:val="18"/>
              </w:rPr>
            </w:pPr>
            <w:r>
              <w:rPr>
                <w:w w:val="80"/>
                <w:sz w:val="18"/>
              </w:rPr>
              <w:t>($8,575.65 USD)</w:t>
            </w:r>
          </w:p>
        </w:tc>
      </w:tr>
      <w:tr>
        <w:trPr>
          <w:trHeight w:val="1456" w:hRule="exact"/>
        </w:trPr>
        <w:tc>
          <w:tcPr>
            <w:tcW w:w="994" w:type="dxa"/>
            <w:shd w:val="clear" w:color="auto" w:fill="F1F1F1"/>
          </w:tcPr>
          <w:p>
            <w:pPr>
              <w:pStyle w:val="TableParagraph"/>
              <w:tabs>
                <w:tab w:pos="791" w:val="left" w:leader="none"/>
              </w:tabs>
              <w:ind w:right="104"/>
              <w:rPr>
                <w:sz w:val="18"/>
              </w:rPr>
            </w:pPr>
            <w:r>
              <w:rPr>
                <w:w w:val="90"/>
                <w:sz w:val="18"/>
              </w:rPr>
              <w:t>f) </w:t>
            </w:r>
            <w:r>
              <w:rPr>
                <w:w w:val="85"/>
                <w:sz w:val="18"/>
              </w:rPr>
              <w:t>Reducción </w:t>
            </w:r>
            <w:r>
              <w:rPr>
                <w:w w:val="90"/>
                <w:sz w:val="18"/>
              </w:rPr>
              <w:t>2.09%</w:t>
              <w:tab/>
            </w:r>
            <w:r>
              <w:rPr>
                <w:w w:val="80"/>
                <w:sz w:val="18"/>
              </w:rPr>
              <w:t>=</w:t>
            </w:r>
          </w:p>
          <w:p>
            <w:pPr>
              <w:pStyle w:val="TableParagraph"/>
              <w:spacing w:line="206" w:lineRule="exact"/>
              <w:rPr>
                <w:sz w:val="18"/>
              </w:rPr>
            </w:pPr>
            <w:r>
              <w:rPr>
                <w:w w:val="90"/>
                <w:sz w:val="18"/>
              </w:rPr>
              <w:t>$7,747,986</w:t>
            </w:r>
          </w:p>
          <w:p>
            <w:pPr>
              <w:pStyle w:val="TableParagraph"/>
              <w:ind w:right="172"/>
              <w:rPr>
                <w:sz w:val="18"/>
              </w:rPr>
            </w:pPr>
            <w:r>
              <w:rPr>
                <w:w w:val="90"/>
                <w:sz w:val="18"/>
              </w:rPr>
              <w:t>.05 </w:t>
            </w:r>
            <w:r>
              <w:rPr>
                <w:w w:val="80"/>
                <w:sz w:val="18"/>
              </w:rPr>
              <w:t>($7,747,98</w:t>
            </w:r>
          </w:p>
          <w:p>
            <w:pPr>
              <w:pStyle w:val="TableParagraph"/>
              <w:spacing w:line="206" w:lineRule="exact"/>
              <w:rPr>
                <w:sz w:val="18"/>
              </w:rPr>
            </w:pPr>
            <w:r>
              <w:rPr>
                <w:w w:val="85"/>
                <w:sz w:val="18"/>
              </w:rPr>
              <w:t>6.05 USD)</w:t>
            </w:r>
          </w:p>
        </w:tc>
        <w:tc>
          <w:tcPr>
            <w:tcW w:w="991" w:type="dxa"/>
            <w:shd w:val="clear" w:color="auto" w:fill="F1F1F1"/>
          </w:tcPr>
          <w:p>
            <w:pPr>
              <w:pStyle w:val="TableParagraph"/>
              <w:tabs>
                <w:tab w:pos="789" w:val="left" w:leader="none"/>
              </w:tabs>
              <w:ind w:right="103"/>
              <w:rPr>
                <w:sz w:val="18"/>
              </w:rPr>
            </w:pPr>
            <w:r>
              <w:rPr>
                <w:w w:val="90"/>
                <w:sz w:val="18"/>
              </w:rPr>
              <w:t>f) </w:t>
            </w:r>
            <w:r>
              <w:rPr>
                <w:w w:val="85"/>
                <w:sz w:val="18"/>
              </w:rPr>
              <w:t>Reducción </w:t>
            </w:r>
            <w:r>
              <w:rPr>
                <w:w w:val="90"/>
                <w:sz w:val="18"/>
              </w:rPr>
              <w:t>0.94%</w:t>
              <w:tab/>
            </w:r>
            <w:r>
              <w:rPr>
                <w:w w:val="80"/>
                <w:sz w:val="18"/>
              </w:rPr>
              <w:t>=</w:t>
            </w:r>
          </w:p>
          <w:p>
            <w:pPr>
              <w:pStyle w:val="TableParagraph"/>
              <w:spacing w:line="206" w:lineRule="exact"/>
              <w:rPr>
                <w:sz w:val="18"/>
              </w:rPr>
            </w:pPr>
            <w:r>
              <w:rPr>
                <w:w w:val="90"/>
                <w:sz w:val="18"/>
              </w:rPr>
              <w:t>$2,433,670</w:t>
            </w:r>
          </w:p>
          <w:p>
            <w:pPr>
              <w:pStyle w:val="TableParagraph"/>
              <w:ind w:right="170"/>
              <w:rPr>
                <w:sz w:val="18"/>
              </w:rPr>
            </w:pPr>
            <w:r>
              <w:rPr>
                <w:w w:val="90"/>
                <w:sz w:val="18"/>
              </w:rPr>
              <w:t>.23 </w:t>
            </w:r>
            <w:r>
              <w:rPr>
                <w:w w:val="80"/>
                <w:sz w:val="18"/>
              </w:rPr>
              <w:t>($214,406. </w:t>
            </w:r>
            <w:r>
              <w:rPr>
                <w:w w:val="85"/>
                <w:sz w:val="18"/>
              </w:rPr>
              <w:t>34 USD)</w:t>
            </w:r>
          </w:p>
        </w:tc>
        <w:tc>
          <w:tcPr>
            <w:tcW w:w="1136" w:type="dxa"/>
            <w:shd w:val="clear" w:color="auto" w:fill="F1F1F1"/>
          </w:tcPr>
          <w:p>
            <w:pPr>
              <w:pStyle w:val="TableParagraph"/>
              <w:tabs>
                <w:tab w:pos="933" w:val="left" w:leader="none"/>
              </w:tabs>
              <w:ind w:right="103"/>
              <w:rPr>
                <w:sz w:val="18"/>
              </w:rPr>
            </w:pPr>
            <w:r>
              <w:rPr>
                <w:w w:val="90"/>
                <w:sz w:val="18"/>
              </w:rPr>
              <w:t>f) Reducción 0.68%</w:t>
              <w:tab/>
            </w:r>
            <w:r>
              <w:rPr>
                <w:w w:val="80"/>
                <w:sz w:val="18"/>
              </w:rPr>
              <w:t>=</w:t>
            </w:r>
          </w:p>
          <w:p>
            <w:pPr>
              <w:pStyle w:val="TableParagraph"/>
              <w:ind w:right="101"/>
              <w:rPr>
                <w:sz w:val="18"/>
              </w:rPr>
            </w:pPr>
            <w:r>
              <w:rPr>
                <w:w w:val="80"/>
                <w:sz w:val="18"/>
              </w:rPr>
              <w:t>$756,354.98 ($66,634.87</w:t>
            </w:r>
          </w:p>
          <w:p>
            <w:pPr>
              <w:pStyle w:val="TableParagraph"/>
              <w:spacing w:line="206" w:lineRule="exact"/>
              <w:ind w:right="101"/>
              <w:rPr>
                <w:sz w:val="18"/>
              </w:rPr>
            </w:pPr>
            <w:r>
              <w:rPr>
                <w:w w:val="90"/>
                <w:sz w:val="18"/>
              </w:rPr>
              <w:t>USD)</w:t>
            </w:r>
          </w:p>
        </w:tc>
        <w:tc>
          <w:tcPr>
            <w:tcW w:w="1133" w:type="dxa"/>
            <w:shd w:val="clear" w:color="auto" w:fill="F1F1F1"/>
          </w:tcPr>
          <w:p>
            <w:pPr>
              <w:pStyle w:val="TableParagraph"/>
              <w:tabs>
                <w:tab w:pos="933" w:val="left" w:leader="none"/>
              </w:tabs>
              <w:ind w:right="100"/>
              <w:rPr>
                <w:sz w:val="18"/>
              </w:rPr>
            </w:pPr>
            <w:r>
              <w:rPr>
                <w:w w:val="90"/>
                <w:sz w:val="18"/>
              </w:rPr>
              <w:t>f) Reducción 0.11%</w:t>
              <w:tab/>
            </w:r>
            <w:r>
              <w:rPr>
                <w:w w:val="80"/>
                <w:sz w:val="18"/>
              </w:rPr>
              <w:t>=</w:t>
            </w:r>
          </w:p>
          <w:p>
            <w:pPr>
              <w:pStyle w:val="TableParagraph"/>
              <w:ind w:right="101"/>
              <w:rPr>
                <w:sz w:val="18"/>
              </w:rPr>
            </w:pPr>
            <w:r>
              <w:rPr>
                <w:w w:val="80"/>
                <w:sz w:val="18"/>
              </w:rPr>
              <w:t>$238,914.46 ($21,048.36</w:t>
            </w:r>
          </w:p>
          <w:p>
            <w:pPr>
              <w:pStyle w:val="TableParagraph"/>
              <w:spacing w:line="206" w:lineRule="exact"/>
              <w:ind w:right="101"/>
              <w:rPr>
                <w:sz w:val="18"/>
              </w:rPr>
            </w:pPr>
            <w:r>
              <w:rPr>
                <w:w w:val="90"/>
                <w:sz w:val="18"/>
              </w:rPr>
              <w:t>USD)</w:t>
            </w:r>
          </w:p>
        </w:tc>
        <w:tc>
          <w:tcPr>
            <w:tcW w:w="1136" w:type="dxa"/>
            <w:shd w:val="clear" w:color="auto" w:fill="F1F1F1"/>
          </w:tcPr>
          <w:p>
            <w:pPr>
              <w:pStyle w:val="TableParagraph"/>
              <w:tabs>
                <w:tab w:pos="933" w:val="left" w:leader="none"/>
              </w:tabs>
              <w:ind w:right="103"/>
              <w:rPr>
                <w:sz w:val="18"/>
              </w:rPr>
            </w:pPr>
            <w:r>
              <w:rPr>
                <w:w w:val="90"/>
                <w:sz w:val="18"/>
              </w:rPr>
              <w:t>f) Reducción 0.23%</w:t>
              <w:tab/>
            </w:r>
            <w:r>
              <w:rPr>
                <w:w w:val="80"/>
                <w:sz w:val="18"/>
              </w:rPr>
              <w:t>=</w:t>
            </w:r>
          </w:p>
          <w:p>
            <w:pPr>
              <w:pStyle w:val="TableParagraph"/>
              <w:rPr>
                <w:sz w:val="18"/>
              </w:rPr>
            </w:pPr>
            <w:r>
              <w:rPr>
                <w:w w:val="80"/>
                <w:sz w:val="18"/>
              </w:rPr>
              <w:t>$238,914.46 ($21,048.36</w:t>
            </w:r>
          </w:p>
          <w:p>
            <w:pPr>
              <w:pStyle w:val="TableParagraph"/>
              <w:spacing w:line="206" w:lineRule="exact"/>
              <w:rPr>
                <w:sz w:val="18"/>
              </w:rPr>
            </w:pPr>
            <w:r>
              <w:rPr>
                <w:w w:val="90"/>
                <w:sz w:val="18"/>
              </w:rPr>
              <w:t>USD)</w:t>
            </w:r>
          </w:p>
        </w:tc>
        <w:tc>
          <w:tcPr>
            <w:tcW w:w="1099" w:type="dxa"/>
            <w:shd w:val="clear" w:color="auto" w:fill="F1F1F1"/>
          </w:tcPr>
          <w:p>
            <w:pPr>
              <w:pStyle w:val="TableParagraph"/>
              <w:tabs>
                <w:tab w:pos="897" w:val="left" w:leader="none"/>
              </w:tabs>
              <w:ind w:right="101"/>
              <w:rPr>
                <w:sz w:val="18"/>
              </w:rPr>
            </w:pPr>
            <w:r>
              <w:rPr>
                <w:w w:val="85"/>
                <w:sz w:val="18"/>
              </w:rPr>
              <w:t>f) Reducción </w:t>
            </w:r>
            <w:r>
              <w:rPr>
                <w:w w:val="90"/>
                <w:sz w:val="18"/>
              </w:rPr>
              <w:t>0.24%</w:t>
              <w:tab/>
            </w:r>
            <w:r>
              <w:rPr>
                <w:w w:val="85"/>
                <w:sz w:val="18"/>
              </w:rPr>
              <w:t>=</w:t>
            </w:r>
          </w:p>
          <w:p>
            <w:pPr>
              <w:pStyle w:val="TableParagraph"/>
              <w:ind w:right="100"/>
              <w:rPr>
                <w:sz w:val="18"/>
              </w:rPr>
            </w:pPr>
            <w:r>
              <w:rPr>
                <w:w w:val="85"/>
                <w:sz w:val="18"/>
              </w:rPr>
              <w:t>$238,914.46 </w:t>
            </w:r>
            <w:r>
              <w:rPr>
                <w:w w:val="80"/>
                <w:sz w:val="18"/>
              </w:rPr>
              <w:t>($238,914.46</w:t>
            </w:r>
          </w:p>
          <w:p>
            <w:pPr>
              <w:pStyle w:val="TableParagraph"/>
              <w:spacing w:line="206" w:lineRule="exact"/>
              <w:ind w:right="266"/>
              <w:rPr>
                <w:sz w:val="18"/>
              </w:rPr>
            </w:pPr>
            <w:r>
              <w:rPr>
                <w:w w:val="90"/>
                <w:sz w:val="18"/>
              </w:rPr>
              <w:t>USD)</w:t>
            </w:r>
          </w:p>
        </w:tc>
        <w:tc>
          <w:tcPr>
            <w:tcW w:w="1133" w:type="dxa"/>
            <w:shd w:val="clear" w:color="auto" w:fill="F1F1F1"/>
          </w:tcPr>
          <w:p>
            <w:pPr>
              <w:pStyle w:val="TableParagraph"/>
              <w:spacing w:line="206" w:lineRule="exact"/>
              <w:rPr>
                <w:sz w:val="18"/>
              </w:rPr>
            </w:pPr>
            <w:r>
              <w:rPr>
                <w:w w:val="90"/>
                <w:sz w:val="18"/>
              </w:rPr>
              <w:t>f) Multa 500 =</w:t>
            </w:r>
          </w:p>
          <w:p>
            <w:pPr>
              <w:pStyle w:val="TableParagraph"/>
              <w:ind w:right="279"/>
              <w:rPr>
                <w:sz w:val="18"/>
              </w:rPr>
            </w:pPr>
            <w:r>
              <w:rPr>
                <w:w w:val="80"/>
                <w:sz w:val="18"/>
              </w:rPr>
              <w:t>$24,335.00 ($2,143.91</w:t>
            </w:r>
          </w:p>
          <w:p>
            <w:pPr>
              <w:pStyle w:val="TableParagraph"/>
              <w:spacing w:line="206" w:lineRule="exact"/>
              <w:ind w:right="101"/>
              <w:rPr>
                <w:sz w:val="18"/>
              </w:rPr>
            </w:pPr>
            <w:r>
              <w:rPr>
                <w:w w:val="90"/>
                <w:sz w:val="18"/>
              </w:rPr>
              <w:t>USD)</w:t>
            </w:r>
          </w:p>
        </w:tc>
        <w:tc>
          <w:tcPr>
            <w:tcW w:w="1419" w:type="dxa"/>
            <w:shd w:val="clear" w:color="auto" w:fill="F1F1F1"/>
          </w:tcPr>
          <w:p>
            <w:pPr>
              <w:pStyle w:val="TableParagraph"/>
              <w:spacing w:line="206" w:lineRule="exact"/>
              <w:ind w:left="105" w:right="35"/>
              <w:rPr>
                <w:sz w:val="18"/>
              </w:rPr>
            </w:pPr>
            <w:r>
              <w:rPr>
                <w:w w:val="90"/>
                <w:sz w:val="18"/>
              </w:rPr>
              <w:t>f)  Multa  150   =</w:t>
            </w:r>
          </w:p>
          <w:p>
            <w:pPr>
              <w:pStyle w:val="TableParagraph"/>
              <w:ind w:left="105" w:right="35"/>
              <w:rPr>
                <w:sz w:val="18"/>
              </w:rPr>
            </w:pPr>
            <w:r>
              <w:rPr>
                <w:w w:val="90"/>
                <w:sz w:val="18"/>
              </w:rPr>
              <w:t>$7,300.50 </w:t>
            </w:r>
            <w:r>
              <w:rPr>
                <w:w w:val="80"/>
                <w:sz w:val="18"/>
              </w:rPr>
              <w:t>($643.17 USD)</w:t>
            </w:r>
          </w:p>
        </w:tc>
      </w:tr>
      <w:tr>
        <w:trPr>
          <w:trHeight w:val="1456" w:hRule="exact"/>
        </w:trPr>
        <w:tc>
          <w:tcPr>
            <w:tcW w:w="994" w:type="dxa"/>
            <w:shd w:val="clear" w:color="auto" w:fill="F1F1F1"/>
          </w:tcPr>
          <w:p>
            <w:pPr>
              <w:pStyle w:val="TableParagraph"/>
              <w:tabs>
                <w:tab w:pos="791" w:val="left" w:leader="none"/>
              </w:tabs>
              <w:ind w:right="105"/>
              <w:rPr>
                <w:sz w:val="18"/>
              </w:rPr>
            </w:pPr>
            <w:r>
              <w:rPr>
                <w:w w:val="90"/>
                <w:sz w:val="18"/>
              </w:rPr>
              <w:t>g) </w:t>
            </w:r>
            <w:r>
              <w:rPr>
                <w:w w:val="85"/>
                <w:sz w:val="18"/>
              </w:rPr>
              <w:t>Reducción </w:t>
            </w:r>
            <w:r>
              <w:rPr>
                <w:w w:val="90"/>
                <w:sz w:val="18"/>
              </w:rPr>
              <w:t>0.08%</w:t>
              <w:tab/>
            </w:r>
            <w:r>
              <w:rPr>
                <w:w w:val="80"/>
                <w:sz w:val="18"/>
              </w:rPr>
              <w:t>=</w:t>
            </w:r>
          </w:p>
          <w:p>
            <w:pPr>
              <w:pStyle w:val="TableParagraph"/>
              <w:ind w:right="141"/>
              <w:jc w:val="both"/>
              <w:rPr>
                <w:sz w:val="18"/>
              </w:rPr>
            </w:pPr>
            <w:r>
              <w:rPr>
                <w:w w:val="80"/>
                <w:sz w:val="18"/>
              </w:rPr>
              <w:t>296,887.00 ($26,155.7 </w:t>
            </w:r>
            <w:r>
              <w:rPr>
                <w:w w:val="85"/>
                <w:sz w:val="18"/>
              </w:rPr>
              <w:t>4 USD)</w:t>
            </w:r>
          </w:p>
        </w:tc>
        <w:tc>
          <w:tcPr>
            <w:tcW w:w="991" w:type="dxa"/>
            <w:shd w:val="clear" w:color="auto" w:fill="F1F1F1"/>
          </w:tcPr>
          <w:p>
            <w:pPr>
              <w:pStyle w:val="TableParagraph"/>
              <w:tabs>
                <w:tab w:pos="789" w:val="left" w:leader="none"/>
              </w:tabs>
              <w:ind w:right="103"/>
              <w:rPr>
                <w:sz w:val="18"/>
              </w:rPr>
            </w:pPr>
            <w:r>
              <w:rPr>
                <w:w w:val="90"/>
                <w:sz w:val="18"/>
              </w:rPr>
              <w:t>g) </w:t>
            </w:r>
            <w:r>
              <w:rPr>
                <w:w w:val="85"/>
                <w:sz w:val="18"/>
              </w:rPr>
              <w:t>Reducción </w:t>
            </w:r>
            <w:r>
              <w:rPr>
                <w:w w:val="90"/>
                <w:sz w:val="18"/>
              </w:rPr>
              <w:t>1.29%</w:t>
              <w:tab/>
            </w:r>
            <w:r>
              <w:rPr>
                <w:w w:val="80"/>
                <w:sz w:val="18"/>
              </w:rPr>
              <w:t>=</w:t>
            </w:r>
          </w:p>
          <w:p>
            <w:pPr>
              <w:pStyle w:val="TableParagraph"/>
              <w:spacing w:line="206" w:lineRule="exact"/>
              <w:rPr>
                <w:sz w:val="18"/>
              </w:rPr>
            </w:pPr>
            <w:r>
              <w:rPr>
                <w:w w:val="90"/>
                <w:sz w:val="18"/>
              </w:rPr>
              <w:t>$3,351,004</w:t>
            </w:r>
          </w:p>
          <w:p>
            <w:pPr>
              <w:pStyle w:val="TableParagraph"/>
              <w:ind w:right="170"/>
              <w:rPr>
                <w:sz w:val="18"/>
              </w:rPr>
            </w:pPr>
            <w:r>
              <w:rPr>
                <w:w w:val="90"/>
                <w:sz w:val="18"/>
              </w:rPr>
              <w:t>.06 </w:t>
            </w:r>
            <w:r>
              <w:rPr>
                <w:w w:val="80"/>
                <w:sz w:val="18"/>
              </w:rPr>
              <w:t>($295,223. </w:t>
            </w:r>
            <w:r>
              <w:rPr>
                <w:w w:val="85"/>
                <w:sz w:val="18"/>
              </w:rPr>
              <w:t>45 USD)</w:t>
            </w:r>
          </w:p>
        </w:tc>
        <w:tc>
          <w:tcPr>
            <w:tcW w:w="1136" w:type="dxa"/>
            <w:shd w:val="clear" w:color="auto" w:fill="F1F1F1"/>
          </w:tcPr>
          <w:p>
            <w:pPr>
              <w:pStyle w:val="TableParagraph"/>
              <w:tabs>
                <w:tab w:pos="933" w:val="left" w:leader="none"/>
              </w:tabs>
              <w:ind w:right="103"/>
              <w:rPr>
                <w:sz w:val="18"/>
              </w:rPr>
            </w:pPr>
            <w:r>
              <w:rPr>
                <w:w w:val="85"/>
                <w:sz w:val="18"/>
              </w:rPr>
              <w:t>g) Reducción </w:t>
            </w:r>
            <w:r>
              <w:rPr>
                <w:w w:val="90"/>
                <w:sz w:val="18"/>
              </w:rPr>
              <w:t>0.93%</w:t>
              <w:tab/>
            </w:r>
            <w:r>
              <w:rPr>
                <w:w w:val="80"/>
                <w:sz w:val="18"/>
              </w:rPr>
              <w:t>=</w:t>
            </w:r>
          </w:p>
          <w:p>
            <w:pPr>
              <w:pStyle w:val="TableParagraph"/>
              <w:ind w:right="101"/>
              <w:rPr>
                <w:sz w:val="18"/>
              </w:rPr>
            </w:pPr>
            <w:r>
              <w:rPr>
                <w:w w:val="85"/>
                <w:sz w:val="18"/>
              </w:rPr>
              <w:t>$1,041,451.1 </w:t>
            </w:r>
            <w:r>
              <w:rPr>
                <w:w w:val="80"/>
                <w:sz w:val="18"/>
              </w:rPr>
              <w:t>3 ($91,751.84</w:t>
            </w:r>
          </w:p>
          <w:p>
            <w:pPr>
              <w:pStyle w:val="TableParagraph"/>
              <w:spacing w:line="206" w:lineRule="exact"/>
              <w:ind w:right="101"/>
              <w:rPr>
                <w:sz w:val="18"/>
              </w:rPr>
            </w:pPr>
            <w:r>
              <w:rPr>
                <w:w w:val="90"/>
                <w:sz w:val="18"/>
              </w:rPr>
              <w:t>USD)</w:t>
            </w:r>
          </w:p>
        </w:tc>
        <w:tc>
          <w:tcPr>
            <w:tcW w:w="1133" w:type="dxa"/>
            <w:shd w:val="clear" w:color="auto" w:fill="F1F1F1"/>
          </w:tcPr>
          <w:p>
            <w:pPr>
              <w:pStyle w:val="TableParagraph"/>
              <w:spacing w:line="207" w:lineRule="exact"/>
              <w:rPr>
                <w:sz w:val="18"/>
              </w:rPr>
            </w:pPr>
            <w:r>
              <w:rPr>
                <w:w w:val="90"/>
                <w:sz w:val="18"/>
              </w:rPr>
              <w:t>g) Multa 257</w:t>
            </w:r>
          </w:p>
          <w:p>
            <w:pPr>
              <w:pStyle w:val="TableParagraph"/>
              <w:rPr>
                <w:sz w:val="18"/>
              </w:rPr>
            </w:pPr>
            <w:r>
              <w:rPr>
                <w:w w:val="85"/>
                <w:sz w:val="18"/>
              </w:rPr>
              <w:t>= $12,508.19 </w:t>
            </w:r>
            <w:r>
              <w:rPr>
                <w:w w:val="90"/>
                <w:sz w:val="18"/>
              </w:rPr>
              <w:t>($1,101.97</w:t>
            </w:r>
          </w:p>
          <w:p>
            <w:pPr>
              <w:pStyle w:val="TableParagraph"/>
              <w:spacing w:line="206" w:lineRule="exact"/>
              <w:ind w:right="101"/>
              <w:rPr>
                <w:sz w:val="18"/>
              </w:rPr>
            </w:pPr>
            <w:r>
              <w:rPr>
                <w:w w:val="90"/>
                <w:sz w:val="18"/>
              </w:rPr>
              <w:t>USD)</w:t>
            </w:r>
          </w:p>
        </w:tc>
        <w:tc>
          <w:tcPr>
            <w:tcW w:w="1136" w:type="dxa"/>
            <w:shd w:val="clear" w:color="auto" w:fill="F1F1F1"/>
          </w:tcPr>
          <w:p>
            <w:pPr>
              <w:pStyle w:val="TableParagraph"/>
              <w:spacing w:line="207" w:lineRule="exact"/>
              <w:rPr>
                <w:sz w:val="18"/>
              </w:rPr>
            </w:pPr>
            <w:r>
              <w:rPr>
                <w:w w:val="90"/>
                <w:sz w:val="18"/>
              </w:rPr>
              <w:t>g) Multa 96 =</w:t>
            </w:r>
          </w:p>
          <w:p>
            <w:pPr>
              <w:pStyle w:val="TableParagraph"/>
              <w:ind w:right="362"/>
              <w:rPr>
                <w:sz w:val="18"/>
              </w:rPr>
            </w:pPr>
            <w:r>
              <w:rPr>
                <w:w w:val="80"/>
                <w:sz w:val="18"/>
              </w:rPr>
              <w:t>$4,672.32 </w:t>
            </w:r>
            <w:r>
              <w:rPr>
                <w:w w:val="85"/>
                <w:sz w:val="18"/>
              </w:rPr>
              <w:t>($411.63</w:t>
            </w:r>
          </w:p>
          <w:p>
            <w:pPr>
              <w:pStyle w:val="TableParagraph"/>
              <w:spacing w:line="206" w:lineRule="exact"/>
              <w:rPr>
                <w:sz w:val="18"/>
              </w:rPr>
            </w:pPr>
            <w:r>
              <w:rPr>
                <w:w w:val="90"/>
                <w:sz w:val="18"/>
              </w:rPr>
              <w:t>USD)</w:t>
            </w:r>
          </w:p>
        </w:tc>
        <w:tc>
          <w:tcPr>
            <w:tcW w:w="1099" w:type="dxa"/>
            <w:shd w:val="clear" w:color="auto" w:fill="F1F1F1"/>
          </w:tcPr>
          <w:p>
            <w:pPr>
              <w:pStyle w:val="TableParagraph"/>
              <w:spacing w:line="207" w:lineRule="exact"/>
              <w:rPr>
                <w:sz w:val="18"/>
              </w:rPr>
            </w:pPr>
            <w:r>
              <w:rPr>
                <w:w w:val="90"/>
                <w:sz w:val="18"/>
              </w:rPr>
              <w:t>g) Multa 95 =</w:t>
            </w:r>
          </w:p>
          <w:p>
            <w:pPr>
              <w:pStyle w:val="TableParagraph"/>
              <w:ind w:right="326"/>
              <w:rPr>
                <w:sz w:val="18"/>
              </w:rPr>
            </w:pPr>
            <w:r>
              <w:rPr>
                <w:w w:val="80"/>
                <w:sz w:val="18"/>
              </w:rPr>
              <w:t>$4,623.46 </w:t>
            </w:r>
            <w:r>
              <w:rPr>
                <w:w w:val="85"/>
                <w:sz w:val="18"/>
              </w:rPr>
              <w:t>($407.32</w:t>
            </w:r>
          </w:p>
          <w:p>
            <w:pPr>
              <w:pStyle w:val="TableParagraph"/>
              <w:spacing w:line="206" w:lineRule="exact"/>
              <w:ind w:right="266"/>
              <w:rPr>
                <w:sz w:val="18"/>
              </w:rPr>
            </w:pPr>
            <w:r>
              <w:rPr>
                <w:w w:val="90"/>
                <w:sz w:val="18"/>
              </w:rPr>
              <w:t>USD)</w:t>
            </w:r>
          </w:p>
        </w:tc>
        <w:tc>
          <w:tcPr>
            <w:tcW w:w="1133" w:type="dxa"/>
            <w:tcBorders>
              <w:left w:val="single" w:sz="41" w:space="0" w:color="F1F1F1"/>
              <w:right w:val="thickThinMediumGap" w:sz="23" w:space="0" w:color="F1F1F1"/>
            </w:tcBorders>
          </w:tcPr>
          <w:p>
            <w:pPr>
              <w:pStyle w:val="TableParagraph"/>
              <w:spacing w:line="206" w:lineRule="exact" w:before="4"/>
              <w:ind w:left="56"/>
              <w:rPr>
                <w:rFonts w:ascii="Trebuchet MS" w:hAnsi="Trebuchet MS"/>
                <w:b/>
                <w:sz w:val="18"/>
              </w:rPr>
            </w:pPr>
            <w:r>
              <w:rPr>
                <w:rFonts w:ascii="Trebuchet MS" w:hAnsi="Trebuchet MS"/>
                <w:b/>
                <w:w w:val="85"/>
                <w:sz w:val="18"/>
              </w:rPr>
              <w:t>g)Reducción </w:t>
            </w:r>
            <w:r>
              <w:rPr>
                <w:rFonts w:ascii="Trebuchet MS" w:hAnsi="Trebuchet MS"/>
                <w:b/>
                <w:sz w:val="18"/>
              </w:rPr>
              <w:t>1%=</w:t>
            </w:r>
          </w:p>
          <w:p>
            <w:pPr>
              <w:pStyle w:val="TableParagraph"/>
              <w:spacing w:line="206" w:lineRule="exact"/>
              <w:ind w:left="56" w:right="136"/>
              <w:rPr>
                <w:rFonts w:ascii="Trebuchet MS"/>
                <w:b/>
                <w:sz w:val="18"/>
              </w:rPr>
            </w:pPr>
            <w:r>
              <w:rPr>
                <w:rFonts w:ascii="Trebuchet MS"/>
                <w:b/>
                <w:w w:val="75"/>
                <w:sz w:val="18"/>
              </w:rPr>
              <w:t>$831,616.83 ($73,265.44</w:t>
            </w:r>
          </w:p>
          <w:p>
            <w:pPr>
              <w:pStyle w:val="TableParagraph"/>
              <w:spacing w:line="205" w:lineRule="exact"/>
              <w:ind w:left="56"/>
              <w:rPr>
                <w:rFonts w:ascii="Trebuchet MS"/>
                <w:b/>
                <w:sz w:val="18"/>
              </w:rPr>
            </w:pPr>
            <w:r>
              <w:rPr>
                <w:rFonts w:ascii="Trebuchet MS"/>
                <w:b/>
                <w:sz w:val="18"/>
              </w:rPr>
              <w:t>USD)</w:t>
            </w:r>
          </w:p>
        </w:tc>
        <w:tc>
          <w:tcPr>
            <w:tcW w:w="1419" w:type="dxa"/>
            <w:shd w:val="clear" w:color="auto" w:fill="F1F1F1"/>
          </w:tcPr>
          <w:p>
            <w:pPr>
              <w:pStyle w:val="TableParagraph"/>
              <w:spacing w:line="207" w:lineRule="exact"/>
              <w:ind w:left="105" w:right="35"/>
              <w:rPr>
                <w:sz w:val="18"/>
              </w:rPr>
            </w:pPr>
            <w:r>
              <w:rPr>
                <w:w w:val="90"/>
                <w:sz w:val="18"/>
              </w:rPr>
              <w:t>g)  Multa  400  =</w:t>
            </w:r>
          </w:p>
          <w:p>
            <w:pPr>
              <w:pStyle w:val="TableParagraph"/>
              <w:ind w:left="105" w:right="35"/>
              <w:rPr>
                <w:sz w:val="18"/>
              </w:rPr>
            </w:pPr>
            <w:r>
              <w:rPr>
                <w:w w:val="90"/>
                <w:sz w:val="18"/>
              </w:rPr>
              <w:t>$19,468.00 </w:t>
            </w:r>
            <w:r>
              <w:rPr>
                <w:w w:val="80"/>
                <w:sz w:val="18"/>
              </w:rPr>
              <w:t>($1,715.13 USD)</w:t>
            </w:r>
          </w:p>
        </w:tc>
      </w:tr>
      <w:tr>
        <w:trPr>
          <w:trHeight w:val="1452" w:hRule="exact"/>
        </w:trPr>
        <w:tc>
          <w:tcPr>
            <w:tcW w:w="994" w:type="dxa"/>
            <w:tcBorders>
              <w:right w:val="single" w:sz="41" w:space="0" w:color="F1F1F1"/>
            </w:tcBorders>
            <w:shd w:val="clear" w:color="auto" w:fill="A6A6A6"/>
          </w:tcPr>
          <w:p>
            <w:pPr>
              <w:pStyle w:val="TableParagraph"/>
              <w:tabs>
                <w:tab w:pos="518" w:val="left" w:leader="none"/>
              </w:tabs>
              <w:spacing w:line="206" w:lineRule="exact"/>
              <w:rPr>
                <w:sz w:val="18"/>
              </w:rPr>
            </w:pPr>
            <w:r>
              <w:rPr>
                <w:w w:val="90"/>
                <w:sz w:val="18"/>
              </w:rPr>
              <w:t>h)</w:t>
              <w:tab/>
              <w:t>Multa</w:t>
            </w:r>
          </w:p>
          <w:p>
            <w:pPr>
              <w:pStyle w:val="TableParagraph"/>
              <w:tabs>
                <w:tab w:pos="791" w:val="left" w:leader="none"/>
              </w:tabs>
              <w:spacing w:line="206" w:lineRule="exact"/>
              <w:rPr>
                <w:sz w:val="18"/>
              </w:rPr>
            </w:pPr>
            <w:r>
              <w:rPr>
                <w:w w:val="90"/>
                <w:sz w:val="18"/>
              </w:rPr>
              <w:t>1100</w:t>
              <w:tab/>
              <w:t>=</w:t>
            </w:r>
          </w:p>
          <w:p>
            <w:pPr>
              <w:pStyle w:val="TableParagraph"/>
              <w:spacing w:line="206" w:lineRule="exact"/>
              <w:rPr>
                <w:sz w:val="18"/>
              </w:rPr>
            </w:pPr>
            <w:r>
              <w:rPr>
                <w:w w:val="85"/>
                <w:sz w:val="18"/>
              </w:rPr>
              <w:t>$53,537.00</w:t>
            </w:r>
          </w:p>
          <w:p>
            <w:pPr>
              <w:pStyle w:val="TableParagraph"/>
              <w:ind w:right="12"/>
              <w:rPr>
                <w:sz w:val="18"/>
              </w:rPr>
            </w:pPr>
            <w:r>
              <w:rPr>
                <w:w w:val="90"/>
                <w:sz w:val="18"/>
              </w:rPr>
              <w:t>no se tenía </w:t>
            </w:r>
            <w:r>
              <w:rPr>
                <w:w w:val="85"/>
                <w:sz w:val="18"/>
              </w:rPr>
              <w:t>($4,716.60 </w:t>
            </w:r>
            <w:r>
              <w:rPr>
                <w:w w:val="90"/>
                <w:sz w:val="18"/>
              </w:rPr>
              <w:t>USD)</w:t>
            </w:r>
          </w:p>
        </w:tc>
        <w:tc>
          <w:tcPr>
            <w:tcW w:w="991" w:type="dxa"/>
            <w:tcBorders>
              <w:left w:val="single" w:sz="45" w:space="0" w:color="A6A6A6"/>
            </w:tcBorders>
            <w:shd w:val="clear" w:color="auto" w:fill="F1F1F1"/>
          </w:tcPr>
          <w:p>
            <w:pPr>
              <w:pStyle w:val="TableParagraph"/>
              <w:tabs>
                <w:tab w:pos="737" w:val="left" w:leader="none"/>
              </w:tabs>
              <w:ind w:left="51" w:right="103"/>
              <w:rPr>
                <w:sz w:val="18"/>
              </w:rPr>
            </w:pPr>
            <w:r>
              <w:rPr>
                <w:w w:val="90"/>
                <w:sz w:val="18"/>
              </w:rPr>
              <w:t>h) </w:t>
            </w:r>
            <w:r>
              <w:rPr>
                <w:w w:val="85"/>
                <w:sz w:val="18"/>
              </w:rPr>
              <w:t>Reducción </w:t>
            </w:r>
            <w:r>
              <w:rPr>
                <w:w w:val="90"/>
                <w:sz w:val="18"/>
              </w:rPr>
              <w:t>0.18%</w:t>
              <w:tab/>
            </w:r>
            <w:r>
              <w:rPr>
                <w:w w:val="80"/>
                <w:sz w:val="18"/>
              </w:rPr>
              <w:t>=</w:t>
            </w:r>
          </w:p>
          <w:p>
            <w:pPr>
              <w:pStyle w:val="TableParagraph"/>
              <w:ind w:left="51" w:right="138"/>
              <w:rPr>
                <w:sz w:val="18"/>
              </w:rPr>
            </w:pPr>
            <w:r>
              <w:rPr>
                <w:w w:val="80"/>
                <w:sz w:val="18"/>
              </w:rPr>
              <w:t>$478,811.3 </w:t>
            </w:r>
            <w:r>
              <w:rPr>
                <w:w w:val="90"/>
                <w:sz w:val="18"/>
              </w:rPr>
              <w:t>0 </w:t>
            </w:r>
            <w:r>
              <w:rPr>
                <w:w w:val="80"/>
                <w:sz w:val="18"/>
              </w:rPr>
              <w:t>($42,183.2 </w:t>
            </w:r>
            <w:r>
              <w:rPr>
                <w:w w:val="85"/>
                <w:sz w:val="18"/>
              </w:rPr>
              <w:t>7 USD)</w:t>
            </w:r>
          </w:p>
        </w:tc>
        <w:tc>
          <w:tcPr>
            <w:tcW w:w="1136" w:type="dxa"/>
            <w:shd w:val="clear" w:color="auto" w:fill="F1F1F1"/>
          </w:tcPr>
          <w:p>
            <w:pPr>
              <w:pStyle w:val="TableParagraph"/>
              <w:tabs>
                <w:tab w:pos="933" w:val="left" w:leader="none"/>
              </w:tabs>
              <w:ind w:right="103"/>
              <w:rPr>
                <w:sz w:val="18"/>
              </w:rPr>
            </w:pPr>
            <w:r>
              <w:rPr>
                <w:w w:val="85"/>
                <w:sz w:val="18"/>
              </w:rPr>
              <w:t>h) Reducción </w:t>
            </w:r>
            <w:r>
              <w:rPr>
                <w:w w:val="90"/>
                <w:sz w:val="18"/>
              </w:rPr>
              <w:t>0.13%</w:t>
              <w:tab/>
            </w:r>
            <w:r>
              <w:rPr>
                <w:w w:val="80"/>
                <w:sz w:val="18"/>
              </w:rPr>
              <w:t>=</w:t>
            </w:r>
          </w:p>
          <w:p>
            <w:pPr>
              <w:pStyle w:val="TableParagraph"/>
              <w:ind w:right="101"/>
              <w:rPr>
                <w:sz w:val="18"/>
              </w:rPr>
            </w:pPr>
            <w:r>
              <w:rPr>
                <w:w w:val="80"/>
                <w:sz w:val="18"/>
              </w:rPr>
              <w:t>$148,808.70 ($13,110.04</w:t>
            </w:r>
          </w:p>
          <w:p>
            <w:pPr>
              <w:pStyle w:val="TableParagraph"/>
              <w:spacing w:line="206" w:lineRule="exact"/>
              <w:ind w:right="101"/>
              <w:rPr>
                <w:sz w:val="18"/>
              </w:rPr>
            </w:pPr>
            <w:r>
              <w:rPr>
                <w:w w:val="90"/>
                <w:sz w:val="18"/>
              </w:rPr>
              <w:t>USD)</w:t>
            </w:r>
          </w:p>
        </w:tc>
        <w:tc>
          <w:tcPr>
            <w:tcW w:w="1133" w:type="dxa"/>
            <w:shd w:val="clear" w:color="auto" w:fill="F1F1F1"/>
          </w:tcPr>
          <w:p>
            <w:pPr>
              <w:pStyle w:val="TableParagraph"/>
              <w:spacing w:line="206" w:lineRule="exact"/>
              <w:rPr>
                <w:sz w:val="18"/>
              </w:rPr>
            </w:pPr>
            <w:r>
              <w:rPr>
                <w:w w:val="85"/>
                <w:sz w:val="18"/>
              </w:rPr>
              <w:t>h) Multa 2868</w:t>
            </w:r>
          </w:p>
          <w:p>
            <w:pPr>
              <w:pStyle w:val="TableParagraph"/>
              <w:spacing w:line="206" w:lineRule="exact"/>
              <w:rPr>
                <w:sz w:val="18"/>
              </w:rPr>
            </w:pPr>
            <w:r>
              <w:rPr>
                <w:w w:val="82"/>
                <w:sz w:val="18"/>
              </w:rPr>
              <w:t>=</w:t>
            </w:r>
          </w:p>
          <w:p>
            <w:pPr>
              <w:pStyle w:val="TableParagraph"/>
              <w:ind w:right="101"/>
              <w:rPr>
                <w:sz w:val="18"/>
              </w:rPr>
            </w:pPr>
            <w:r>
              <w:rPr>
                <w:w w:val="80"/>
                <w:sz w:val="18"/>
              </w:rPr>
              <w:t>$139,585.56 ($12,297.48</w:t>
            </w:r>
          </w:p>
          <w:p>
            <w:pPr>
              <w:pStyle w:val="TableParagraph"/>
              <w:spacing w:line="206" w:lineRule="exact"/>
              <w:ind w:right="101"/>
              <w:rPr>
                <w:sz w:val="18"/>
              </w:rPr>
            </w:pPr>
            <w:r>
              <w:rPr>
                <w:w w:val="90"/>
                <w:sz w:val="18"/>
              </w:rPr>
              <w:t>USD)</w:t>
            </w:r>
          </w:p>
        </w:tc>
        <w:tc>
          <w:tcPr>
            <w:tcW w:w="1136" w:type="dxa"/>
            <w:shd w:val="clear" w:color="auto" w:fill="F1F1F1"/>
          </w:tcPr>
          <w:p>
            <w:pPr>
              <w:pStyle w:val="TableParagraph"/>
              <w:spacing w:line="206" w:lineRule="exact"/>
              <w:rPr>
                <w:sz w:val="18"/>
              </w:rPr>
            </w:pPr>
            <w:r>
              <w:rPr>
                <w:w w:val="85"/>
                <w:sz w:val="18"/>
              </w:rPr>
              <w:t>h) Multa 1074</w:t>
            </w:r>
          </w:p>
          <w:p>
            <w:pPr>
              <w:pStyle w:val="TableParagraph"/>
              <w:rPr>
                <w:sz w:val="18"/>
              </w:rPr>
            </w:pPr>
            <w:r>
              <w:rPr>
                <w:w w:val="85"/>
                <w:sz w:val="18"/>
              </w:rPr>
              <w:t>= $52,271.58 </w:t>
            </w:r>
            <w:r>
              <w:rPr>
                <w:w w:val="90"/>
                <w:sz w:val="18"/>
              </w:rPr>
              <w:t>($4,605.12</w:t>
            </w:r>
          </w:p>
          <w:p>
            <w:pPr>
              <w:pStyle w:val="TableParagraph"/>
              <w:spacing w:line="206" w:lineRule="exact"/>
              <w:rPr>
                <w:sz w:val="18"/>
              </w:rPr>
            </w:pPr>
            <w:r>
              <w:rPr>
                <w:w w:val="90"/>
                <w:sz w:val="18"/>
              </w:rPr>
              <w:t>USD)</w:t>
            </w:r>
          </w:p>
        </w:tc>
        <w:tc>
          <w:tcPr>
            <w:tcW w:w="1099" w:type="dxa"/>
            <w:shd w:val="clear" w:color="auto" w:fill="F1F1F1"/>
          </w:tcPr>
          <w:p>
            <w:pPr>
              <w:pStyle w:val="TableParagraph"/>
              <w:tabs>
                <w:tab w:pos="623" w:val="left" w:leader="none"/>
              </w:tabs>
              <w:spacing w:line="206" w:lineRule="exact"/>
              <w:rPr>
                <w:sz w:val="18"/>
              </w:rPr>
            </w:pPr>
            <w:r>
              <w:rPr>
                <w:w w:val="90"/>
                <w:sz w:val="18"/>
              </w:rPr>
              <w:t>h)</w:t>
              <w:tab/>
              <w:t>Multa</w:t>
            </w:r>
          </w:p>
          <w:p>
            <w:pPr>
              <w:pStyle w:val="TableParagraph"/>
              <w:tabs>
                <w:tab w:pos="899" w:val="left" w:leader="none"/>
              </w:tabs>
              <w:spacing w:line="206" w:lineRule="exact"/>
              <w:rPr>
                <w:sz w:val="18"/>
              </w:rPr>
            </w:pPr>
            <w:r>
              <w:rPr>
                <w:w w:val="90"/>
                <w:sz w:val="18"/>
              </w:rPr>
              <w:t>1058</w:t>
              <w:tab/>
              <w:t>=</w:t>
            </w:r>
          </w:p>
          <w:p>
            <w:pPr>
              <w:pStyle w:val="TableParagraph"/>
              <w:ind w:right="245"/>
              <w:rPr>
                <w:sz w:val="18"/>
              </w:rPr>
            </w:pPr>
            <w:r>
              <w:rPr>
                <w:w w:val="80"/>
                <w:sz w:val="18"/>
              </w:rPr>
              <w:t>$51,492.86 </w:t>
            </w:r>
            <w:r>
              <w:rPr>
                <w:w w:val="90"/>
                <w:sz w:val="18"/>
              </w:rPr>
              <w:t>($4,536.5</w:t>
            </w:r>
          </w:p>
          <w:p>
            <w:pPr>
              <w:pStyle w:val="TableParagraph"/>
              <w:spacing w:line="206" w:lineRule="exact"/>
              <w:ind w:right="266"/>
              <w:rPr>
                <w:sz w:val="18"/>
              </w:rPr>
            </w:pPr>
            <w:r>
              <w:rPr>
                <w:w w:val="90"/>
                <w:sz w:val="18"/>
              </w:rPr>
              <w:t>USD)</w:t>
            </w:r>
          </w:p>
        </w:tc>
        <w:tc>
          <w:tcPr>
            <w:tcW w:w="1133" w:type="dxa"/>
            <w:tcBorders>
              <w:left w:val="single" w:sz="41" w:space="0" w:color="F1F1F1"/>
            </w:tcBorders>
          </w:tcPr>
          <w:p>
            <w:pPr>
              <w:pStyle w:val="TableParagraph"/>
              <w:tabs>
                <w:tab w:pos="589" w:val="left" w:leader="none"/>
              </w:tabs>
              <w:spacing w:line="207" w:lineRule="exact"/>
              <w:ind w:left="56"/>
              <w:rPr>
                <w:rFonts w:ascii="Trebuchet MS"/>
                <w:b/>
                <w:sz w:val="18"/>
              </w:rPr>
            </w:pPr>
            <w:r>
              <w:rPr>
                <w:rFonts w:ascii="Trebuchet MS"/>
                <w:b/>
                <w:w w:val="90"/>
                <w:sz w:val="18"/>
              </w:rPr>
              <w:t>h)</w:t>
              <w:tab/>
              <w:t>Multa</w:t>
            </w:r>
          </w:p>
          <w:p>
            <w:pPr>
              <w:pStyle w:val="TableParagraph"/>
              <w:tabs>
                <w:tab w:pos="886" w:val="left" w:leader="none"/>
              </w:tabs>
              <w:spacing w:line="206" w:lineRule="exact"/>
              <w:ind w:left="56"/>
              <w:rPr>
                <w:rFonts w:ascii="Trebuchet MS"/>
                <w:b/>
                <w:sz w:val="18"/>
              </w:rPr>
            </w:pPr>
            <w:r>
              <w:rPr>
                <w:rFonts w:ascii="Trebuchet MS"/>
                <w:b/>
                <w:w w:val="90"/>
                <w:sz w:val="18"/>
              </w:rPr>
              <w:t>4000</w:t>
              <w:tab/>
              <w:t>=</w:t>
            </w:r>
          </w:p>
          <w:p>
            <w:pPr>
              <w:pStyle w:val="TableParagraph"/>
              <w:spacing w:line="206" w:lineRule="exact" w:before="3"/>
              <w:ind w:left="56" w:right="189"/>
              <w:rPr>
                <w:rFonts w:ascii="Trebuchet MS"/>
                <w:b/>
                <w:sz w:val="18"/>
              </w:rPr>
            </w:pPr>
            <w:r>
              <w:rPr>
                <w:rFonts w:ascii="Trebuchet MS"/>
                <w:b/>
                <w:w w:val="75"/>
                <w:sz w:val="18"/>
              </w:rPr>
              <w:t>$194,680.00 ($17,151.30</w:t>
            </w:r>
          </w:p>
          <w:p>
            <w:pPr>
              <w:pStyle w:val="TableParagraph"/>
              <w:spacing w:line="205" w:lineRule="exact"/>
              <w:ind w:left="56" w:right="100"/>
              <w:rPr>
                <w:rFonts w:ascii="Trebuchet MS"/>
                <w:b/>
                <w:sz w:val="18"/>
              </w:rPr>
            </w:pPr>
            <w:r>
              <w:rPr>
                <w:rFonts w:ascii="Trebuchet MS"/>
                <w:b/>
                <w:sz w:val="18"/>
              </w:rPr>
              <w:t>USD)</w:t>
            </w:r>
          </w:p>
        </w:tc>
        <w:tc>
          <w:tcPr>
            <w:tcW w:w="1419" w:type="dxa"/>
            <w:shd w:val="clear" w:color="auto" w:fill="A6A6A6"/>
          </w:tcPr>
          <w:p>
            <w:pPr>
              <w:pStyle w:val="TableParagraph"/>
              <w:spacing w:line="206" w:lineRule="exact"/>
              <w:ind w:left="105" w:right="35"/>
              <w:rPr>
                <w:sz w:val="18"/>
              </w:rPr>
            </w:pPr>
            <w:r>
              <w:rPr>
                <w:w w:val="90"/>
                <w:sz w:val="18"/>
              </w:rPr>
              <w:t>h) Multa 2610  =</w:t>
            </w:r>
          </w:p>
          <w:p>
            <w:pPr>
              <w:pStyle w:val="TableParagraph"/>
              <w:tabs>
                <w:tab w:pos="1150" w:val="left" w:leader="none"/>
              </w:tabs>
              <w:spacing w:line="206" w:lineRule="exact"/>
              <w:ind w:left="105" w:right="35"/>
              <w:rPr>
                <w:sz w:val="18"/>
              </w:rPr>
            </w:pPr>
            <w:r>
              <w:rPr>
                <w:w w:val="85"/>
                <w:sz w:val="18"/>
              </w:rPr>
              <w:t>$127,028.70</w:t>
              <w:tab/>
            </w:r>
            <w:r>
              <w:rPr>
                <w:w w:val="90"/>
                <w:sz w:val="18"/>
              </w:rPr>
              <w:t>se</w:t>
            </w:r>
          </w:p>
          <w:p>
            <w:pPr>
              <w:pStyle w:val="TableParagraph"/>
              <w:ind w:left="105" w:right="112"/>
              <w:rPr>
                <w:sz w:val="18"/>
              </w:rPr>
            </w:pPr>
            <w:r>
              <w:rPr>
                <w:w w:val="90"/>
                <w:sz w:val="18"/>
              </w:rPr>
              <w:t>anexo </w:t>
            </w:r>
            <w:r>
              <w:rPr>
                <w:w w:val="80"/>
                <w:sz w:val="18"/>
              </w:rPr>
              <w:t>($11,191.22 USD)</w:t>
            </w:r>
          </w:p>
        </w:tc>
      </w:tr>
      <w:tr>
        <w:trPr>
          <w:trHeight w:val="1459" w:hRule="exact"/>
        </w:trPr>
        <w:tc>
          <w:tcPr>
            <w:tcW w:w="994" w:type="dxa"/>
            <w:shd w:val="clear" w:color="auto" w:fill="F1F1F1"/>
          </w:tcPr>
          <w:p>
            <w:pPr>
              <w:pStyle w:val="TableParagraph"/>
              <w:tabs>
                <w:tab w:pos="791" w:val="left" w:leader="none"/>
              </w:tabs>
              <w:spacing w:before="4"/>
              <w:ind w:right="105"/>
              <w:rPr>
                <w:sz w:val="18"/>
              </w:rPr>
            </w:pPr>
            <w:r>
              <w:rPr>
                <w:w w:val="90"/>
                <w:sz w:val="18"/>
              </w:rPr>
              <w:t>i) </w:t>
            </w:r>
            <w:r>
              <w:rPr>
                <w:w w:val="85"/>
                <w:sz w:val="18"/>
              </w:rPr>
              <w:t>Reducción </w:t>
            </w:r>
            <w:r>
              <w:rPr>
                <w:w w:val="90"/>
                <w:sz w:val="18"/>
              </w:rPr>
              <w:t>0.8%</w:t>
              <w:tab/>
            </w:r>
            <w:r>
              <w:rPr>
                <w:w w:val="80"/>
                <w:sz w:val="18"/>
              </w:rPr>
              <w:t>=</w:t>
            </w:r>
          </w:p>
          <w:p>
            <w:pPr>
              <w:pStyle w:val="TableParagraph"/>
              <w:spacing w:line="206" w:lineRule="exact"/>
              <w:rPr>
                <w:sz w:val="18"/>
              </w:rPr>
            </w:pPr>
            <w:r>
              <w:rPr>
                <w:w w:val="90"/>
                <w:sz w:val="18"/>
              </w:rPr>
              <w:t>$2,975,618</w:t>
            </w:r>
          </w:p>
          <w:p>
            <w:pPr>
              <w:pStyle w:val="TableParagraph"/>
              <w:tabs>
                <w:tab w:pos="748" w:val="left" w:leader="none"/>
              </w:tabs>
              <w:spacing w:line="206" w:lineRule="exact"/>
              <w:rPr>
                <w:sz w:val="18"/>
              </w:rPr>
            </w:pPr>
            <w:r>
              <w:rPr>
                <w:w w:val="90"/>
                <w:sz w:val="18"/>
              </w:rPr>
              <w:t>.84</w:t>
              <w:tab/>
              <w:t>($</w:t>
            </w:r>
          </w:p>
          <w:p>
            <w:pPr>
              <w:pStyle w:val="TableParagraph"/>
              <w:spacing w:line="206" w:lineRule="exact"/>
              <w:rPr>
                <w:sz w:val="18"/>
              </w:rPr>
            </w:pPr>
            <w:r>
              <w:rPr>
                <w:w w:val="90"/>
                <w:sz w:val="18"/>
              </w:rPr>
              <w:t>262,151.94</w:t>
            </w:r>
          </w:p>
          <w:p>
            <w:pPr>
              <w:pStyle w:val="TableParagraph"/>
              <w:spacing w:line="207" w:lineRule="exact"/>
              <w:ind w:right="140"/>
              <w:rPr>
                <w:sz w:val="18"/>
              </w:rPr>
            </w:pPr>
            <w:r>
              <w:rPr>
                <w:w w:val="90"/>
                <w:sz w:val="18"/>
              </w:rPr>
              <w:t>USD)</w:t>
            </w:r>
          </w:p>
        </w:tc>
        <w:tc>
          <w:tcPr>
            <w:tcW w:w="991" w:type="dxa"/>
            <w:shd w:val="clear" w:color="auto" w:fill="F1F1F1"/>
          </w:tcPr>
          <w:p>
            <w:pPr>
              <w:pStyle w:val="TableParagraph"/>
              <w:tabs>
                <w:tab w:pos="518" w:val="left" w:leader="none"/>
                <w:tab w:pos="791" w:val="left" w:leader="none"/>
              </w:tabs>
              <w:spacing w:before="4"/>
              <w:ind w:right="101"/>
              <w:rPr>
                <w:sz w:val="18"/>
              </w:rPr>
            </w:pPr>
            <w:r>
              <w:rPr>
                <w:w w:val="90"/>
                <w:sz w:val="18"/>
              </w:rPr>
              <w:t>i)</w:t>
              <w:tab/>
            </w:r>
            <w:r>
              <w:rPr>
                <w:w w:val="80"/>
                <w:sz w:val="18"/>
              </w:rPr>
              <w:t>Multa </w:t>
            </w:r>
            <w:r>
              <w:rPr>
                <w:w w:val="90"/>
                <w:sz w:val="18"/>
              </w:rPr>
              <w:t>3462</w:t>
              <w:tab/>
              <w:tab/>
            </w:r>
            <w:r>
              <w:rPr>
                <w:w w:val="80"/>
                <w:sz w:val="18"/>
              </w:rPr>
              <w:t>=</w:t>
            </w:r>
          </w:p>
          <w:p>
            <w:pPr>
              <w:pStyle w:val="TableParagraph"/>
              <w:ind w:right="137"/>
              <w:rPr>
                <w:sz w:val="18"/>
              </w:rPr>
            </w:pPr>
            <w:r>
              <w:rPr>
                <w:w w:val="80"/>
                <w:sz w:val="18"/>
              </w:rPr>
              <w:t>$168,495.5 </w:t>
            </w:r>
            <w:r>
              <w:rPr>
                <w:w w:val="90"/>
                <w:sz w:val="18"/>
              </w:rPr>
              <w:t>4 </w:t>
            </w:r>
            <w:r>
              <w:rPr>
                <w:w w:val="80"/>
                <w:sz w:val="18"/>
              </w:rPr>
              <w:t>($14,844.4 </w:t>
            </w:r>
            <w:r>
              <w:rPr>
                <w:w w:val="85"/>
                <w:sz w:val="18"/>
              </w:rPr>
              <w:t>5 USD)</w:t>
            </w:r>
          </w:p>
        </w:tc>
        <w:tc>
          <w:tcPr>
            <w:tcW w:w="1136" w:type="dxa"/>
            <w:shd w:val="clear" w:color="auto" w:fill="F1F1F1"/>
          </w:tcPr>
          <w:p>
            <w:pPr>
              <w:pStyle w:val="TableParagraph"/>
              <w:spacing w:line="207" w:lineRule="exact" w:before="4"/>
              <w:rPr>
                <w:sz w:val="18"/>
              </w:rPr>
            </w:pPr>
            <w:r>
              <w:rPr>
                <w:w w:val="90"/>
                <w:sz w:val="18"/>
              </w:rPr>
              <w:t>i) Multa 1075</w:t>
            </w:r>
          </w:p>
          <w:p>
            <w:pPr>
              <w:pStyle w:val="TableParagraph"/>
              <w:ind w:right="101"/>
              <w:rPr>
                <w:sz w:val="18"/>
              </w:rPr>
            </w:pPr>
            <w:r>
              <w:rPr>
                <w:w w:val="85"/>
                <w:sz w:val="18"/>
              </w:rPr>
              <w:t>= $52,320.25 </w:t>
            </w:r>
            <w:r>
              <w:rPr>
                <w:w w:val="90"/>
                <w:sz w:val="18"/>
              </w:rPr>
              <w:t>($4,609.41</w:t>
            </w:r>
          </w:p>
          <w:p>
            <w:pPr>
              <w:pStyle w:val="TableParagraph"/>
              <w:spacing w:line="206" w:lineRule="exact"/>
              <w:ind w:right="101"/>
              <w:rPr>
                <w:sz w:val="18"/>
              </w:rPr>
            </w:pPr>
            <w:r>
              <w:rPr>
                <w:w w:val="90"/>
                <w:sz w:val="18"/>
              </w:rPr>
              <w:t>USD)</w:t>
            </w:r>
          </w:p>
        </w:tc>
        <w:tc>
          <w:tcPr>
            <w:tcW w:w="1133" w:type="dxa"/>
            <w:tcBorders>
              <w:left w:val="single" w:sz="41" w:space="0" w:color="F1F1F1"/>
            </w:tcBorders>
          </w:tcPr>
          <w:p>
            <w:pPr>
              <w:pStyle w:val="TableParagraph"/>
              <w:tabs>
                <w:tab w:pos="889" w:val="left" w:leader="none"/>
              </w:tabs>
              <w:spacing w:line="206" w:lineRule="exact" w:before="8"/>
              <w:ind w:left="56" w:right="99"/>
              <w:rPr>
                <w:rFonts w:ascii="Trebuchet MS" w:hAnsi="Trebuchet MS"/>
                <w:b/>
                <w:sz w:val="18"/>
              </w:rPr>
            </w:pPr>
            <w:r>
              <w:rPr>
                <w:rFonts w:ascii="Trebuchet MS" w:hAnsi="Trebuchet MS"/>
                <w:b/>
                <w:w w:val="90"/>
                <w:sz w:val="18"/>
              </w:rPr>
              <w:t>i)</w:t>
            </w:r>
            <w:r>
              <w:rPr>
                <w:rFonts w:ascii="Trebuchet MS" w:hAnsi="Trebuchet MS"/>
                <w:b/>
                <w:spacing w:val="-21"/>
                <w:w w:val="90"/>
                <w:sz w:val="18"/>
              </w:rPr>
              <w:t> </w:t>
            </w:r>
            <w:r>
              <w:rPr>
                <w:rFonts w:ascii="Trebuchet MS" w:hAnsi="Trebuchet MS"/>
                <w:b/>
                <w:w w:val="90"/>
                <w:sz w:val="18"/>
              </w:rPr>
              <w:t>Reducción </w:t>
            </w:r>
            <w:r>
              <w:rPr>
                <w:rFonts w:ascii="Trebuchet MS" w:hAnsi="Trebuchet MS"/>
                <w:b/>
                <w:w w:val="95"/>
                <w:sz w:val="18"/>
              </w:rPr>
              <w:t>1%</w:t>
              <w:tab/>
            </w:r>
            <w:r>
              <w:rPr>
                <w:rFonts w:ascii="Trebuchet MS" w:hAnsi="Trebuchet MS"/>
                <w:b/>
                <w:w w:val="80"/>
                <w:sz w:val="18"/>
              </w:rPr>
              <w:t>=</w:t>
            </w:r>
          </w:p>
          <w:p>
            <w:pPr>
              <w:pStyle w:val="TableParagraph"/>
              <w:spacing w:line="206" w:lineRule="exact"/>
              <w:ind w:left="56" w:right="139"/>
              <w:rPr>
                <w:rFonts w:ascii="Trebuchet MS"/>
                <w:b/>
                <w:sz w:val="18"/>
              </w:rPr>
            </w:pPr>
            <w:r>
              <w:rPr>
                <w:rFonts w:ascii="Trebuchet MS"/>
                <w:b/>
                <w:w w:val="75"/>
                <w:sz w:val="18"/>
              </w:rPr>
              <w:t>$2,664,581.9 </w:t>
            </w:r>
            <w:r>
              <w:rPr>
                <w:rFonts w:ascii="Trebuchet MS"/>
                <w:b/>
                <w:w w:val="85"/>
                <w:sz w:val="18"/>
              </w:rPr>
              <w:t>5 </w:t>
            </w:r>
            <w:r>
              <w:rPr>
                <w:rFonts w:ascii="Trebuchet MS"/>
                <w:b/>
                <w:w w:val="75"/>
                <w:sz w:val="18"/>
              </w:rPr>
              <w:t>($234,749.66</w:t>
            </w:r>
          </w:p>
          <w:p>
            <w:pPr>
              <w:pStyle w:val="TableParagraph"/>
              <w:spacing w:line="205" w:lineRule="exact"/>
              <w:ind w:left="56" w:right="100"/>
              <w:rPr>
                <w:rFonts w:ascii="Trebuchet MS"/>
                <w:b/>
                <w:sz w:val="18"/>
              </w:rPr>
            </w:pPr>
            <w:r>
              <w:rPr>
                <w:rFonts w:ascii="Trebuchet MS"/>
                <w:b/>
                <w:sz w:val="18"/>
              </w:rPr>
              <w:t>USD)</w:t>
            </w:r>
          </w:p>
        </w:tc>
        <w:tc>
          <w:tcPr>
            <w:tcW w:w="1136" w:type="dxa"/>
          </w:tcPr>
          <w:p>
            <w:pPr>
              <w:pStyle w:val="TableParagraph"/>
              <w:tabs>
                <w:tab w:pos="935" w:val="left" w:leader="none"/>
              </w:tabs>
              <w:spacing w:line="206" w:lineRule="exact" w:before="8"/>
              <w:ind w:right="101"/>
              <w:rPr>
                <w:rFonts w:ascii="Trebuchet MS" w:hAnsi="Trebuchet MS"/>
                <w:b/>
                <w:sz w:val="18"/>
              </w:rPr>
            </w:pPr>
            <w:r>
              <w:rPr>
                <w:rFonts w:ascii="Trebuchet MS" w:hAnsi="Trebuchet MS"/>
                <w:b/>
                <w:w w:val="90"/>
                <w:sz w:val="18"/>
              </w:rPr>
              <w:t>i)</w:t>
            </w:r>
            <w:r>
              <w:rPr>
                <w:rFonts w:ascii="Trebuchet MS" w:hAnsi="Trebuchet MS"/>
                <w:b/>
                <w:spacing w:val="-21"/>
                <w:w w:val="90"/>
                <w:sz w:val="18"/>
              </w:rPr>
              <w:t> </w:t>
            </w:r>
            <w:r>
              <w:rPr>
                <w:rFonts w:ascii="Trebuchet MS" w:hAnsi="Trebuchet MS"/>
                <w:b/>
                <w:w w:val="90"/>
                <w:sz w:val="18"/>
              </w:rPr>
              <w:t>Reducción </w:t>
            </w:r>
            <w:r>
              <w:rPr>
                <w:rFonts w:ascii="Trebuchet MS" w:hAnsi="Trebuchet MS"/>
                <w:b/>
                <w:w w:val="95"/>
                <w:sz w:val="18"/>
              </w:rPr>
              <w:t>1%</w:t>
              <w:tab/>
            </w:r>
            <w:r>
              <w:rPr>
                <w:rFonts w:ascii="Trebuchet MS" w:hAnsi="Trebuchet MS"/>
                <w:b/>
                <w:w w:val="80"/>
                <w:sz w:val="18"/>
              </w:rPr>
              <w:t>=</w:t>
            </w:r>
          </w:p>
          <w:p>
            <w:pPr>
              <w:pStyle w:val="TableParagraph"/>
              <w:spacing w:line="206" w:lineRule="exact"/>
              <w:ind w:right="191"/>
              <w:rPr>
                <w:rFonts w:ascii="Trebuchet MS"/>
                <w:b/>
                <w:sz w:val="18"/>
              </w:rPr>
            </w:pPr>
            <w:r>
              <w:rPr>
                <w:rFonts w:ascii="Trebuchet MS"/>
                <w:b/>
                <w:w w:val="75"/>
                <w:sz w:val="18"/>
              </w:rPr>
              <w:t>$997,533.99 ($87,882.74</w:t>
            </w:r>
          </w:p>
          <w:p>
            <w:pPr>
              <w:pStyle w:val="TableParagraph"/>
              <w:spacing w:line="205" w:lineRule="exact"/>
              <w:rPr>
                <w:rFonts w:ascii="Trebuchet MS"/>
                <w:b/>
                <w:sz w:val="18"/>
              </w:rPr>
            </w:pPr>
            <w:r>
              <w:rPr>
                <w:rFonts w:ascii="Trebuchet MS"/>
                <w:b/>
                <w:sz w:val="18"/>
              </w:rPr>
              <w:t>USD)</w:t>
            </w:r>
          </w:p>
        </w:tc>
        <w:tc>
          <w:tcPr>
            <w:tcW w:w="1099" w:type="dxa"/>
            <w:shd w:val="clear" w:color="auto" w:fill="A6A6A6"/>
          </w:tcPr>
          <w:p>
            <w:pPr>
              <w:pStyle w:val="TableParagraph"/>
              <w:tabs>
                <w:tab w:pos="899" w:val="left" w:leader="none"/>
              </w:tabs>
              <w:spacing w:before="4"/>
              <w:ind w:right="101"/>
              <w:rPr>
                <w:sz w:val="18"/>
              </w:rPr>
            </w:pPr>
            <w:r>
              <w:rPr>
                <w:w w:val="85"/>
                <w:sz w:val="18"/>
              </w:rPr>
              <w:t>i)Reducción </w:t>
            </w:r>
            <w:r>
              <w:rPr>
                <w:w w:val="90"/>
                <w:sz w:val="18"/>
              </w:rPr>
              <w:t>1%</w:t>
              <w:tab/>
            </w:r>
            <w:r>
              <w:rPr>
                <w:w w:val="80"/>
                <w:sz w:val="18"/>
              </w:rPr>
              <w:t>=</w:t>
            </w:r>
          </w:p>
          <w:p>
            <w:pPr>
              <w:pStyle w:val="TableParagraph"/>
              <w:ind w:right="100"/>
              <w:rPr>
                <w:sz w:val="18"/>
              </w:rPr>
            </w:pPr>
            <w:r>
              <w:rPr>
                <w:w w:val="80"/>
                <w:sz w:val="18"/>
              </w:rPr>
              <w:t>$983,130.84 ($86,613.82</w:t>
            </w:r>
          </w:p>
          <w:p>
            <w:pPr>
              <w:pStyle w:val="TableParagraph"/>
              <w:spacing w:line="206" w:lineRule="exact"/>
              <w:ind w:right="266"/>
              <w:rPr>
                <w:sz w:val="18"/>
              </w:rPr>
            </w:pPr>
            <w:r>
              <w:rPr>
                <w:w w:val="90"/>
                <w:sz w:val="18"/>
              </w:rPr>
              <w:t>USD)</w:t>
            </w:r>
          </w:p>
        </w:tc>
        <w:tc>
          <w:tcPr>
            <w:tcW w:w="1133" w:type="dxa"/>
          </w:tcPr>
          <w:p>
            <w:pPr>
              <w:pStyle w:val="TableParagraph"/>
              <w:tabs>
                <w:tab w:pos="935" w:val="left" w:leader="none"/>
              </w:tabs>
              <w:spacing w:line="206" w:lineRule="exact" w:before="8"/>
              <w:ind w:right="99"/>
              <w:rPr>
                <w:rFonts w:ascii="Trebuchet MS" w:hAnsi="Trebuchet MS"/>
                <w:b/>
                <w:sz w:val="18"/>
              </w:rPr>
            </w:pPr>
            <w:r>
              <w:rPr>
                <w:rFonts w:ascii="Trebuchet MS" w:hAnsi="Trebuchet MS"/>
                <w:b/>
                <w:w w:val="90"/>
                <w:sz w:val="18"/>
              </w:rPr>
              <w:t>i)</w:t>
            </w:r>
            <w:r>
              <w:rPr>
                <w:rFonts w:ascii="Trebuchet MS" w:hAnsi="Trebuchet MS"/>
                <w:b/>
                <w:spacing w:val="-21"/>
                <w:w w:val="90"/>
                <w:sz w:val="18"/>
              </w:rPr>
              <w:t> </w:t>
            </w:r>
            <w:r>
              <w:rPr>
                <w:rFonts w:ascii="Trebuchet MS" w:hAnsi="Trebuchet MS"/>
                <w:b/>
                <w:w w:val="90"/>
                <w:sz w:val="18"/>
              </w:rPr>
              <w:t>Reducción </w:t>
            </w:r>
            <w:r>
              <w:rPr>
                <w:rFonts w:ascii="Trebuchet MS" w:hAnsi="Trebuchet MS"/>
                <w:b/>
                <w:w w:val="95"/>
                <w:sz w:val="18"/>
              </w:rPr>
              <w:t>1%</w:t>
              <w:tab/>
            </w:r>
            <w:r>
              <w:rPr>
                <w:rFonts w:ascii="Trebuchet MS" w:hAnsi="Trebuchet MS"/>
                <w:b/>
                <w:w w:val="80"/>
                <w:sz w:val="18"/>
              </w:rPr>
              <w:t>=</w:t>
            </w:r>
          </w:p>
          <w:p>
            <w:pPr>
              <w:pStyle w:val="TableParagraph"/>
              <w:spacing w:line="206" w:lineRule="exact"/>
              <w:ind w:right="189"/>
              <w:rPr>
                <w:rFonts w:ascii="Trebuchet MS"/>
                <w:b/>
                <w:sz w:val="18"/>
              </w:rPr>
            </w:pPr>
            <w:r>
              <w:rPr>
                <w:rFonts w:ascii="Trebuchet MS"/>
                <w:b/>
                <w:w w:val="75"/>
                <w:sz w:val="18"/>
              </w:rPr>
              <w:t>$486,850.30 ($42,891.51</w:t>
            </w:r>
          </w:p>
          <w:p>
            <w:pPr>
              <w:pStyle w:val="TableParagraph"/>
              <w:spacing w:line="205" w:lineRule="exact"/>
              <w:ind w:right="101"/>
              <w:rPr>
                <w:rFonts w:ascii="Trebuchet MS"/>
                <w:b/>
                <w:sz w:val="18"/>
              </w:rPr>
            </w:pPr>
            <w:r>
              <w:rPr>
                <w:rFonts w:ascii="Trebuchet MS"/>
                <w:b/>
                <w:sz w:val="18"/>
              </w:rPr>
              <w:t>USD)</w:t>
            </w:r>
          </w:p>
        </w:tc>
        <w:tc>
          <w:tcPr>
            <w:tcW w:w="1419" w:type="dxa"/>
            <w:shd w:val="clear" w:color="auto" w:fill="A6A6A6"/>
          </w:tcPr>
          <w:p>
            <w:pPr>
              <w:pStyle w:val="TableParagraph"/>
              <w:spacing w:line="207" w:lineRule="exact" w:before="4"/>
              <w:ind w:left="105"/>
              <w:rPr>
                <w:sz w:val="18"/>
              </w:rPr>
            </w:pPr>
            <w:r>
              <w:rPr>
                <w:w w:val="85"/>
                <w:sz w:val="18"/>
              </w:rPr>
              <w:t>i) Reducción 1% =</w:t>
            </w:r>
          </w:p>
          <w:p>
            <w:pPr>
              <w:pStyle w:val="TableParagraph"/>
              <w:tabs>
                <w:tab w:pos="1150" w:val="left" w:leader="none"/>
              </w:tabs>
              <w:spacing w:line="206" w:lineRule="exact"/>
              <w:ind w:left="105" w:right="35"/>
              <w:rPr>
                <w:sz w:val="18"/>
              </w:rPr>
            </w:pPr>
            <w:r>
              <w:rPr>
                <w:w w:val="85"/>
                <w:sz w:val="18"/>
              </w:rPr>
              <w:t>$710,594.22</w:t>
              <w:tab/>
            </w:r>
            <w:r>
              <w:rPr>
                <w:w w:val="90"/>
                <w:sz w:val="18"/>
              </w:rPr>
              <w:t>se</w:t>
            </w:r>
          </w:p>
          <w:p>
            <w:pPr>
              <w:pStyle w:val="TableParagraph"/>
              <w:ind w:left="105" w:right="112"/>
              <w:rPr>
                <w:sz w:val="18"/>
              </w:rPr>
            </w:pPr>
            <w:r>
              <w:rPr>
                <w:w w:val="90"/>
                <w:sz w:val="18"/>
              </w:rPr>
              <w:t>anexo </w:t>
            </w:r>
            <w:r>
              <w:rPr>
                <w:w w:val="80"/>
                <w:sz w:val="18"/>
              </w:rPr>
              <w:t>($62,603.35 USD)</w:t>
            </w:r>
          </w:p>
        </w:tc>
      </w:tr>
      <w:tr>
        <w:trPr>
          <w:trHeight w:val="1664" w:hRule="exact"/>
        </w:trPr>
        <w:tc>
          <w:tcPr>
            <w:tcW w:w="994" w:type="dxa"/>
            <w:tcBorders>
              <w:right w:val="single" w:sz="41" w:space="0" w:color="F1F1F1"/>
            </w:tcBorders>
            <w:shd w:val="clear" w:color="auto" w:fill="A6A6A6"/>
          </w:tcPr>
          <w:p>
            <w:pPr>
              <w:pStyle w:val="TableParagraph"/>
              <w:tabs>
                <w:tab w:pos="791" w:val="left" w:leader="none"/>
              </w:tabs>
              <w:ind w:right="57"/>
              <w:rPr>
                <w:sz w:val="18"/>
              </w:rPr>
            </w:pPr>
            <w:r>
              <w:rPr>
                <w:w w:val="90"/>
                <w:sz w:val="18"/>
              </w:rPr>
              <w:t>j) </w:t>
            </w:r>
            <w:r>
              <w:rPr>
                <w:w w:val="85"/>
                <w:sz w:val="18"/>
              </w:rPr>
              <w:t>Reducción </w:t>
            </w:r>
            <w:r>
              <w:rPr>
                <w:w w:val="90"/>
                <w:sz w:val="18"/>
              </w:rPr>
              <w:t>1%</w:t>
              <w:tab/>
            </w:r>
            <w:r>
              <w:rPr>
                <w:w w:val="80"/>
                <w:sz w:val="18"/>
              </w:rPr>
              <w:t>=</w:t>
            </w:r>
          </w:p>
          <w:p>
            <w:pPr>
              <w:pStyle w:val="TableParagraph"/>
              <w:spacing w:line="206" w:lineRule="exact"/>
              <w:rPr>
                <w:sz w:val="18"/>
              </w:rPr>
            </w:pPr>
            <w:r>
              <w:rPr>
                <w:w w:val="85"/>
                <w:sz w:val="18"/>
              </w:rPr>
              <w:t>$5,132,065</w:t>
            </w:r>
          </w:p>
          <w:p>
            <w:pPr>
              <w:pStyle w:val="TableParagraph"/>
              <w:spacing w:line="206" w:lineRule="exact"/>
              <w:rPr>
                <w:sz w:val="18"/>
              </w:rPr>
            </w:pPr>
            <w:r>
              <w:rPr>
                <w:w w:val="90"/>
                <w:sz w:val="18"/>
              </w:rPr>
              <w:t>.33</w:t>
            </w:r>
          </w:p>
          <w:p>
            <w:pPr>
              <w:pStyle w:val="TableParagraph"/>
              <w:tabs>
                <w:tab w:pos="477" w:val="left" w:leader="none"/>
              </w:tabs>
              <w:ind w:right="56"/>
              <w:rPr>
                <w:sz w:val="18"/>
              </w:rPr>
            </w:pPr>
            <w:r>
              <w:rPr>
                <w:w w:val="90"/>
                <w:sz w:val="18"/>
              </w:rPr>
              <w:t>se</w:t>
              <w:tab/>
            </w:r>
            <w:r>
              <w:rPr>
                <w:w w:val="80"/>
                <w:sz w:val="18"/>
              </w:rPr>
              <w:t>anexo </w:t>
            </w:r>
            <w:r>
              <w:rPr>
                <w:w w:val="85"/>
                <w:sz w:val="18"/>
              </w:rPr>
              <w:t>($452,134. 95</w:t>
            </w:r>
            <w:r>
              <w:rPr>
                <w:spacing w:val="-23"/>
                <w:w w:val="85"/>
                <w:sz w:val="18"/>
              </w:rPr>
              <w:t> </w:t>
            </w:r>
            <w:r>
              <w:rPr>
                <w:w w:val="85"/>
                <w:sz w:val="18"/>
              </w:rPr>
              <w:t>USD)</w:t>
            </w:r>
          </w:p>
        </w:tc>
        <w:tc>
          <w:tcPr>
            <w:tcW w:w="991" w:type="dxa"/>
            <w:shd w:val="clear" w:color="auto" w:fill="F1F1F1"/>
          </w:tcPr>
          <w:p>
            <w:pPr>
              <w:pStyle w:val="TableParagraph"/>
              <w:tabs>
                <w:tab w:pos="518" w:val="left" w:leader="none"/>
                <w:tab w:pos="791" w:val="left" w:leader="none"/>
              </w:tabs>
              <w:ind w:right="101"/>
              <w:rPr>
                <w:sz w:val="18"/>
              </w:rPr>
            </w:pPr>
            <w:r>
              <w:rPr>
                <w:w w:val="90"/>
                <w:sz w:val="18"/>
              </w:rPr>
              <w:t>j)</w:t>
              <w:tab/>
            </w:r>
            <w:r>
              <w:rPr>
                <w:w w:val="80"/>
                <w:sz w:val="18"/>
              </w:rPr>
              <w:t>Multa </w:t>
            </w:r>
            <w:r>
              <w:rPr>
                <w:w w:val="90"/>
                <w:sz w:val="18"/>
              </w:rPr>
              <w:t>1144</w:t>
              <w:tab/>
              <w:tab/>
            </w:r>
            <w:r>
              <w:rPr>
                <w:w w:val="80"/>
                <w:sz w:val="18"/>
              </w:rPr>
              <w:t>=</w:t>
            </w:r>
          </w:p>
          <w:p>
            <w:pPr>
              <w:pStyle w:val="TableParagraph"/>
              <w:spacing w:before="2"/>
              <w:ind w:right="137"/>
              <w:rPr>
                <w:sz w:val="18"/>
              </w:rPr>
            </w:pPr>
            <w:r>
              <w:rPr>
                <w:w w:val="80"/>
                <w:sz w:val="18"/>
              </w:rPr>
              <w:t>$55,678.48 ($4,905.27</w:t>
            </w:r>
          </w:p>
          <w:p>
            <w:pPr>
              <w:pStyle w:val="TableParagraph"/>
              <w:spacing w:line="206" w:lineRule="exact"/>
              <w:ind w:right="98"/>
              <w:rPr>
                <w:sz w:val="18"/>
              </w:rPr>
            </w:pPr>
            <w:r>
              <w:rPr>
                <w:w w:val="90"/>
                <w:sz w:val="18"/>
              </w:rPr>
              <w:t>USD)</w:t>
            </w:r>
          </w:p>
        </w:tc>
        <w:tc>
          <w:tcPr>
            <w:tcW w:w="1136" w:type="dxa"/>
            <w:shd w:val="clear" w:color="auto" w:fill="F1F1F1"/>
          </w:tcPr>
          <w:p>
            <w:pPr>
              <w:pStyle w:val="TableParagraph"/>
              <w:spacing w:line="206" w:lineRule="exact"/>
              <w:rPr>
                <w:sz w:val="18"/>
              </w:rPr>
            </w:pPr>
            <w:r>
              <w:rPr>
                <w:w w:val="90"/>
                <w:sz w:val="18"/>
              </w:rPr>
              <w:t>j) Multa 355 =</w:t>
            </w:r>
          </w:p>
          <w:p>
            <w:pPr>
              <w:pStyle w:val="TableParagraph"/>
              <w:ind w:right="282"/>
              <w:rPr>
                <w:sz w:val="18"/>
              </w:rPr>
            </w:pPr>
            <w:r>
              <w:rPr>
                <w:w w:val="80"/>
                <w:sz w:val="18"/>
              </w:rPr>
              <w:t>$17,277.85 ($1,522.17</w:t>
            </w:r>
          </w:p>
          <w:p>
            <w:pPr>
              <w:pStyle w:val="TableParagraph"/>
              <w:spacing w:line="206" w:lineRule="exact"/>
              <w:ind w:right="101"/>
              <w:rPr>
                <w:sz w:val="18"/>
              </w:rPr>
            </w:pPr>
            <w:r>
              <w:rPr>
                <w:w w:val="90"/>
                <w:sz w:val="18"/>
              </w:rPr>
              <w:t>USD)</w:t>
            </w:r>
          </w:p>
        </w:tc>
        <w:tc>
          <w:tcPr>
            <w:tcW w:w="1133" w:type="dxa"/>
            <w:tcBorders>
              <w:left w:val="single" w:sz="41" w:space="0" w:color="F1F1F1"/>
            </w:tcBorders>
          </w:tcPr>
          <w:p>
            <w:pPr>
              <w:pStyle w:val="TableParagraph"/>
              <w:spacing w:line="207" w:lineRule="exact"/>
              <w:ind w:left="56"/>
              <w:rPr>
                <w:rFonts w:ascii="Trebuchet MS"/>
                <w:b/>
                <w:sz w:val="18"/>
              </w:rPr>
            </w:pPr>
            <w:r>
              <w:rPr>
                <w:rFonts w:ascii="Trebuchet MS"/>
                <w:b/>
                <w:w w:val="90"/>
                <w:sz w:val="18"/>
              </w:rPr>
              <w:t>j) Multa 876</w:t>
            </w:r>
          </w:p>
          <w:p>
            <w:pPr>
              <w:pStyle w:val="TableParagraph"/>
              <w:ind w:left="56" w:right="91"/>
              <w:rPr>
                <w:rFonts w:ascii="Trebuchet MS"/>
                <w:b/>
                <w:sz w:val="18"/>
              </w:rPr>
            </w:pPr>
            <w:r>
              <w:rPr>
                <w:rFonts w:ascii="Trebuchet MS"/>
                <w:b/>
                <w:w w:val="80"/>
                <w:sz w:val="18"/>
              </w:rPr>
              <w:t>= $42,634.92 </w:t>
            </w:r>
            <w:r>
              <w:rPr>
                <w:rFonts w:ascii="Trebuchet MS"/>
                <w:b/>
                <w:w w:val="85"/>
                <w:sz w:val="18"/>
              </w:rPr>
              <w:t>($3,756.13</w:t>
            </w:r>
          </w:p>
          <w:p>
            <w:pPr>
              <w:pStyle w:val="TableParagraph"/>
              <w:spacing w:line="206" w:lineRule="exact"/>
              <w:ind w:left="56" w:right="100"/>
              <w:rPr>
                <w:rFonts w:ascii="Trebuchet MS"/>
                <w:b/>
                <w:sz w:val="18"/>
              </w:rPr>
            </w:pPr>
            <w:r>
              <w:rPr>
                <w:rFonts w:ascii="Trebuchet MS"/>
                <w:b/>
                <w:sz w:val="18"/>
              </w:rPr>
              <w:t>USD)</w:t>
            </w:r>
          </w:p>
        </w:tc>
        <w:tc>
          <w:tcPr>
            <w:tcW w:w="1136" w:type="dxa"/>
          </w:tcPr>
          <w:p>
            <w:pPr>
              <w:pStyle w:val="TableParagraph"/>
              <w:spacing w:line="207" w:lineRule="exact"/>
              <w:rPr>
                <w:rFonts w:ascii="Trebuchet MS"/>
                <w:b/>
                <w:sz w:val="18"/>
              </w:rPr>
            </w:pPr>
            <w:r>
              <w:rPr>
                <w:rFonts w:ascii="Trebuchet MS"/>
                <w:b/>
                <w:w w:val="90"/>
                <w:sz w:val="18"/>
              </w:rPr>
              <w:t>j) Multa 328</w:t>
            </w:r>
          </w:p>
          <w:p>
            <w:pPr>
              <w:pStyle w:val="TableParagraph"/>
              <w:ind w:right="94"/>
              <w:rPr>
                <w:rFonts w:ascii="Trebuchet MS"/>
                <w:b/>
                <w:sz w:val="18"/>
              </w:rPr>
            </w:pPr>
            <w:r>
              <w:rPr>
                <w:rFonts w:ascii="Trebuchet MS"/>
                <w:b/>
                <w:w w:val="80"/>
                <w:sz w:val="18"/>
              </w:rPr>
              <w:t>= $15,963.76 </w:t>
            </w:r>
            <w:r>
              <w:rPr>
                <w:rFonts w:ascii="Trebuchet MS"/>
                <w:b/>
                <w:w w:val="85"/>
                <w:sz w:val="18"/>
              </w:rPr>
              <w:t>($1,406.40</w:t>
            </w:r>
          </w:p>
          <w:p>
            <w:pPr>
              <w:pStyle w:val="TableParagraph"/>
              <w:spacing w:line="206" w:lineRule="exact"/>
              <w:rPr>
                <w:rFonts w:ascii="Trebuchet MS"/>
                <w:b/>
                <w:sz w:val="18"/>
              </w:rPr>
            </w:pPr>
            <w:r>
              <w:rPr>
                <w:rFonts w:ascii="Trebuchet MS"/>
                <w:b/>
                <w:sz w:val="18"/>
              </w:rPr>
              <w:t>USD)</w:t>
            </w:r>
          </w:p>
        </w:tc>
        <w:tc>
          <w:tcPr>
            <w:tcW w:w="1099" w:type="dxa"/>
            <w:shd w:val="clear" w:color="auto" w:fill="A6A6A6"/>
          </w:tcPr>
          <w:p>
            <w:pPr>
              <w:pStyle w:val="TableParagraph"/>
              <w:spacing w:line="206" w:lineRule="exact"/>
              <w:ind w:right="100"/>
              <w:rPr>
                <w:sz w:val="18"/>
              </w:rPr>
            </w:pPr>
            <w:r>
              <w:rPr>
                <w:w w:val="90"/>
                <w:sz w:val="18"/>
              </w:rPr>
              <w:t>j) Multa 323</w:t>
            </w:r>
          </w:p>
          <w:p>
            <w:pPr>
              <w:pStyle w:val="TableParagraph"/>
              <w:rPr>
                <w:sz w:val="18"/>
              </w:rPr>
            </w:pPr>
            <w:r>
              <w:rPr>
                <w:w w:val="85"/>
                <w:sz w:val="18"/>
              </w:rPr>
              <w:t>= $15,720.41</w:t>
            </w:r>
            <w:r>
              <w:rPr>
                <w:w w:val="82"/>
                <w:sz w:val="18"/>
              </w:rPr>
              <w:t> </w:t>
            </w:r>
            <w:r>
              <w:rPr>
                <w:w w:val="90"/>
                <w:sz w:val="18"/>
              </w:rPr>
              <w:t>($1,384.96</w:t>
            </w:r>
          </w:p>
          <w:p>
            <w:pPr>
              <w:pStyle w:val="TableParagraph"/>
              <w:spacing w:line="206" w:lineRule="exact"/>
              <w:ind w:right="266"/>
              <w:rPr>
                <w:sz w:val="18"/>
              </w:rPr>
            </w:pPr>
            <w:r>
              <w:rPr>
                <w:w w:val="90"/>
                <w:sz w:val="18"/>
              </w:rPr>
              <w:t>USD)</w:t>
            </w:r>
          </w:p>
        </w:tc>
        <w:tc>
          <w:tcPr>
            <w:tcW w:w="1133" w:type="dxa"/>
          </w:tcPr>
          <w:p>
            <w:pPr>
              <w:pStyle w:val="TableParagraph"/>
              <w:tabs>
                <w:tab w:pos="935" w:val="left" w:leader="none"/>
              </w:tabs>
              <w:spacing w:line="206" w:lineRule="exact" w:before="3"/>
              <w:ind w:right="99"/>
              <w:rPr>
                <w:rFonts w:ascii="Trebuchet MS" w:hAnsi="Trebuchet MS"/>
                <w:b/>
                <w:sz w:val="18"/>
              </w:rPr>
            </w:pPr>
            <w:r>
              <w:rPr>
                <w:rFonts w:ascii="Trebuchet MS" w:hAnsi="Trebuchet MS"/>
                <w:b/>
                <w:w w:val="85"/>
                <w:sz w:val="18"/>
              </w:rPr>
              <w:t>j) Reducción </w:t>
            </w:r>
            <w:r>
              <w:rPr>
                <w:rFonts w:ascii="Trebuchet MS" w:hAnsi="Trebuchet MS"/>
                <w:b/>
                <w:w w:val="95"/>
                <w:sz w:val="18"/>
              </w:rPr>
              <w:t>1%</w:t>
              <w:tab/>
            </w:r>
            <w:r>
              <w:rPr>
                <w:rFonts w:ascii="Trebuchet MS" w:hAnsi="Trebuchet MS"/>
                <w:b/>
                <w:w w:val="80"/>
                <w:sz w:val="18"/>
              </w:rPr>
              <w:t>=</w:t>
            </w:r>
          </w:p>
          <w:p>
            <w:pPr>
              <w:pStyle w:val="TableParagraph"/>
              <w:spacing w:line="206" w:lineRule="exact" w:before="2"/>
              <w:ind w:right="139"/>
              <w:rPr>
                <w:rFonts w:ascii="Trebuchet MS" w:hAnsi="Trebuchet MS"/>
                <w:b/>
                <w:sz w:val="18"/>
              </w:rPr>
            </w:pPr>
            <w:r>
              <w:rPr>
                <w:b/>
                <w:w w:val="80"/>
                <w:sz w:val="18"/>
              </w:rPr>
              <w:t>$1’516,731.2 </w:t>
            </w:r>
            <w:r>
              <w:rPr>
                <w:rFonts w:ascii="Trebuchet MS" w:hAnsi="Trebuchet MS"/>
                <w:b/>
                <w:w w:val="90"/>
                <w:sz w:val="18"/>
              </w:rPr>
              <w:t>8 </w:t>
            </w:r>
            <w:r>
              <w:rPr>
                <w:rFonts w:ascii="Trebuchet MS" w:hAnsi="Trebuchet MS"/>
                <w:b/>
                <w:w w:val="75"/>
                <w:sz w:val="18"/>
              </w:rPr>
              <w:t>($133,624.02</w:t>
            </w:r>
          </w:p>
          <w:p>
            <w:pPr>
              <w:pStyle w:val="TableParagraph"/>
              <w:spacing w:line="205" w:lineRule="exact"/>
              <w:ind w:right="101"/>
              <w:rPr>
                <w:rFonts w:ascii="Trebuchet MS"/>
                <w:b/>
                <w:sz w:val="18"/>
              </w:rPr>
            </w:pPr>
            <w:r>
              <w:rPr>
                <w:rFonts w:ascii="Trebuchet MS"/>
                <w:b/>
                <w:sz w:val="18"/>
              </w:rPr>
              <w:t>USD)</w:t>
            </w:r>
          </w:p>
        </w:tc>
        <w:tc>
          <w:tcPr>
            <w:tcW w:w="1419" w:type="dxa"/>
          </w:tcPr>
          <w:p>
            <w:pPr/>
          </w:p>
        </w:tc>
      </w:tr>
      <w:tr>
        <w:trPr>
          <w:trHeight w:val="1454" w:hRule="exact"/>
        </w:trPr>
        <w:tc>
          <w:tcPr>
            <w:tcW w:w="994" w:type="dxa"/>
            <w:tcBorders>
              <w:right w:val="single" w:sz="41" w:space="0" w:color="F1F1F1"/>
            </w:tcBorders>
            <w:shd w:val="clear" w:color="auto" w:fill="A6A6A6"/>
          </w:tcPr>
          <w:p>
            <w:pPr>
              <w:pStyle w:val="TableParagraph"/>
              <w:tabs>
                <w:tab w:pos="791" w:val="left" w:leader="none"/>
              </w:tabs>
              <w:ind w:right="57"/>
              <w:rPr>
                <w:sz w:val="18"/>
              </w:rPr>
            </w:pPr>
            <w:r>
              <w:rPr>
                <w:w w:val="90"/>
                <w:sz w:val="18"/>
              </w:rPr>
              <w:t>k) </w:t>
            </w:r>
            <w:r>
              <w:rPr>
                <w:w w:val="85"/>
                <w:sz w:val="18"/>
              </w:rPr>
              <w:t>Reducción </w:t>
            </w:r>
            <w:r>
              <w:rPr>
                <w:w w:val="90"/>
                <w:sz w:val="18"/>
              </w:rPr>
              <w:t>3%</w:t>
              <w:tab/>
            </w:r>
            <w:r>
              <w:rPr>
                <w:w w:val="80"/>
                <w:sz w:val="18"/>
              </w:rPr>
              <w:t>=</w:t>
            </w:r>
          </w:p>
          <w:p>
            <w:pPr>
              <w:pStyle w:val="TableParagraph"/>
              <w:spacing w:line="206" w:lineRule="exact"/>
              <w:rPr>
                <w:sz w:val="18"/>
              </w:rPr>
            </w:pPr>
            <w:r>
              <w:rPr>
                <w:w w:val="85"/>
                <w:sz w:val="18"/>
              </w:rPr>
              <w:t>$23,315,25</w:t>
            </w:r>
          </w:p>
          <w:p>
            <w:pPr>
              <w:pStyle w:val="TableParagraph"/>
              <w:tabs>
                <w:tab w:pos="748" w:val="left" w:leader="none"/>
              </w:tabs>
              <w:ind w:right="56"/>
              <w:rPr>
                <w:sz w:val="18"/>
              </w:rPr>
            </w:pPr>
            <w:r>
              <w:rPr>
                <w:w w:val="90"/>
                <w:sz w:val="18"/>
              </w:rPr>
              <w:t>3.21</w:t>
              <w:tab/>
            </w:r>
            <w:r>
              <w:rPr>
                <w:w w:val="80"/>
                <w:sz w:val="18"/>
              </w:rPr>
              <w:t>($ </w:t>
            </w:r>
            <w:r>
              <w:rPr>
                <w:w w:val="85"/>
                <w:sz w:val="18"/>
              </w:rPr>
              <w:t>2,054,073. 80</w:t>
            </w:r>
            <w:r>
              <w:rPr>
                <w:spacing w:val="-23"/>
                <w:w w:val="85"/>
                <w:sz w:val="18"/>
              </w:rPr>
              <w:t> </w:t>
            </w:r>
            <w:r>
              <w:rPr>
                <w:w w:val="85"/>
                <w:sz w:val="18"/>
              </w:rPr>
              <w:t>USD)</w:t>
            </w:r>
          </w:p>
        </w:tc>
        <w:tc>
          <w:tcPr>
            <w:tcW w:w="991" w:type="dxa"/>
            <w:shd w:val="clear" w:color="auto" w:fill="F1F1F1"/>
          </w:tcPr>
          <w:p>
            <w:pPr>
              <w:pStyle w:val="TableParagraph"/>
              <w:tabs>
                <w:tab w:pos="722" w:val="left" w:leader="none"/>
              </w:tabs>
              <w:spacing w:line="206" w:lineRule="exact"/>
              <w:rPr>
                <w:sz w:val="18"/>
              </w:rPr>
            </w:pPr>
            <w:r>
              <w:rPr>
                <w:w w:val="90"/>
                <w:sz w:val="18"/>
              </w:rPr>
              <w:t>No</w:t>
              <w:tab/>
              <w:t>se</w:t>
            </w:r>
          </w:p>
          <w:p>
            <w:pPr>
              <w:pStyle w:val="TableParagraph"/>
              <w:ind w:right="210"/>
              <w:rPr>
                <w:sz w:val="18"/>
              </w:rPr>
            </w:pPr>
            <w:r>
              <w:rPr>
                <w:w w:val="80"/>
                <w:sz w:val="18"/>
              </w:rPr>
              <w:t>estableció </w:t>
            </w:r>
            <w:r>
              <w:rPr>
                <w:w w:val="85"/>
                <w:sz w:val="18"/>
              </w:rPr>
              <w:t>inciso k)</w:t>
            </w:r>
          </w:p>
        </w:tc>
        <w:tc>
          <w:tcPr>
            <w:tcW w:w="1136" w:type="dxa"/>
            <w:tcBorders>
              <w:left w:val="single" w:sz="41" w:space="0" w:color="F1F1F1"/>
            </w:tcBorders>
            <w:shd w:val="clear" w:color="auto" w:fill="A6A6A6"/>
          </w:tcPr>
          <w:p>
            <w:pPr>
              <w:pStyle w:val="TableParagraph"/>
              <w:spacing w:line="206" w:lineRule="exact"/>
              <w:ind w:left="56" w:right="7"/>
              <w:rPr>
                <w:sz w:val="18"/>
              </w:rPr>
            </w:pPr>
            <w:r>
              <w:rPr>
                <w:w w:val="90"/>
                <w:sz w:val="18"/>
              </w:rPr>
              <w:t>k)  Multa  73</w:t>
            </w:r>
          </w:p>
          <w:p>
            <w:pPr>
              <w:pStyle w:val="TableParagraph"/>
              <w:spacing w:line="206" w:lineRule="exact"/>
              <w:ind w:left="56" w:right="7"/>
              <w:rPr>
                <w:sz w:val="18"/>
              </w:rPr>
            </w:pPr>
            <w:r>
              <w:rPr>
                <w:w w:val="90"/>
                <w:sz w:val="18"/>
              </w:rPr>
              <w:t>=$3,552.91</w:t>
            </w:r>
          </w:p>
          <w:p>
            <w:pPr>
              <w:pStyle w:val="TableParagraph"/>
              <w:ind w:left="56" w:right="7"/>
              <w:rPr>
                <w:sz w:val="18"/>
              </w:rPr>
            </w:pPr>
            <w:r>
              <w:rPr>
                <w:w w:val="90"/>
                <w:sz w:val="18"/>
              </w:rPr>
              <w:t>no se tenía ($313.01 USD)</w:t>
            </w:r>
          </w:p>
        </w:tc>
        <w:tc>
          <w:tcPr>
            <w:tcW w:w="1133" w:type="dxa"/>
          </w:tcPr>
          <w:p>
            <w:pPr>
              <w:pStyle w:val="TableParagraph"/>
              <w:tabs>
                <w:tab w:pos="633" w:val="left" w:leader="none"/>
              </w:tabs>
              <w:spacing w:line="207" w:lineRule="exact"/>
              <w:rPr>
                <w:rFonts w:ascii="Trebuchet MS"/>
                <w:b/>
                <w:sz w:val="18"/>
              </w:rPr>
            </w:pPr>
            <w:r>
              <w:rPr>
                <w:rFonts w:ascii="Trebuchet MS"/>
                <w:b/>
                <w:w w:val="95"/>
                <w:sz w:val="18"/>
              </w:rPr>
              <w:t>K)</w:t>
              <w:tab/>
              <w:t>Multa</w:t>
            </w:r>
          </w:p>
          <w:p>
            <w:pPr>
              <w:pStyle w:val="TableParagraph"/>
              <w:tabs>
                <w:tab w:pos="933" w:val="left" w:leader="none"/>
              </w:tabs>
              <w:spacing w:line="206" w:lineRule="exact"/>
              <w:rPr>
                <w:rFonts w:ascii="Trebuchet MS"/>
                <w:b/>
                <w:sz w:val="18"/>
              </w:rPr>
            </w:pPr>
            <w:r>
              <w:rPr>
                <w:rFonts w:ascii="Trebuchet MS"/>
                <w:b/>
                <w:w w:val="90"/>
                <w:sz w:val="18"/>
              </w:rPr>
              <w:t>2079</w:t>
              <w:tab/>
              <w:t>=</w:t>
            </w:r>
          </w:p>
          <w:p>
            <w:pPr>
              <w:pStyle w:val="TableParagraph"/>
              <w:spacing w:line="206" w:lineRule="exact" w:before="3"/>
              <w:ind w:right="189"/>
              <w:rPr>
                <w:rFonts w:ascii="Trebuchet MS"/>
                <w:b/>
                <w:sz w:val="18"/>
              </w:rPr>
            </w:pPr>
            <w:r>
              <w:rPr>
                <w:rFonts w:ascii="Trebuchet MS"/>
                <w:b/>
                <w:w w:val="75"/>
                <w:sz w:val="18"/>
              </w:rPr>
              <w:t>$101,184.93 </w:t>
            </w:r>
            <w:r>
              <w:rPr>
                <w:rFonts w:ascii="Trebuchet MS"/>
                <w:b/>
                <w:w w:val="80"/>
                <w:sz w:val="18"/>
              </w:rPr>
              <w:t>($8,914.39</w:t>
            </w:r>
          </w:p>
          <w:p>
            <w:pPr>
              <w:pStyle w:val="TableParagraph"/>
              <w:spacing w:line="205" w:lineRule="exact"/>
              <w:ind w:right="101"/>
              <w:rPr>
                <w:rFonts w:ascii="Trebuchet MS"/>
                <w:b/>
                <w:sz w:val="18"/>
              </w:rPr>
            </w:pPr>
            <w:r>
              <w:rPr>
                <w:rFonts w:ascii="Trebuchet MS"/>
                <w:b/>
                <w:sz w:val="18"/>
              </w:rPr>
              <w:t>USD)</w:t>
            </w:r>
          </w:p>
        </w:tc>
        <w:tc>
          <w:tcPr>
            <w:tcW w:w="1136" w:type="dxa"/>
          </w:tcPr>
          <w:p>
            <w:pPr>
              <w:pStyle w:val="TableParagraph"/>
              <w:spacing w:line="207" w:lineRule="exact"/>
              <w:rPr>
                <w:rFonts w:ascii="Trebuchet MS"/>
                <w:b/>
                <w:sz w:val="18"/>
              </w:rPr>
            </w:pPr>
            <w:r>
              <w:rPr>
                <w:rFonts w:ascii="Trebuchet MS"/>
                <w:b/>
                <w:w w:val="90"/>
                <w:sz w:val="18"/>
              </w:rPr>
              <w:t>k) Multa 778</w:t>
            </w:r>
          </w:p>
          <w:p>
            <w:pPr>
              <w:pStyle w:val="TableParagraph"/>
              <w:spacing w:line="206" w:lineRule="exact" w:before="3"/>
              <w:ind w:right="94"/>
              <w:rPr>
                <w:rFonts w:ascii="Trebuchet MS"/>
                <w:b/>
                <w:sz w:val="18"/>
              </w:rPr>
            </w:pPr>
            <w:r>
              <w:rPr>
                <w:rFonts w:ascii="Trebuchet MS"/>
                <w:b/>
                <w:w w:val="80"/>
                <w:sz w:val="18"/>
              </w:rPr>
              <w:t>= $37,865.26 </w:t>
            </w:r>
            <w:r>
              <w:rPr>
                <w:rFonts w:ascii="Trebuchet MS"/>
                <w:b/>
                <w:w w:val="85"/>
                <w:sz w:val="18"/>
              </w:rPr>
              <w:t>($3,335.92</w:t>
            </w:r>
          </w:p>
          <w:p>
            <w:pPr>
              <w:pStyle w:val="TableParagraph"/>
              <w:spacing w:line="205" w:lineRule="exact"/>
              <w:rPr>
                <w:rFonts w:ascii="Trebuchet MS"/>
                <w:b/>
                <w:sz w:val="18"/>
              </w:rPr>
            </w:pPr>
            <w:r>
              <w:rPr>
                <w:rFonts w:ascii="Trebuchet MS"/>
                <w:b/>
                <w:sz w:val="18"/>
              </w:rPr>
              <w:t>USD)</w:t>
            </w:r>
          </w:p>
        </w:tc>
        <w:tc>
          <w:tcPr>
            <w:tcW w:w="1099" w:type="dxa"/>
            <w:shd w:val="clear" w:color="auto" w:fill="A6A6A6"/>
          </w:tcPr>
          <w:p>
            <w:pPr>
              <w:pStyle w:val="TableParagraph"/>
              <w:spacing w:line="206" w:lineRule="exact"/>
              <w:rPr>
                <w:sz w:val="18"/>
              </w:rPr>
            </w:pPr>
            <w:r>
              <w:rPr>
                <w:w w:val="90"/>
                <w:sz w:val="18"/>
              </w:rPr>
              <w:t>k) Multa 767</w:t>
            </w:r>
          </w:p>
          <w:p>
            <w:pPr>
              <w:pStyle w:val="TableParagraph"/>
              <w:rPr>
                <w:sz w:val="18"/>
              </w:rPr>
            </w:pPr>
            <w:r>
              <w:rPr>
                <w:w w:val="85"/>
                <w:sz w:val="18"/>
              </w:rPr>
              <w:t>= $37,329.89</w:t>
            </w:r>
            <w:r>
              <w:rPr>
                <w:w w:val="82"/>
                <w:sz w:val="18"/>
              </w:rPr>
              <w:t> </w:t>
            </w:r>
            <w:r>
              <w:rPr>
                <w:w w:val="90"/>
                <w:sz w:val="18"/>
              </w:rPr>
              <w:t>($3,288.76</w:t>
            </w:r>
          </w:p>
          <w:p>
            <w:pPr>
              <w:pStyle w:val="TableParagraph"/>
              <w:spacing w:line="206" w:lineRule="exact"/>
              <w:ind w:right="266"/>
              <w:rPr>
                <w:sz w:val="18"/>
              </w:rPr>
            </w:pPr>
            <w:r>
              <w:rPr>
                <w:w w:val="90"/>
                <w:sz w:val="18"/>
              </w:rPr>
              <w:t>USD)</w:t>
            </w:r>
          </w:p>
        </w:tc>
        <w:tc>
          <w:tcPr>
            <w:tcW w:w="1133" w:type="dxa"/>
          </w:tcPr>
          <w:p>
            <w:pPr/>
          </w:p>
        </w:tc>
        <w:tc>
          <w:tcPr>
            <w:tcW w:w="1419" w:type="dxa"/>
          </w:tcPr>
          <w:p>
            <w:pPr/>
          </w:p>
        </w:tc>
      </w:tr>
      <w:tr>
        <w:trPr>
          <w:trHeight w:val="1251" w:hRule="exact"/>
        </w:trPr>
        <w:tc>
          <w:tcPr>
            <w:tcW w:w="994" w:type="dxa"/>
            <w:tcBorders>
              <w:right w:val="single" w:sz="41" w:space="0" w:color="F1F1F1"/>
            </w:tcBorders>
          </w:tcPr>
          <w:p>
            <w:pPr/>
          </w:p>
        </w:tc>
        <w:tc>
          <w:tcPr>
            <w:tcW w:w="991" w:type="dxa"/>
            <w:shd w:val="clear" w:color="auto" w:fill="F1F1F1"/>
          </w:tcPr>
          <w:p>
            <w:pPr>
              <w:pStyle w:val="TableParagraph"/>
              <w:tabs>
                <w:tab w:pos="722" w:val="left" w:leader="none"/>
              </w:tabs>
              <w:spacing w:line="207" w:lineRule="exact" w:before="1"/>
              <w:rPr>
                <w:sz w:val="18"/>
              </w:rPr>
            </w:pPr>
            <w:r>
              <w:rPr>
                <w:w w:val="90"/>
                <w:sz w:val="18"/>
              </w:rPr>
              <w:t>No</w:t>
              <w:tab/>
              <w:t>se</w:t>
            </w:r>
          </w:p>
          <w:p>
            <w:pPr>
              <w:pStyle w:val="TableParagraph"/>
              <w:ind w:right="210"/>
              <w:rPr>
                <w:sz w:val="18"/>
              </w:rPr>
            </w:pPr>
            <w:r>
              <w:rPr>
                <w:w w:val="80"/>
                <w:sz w:val="18"/>
              </w:rPr>
              <w:t>estableció </w:t>
            </w:r>
            <w:r>
              <w:rPr>
                <w:w w:val="85"/>
                <w:sz w:val="18"/>
              </w:rPr>
              <w:t>inciso l)</w:t>
            </w:r>
          </w:p>
        </w:tc>
        <w:tc>
          <w:tcPr>
            <w:tcW w:w="1136" w:type="dxa"/>
            <w:tcBorders>
              <w:left w:val="single" w:sz="41" w:space="0" w:color="F1F1F1"/>
            </w:tcBorders>
            <w:shd w:val="clear" w:color="auto" w:fill="A6A6A6"/>
          </w:tcPr>
          <w:p>
            <w:pPr>
              <w:pStyle w:val="TableParagraph"/>
              <w:spacing w:line="207" w:lineRule="exact" w:before="1"/>
              <w:ind w:left="56"/>
              <w:rPr>
                <w:sz w:val="18"/>
              </w:rPr>
            </w:pPr>
            <w:r>
              <w:rPr>
                <w:w w:val="90"/>
                <w:sz w:val="18"/>
              </w:rPr>
              <w:t>l) Multa 279 =</w:t>
            </w:r>
          </w:p>
          <w:p>
            <w:pPr>
              <w:pStyle w:val="TableParagraph"/>
              <w:spacing w:line="206" w:lineRule="exact"/>
              <w:ind w:left="56" w:right="7"/>
              <w:rPr>
                <w:sz w:val="18"/>
              </w:rPr>
            </w:pPr>
            <w:r>
              <w:rPr>
                <w:w w:val="90"/>
                <w:sz w:val="18"/>
              </w:rPr>
              <w:t>$13,578.93</w:t>
            </w:r>
          </w:p>
          <w:p>
            <w:pPr>
              <w:pStyle w:val="TableParagraph"/>
              <w:ind w:left="56" w:right="7"/>
              <w:rPr>
                <w:sz w:val="18"/>
              </w:rPr>
            </w:pPr>
            <w:r>
              <w:rPr>
                <w:w w:val="90"/>
                <w:sz w:val="18"/>
              </w:rPr>
              <w:t>No se tenía ($1,196.30 USD)</w:t>
            </w:r>
          </w:p>
        </w:tc>
        <w:tc>
          <w:tcPr>
            <w:tcW w:w="1133" w:type="dxa"/>
          </w:tcPr>
          <w:p>
            <w:pPr>
              <w:pStyle w:val="TableParagraph"/>
              <w:tabs>
                <w:tab w:pos="935" w:val="left" w:leader="none"/>
              </w:tabs>
              <w:spacing w:line="206" w:lineRule="exact" w:before="5"/>
              <w:ind w:right="99"/>
              <w:rPr>
                <w:rFonts w:ascii="Trebuchet MS" w:hAnsi="Trebuchet MS"/>
                <w:b/>
                <w:sz w:val="18"/>
              </w:rPr>
            </w:pPr>
            <w:r>
              <w:rPr>
                <w:rFonts w:ascii="Trebuchet MS" w:hAnsi="Trebuchet MS"/>
                <w:b/>
                <w:w w:val="90"/>
                <w:sz w:val="18"/>
              </w:rPr>
              <w:t>l)</w:t>
            </w:r>
            <w:r>
              <w:rPr>
                <w:rFonts w:ascii="Trebuchet MS" w:hAnsi="Trebuchet MS"/>
                <w:b/>
                <w:spacing w:val="-21"/>
                <w:w w:val="90"/>
                <w:sz w:val="18"/>
              </w:rPr>
              <w:t> </w:t>
            </w:r>
            <w:r>
              <w:rPr>
                <w:rFonts w:ascii="Trebuchet MS" w:hAnsi="Trebuchet MS"/>
                <w:b/>
                <w:w w:val="90"/>
                <w:sz w:val="18"/>
              </w:rPr>
              <w:t>Reducción </w:t>
            </w:r>
            <w:r>
              <w:rPr>
                <w:rFonts w:ascii="Trebuchet MS" w:hAnsi="Trebuchet MS"/>
                <w:b/>
                <w:w w:val="95"/>
                <w:sz w:val="18"/>
              </w:rPr>
              <w:t>1%</w:t>
              <w:tab/>
            </w:r>
            <w:r>
              <w:rPr>
                <w:rFonts w:ascii="Trebuchet MS" w:hAnsi="Trebuchet MS"/>
                <w:b/>
                <w:w w:val="80"/>
                <w:sz w:val="18"/>
              </w:rPr>
              <w:t>=</w:t>
            </w:r>
          </w:p>
          <w:p>
            <w:pPr>
              <w:pStyle w:val="TableParagraph"/>
              <w:spacing w:line="237" w:lineRule="auto"/>
              <w:ind w:right="139"/>
              <w:rPr>
                <w:rFonts w:ascii="Trebuchet MS"/>
                <w:b/>
                <w:sz w:val="18"/>
              </w:rPr>
            </w:pPr>
            <w:r>
              <w:rPr>
                <w:rFonts w:ascii="Trebuchet MS"/>
                <w:b/>
                <w:w w:val="75"/>
                <w:sz w:val="18"/>
              </w:rPr>
              <w:t>$4,085,353.4 </w:t>
            </w:r>
            <w:r>
              <w:rPr>
                <w:rFonts w:ascii="Trebuchet MS"/>
                <w:b/>
                <w:w w:val="85"/>
                <w:sz w:val="18"/>
              </w:rPr>
              <w:t>9 </w:t>
            </w:r>
            <w:r>
              <w:rPr>
                <w:rFonts w:ascii="Trebuchet MS"/>
                <w:b/>
                <w:w w:val="75"/>
                <w:sz w:val="18"/>
              </w:rPr>
              <w:t>($359,919.64</w:t>
            </w:r>
          </w:p>
          <w:p>
            <w:pPr>
              <w:pStyle w:val="TableParagraph"/>
              <w:spacing w:line="207" w:lineRule="exact"/>
              <w:ind w:right="101"/>
              <w:rPr>
                <w:rFonts w:ascii="Trebuchet MS"/>
                <w:b/>
                <w:sz w:val="18"/>
              </w:rPr>
            </w:pPr>
            <w:r>
              <w:rPr>
                <w:rFonts w:ascii="Trebuchet MS"/>
                <w:b/>
                <w:sz w:val="18"/>
              </w:rPr>
              <w:t>USD)</w:t>
            </w:r>
          </w:p>
        </w:tc>
        <w:tc>
          <w:tcPr>
            <w:tcW w:w="1136" w:type="dxa"/>
          </w:tcPr>
          <w:p>
            <w:pPr>
              <w:pStyle w:val="TableParagraph"/>
              <w:tabs>
                <w:tab w:pos="935" w:val="left" w:leader="none"/>
              </w:tabs>
              <w:spacing w:line="206" w:lineRule="exact" w:before="5"/>
              <w:ind w:right="101"/>
              <w:rPr>
                <w:rFonts w:ascii="Trebuchet MS" w:hAnsi="Trebuchet MS"/>
                <w:b/>
                <w:sz w:val="18"/>
              </w:rPr>
            </w:pPr>
            <w:r>
              <w:rPr>
                <w:rFonts w:ascii="Trebuchet MS" w:hAnsi="Trebuchet MS"/>
                <w:b/>
                <w:w w:val="90"/>
                <w:sz w:val="18"/>
              </w:rPr>
              <w:t>l)</w:t>
            </w:r>
            <w:r>
              <w:rPr>
                <w:rFonts w:ascii="Trebuchet MS" w:hAnsi="Trebuchet MS"/>
                <w:b/>
                <w:spacing w:val="-20"/>
                <w:w w:val="90"/>
                <w:sz w:val="18"/>
              </w:rPr>
              <w:t> </w:t>
            </w:r>
            <w:r>
              <w:rPr>
                <w:rFonts w:ascii="Trebuchet MS" w:hAnsi="Trebuchet MS"/>
                <w:b/>
                <w:w w:val="90"/>
                <w:sz w:val="18"/>
              </w:rPr>
              <w:t>Reducción </w:t>
            </w:r>
            <w:r>
              <w:rPr>
                <w:rFonts w:ascii="Trebuchet MS" w:hAnsi="Trebuchet MS"/>
                <w:b/>
                <w:w w:val="95"/>
                <w:sz w:val="18"/>
              </w:rPr>
              <w:t>1%</w:t>
              <w:tab/>
            </w:r>
            <w:r>
              <w:rPr>
                <w:rFonts w:ascii="Trebuchet MS" w:hAnsi="Trebuchet MS"/>
                <w:b/>
                <w:w w:val="80"/>
                <w:sz w:val="18"/>
              </w:rPr>
              <w:t>=</w:t>
            </w:r>
          </w:p>
          <w:p>
            <w:pPr>
              <w:pStyle w:val="TableParagraph"/>
              <w:spacing w:line="237" w:lineRule="auto"/>
              <w:ind w:right="142"/>
              <w:rPr>
                <w:rFonts w:ascii="Trebuchet MS"/>
                <w:b/>
                <w:sz w:val="18"/>
              </w:rPr>
            </w:pPr>
            <w:r>
              <w:rPr>
                <w:rFonts w:ascii="Trebuchet MS"/>
                <w:b/>
                <w:w w:val="75"/>
                <w:sz w:val="18"/>
              </w:rPr>
              <w:t>$1,529,425.2 </w:t>
            </w:r>
            <w:r>
              <w:rPr>
                <w:rFonts w:ascii="Trebuchet MS"/>
                <w:b/>
                <w:w w:val="85"/>
                <w:sz w:val="18"/>
              </w:rPr>
              <w:t>7 </w:t>
            </w:r>
            <w:r>
              <w:rPr>
                <w:rFonts w:ascii="Trebuchet MS"/>
                <w:b/>
                <w:w w:val="75"/>
                <w:sz w:val="18"/>
              </w:rPr>
              <w:t>($134,742.36</w:t>
            </w:r>
          </w:p>
          <w:p>
            <w:pPr>
              <w:pStyle w:val="TableParagraph"/>
              <w:spacing w:line="207" w:lineRule="exact"/>
              <w:rPr>
                <w:rFonts w:ascii="Trebuchet MS"/>
                <w:b/>
                <w:sz w:val="18"/>
              </w:rPr>
            </w:pPr>
            <w:r>
              <w:rPr>
                <w:rFonts w:ascii="Trebuchet MS"/>
                <w:b/>
                <w:sz w:val="18"/>
              </w:rPr>
              <w:t>USD)</w:t>
            </w:r>
          </w:p>
        </w:tc>
        <w:tc>
          <w:tcPr>
            <w:tcW w:w="1099" w:type="dxa"/>
            <w:shd w:val="clear" w:color="auto" w:fill="A6A6A6"/>
          </w:tcPr>
          <w:p>
            <w:pPr>
              <w:pStyle w:val="TableParagraph"/>
              <w:tabs>
                <w:tab w:pos="899" w:val="left" w:leader="none"/>
              </w:tabs>
              <w:spacing w:before="1"/>
              <w:ind w:right="100"/>
              <w:rPr>
                <w:sz w:val="18"/>
              </w:rPr>
            </w:pPr>
            <w:r>
              <w:rPr>
                <w:w w:val="85"/>
                <w:sz w:val="18"/>
              </w:rPr>
              <w:t>l) Reducción </w:t>
            </w:r>
            <w:r>
              <w:rPr>
                <w:w w:val="90"/>
                <w:sz w:val="18"/>
              </w:rPr>
              <w:t>1%</w:t>
              <w:tab/>
            </w:r>
            <w:r>
              <w:rPr>
                <w:w w:val="80"/>
                <w:sz w:val="18"/>
              </w:rPr>
              <w:t>=</w:t>
            </w:r>
          </w:p>
          <w:p>
            <w:pPr>
              <w:pStyle w:val="TableParagraph"/>
              <w:ind w:right="100"/>
              <w:rPr>
                <w:sz w:val="18"/>
              </w:rPr>
            </w:pPr>
            <w:r>
              <w:rPr>
                <w:w w:val="80"/>
                <w:sz w:val="18"/>
              </w:rPr>
              <w:t>$1,507,342.2 </w:t>
            </w:r>
            <w:r>
              <w:rPr>
                <w:w w:val="90"/>
                <w:sz w:val="18"/>
              </w:rPr>
              <w:t>8 </w:t>
            </w:r>
            <w:r>
              <w:rPr>
                <w:w w:val="80"/>
                <w:sz w:val="18"/>
              </w:rPr>
              <w:t>($132,796.85</w:t>
            </w:r>
          </w:p>
          <w:p>
            <w:pPr>
              <w:pStyle w:val="TableParagraph"/>
              <w:spacing w:line="206" w:lineRule="exact"/>
              <w:ind w:right="266"/>
              <w:rPr>
                <w:sz w:val="18"/>
              </w:rPr>
            </w:pPr>
            <w:r>
              <w:rPr>
                <w:w w:val="90"/>
                <w:sz w:val="18"/>
              </w:rPr>
              <w:t>USD)</w:t>
            </w:r>
          </w:p>
        </w:tc>
        <w:tc>
          <w:tcPr>
            <w:tcW w:w="1133" w:type="dxa"/>
          </w:tcPr>
          <w:p>
            <w:pPr/>
          </w:p>
        </w:tc>
        <w:tc>
          <w:tcPr>
            <w:tcW w:w="1419" w:type="dxa"/>
          </w:tcPr>
          <w:p>
            <w:pPr/>
          </w:p>
        </w:tc>
      </w:tr>
      <w:tr>
        <w:trPr>
          <w:trHeight w:val="1457" w:hRule="exact"/>
        </w:trPr>
        <w:tc>
          <w:tcPr>
            <w:tcW w:w="994" w:type="dxa"/>
            <w:tcBorders>
              <w:right w:val="single" w:sz="41" w:space="0" w:color="F1F1F1"/>
            </w:tcBorders>
          </w:tcPr>
          <w:p>
            <w:pPr/>
          </w:p>
        </w:tc>
        <w:tc>
          <w:tcPr>
            <w:tcW w:w="991" w:type="dxa"/>
            <w:shd w:val="clear" w:color="auto" w:fill="F1F1F1"/>
          </w:tcPr>
          <w:p>
            <w:pPr>
              <w:pStyle w:val="TableParagraph"/>
              <w:tabs>
                <w:tab w:pos="789" w:val="left" w:leader="none"/>
              </w:tabs>
              <w:ind w:right="103"/>
              <w:rPr>
                <w:sz w:val="18"/>
              </w:rPr>
            </w:pPr>
            <w:r>
              <w:rPr>
                <w:w w:val="90"/>
                <w:sz w:val="18"/>
              </w:rPr>
              <w:t>m) </w:t>
            </w:r>
            <w:r>
              <w:rPr>
                <w:w w:val="85"/>
                <w:sz w:val="18"/>
              </w:rPr>
              <w:t>Reducción </w:t>
            </w:r>
            <w:r>
              <w:rPr>
                <w:w w:val="90"/>
                <w:sz w:val="18"/>
              </w:rPr>
              <w:t>1.27%</w:t>
              <w:tab/>
            </w:r>
            <w:r>
              <w:rPr>
                <w:w w:val="80"/>
                <w:sz w:val="18"/>
              </w:rPr>
              <w:t>=</w:t>
            </w:r>
          </w:p>
          <w:p>
            <w:pPr>
              <w:pStyle w:val="TableParagraph"/>
              <w:spacing w:line="206" w:lineRule="exact"/>
              <w:rPr>
                <w:sz w:val="18"/>
              </w:rPr>
            </w:pPr>
            <w:r>
              <w:rPr>
                <w:w w:val="90"/>
                <w:sz w:val="18"/>
              </w:rPr>
              <w:t>$3,302,662</w:t>
            </w:r>
          </w:p>
          <w:p>
            <w:pPr>
              <w:pStyle w:val="TableParagraph"/>
              <w:ind w:right="170"/>
              <w:rPr>
                <w:sz w:val="18"/>
              </w:rPr>
            </w:pPr>
            <w:r>
              <w:rPr>
                <w:w w:val="90"/>
                <w:sz w:val="18"/>
              </w:rPr>
              <w:t>.75 </w:t>
            </w:r>
            <w:r>
              <w:rPr>
                <w:w w:val="80"/>
                <w:sz w:val="18"/>
              </w:rPr>
              <w:t>($290,964. </w:t>
            </w:r>
            <w:r>
              <w:rPr>
                <w:w w:val="85"/>
                <w:sz w:val="18"/>
              </w:rPr>
              <w:t>58 USD)</w:t>
            </w:r>
          </w:p>
        </w:tc>
        <w:tc>
          <w:tcPr>
            <w:tcW w:w="1136" w:type="dxa"/>
            <w:shd w:val="clear" w:color="auto" w:fill="F1F1F1"/>
          </w:tcPr>
          <w:p>
            <w:pPr>
              <w:pStyle w:val="TableParagraph"/>
              <w:tabs>
                <w:tab w:pos="933" w:val="left" w:leader="none"/>
              </w:tabs>
              <w:ind w:right="103"/>
              <w:rPr>
                <w:sz w:val="18"/>
              </w:rPr>
            </w:pPr>
            <w:r>
              <w:rPr>
                <w:w w:val="85"/>
                <w:sz w:val="18"/>
              </w:rPr>
              <w:t>m)</w:t>
            </w:r>
            <w:r>
              <w:rPr>
                <w:spacing w:val="-26"/>
                <w:w w:val="85"/>
                <w:sz w:val="18"/>
              </w:rPr>
              <w:t> </w:t>
            </w:r>
            <w:r>
              <w:rPr>
                <w:w w:val="85"/>
                <w:sz w:val="18"/>
              </w:rPr>
              <w:t>Reducción </w:t>
            </w:r>
            <w:r>
              <w:rPr>
                <w:w w:val="90"/>
                <w:sz w:val="18"/>
              </w:rPr>
              <w:t>2.96%</w:t>
              <w:tab/>
            </w:r>
            <w:r>
              <w:rPr>
                <w:w w:val="80"/>
                <w:sz w:val="18"/>
              </w:rPr>
              <w:t>=</w:t>
            </w:r>
          </w:p>
          <w:p>
            <w:pPr>
              <w:pStyle w:val="TableParagraph"/>
              <w:ind w:right="149"/>
              <w:rPr>
                <w:sz w:val="18"/>
              </w:rPr>
            </w:pPr>
            <w:r>
              <w:rPr>
                <w:w w:val="80"/>
                <w:sz w:val="18"/>
              </w:rPr>
              <w:t>$3,302,662.7 </w:t>
            </w:r>
            <w:r>
              <w:rPr>
                <w:w w:val="90"/>
                <w:sz w:val="18"/>
              </w:rPr>
              <w:t>5 </w:t>
            </w:r>
            <w:r>
              <w:rPr>
                <w:w w:val="80"/>
                <w:sz w:val="18"/>
              </w:rPr>
              <w:t>($290,964.58</w:t>
            </w:r>
          </w:p>
          <w:p>
            <w:pPr>
              <w:pStyle w:val="TableParagraph"/>
              <w:spacing w:line="206" w:lineRule="exact"/>
              <w:ind w:right="101"/>
              <w:rPr>
                <w:sz w:val="18"/>
              </w:rPr>
            </w:pPr>
            <w:r>
              <w:rPr>
                <w:w w:val="90"/>
                <w:sz w:val="18"/>
              </w:rPr>
              <w:t>USD)</w:t>
            </w:r>
          </w:p>
        </w:tc>
        <w:tc>
          <w:tcPr>
            <w:tcW w:w="1133" w:type="dxa"/>
            <w:tcBorders>
              <w:left w:val="single" w:sz="41" w:space="0" w:color="F1F1F1"/>
            </w:tcBorders>
          </w:tcPr>
          <w:p>
            <w:pPr>
              <w:pStyle w:val="TableParagraph"/>
              <w:tabs>
                <w:tab w:pos="588" w:val="left" w:leader="none"/>
              </w:tabs>
              <w:spacing w:line="207" w:lineRule="exact"/>
              <w:ind w:left="56"/>
              <w:rPr>
                <w:rFonts w:ascii="Trebuchet MS"/>
                <w:b/>
                <w:sz w:val="18"/>
              </w:rPr>
            </w:pPr>
            <w:r>
              <w:rPr>
                <w:rFonts w:ascii="Trebuchet MS"/>
                <w:b/>
                <w:w w:val="90"/>
                <w:sz w:val="18"/>
              </w:rPr>
              <w:t>m)</w:t>
              <w:tab/>
              <w:t>Multa</w:t>
            </w:r>
          </w:p>
          <w:p>
            <w:pPr>
              <w:pStyle w:val="TableParagraph"/>
              <w:tabs>
                <w:tab w:pos="886" w:val="left" w:leader="none"/>
              </w:tabs>
              <w:spacing w:line="206" w:lineRule="exact"/>
              <w:ind w:left="56"/>
              <w:rPr>
                <w:rFonts w:ascii="Trebuchet MS"/>
                <w:b/>
                <w:sz w:val="18"/>
              </w:rPr>
            </w:pPr>
            <w:r>
              <w:rPr>
                <w:rFonts w:ascii="Trebuchet MS"/>
                <w:b/>
                <w:w w:val="90"/>
                <w:sz w:val="18"/>
              </w:rPr>
              <w:t>3770</w:t>
              <w:tab/>
              <w:t>=</w:t>
            </w:r>
          </w:p>
          <w:p>
            <w:pPr>
              <w:pStyle w:val="TableParagraph"/>
              <w:spacing w:line="206" w:lineRule="exact" w:before="3"/>
              <w:ind w:left="56" w:right="189"/>
              <w:rPr>
                <w:rFonts w:ascii="Trebuchet MS"/>
                <w:b/>
                <w:sz w:val="18"/>
              </w:rPr>
            </w:pPr>
            <w:r>
              <w:rPr>
                <w:rFonts w:ascii="Trebuchet MS"/>
                <w:b/>
                <w:w w:val="75"/>
                <w:sz w:val="18"/>
              </w:rPr>
              <w:t>$183,485.90 ($16,165.10</w:t>
            </w:r>
          </w:p>
          <w:p>
            <w:pPr>
              <w:pStyle w:val="TableParagraph"/>
              <w:spacing w:line="205" w:lineRule="exact"/>
              <w:ind w:left="56" w:right="100"/>
              <w:rPr>
                <w:rFonts w:ascii="Trebuchet MS"/>
                <w:b/>
                <w:sz w:val="18"/>
              </w:rPr>
            </w:pPr>
            <w:r>
              <w:rPr>
                <w:rFonts w:ascii="Trebuchet MS"/>
                <w:b/>
                <w:sz w:val="18"/>
              </w:rPr>
              <w:t>USD)</w:t>
            </w:r>
          </w:p>
        </w:tc>
        <w:tc>
          <w:tcPr>
            <w:tcW w:w="1136" w:type="dxa"/>
          </w:tcPr>
          <w:p>
            <w:pPr>
              <w:pStyle w:val="TableParagraph"/>
              <w:tabs>
                <w:tab w:pos="635" w:val="left" w:leader="none"/>
              </w:tabs>
              <w:spacing w:line="207" w:lineRule="exact"/>
              <w:rPr>
                <w:rFonts w:ascii="Trebuchet MS"/>
                <w:b/>
                <w:sz w:val="18"/>
              </w:rPr>
            </w:pPr>
            <w:r>
              <w:rPr>
                <w:rFonts w:ascii="Trebuchet MS"/>
                <w:b/>
                <w:w w:val="90"/>
                <w:sz w:val="18"/>
              </w:rPr>
              <w:t>m)</w:t>
              <w:tab/>
              <w:t>Multa</w:t>
            </w:r>
          </w:p>
          <w:p>
            <w:pPr>
              <w:pStyle w:val="TableParagraph"/>
              <w:tabs>
                <w:tab w:pos="933" w:val="left" w:leader="none"/>
              </w:tabs>
              <w:spacing w:line="206" w:lineRule="exact"/>
              <w:rPr>
                <w:rFonts w:ascii="Trebuchet MS"/>
                <w:b/>
                <w:sz w:val="18"/>
              </w:rPr>
            </w:pPr>
            <w:r>
              <w:rPr>
                <w:rFonts w:ascii="Trebuchet MS"/>
                <w:b/>
                <w:w w:val="90"/>
                <w:sz w:val="18"/>
              </w:rPr>
              <w:t>1412</w:t>
              <w:tab/>
              <w:t>=</w:t>
            </w:r>
          </w:p>
          <w:p>
            <w:pPr>
              <w:pStyle w:val="TableParagraph"/>
              <w:spacing w:line="206" w:lineRule="exact" w:before="3"/>
              <w:ind w:right="271"/>
              <w:rPr>
                <w:rFonts w:ascii="Trebuchet MS"/>
                <w:b/>
                <w:sz w:val="18"/>
              </w:rPr>
            </w:pPr>
            <w:r>
              <w:rPr>
                <w:rFonts w:ascii="Trebuchet MS"/>
                <w:b/>
                <w:w w:val="75"/>
                <w:sz w:val="18"/>
              </w:rPr>
              <w:t>$68,722.04 ($6,054.41</w:t>
            </w:r>
          </w:p>
          <w:p>
            <w:pPr>
              <w:pStyle w:val="TableParagraph"/>
              <w:spacing w:line="205" w:lineRule="exact"/>
              <w:rPr>
                <w:rFonts w:ascii="Trebuchet MS"/>
                <w:b/>
                <w:sz w:val="18"/>
              </w:rPr>
            </w:pPr>
            <w:r>
              <w:rPr>
                <w:rFonts w:ascii="Trebuchet MS"/>
                <w:b/>
                <w:sz w:val="18"/>
              </w:rPr>
              <w:t>USD)</w:t>
            </w:r>
          </w:p>
        </w:tc>
        <w:tc>
          <w:tcPr>
            <w:tcW w:w="1099" w:type="dxa"/>
            <w:shd w:val="clear" w:color="auto" w:fill="A6A6A6"/>
          </w:tcPr>
          <w:p>
            <w:pPr>
              <w:pStyle w:val="TableParagraph"/>
              <w:tabs>
                <w:tab w:pos="623" w:val="left" w:leader="none"/>
              </w:tabs>
              <w:spacing w:line="206" w:lineRule="exact"/>
              <w:rPr>
                <w:sz w:val="18"/>
              </w:rPr>
            </w:pPr>
            <w:r>
              <w:rPr>
                <w:w w:val="90"/>
                <w:sz w:val="18"/>
              </w:rPr>
              <w:t>m)</w:t>
              <w:tab/>
              <w:t>Multa</w:t>
            </w:r>
          </w:p>
          <w:p>
            <w:pPr>
              <w:pStyle w:val="TableParagraph"/>
              <w:tabs>
                <w:tab w:pos="899" w:val="left" w:leader="none"/>
              </w:tabs>
              <w:spacing w:line="206" w:lineRule="exact"/>
              <w:rPr>
                <w:sz w:val="18"/>
              </w:rPr>
            </w:pPr>
            <w:r>
              <w:rPr>
                <w:w w:val="90"/>
                <w:sz w:val="18"/>
              </w:rPr>
              <w:t>1391</w:t>
              <w:tab/>
              <w:t>=</w:t>
            </w:r>
          </w:p>
          <w:p>
            <w:pPr>
              <w:pStyle w:val="TableParagraph"/>
              <w:ind w:right="245"/>
              <w:rPr>
                <w:sz w:val="18"/>
              </w:rPr>
            </w:pPr>
            <w:r>
              <w:rPr>
                <w:w w:val="80"/>
                <w:sz w:val="18"/>
              </w:rPr>
              <w:t>$67,699.97 ($5,964.36</w:t>
            </w:r>
          </w:p>
          <w:p>
            <w:pPr>
              <w:pStyle w:val="TableParagraph"/>
              <w:spacing w:line="206" w:lineRule="exact"/>
              <w:ind w:right="266"/>
              <w:rPr>
                <w:sz w:val="18"/>
              </w:rPr>
            </w:pPr>
            <w:r>
              <w:rPr>
                <w:w w:val="90"/>
                <w:sz w:val="18"/>
              </w:rPr>
              <w:t>USD)</w:t>
            </w:r>
          </w:p>
        </w:tc>
        <w:tc>
          <w:tcPr>
            <w:tcW w:w="1133" w:type="dxa"/>
          </w:tcPr>
          <w:p>
            <w:pPr/>
          </w:p>
        </w:tc>
        <w:tc>
          <w:tcPr>
            <w:tcW w:w="1419" w:type="dxa"/>
          </w:tcPr>
          <w:p>
            <w:pPr/>
          </w:p>
        </w:tc>
      </w:tr>
      <w:tr>
        <w:trPr>
          <w:trHeight w:val="216" w:hRule="exact"/>
        </w:trPr>
        <w:tc>
          <w:tcPr>
            <w:tcW w:w="994" w:type="dxa"/>
            <w:tcBorders>
              <w:right w:val="single" w:sz="41" w:space="0" w:color="F1F1F1"/>
            </w:tcBorders>
          </w:tcPr>
          <w:p>
            <w:pPr/>
          </w:p>
        </w:tc>
        <w:tc>
          <w:tcPr>
            <w:tcW w:w="991" w:type="dxa"/>
            <w:shd w:val="clear" w:color="auto" w:fill="F1F1F1"/>
          </w:tcPr>
          <w:p>
            <w:pPr>
              <w:pStyle w:val="TableParagraph"/>
              <w:tabs>
                <w:tab w:pos="515" w:val="left" w:leader="none"/>
              </w:tabs>
              <w:spacing w:line="206" w:lineRule="exact"/>
              <w:rPr>
                <w:sz w:val="18"/>
              </w:rPr>
            </w:pPr>
            <w:r>
              <w:rPr>
                <w:w w:val="90"/>
                <w:sz w:val="18"/>
              </w:rPr>
              <w:t>n)</w:t>
              <w:tab/>
              <w:t>Multa</w:t>
            </w:r>
          </w:p>
        </w:tc>
        <w:tc>
          <w:tcPr>
            <w:tcW w:w="1136" w:type="dxa"/>
            <w:shd w:val="clear" w:color="auto" w:fill="F1F1F1"/>
          </w:tcPr>
          <w:p>
            <w:pPr>
              <w:pStyle w:val="TableParagraph"/>
              <w:spacing w:line="206" w:lineRule="exact"/>
              <w:rPr>
                <w:sz w:val="18"/>
              </w:rPr>
            </w:pPr>
            <w:r>
              <w:rPr>
                <w:w w:val="90"/>
                <w:sz w:val="18"/>
              </w:rPr>
              <w:t>n) Multa 932</w:t>
            </w:r>
          </w:p>
        </w:tc>
        <w:tc>
          <w:tcPr>
            <w:tcW w:w="1133" w:type="dxa"/>
            <w:tcBorders>
              <w:left w:val="single" w:sz="41" w:space="0" w:color="F1F1F1"/>
            </w:tcBorders>
          </w:tcPr>
          <w:p>
            <w:pPr>
              <w:pStyle w:val="TableParagraph"/>
              <w:tabs>
                <w:tab w:pos="588" w:val="left" w:leader="none"/>
              </w:tabs>
              <w:spacing w:line="208" w:lineRule="exact"/>
              <w:ind w:left="56"/>
              <w:rPr>
                <w:rFonts w:ascii="Trebuchet MS"/>
                <w:b/>
                <w:sz w:val="18"/>
              </w:rPr>
            </w:pPr>
            <w:r>
              <w:rPr>
                <w:rFonts w:ascii="Trebuchet MS"/>
                <w:b/>
                <w:w w:val="90"/>
                <w:sz w:val="18"/>
              </w:rPr>
              <w:t>n)</w:t>
              <w:tab/>
              <w:t>Multa</w:t>
            </w:r>
          </w:p>
        </w:tc>
        <w:tc>
          <w:tcPr>
            <w:tcW w:w="1136" w:type="dxa"/>
          </w:tcPr>
          <w:p>
            <w:pPr>
              <w:pStyle w:val="TableParagraph"/>
              <w:spacing w:line="208" w:lineRule="exact"/>
              <w:rPr>
                <w:rFonts w:ascii="Trebuchet MS"/>
                <w:b/>
                <w:sz w:val="18"/>
              </w:rPr>
            </w:pPr>
            <w:r>
              <w:rPr>
                <w:rFonts w:ascii="Trebuchet MS"/>
                <w:b/>
                <w:w w:val="90"/>
                <w:sz w:val="18"/>
              </w:rPr>
              <w:t>n) Multa 628</w:t>
            </w:r>
          </w:p>
        </w:tc>
        <w:tc>
          <w:tcPr>
            <w:tcW w:w="1099" w:type="dxa"/>
            <w:shd w:val="clear" w:color="auto" w:fill="A6A6A6"/>
          </w:tcPr>
          <w:p>
            <w:pPr>
              <w:pStyle w:val="TableParagraph"/>
              <w:spacing w:line="206" w:lineRule="exact"/>
              <w:rPr>
                <w:sz w:val="18"/>
              </w:rPr>
            </w:pPr>
            <w:r>
              <w:rPr>
                <w:w w:val="90"/>
                <w:sz w:val="18"/>
              </w:rPr>
              <w:t>n) Multa 619</w:t>
            </w:r>
          </w:p>
        </w:tc>
        <w:tc>
          <w:tcPr>
            <w:tcW w:w="1133" w:type="dxa"/>
          </w:tcPr>
          <w:p>
            <w:pPr/>
          </w:p>
        </w:tc>
        <w:tc>
          <w:tcPr>
            <w:tcW w:w="1419" w:type="dxa"/>
          </w:tcPr>
          <w:p>
            <w:pPr/>
          </w:p>
        </w:tc>
      </w:tr>
    </w:tbl>
    <w:p>
      <w:pPr>
        <w:spacing w:after="0"/>
        <w:sectPr>
          <w:pgSz w:w="12240" w:h="15840"/>
          <w:pgMar w:header="749" w:footer="1003" w:top="960" w:bottom="1200" w:left="1580" w:right="1380"/>
        </w:sectPr>
      </w:pPr>
    </w:p>
    <w:p>
      <w:pPr>
        <w:pStyle w:val="BodyText"/>
        <w:rPr>
          <w:rFonts w:ascii="Times New Roman"/>
          <w:sz w:val="20"/>
        </w:rPr>
      </w:pPr>
    </w:p>
    <w:p>
      <w:pPr>
        <w:pStyle w:val="BodyText"/>
        <w:spacing w:before="9"/>
        <w:rPr>
          <w:rFonts w:ascii="Times New Roman"/>
          <w:sz w:val="18"/>
        </w:rPr>
      </w:pPr>
    </w:p>
    <w:tbl>
      <w:tblPr>
        <w:tblW w:w="0" w:type="auto"/>
        <w:jc w:val="left"/>
        <w:tblInd w:w="2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94"/>
        <w:gridCol w:w="992"/>
        <w:gridCol w:w="1135"/>
        <w:gridCol w:w="1133"/>
        <w:gridCol w:w="1136"/>
        <w:gridCol w:w="1099"/>
        <w:gridCol w:w="1133"/>
        <w:gridCol w:w="1419"/>
      </w:tblGrid>
      <w:tr>
        <w:trPr>
          <w:trHeight w:val="1044" w:hRule="exact"/>
        </w:trPr>
        <w:tc>
          <w:tcPr>
            <w:tcW w:w="994" w:type="dxa"/>
            <w:tcBorders>
              <w:right w:val="single" w:sz="41" w:space="0" w:color="F1F1F1"/>
            </w:tcBorders>
          </w:tcPr>
          <w:p>
            <w:pPr/>
          </w:p>
        </w:tc>
        <w:tc>
          <w:tcPr>
            <w:tcW w:w="992" w:type="dxa"/>
            <w:shd w:val="clear" w:color="auto" w:fill="F1F1F1"/>
          </w:tcPr>
          <w:p>
            <w:pPr>
              <w:pStyle w:val="TableParagraph"/>
              <w:tabs>
                <w:tab w:pos="791" w:val="left" w:leader="none"/>
              </w:tabs>
              <w:spacing w:before="1"/>
              <w:rPr>
                <w:sz w:val="18"/>
              </w:rPr>
            </w:pPr>
            <w:r>
              <w:rPr>
                <w:w w:val="90"/>
                <w:sz w:val="18"/>
              </w:rPr>
              <w:t>3000</w:t>
              <w:tab/>
              <w:t>=</w:t>
            </w:r>
          </w:p>
          <w:p>
            <w:pPr>
              <w:pStyle w:val="TableParagraph"/>
              <w:ind w:right="139"/>
              <w:rPr>
                <w:sz w:val="18"/>
              </w:rPr>
            </w:pPr>
            <w:r>
              <w:rPr>
                <w:w w:val="80"/>
                <w:sz w:val="18"/>
              </w:rPr>
              <w:t>$146,010.0 </w:t>
            </w:r>
            <w:r>
              <w:rPr>
                <w:w w:val="90"/>
                <w:sz w:val="18"/>
              </w:rPr>
              <w:t>0 </w:t>
            </w:r>
            <w:r>
              <w:rPr>
                <w:w w:val="80"/>
                <w:sz w:val="18"/>
              </w:rPr>
              <w:t>($12,863.4 </w:t>
            </w:r>
            <w:r>
              <w:rPr>
                <w:w w:val="85"/>
                <w:sz w:val="18"/>
              </w:rPr>
              <w:t>8 USD)</w:t>
            </w:r>
          </w:p>
        </w:tc>
        <w:tc>
          <w:tcPr>
            <w:tcW w:w="1135" w:type="dxa"/>
            <w:shd w:val="clear" w:color="auto" w:fill="F1F1F1"/>
          </w:tcPr>
          <w:p>
            <w:pPr>
              <w:pStyle w:val="TableParagraph"/>
              <w:spacing w:before="1"/>
              <w:ind w:left="102"/>
              <w:rPr>
                <w:sz w:val="18"/>
              </w:rPr>
            </w:pPr>
            <w:r>
              <w:rPr>
                <w:w w:val="85"/>
                <w:sz w:val="18"/>
              </w:rPr>
              <w:t>= $45,360.44 </w:t>
            </w:r>
            <w:r>
              <w:rPr>
                <w:w w:val="90"/>
                <w:sz w:val="18"/>
              </w:rPr>
              <w:t>($3,996.25</w:t>
            </w:r>
          </w:p>
          <w:p>
            <w:pPr>
              <w:pStyle w:val="TableParagraph"/>
              <w:spacing w:line="206" w:lineRule="exact"/>
              <w:ind w:left="102"/>
              <w:rPr>
                <w:sz w:val="18"/>
              </w:rPr>
            </w:pPr>
            <w:r>
              <w:rPr>
                <w:w w:val="90"/>
                <w:sz w:val="18"/>
              </w:rPr>
              <w:t>USD)</w:t>
            </w:r>
          </w:p>
        </w:tc>
        <w:tc>
          <w:tcPr>
            <w:tcW w:w="1133" w:type="dxa"/>
            <w:tcBorders>
              <w:left w:val="single" w:sz="41" w:space="0" w:color="F1F1F1"/>
            </w:tcBorders>
          </w:tcPr>
          <w:p>
            <w:pPr>
              <w:pStyle w:val="TableParagraph"/>
              <w:tabs>
                <w:tab w:pos="886" w:val="left" w:leader="none"/>
              </w:tabs>
              <w:spacing w:line="208" w:lineRule="exact" w:before="1"/>
              <w:ind w:left="56"/>
              <w:rPr>
                <w:rFonts w:ascii="Trebuchet MS"/>
                <w:b/>
                <w:sz w:val="18"/>
              </w:rPr>
            </w:pPr>
            <w:r>
              <w:rPr>
                <w:rFonts w:ascii="Trebuchet MS"/>
                <w:b/>
                <w:w w:val="90"/>
                <w:sz w:val="18"/>
              </w:rPr>
              <w:t>1670</w:t>
              <w:tab/>
              <w:t>=</w:t>
            </w:r>
          </w:p>
          <w:p>
            <w:pPr>
              <w:pStyle w:val="TableParagraph"/>
              <w:spacing w:line="206" w:lineRule="exact" w:before="3"/>
              <w:ind w:left="56" w:right="268"/>
              <w:rPr>
                <w:rFonts w:ascii="Trebuchet MS"/>
                <w:b/>
                <w:sz w:val="18"/>
              </w:rPr>
            </w:pPr>
            <w:r>
              <w:rPr>
                <w:rFonts w:ascii="Trebuchet MS"/>
                <w:b/>
                <w:w w:val="75"/>
                <w:sz w:val="18"/>
              </w:rPr>
              <w:t>$81,278.90 ($7,160.67</w:t>
            </w:r>
          </w:p>
          <w:p>
            <w:pPr>
              <w:pStyle w:val="TableParagraph"/>
              <w:spacing w:line="205" w:lineRule="exact"/>
              <w:ind w:left="56" w:right="100"/>
              <w:rPr>
                <w:rFonts w:ascii="Trebuchet MS"/>
                <w:b/>
                <w:sz w:val="18"/>
              </w:rPr>
            </w:pPr>
            <w:r>
              <w:rPr>
                <w:rFonts w:ascii="Trebuchet MS"/>
                <w:b/>
                <w:sz w:val="18"/>
              </w:rPr>
              <w:t>USD)</w:t>
            </w:r>
          </w:p>
        </w:tc>
        <w:tc>
          <w:tcPr>
            <w:tcW w:w="1136" w:type="dxa"/>
          </w:tcPr>
          <w:p>
            <w:pPr>
              <w:pStyle w:val="TableParagraph"/>
              <w:spacing w:line="206" w:lineRule="exact" w:before="5"/>
              <w:ind w:right="94"/>
              <w:rPr>
                <w:rFonts w:ascii="Trebuchet MS"/>
                <w:b/>
                <w:sz w:val="18"/>
              </w:rPr>
            </w:pPr>
            <w:r>
              <w:rPr>
                <w:rFonts w:ascii="Trebuchet MS"/>
                <w:b/>
                <w:w w:val="80"/>
                <w:sz w:val="18"/>
              </w:rPr>
              <w:t>= $30,564.76 </w:t>
            </w:r>
            <w:r>
              <w:rPr>
                <w:rFonts w:ascii="Trebuchet MS"/>
                <w:b/>
                <w:w w:val="85"/>
                <w:sz w:val="18"/>
              </w:rPr>
              <w:t>($2,692.75</w:t>
            </w:r>
          </w:p>
          <w:p>
            <w:pPr>
              <w:pStyle w:val="TableParagraph"/>
              <w:spacing w:line="205" w:lineRule="exact"/>
              <w:rPr>
                <w:rFonts w:ascii="Trebuchet MS"/>
                <w:b/>
                <w:sz w:val="18"/>
              </w:rPr>
            </w:pPr>
            <w:r>
              <w:rPr>
                <w:rFonts w:ascii="Trebuchet MS"/>
                <w:b/>
                <w:sz w:val="18"/>
              </w:rPr>
              <w:t>USD)</w:t>
            </w:r>
          </w:p>
        </w:tc>
        <w:tc>
          <w:tcPr>
            <w:tcW w:w="1099" w:type="dxa"/>
            <w:shd w:val="clear" w:color="auto" w:fill="A6A6A6"/>
          </w:tcPr>
          <w:p>
            <w:pPr>
              <w:pStyle w:val="TableParagraph"/>
              <w:spacing w:before="1"/>
              <w:rPr>
                <w:sz w:val="18"/>
              </w:rPr>
            </w:pPr>
            <w:r>
              <w:rPr>
                <w:w w:val="85"/>
                <w:sz w:val="18"/>
              </w:rPr>
              <w:t>= $30,126.73</w:t>
            </w:r>
            <w:r>
              <w:rPr>
                <w:w w:val="82"/>
                <w:sz w:val="18"/>
              </w:rPr>
              <w:t> </w:t>
            </w:r>
            <w:r>
              <w:rPr>
                <w:w w:val="90"/>
                <w:sz w:val="18"/>
              </w:rPr>
              <w:t>($2,654.16</w:t>
            </w:r>
          </w:p>
          <w:p>
            <w:pPr>
              <w:pStyle w:val="TableParagraph"/>
              <w:spacing w:line="206" w:lineRule="exact"/>
              <w:ind w:right="266"/>
              <w:rPr>
                <w:sz w:val="18"/>
              </w:rPr>
            </w:pPr>
            <w:r>
              <w:rPr>
                <w:w w:val="90"/>
                <w:sz w:val="18"/>
              </w:rPr>
              <w:t>USD)</w:t>
            </w:r>
          </w:p>
        </w:tc>
        <w:tc>
          <w:tcPr>
            <w:tcW w:w="1133" w:type="dxa"/>
          </w:tcPr>
          <w:p>
            <w:pPr/>
          </w:p>
        </w:tc>
        <w:tc>
          <w:tcPr>
            <w:tcW w:w="1419" w:type="dxa"/>
          </w:tcPr>
          <w:p>
            <w:pPr/>
          </w:p>
        </w:tc>
      </w:tr>
      <w:tr>
        <w:trPr>
          <w:trHeight w:val="835" w:hRule="exact"/>
        </w:trPr>
        <w:tc>
          <w:tcPr>
            <w:tcW w:w="994" w:type="dxa"/>
          </w:tcPr>
          <w:p>
            <w:pPr/>
          </w:p>
        </w:tc>
        <w:tc>
          <w:tcPr>
            <w:tcW w:w="992" w:type="dxa"/>
          </w:tcPr>
          <w:p>
            <w:pPr/>
          </w:p>
        </w:tc>
        <w:tc>
          <w:tcPr>
            <w:tcW w:w="1135" w:type="dxa"/>
          </w:tcPr>
          <w:p>
            <w:pPr/>
          </w:p>
        </w:tc>
        <w:tc>
          <w:tcPr>
            <w:tcW w:w="1133" w:type="dxa"/>
          </w:tcPr>
          <w:p>
            <w:pPr>
              <w:pStyle w:val="TableParagraph"/>
              <w:spacing w:line="207" w:lineRule="exact"/>
              <w:rPr>
                <w:rFonts w:ascii="Trebuchet MS" w:hAnsi="Trebuchet MS"/>
                <w:b/>
                <w:sz w:val="18"/>
              </w:rPr>
            </w:pPr>
            <w:r>
              <w:rPr>
                <w:rFonts w:ascii="Trebuchet MS" w:hAnsi="Trebuchet MS"/>
                <w:b/>
                <w:w w:val="90"/>
                <w:sz w:val="18"/>
              </w:rPr>
              <w:t>ñ) Multa 520</w:t>
            </w:r>
          </w:p>
          <w:p>
            <w:pPr>
              <w:pStyle w:val="TableParagraph"/>
              <w:spacing w:line="206" w:lineRule="exact" w:before="3"/>
              <w:ind w:right="91"/>
              <w:rPr>
                <w:rFonts w:ascii="Trebuchet MS"/>
                <w:b/>
                <w:sz w:val="18"/>
              </w:rPr>
            </w:pPr>
            <w:r>
              <w:rPr>
                <w:rFonts w:ascii="Trebuchet MS"/>
                <w:b/>
                <w:w w:val="80"/>
                <w:sz w:val="18"/>
              </w:rPr>
              <w:t>= $25,308.40 </w:t>
            </w:r>
            <w:r>
              <w:rPr>
                <w:rFonts w:ascii="Trebuchet MS"/>
                <w:b/>
                <w:w w:val="85"/>
                <w:sz w:val="18"/>
              </w:rPr>
              <w:t>($2,229.67</w:t>
            </w:r>
          </w:p>
          <w:p>
            <w:pPr>
              <w:pStyle w:val="TableParagraph"/>
              <w:spacing w:line="205" w:lineRule="exact"/>
              <w:ind w:right="101"/>
              <w:rPr>
                <w:rFonts w:ascii="Trebuchet MS"/>
                <w:b/>
                <w:sz w:val="18"/>
              </w:rPr>
            </w:pPr>
            <w:r>
              <w:rPr>
                <w:rFonts w:ascii="Trebuchet MS"/>
                <w:b/>
                <w:sz w:val="18"/>
              </w:rPr>
              <w:t>USD)</w:t>
            </w:r>
          </w:p>
        </w:tc>
        <w:tc>
          <w:tcPr>
            <w:tcW w:w="1136" w:type="dxa"/>
          </w:tcPr>
          <w:p>
            <w:pPr>
              <w:pStyle w:val="TableParagraph"/>
              <w:spacing w:line="207" w:lineRule="exact"/>
              <w:rPr>
                <w:rFonts w:ascii="Trebuchet MS" w:hAnsi="Trebuchet MS"/>
                <w:b/>
                <w:sz w:val="18"/>
              </w:rPr>
            </w:pPr>
            <w:r>
              <w:rPr>
                <w:rFonts w:ascii="Trebuchet MS" w:hAnsi="Trebuchet MS"/>
                <w:b/>
                <w:w w:val="90"/>
                <w:sz w:val="18"/>
              </w:rPr>
              <w:t>ñ) Multa 195</w:t>
            </w:r>
          </w:p>
          <w:p>
            <w:pPr>
              <w:pStyle w:val="TableParagraph"/>
              <w:spacing w:line="206" w:lineRule="exact" w:before="3"/>
              <w:rPr>
                <w:rFonts w:ascii="Trebuchet MS"/>
                <w:b/>
                <w:sz w:val="18"/>
              </w:rPr>
            </w:pPr>
            <w:r>
              <w:rPr>
                <w:rFonts w:ascii="Trebuchet MS"/>
                <w:b/>
                <w:w w:val="85"/>
                <w:sz w:val="18"/>
              </w:rPr>
              <w:t>= $9,490.65 ($836.12</w:t>
            </w:r>
          </w:p>
          <w:p>
            <w:pPr>
              <w:pStyle w:val="TableParagraph"/>
              <w:spacing w:line="205" w:lineRule="exact"/>
              <w:rPr>
                <w:rFonts w:ascii="Trebuchet MS"/>
                <w:b/>
                <w:sz w:val="18"/>
              </w:rPr>
            </w:pPr>
            <w:r>
              <w:rPr>
                <w:rFonts w:ascii="Trebuchet MS"/>
                <w:b/>
                <w:sz w:val="18"/>
              </w:rPr>
              <w:t>USD)</w:t>
            </w:r>
          </w:p>
        </w:tc>
        <w:tc>
          <w:tcPr>
            <w:tcW w:w="1099" w:type="dxa"/>
            <w:shd w:val="clear" w:color="auto" w:fill="A6A6A6"/>
          </w:tcPr>
          <w:p>
            <w:pPr>
              <w:pStyle w:val="TableParagraph"/>
              <w:spacing w:line="206" w:lineRule="exact"/>
              <w:rPr>
                <w:sz w:val="18"/>
              </w:rPr>
            </w:pPr>
            <w:r>
              <w:rPr>
                <w:w w:val="90"/>
                <w:sz w:val="18"/>
              </w:rPr>
              <w:t>ñ) Multa 192</w:t>
            </w:r>
          </w:p>
          <w:p>
            <w:pPr>
              <w:pStyle w:val="TableParagraph"/>
              <w:ind w:right="100"/>
              <w:rPr>
                <w:sz w:val="18"/>
              </w:rPr>
            </w:pPr>
            <w:r>
              <w:rPr>
                <w:w w:val="90"/>
                <w:sz w:val="18"/>
              </w:rPr>
              <w:t>= $9,344.64</w:t>
            </w:r>
            <w:r>
              <w:rPr>
                <w:w w:val="82"/>
                <w:sz w:val="18"/>
              </w:rPr>
              <w:t> </w:t>
            </w:r>
            <w:r>
              <w:rPr>
                <w:w w:val="90"/>
                <w:sz w:val="18"/>
              </w:rPr>
              <w:t>($823.26</w:t>
            </w:r>
          </w:p>
          <w:p>
            <w:pPr>
              <w:pStyle w:val="TableParagraph"/>
              <w:spacing w:line="206" w:lineRule="exact"/>
              <w:ind w:right="266"/>
              <w:rPr>
                <w:sz w:val="18"/>
              </w:rPr>
            </w:pPr>
            <w:r>
              <w:rPr>
                <w:w w:val="90"/>
                <w:sz w:val="18"/>
              </w:rPr>
              <w:t>USD)</w:t>
            </w:r>
          </w:p>
        </w:tc>
        <w:tc>
          <w:tcPr>
            <w:tcW w:w="1133" w:type="dxa"/>
          </w:tcPr>
          <w:p>
            <w:pPr/>
          </w:p>
        </w:tc>
        <w:tc>
          <w:tcPr>
            <w:tcW w:w="1419" w:type="dxa"/>
          </w:tcPr>
          <w:p>
            <w:pPr/>
          </w:p>
        </w:tc>
      </w:tr>
      <w:tr>
        <w:trPr>
          <w:trHeight w:val="1457" w:hRule="exact"/>
        </w:trPr>
        <w:tc>
          <w:tcPr>
            <w:tcW w:w="994" w:type="dxa"/>
            <w:vMerge w:val="restart"/>
          </w:tcPr>
          <w:p>
            <w:pPr/>
          </w:p>
        </w:tc>
        <w:tc>
          <w:tcPr>
            <w:tcW w:w="992" w:type="dxa"/>
            <w:vMerge w:val="restart"/>
          </w:tcPr>
          <w:p>
            <w:pPr/>
          </w:p>
        </w:tc>
        <w:tc>
          <w:tcPr>
            <w:tcW w:w="1135" w:type="dxa"/>
            <w:vMerge w:val="restart"/>
            <w:shd w:val="clear" w:color="auto" w:fill="A6A6A6"/>
          </w:tcPr>
          <w:p>
            <w:pPr>
              <w:pStyle w:val="TableParagraph"/>
              <w:tabs>
                <w:tab w:pos="932" w:val="left" w:leader="none"/>
              </w:tabs>
              <w:ind w:left="102" w:right="103"/>
              <w:jc w:val="both"/>
              <w:rPr>
                <w:sz w:val="18"/>
              </w:rPr>
            </w:pPr>
            <w:r>
              <w:rPr>
                <w:w w:val="85"/>
                <w:sz w:val="18"/>
              </w:rPr>
              <w:t>o) Reducción </w:t>
            </w:r>
            <w:r>
              <w:rPr>
                <w:w w:val="90"/>
                <w:sz w:val="18"/>
              </w:rPr>
              <w:t>1%</w:t>
              <w:tab/>
            </w:r>
            <w:r>
              <w:rPr>
                <w:w w:val="80"/>
                <w:sz w:val="18"/>
              </w:rPr>
              <w:t>=</w:t>
            </w:r>
          </w:p>
          <w:p>
            <w:pPr>
              <w:pStyle w:val="TableParagraph"/>
              <w:ind w:left="102" w:right="161"/>
              <w:jc w:val="both"/>
              <w:rPr>
                <w:sz w:val="18"/>
              </w:rPr>
            </w:pPr>
            <w:r>
              <w:rPr>
                <w:w w:val="80"/>
                <w:sz w:val="18"/>
              </w:rPr>
              <w:t>$2,839,705.8 </w:t>
            </w:r>
            <w:r>
              <w:rPr>
                <w:w w:val="90"/>
                <w:sz w:val="18"/>
              </w:rPr>
              <w:t>5</w:t>
            </w:r>
          </w:p>
          <w:p>
            <w:pPr>
              <w:pStyle w:val="TableParagraph"/>
              <w:ind w:left="102" w:right="104"/>
              <w:jc w:val="both"/>
              <w:rPr>
                <w:sz w:val="18"/>
              </w:rPr>
            </w:pPr>
            <w:r>
              <w:rPr>
                <w:w w:val="90"/>
                <w:sz w:val="18"/>
              </w:rPr>
              <w:t>se anexo </w:t>
            </w:r>
            <w:r>
              <w:rPr>
                <w:w w:val="80"/>
                <w:sz w:val="18"/>
              </w:rPr>
              <w:t>($250,178.08 </w:t>
            </w:r>
            <w:r>
              <w:rPr>
                <w:w w:val="90"/>
                <w:sz w:val="18"/>
              </w:rPr>
              <w:t>USD)</w:t>
            </w:r>
          </w:p>
        </w:tc>
        <w:tc>
          <w:tcPr>
            <w:tcW w:w="1133" w:type="dxa"/>
            <w:tcBorders>
              <w:bottom w:val="dotted" w:sz="4" w:space="0" w:color="000000"/>
            </w:tcBorders>
          </w:tcPr>
          <w:p>
            <w:pPr>
              <w:pStyle w:val="TableParagraph"/>
              <w:tabs>
                <w:tab w:pos="935" w:val="left" w:leader="none"/>
              </w:tabs>
              <w:spacing w:line="237" w:lineRule="auto"/>
              <w:ind w:right="99"/>
              <w:rPr>
                <w:rFonts w:ascii="Trebuchet MS" w:hAnsi="Trebuchet MS"/>
                <w:b/>
                <w:sz w:val="18"/>
              </w:rPr>
            </w:pPr>
            <w:r>
              <w:rPr>
                <w:rFonts w:ascii="Trebuchet MS" w:hAnsi="Trebuchet MS"/>
                <w:b/>
                <w:w w:val="95"/>
                <w:sz w:val="18"/>
              </w:rPr>
              <w:t>o) Reducción 1%</w:t>
              <w:tab/>
            </w:r>
            <w:r>
              <w:rPr>
                <w:rFonts w:ascii="Trebuchet MS" w:hAnsi="Trebuchet MS"/>
                <w:b/>
                <w:w w:val="80"/>
                <w:sz w:val="18"/>
              </w:rPr>
              <w:t>=</w:t>
            </w:r>
          </w:p>
          <w:p>
            <w:pPr>
              <w:pStyle w:val="TableParagraph"/>
              <w:spacing w:line="206" w:lineRule="exact" w:before="2"/>
              <w:ind w:right="139"/>
              <w:rPr>
                <w:rFonts w:ascii="Trebuchet MS"/>
                <w:b/>
                <w:sz w:val="18"/>
              </w:rPr>
            </w:pPr>
            <w:r>
              <w:rPr>
                <w:rFonts w:ascii="Trebuchet MS"/>
                <w:b/>
                <w:w w:val="75"/>
                <w:sz w:val="18"/>
              </w:rPr>
              <w:t>$2,511,566.3 </w:t>
            </w:r>
            <w:r>
              <w:rPr>
                <w:rFonts w:ascii="Trebuchet MS"/>
                <w:b/>
                <w:w w:val="85"/>
                <w:sz w:val="18"/>
              </w:rPr>
              <w:t>3 </w:t>
            </w:r>
            <w:r>
              <w:rPr>
                <w:rFonts w:ascii="Trebuchet MS"/>
                <w:b/>
                <w:w w:val="75"/>
                <w:sz w:val="18"/>
              </w:rPr>
              <w:t>($221,268.99</w:t>
            </w:r>
          </w:p>
          <w:p>
            <w:pPr>
              <w:pStyle w:val="TableParagraph"/>
              <w:spacing w:line="205" w:lineRule="exact"/>
              <w:ind w:right="101"/>
              <w:rPr>
                <w:rFonts w:ascii="Trebuchet MS"/>
                <w:b/>
                <w:sz w:val="18"/>
              </w:rPr>
            </w:pPr>
            <w:r>
              <w:rPr>
                <w:rFonts w:ascii="Trebuchet MS"/>
                <w:b/>
                <w:sz w:val="18"/>
              </w:rPr>
              <w:t>USD)</w:t>
            </w:r>
          </w:p>
        </w:tc>
        <w:tc>
          <w:tcPr>
            <w:tcW w:w="1136" w:type="dxa"/>
            <w:tcBorders>
              <w:bottom w:val="dotted" w:sz="4" w:space="0" w:color="000000"/>
            </w:tcBorders>
          </w:tcPr>
          <w:p>
            <w:pPr>
              <w:pStyle w:val="TableParagraph"/>
              <w:tabs>
                <w:tab w:pos="935" w:val="left" w:leader="none"/>
              </w:tabs>
              <w:spacing w:line="237" w:lineRule="auto"/>
              <w:ind w:right="101"/>
              <w:rPr>
                <w:rFonts w:ascii="Trebuchet MS" w:hAnsi="Trebuchet MS"/>
                <w:b/>
                <w:sz w:val="18"/>
              </w:rPr>
            </w:pPr>
            <w:r>
              <w:rPr>
                <w:rFonts w:ascii="Trebuchet MS" w:hAnsi="Trebuchet MS"/>
                <w:b/>
                <w:w w:val="95"/>
                <w:sz w:val="18"/>
              </w:rPr>
              <w:t>o) Reducción 1%</w:t>
              <w:tab/>
            </w:r>
            <w:r>
              <w:rPr>
                <w:rFonts w:ascii="Trebuchet MS" w:hAnsi="Trebuchet MS"/>
                <w:b/>
                <w:w w:val="80"/>
                <w:sz w:val="18"/>
              </w:rPr>
              <w:t>=</w:t>
            </w:r>
          </w:p>
          <w:p>
            <w:pPr>
              <w:pStyle w:val="TableParagraph"/>
              <w:spacing w:line="206" w:lineRule="exact" w:before="2"/>
              <w:ind w:right="191"/>
              <w:rPr>
                <w:rFonts w:ascii="Trebuchet MS"/>
                <w:b/>
                <w:sz w:val="18"/>
              </w:rPr>
            </w:pPr>
            <w:r>
              <w:rPr>
                <w:rFonts w:ascii="Trebuchet MS"/>
                <w:b/>
                <w:w w:val="75"/>
                <w:sz w:val="18"/>
              </w:rPr>
              <w:t>$940,249.85 ($82,836.01</w:t>
            </w:r>
          </w:p>
          <w:p>
            <w:pPr>
              <w:pStyle w:val="TableParagraph"/>
              <w:spacing w:line="205" w:lineRule="exact"/>
              <w:rPr>
                <w:rFonts w:ascii="Trebuchet MS"/>
                <w:b/>
                <w:sz w:val="18"/>
              </w:rPr>
            </w:pPr>
            <w:r>
              <w:rPr>
                <w:rFonts w:ascii="Trebuchet MS"/>
                <w:b/>
                <w:sz w:val="18"/>
              </w:rPr>
              <w:t>USD)</w:t>
            </w:r>
          </w:p>
        </w:tc>
        <w:tc>
          <w:tcPr>
            <w:tcW w:w="1099" w:type="dxa"/>
            <w:vMerge w:val="restart"/>
            <w:shd w:val="clear" w:color="auto" w:fill="A6A6A6"/>
          </w:tcPr>
          <w:p>
            <w:pPr>
              <w:pStyle w:val="TableParagraph"/>
              <w:tabs>
                <w:tab w:pos="899" w:val="left" w:leader="none"/>
              </w:tabs>
              <w:ind w:right="100"/>
              <w:rPr>
                <w:sz w:val="18"/>
              </w:rPr>
            </w:pPr>
            <w:r>
              <w:rPr>
                <w:w w:val="85"/>
                <w:sz w:val="18"/>
              </w:rPr>
              <w:t>o)</w:t>
            </w:r>
            <w:r>
              <w:rPr>
                <w:spacing w:val="-18"/>
                <w:w w:val="85"/>
                <w:sz w:val="18"/>
              </w:rPr>
              <w:t> </w:t>
            </w:r>
            <w:r>
              <w:rPr>
                <w:w w:val="85"/>
                <w:sz w:val="18"/>
              </w:rPr>
              <w:t>Reducción </w:t>
            </w:r>
            <w:r>
              <w:rPr>
                <w:w w:val="90"/>
                <w:sz w:val="18"/>
              </w:rPr>
              <w:t>1%</w:t>
              <w:tab/>
            </w:r>
            <w:r>
              <w:rPr>
                <w:w w:val="80"/>
                <w:sz w:val="18"/>
              </w:rPr>
              <w:t>=</w:t>
            </w:r>
          </w:p>
          <w:p>
            <w:pPr>
              <w:pStyle w:val="TableParagraph"/>
              <w:ind w:right="100"/>
              <w:rPr>
                <w:sz w:val="18"/>
              </w:rPr>
            </w:pPr>
            <w:r>
              <w:rPr>
                <w:w w:val="80"/>
                <w:sz w:val="18"/>
              </w:rPr>
              <w:t>$926,673.82 ($81,639.96</w:t>
            </w:r>
          </w:p>
          <w:p>
            <w:pPr>
              <w:pStyle w:val="TableParagraph"/>
              <w:spacing w:line="206" w:lineRule="exact"/>
              <w:ind w:right="266"/>
              <w:rPr>
                <w:sz w:val="18"/>
              </w:rPr>
            </w:pPr>
            <w:r>
              <w:rPr>
                <w:w w:val="90"/>
                <w:sz w:val="18"/>
              </w:rPr>
              <w:t>USD)</w:t>
            </w:r>
          </w:p>
        </w:tc>
        <w:tc>
          <w:tcPr>
            <w:tcW w:w="1133" w:type="dxa"/>
            <w:vMerge w:val="restart"/>
          </w:tcPr>
          <w:p>
            <w:pPr/>
          </w:p>
        </w:tc>
        <w:tc>
          <w:tcPr>
            <w:tcW w:w="1419" w:type="dxa"/>
            <w:vMerge w:val="restart"/>
          </w:tcPr>
          <w:p>
            <w:pPr/>
          </w:p>
        </w:tc>
      </w:tr>
      <w:tr>
        <w:trPr>
          <w:trHeight w:val="1870" w:hRule="exact"/>
        </w:trPr>
        <w:tc>
          <w:tcPr>
            <w:tcW w:w="994" w:type="dxa"/>
            <w:vMerge/>
          </w:tcPr>
          <w:p>
            <w:pPr/>
          </w:p>
        </w:tc>
        <w:tc>
          <w:tcPr>
            <w:tcW w:w="992" w:type="dxa"/>
            <w:vMerge/>
          </w:tcPr>
          <w:p>
            <w:pPr/>
          </w:p>
        </w:tc>
        <w:tc>
          <w:tcPr>
            <w:tcW w:w="1135" w:type="dxa"/>
            <w:vMerge/>
            <w:shd w:val="clear" w:color="auto" w:fill="A6A6A6"/>
          </w:tcPr>
          <w:p>
            <w:pPr/>
          </w:p>
        </w:tc>
        <w:tc>
          <w:tcPr>
            <w:tcW w:w="1133" w:type="dxa"/>
            <w:tcBorders>
              <w:top w:val="dotted" w:sz="4" w:space="0" w:color="000000"/>
            </w:tcBorders>
          </w:tcPr>
          <w:p>
            <w:pPr>
              <w:pStyle w:val="TableParagraph"/>
              <w:spacing w:line="206" w:lineRule="exact" w:before="3"/>
              <w:rPr>
                <w:rFonts w:ascii="Trebuchet MS"/>
                <w:b/>
                <w:sz w:val="18"/>
              </w:rPr>
            </w:pPr>
            <w:r>
              <w:rPr>
                <w:rFonts w:ascii="Trebuchet MS"/>
                <w:b/>
                <w:w w:val="90"/>
                <w:sz w:val="18"/>
              </w:rPr>
              <w:t>Se reduce la multa:</w:t>
            </w:r>
          </w:p>
          <w:p>
            <w:pPr>
              <w:pStyle w:val="TableParagraph"/>
              <w:tabs>
                <w:tab w:pos="935" w:val="left" w:leader="none"/>
              </w:tabs>
              <w:spacing w:line="206" w:lineRule="exact" w:before="1"/>
              <w:ind w:right="99"/>
              <w:rPr>
                <w:rFonts w:ascii="Trebuchet MS" w:hAnsi="Trebuchet MS"/>
                <w:b/>
                <w:sz w:val="18"/>
              </w:rPr>
            </w:pPr>
            <w:r>
              <w:rPr>
                <w:rFonts w:ascii="Trebuchet MS" w:hAnsi="Trebuchet MS"/>
                <w:b/>
                <w:w w:val="95"/>
                <w:sz w:val="18"/>
              </w:rPr>
              <w:t>o) Reducción 1%</w:t>
              <w:tab/>
            </w:r>
            <w:r>
              <w:rPr>
                <w:rFonts w:ascii="Trebuchet MS" w:hAnsi="Trebuchet MS"/>
                <w:b/>
                <w:w w:val="80"/>
                <w:sz w:val="18"/>
              </w:rPr>
              <w:t>=</w:t>
            </w:r>
          </w:p>
          <w:p>
            <w:pPr>
              <w:pStyle w:val="TableParagraph"/>
              <w:spacing w:line="206" w:lineRule="exact"/>
              <w:ind w:right="139"/>
              <w:rPr>
                <w:rFonts w:ascii="Trebuchet MS"/>
                <w:b/>
                <w:sz w:val="18"/>
              </w:rPr>
            </w:pPr>
            <w:r>
              <w:rPr>
                <w:rFonts w:ascii="Trebuchet MS"/>
                <w:b/>
                <w:w w:val="75"/>
                <w:sz w:val="18"/>
              </w:rPr>
              <w:t>$2,487,217.0 </w:t>
            </w:r>
            <w:r>
              <w:rPr>
                <w:rFonts w:ascii="Trebuchet MS"/>
                <w:b/>
                <w:w w:val="85"/>
                <w:sz w:val="18"/>
              </w:rPr>
              <w:t>9 </w:t>
            </w:r>
            <w:r>
              <w:rPr>
                <w:rFonts w:ascii="Trebuchet MS"/>
                <w:b/>
                <w:w w:val="75"/>
                <w:sz w:val="18"/>
              </w:rPr>
              <w:t>($219,123.82</w:t>
            </w:r>
          </w:p>
          <w:p>
            <w:pPr>
              <w:pStyle w:val="TableParagraph"/>
              <w:spacing w:line="208" w:lineRule="exact"/>
              <w:ind w:right="101"/>
              <w:rPr>
                <w:rFonts w:ascii="Trebuchet MS"/>
                <w:b/>
                <w:sz w:val="18"/>
              </w:rPr>
            </w:pPr>
            <w:r>
              <w:rPr>
                <w:rFonts w:ascii="Trebuchet MS"/>
                <w:b/>
                <w:sz w:val="18"/>
              </w:rPr>
              <w:t>USD)</w:t>
            </w:r>
          </w:p>
        </w:tc>
        <w:tc>
          <w:tcPr>
            <w:tcW w:w="1136" w:type="dxa"/>
            <w:tcBorders>
              <w:top w:val="dotted" w:sz="4" w:space="0" w:color="000000"/>
            </w:tcBorders>
          </w:tcPr>
          <w:p>
            <w:pPr>
              <w:pStyle w:val="TableParagraph"/>
              <w:spacing w:line="206" w:lineRule="exact" w:before="3"/>
              <w:rPr>
                <w:rFonts w:ascii="Trebuchet MS"/>
                <w:b/>
                <w:sz w:val="18"/>
              </w:rPr>
            </w:pPr>
            <w:r>
              <w:rPr>
                <w:rFonts w:ascii="Trebuchet MS"/>
                <w:b/>
                <w:w w:val="90"/>
                <w:sz w:val="18"/>
              </w:rPr>
              <w:t>Se reduce la multa:</w:t>
            </w:r>
          </w:p>
          <w:p>
            <w:pPr>
              <w:pStyle w:val="TableParagraph"/>
              <w:tabs>
                <w:tab w:pos="935" w:val="left" w:leader="none"/>
              </w:tabs>
              <w:spacing w:line="206" w:lineRule="exact" w:before="1"/>
              <w:ind w:right="101"/>
              <w:rPr>
                <w:rFonts w:ascii="Trebuchet MS" w:hAnsi="Trebuchet MS"/>
                <w:b/>
                <w:sz w:val="18"/>
              </w:rPr>
            </w:pPr>
            <w:r>
              <w:rPr>
                <w:rFonts w:ascii="Trebuchet MS" w:hAnsi="Trebuchet MS"/>
                <w:b/>
                <w:w w:val="95"/>
                <w:sz w:val="18"/>
              </w:rPr>
              <w:t>o) Reducción 1%</w:t>
              <w:tab/>
            </w:r>
            <w:r>
              <w:rPr>
                <w:rFonts w:ascii="Trebuchet MS" w:hAnsi="Trebuchet MS"/>
                <w:b/>
                <w:w w:val="80"/>
                <w:sz w:val="18"/>
              </w:rPr>
              <w:t>=</w:t>
            </w:r>
          </w:p>
          <w:p>
            <w:pPr>
              <w:pStyle w:val="TableParagraph"/>
              <w:spacing w:line="206" w:lineRule="exact"/>
              <w:ind w:right="191"/>
              <w:rPr>
                <w:rFonts w:ascii="Trebuchet MS"/>
                <w:b/>
                <w:sz w:val="18"/>
              </w:rPr>
            </w:pPr>
            <w:r>
              <w:rPr>
                <w:rFonts w:ascii="Trebuchet MS"/>
                <w:b/>
                <w:w w:val="75"/>
                <w:sz w:val="18"/>
              </w:rPr>
              <w:t>$924,877.95 ($81,481.74</w:t>
            </w:r>
          </w:p>
          <w:p>
            <w:pPr>
              <w:pStyle w:val="TableParagraph"/>
              <w:spacing w:line="205" w:lineRule="exact"/>
              <w:rPr>
                <w:rFonts w:ascii="Trebuchet MS"/>
                <w:b/>
                <w:sz w:val="18"/>
              </w:rPr>
            </w:pPr>
            <w:r>
              <w:rPr>
                <w:rFonts w:ascii="Trebuchet MS"/>
                <w:b/>
                <w:sz w:val="18"/>
              </w:rPr>
              <w:t>USD)</w:t>
            </w:r>
          </w:p>
        </w:tc>
        <w:tc>
          <w:tcPr>
            <w:tcW w:w="1099" w:type="dxa"/>
            <w:vMerge/>
            <w:shd w:val="clear" w:color="auto" w:fill="A6A6A6"/>
          </w:tcPr>
          <w:p>
            <w:pPr/>
          </w:p>
        </w:tc>
        <w:tc>
          <w:tcPr>
            <w:tcW w:w="1133" w:type="dxa"/>
            <w:vMerge/>
          </w:tcPr>
          <w:p>
            <w:pPr/>
          </w:p>
        </w:tc>
        <w:tc>
          <w:tcPr>
            <w:tcW w:w="1419" w:type="dxa"/>
            <w:vMerge/>
          </w:tcPr>
          <w:p>
            <w:pPr/>
          </w:p>
        </w:tc>
      </w:tr>
      <w:tr>
        <w:trPr>
          <w:trHeight w:val="1454" w:hRule="exact"/>
        </w:trPr>
        <w:tc>
          <w:tcPr>
            <w:tcW w:w="994" w:type="dxa"/>
          </w:tcPr>
          <w:p>
            <w:pPr/>
          </w:p>
        </w:tc>
        <w:tc>
          <w:tcPr>
            <w:tcW w:w="992" w:type="dxa"/>
          </w:tcPr>
          <w:p>
            <w:pPr/>
          </w:p>
        </w:tc>
        <w:tc>
          <w:tcPr>
            <w:tcW w:w="1135" w:type="dxa"/>
            <w:shd w:val="clear" w:color="auto" w:fill="A6A6A6"/>
          </w:tcPr>
          <w:p>
            <w:pPr>
              <w:pStyle w:val="TableParagraph"/>
              <w:tabs>
                <w:tab w:pos="932" w:val="left" w:leader="none"/>
              </w:tabs>
              <w:ind w:left="102" w:right="103"/>
              <w:jc w:val="both"/>
              <w:rPr>
                <w:sz w:val="18"/>
              </w:rPr>
            </w:pPr>
            <w:r>
              <w:rPr>
                <w:w w:val="85"/>
                <w:sz w:val="18"/>
              </w:rPr>
              <w:t>p) Reducción </w:t>
            </w:r>
            <w:r>
              <w:rPr>
                <w:w w:val="90"/>
                <w:sz w:val="18"/>
              </w:rPr>
              <w:t>3%</w:t>
              <w:tab/>
            </w:r>
            <w:r>
              <w:rPr>
                <w:w w:val="80"/>
                <w:sz w:val="18"/>
              </w:rPr>
              <w:t>=</w:t>
            </w:r>
          </w:p>
          <w:p>
            <w:pPr>
              <w:pStyle w:val="TableParagraph"/>
              <w:ind w:left="102" w:right="161"/>
              <w:jc w:val="both"/>
              <w:rPr>
                <w:sz w:val="18"/>
              </w:rPr>
            </w:pPr>
            <w:r>
              <w:rPr>
                <w:w w:val="80"/>
                <w:sz w:val="18"/>
              </w:rPr>
              <w:t>$7,666,326.3 </w:t>
            </w:r>
            <w:r>
              <w:rPr>
                <w:w w:val="90"/>
                <w:sz w:val="18"/>
              </w:rPr>
              <w:t>6</w:t>
            </w:r>
          </w:p>
          <w:p>
            <w:pPr>
              <w:pStyle w:val="TableParagraph"/>
              <w:ind w:left="102" w:right="104"/>
              <w:jc w:val="both"/>
              <w:rPr>
                <w:sz w:val="18"/>
              </w:rPr>
            </w:pPr>
            <w:r>
              <w:rPr>
                <w:w w:val="90"/>
                <w:sz w:val="18"/>
              </w:rPr>
              <w:t>se anexo </w:t>
            </w:r>
            <w:r>
              <w:rPr>
                <w:w w:val="80"/>
                <w:sz w:val="18"/>
              </w:rPr>
              <w:t>($675,403.35 </w:t>
            </w:r>
            <w:r>
              <w:rPr>
                <w:w w:val="90"/>
                <w:sz w:val="18"/>
              </w:rPr>
              <w:t>USD)</w:t>
            </w:r>
          </w:p>
        </w:tc>
        <w:tc>
          <w:tcPr>
            <w:tcW w:w="1133" w:type="dxa"/>
          </w:tcPr>
          <w:p>
            <w:pPr>
              <w:pStyle w:val="TableParagraph"/>
              <w:tabs>
                <w:tab w:pos="935" w:val="left" w:leader="none"/>
              </w:tabs>
              <w:spacing w:line="206" w:lineRule="exact" w:before="3"/>
              <w:ind w:right="99"/>
              <w:rPr>
                <w:rFonts w:ascii="Trebuchet MS" w:hAnsi="Trebuchet MS"/>
                <w:b/>
                <w:sz w:val="18"/>
              </w:rPr>
            </w:pPr>
            <w:r>
              <w:rPr>
                <w:rFonts w:ascii="Trebuchet MS" w:hAnsi="Trebuchet MS"/>
                <w:b/>
                <w:w w:val="95"/>
                <w:sz w:val="18"/>
              </w:rPr>
              <w:t>p) Reducción 3%</w:t>
              <w:tab/>
            </w:r>
            <w:r>
              <w:rPr>
                <w:rFonts w:ascii="Trebuchet MS" w:hAnsi="Trebuchet MS"/>
                <w:b/>
                <w:w w:val="80"/>
                <w:sz w:val="18"/>
              </w:rPr>
              <w:t>=</w:t>
            </w:r>
          </w:p>
          <w:p>
            <w:pPr>
              <w:pStyle w:val="TableParagraph"/>
              <w:spacing w:line="206" w:lineRule="exact"/>
              <w:ind w:right="139"/>
              <w:rPr>
                <w:rFonts w:ascii="Trebuchet MS"/>
                <w:b/>
                <w:sz w:val="18"/>
              </w:rPr>
            </w:pPr>
            <w:r>
              <w:rPr>
                <w:rFonts w:ascii="Trebuchet MS"/>
                <w:b/>
                <w:w w:val="75"/>
                <w:sz w:val="18"/>
              </w:rPr>
              <w:t>$11,203,534. </w:t>
            </w:r>
            <w:r>
              <w:rPr>
                <w:rFonts w:ascii="Trebuchet MS"/>
                <w:b/>
                <w:w w:val="85"/>
                <w:sz w:val="18"/>
              </w:rPr>
              <w:t>50 </w:t>
            </w:r>
            <w:r>
              <w:rPr>
                <w:rFonts w:ascii="Trebuchet MS"/>
                <w:b/>
                <w:w w:val="75"/>
                <w:sz w:val="18"/>
              </w:rPr>
              <w:t>($987,031.38</w:t>
            </w:r>
          </w:p>
          <w:p>
            <w:pPr>
              <w:pStyle w:val="TableParagraph"/>
              <w:spacing w:line="205" w:lineRule="exact"/>
              <w:ind w:right="101"/>
              <w:rPr>
                <w:rFonts w:ascii="Trebuchet MS"/>
                <w:b/>
                <w:sz w:val="18"/>
              </w:rPr>
            </w:pPr>
            <w:r>
              <w:rPr>
                <w:rFonts w:ascii="Trebuchet MS"/>
                <w:b/>
                <w:sz w:val="18"/>
              </w:rPr>
              <w:t>USD)</w:t>
            </w:r>
          </w:p>
        </w:tc>
        <w:tc>
          <w:tcPr>
            <w:tcW w:w="1136" w:type="dxa"/>
          </w:tcPr>
          <w:p>
            <w:pPr>
              <w:pStyle w:val="TableParagraph"/>
              <w:tabs>
                <w:tab w:pos="935" w:val="left" w:leader="none"/>
              </w:tabs>
              <w:spacing w:line="206" w:lineRule="exact" w:before="3"/>
              <w:ind w:right="101"/>
              <w:rPr>
                <w:rFonts w:ascii="Trebuchet MS" w:hAnsi="Trebuchet MS"/>
                <w:b/>
                <w:sz w:val="18"/>
              </w:rPr>
            </w:pPr>
            <w:r>
              <w:rPr>
                <w:rFonts w:ascii="Trebuchet MS" w:hAnsi="Trebuchet MS"/>
                <w:b/>
                <w:w w:val="95"/>
                <w:sz w:val="18"/>
              </w:rPr>
              <w:t>p) Reducción 3%</w:t>
              <w:tab/>
            </w:r>
            <w:r>
              <w:rPr>
                <w:rFonts w:ascii="Trebuchet MS" w:hAnsi="Trebuchet MS"/>
                <w:b/>
                <w:w w:val="80"/>
                <w:sz w:val="18"/>
              </w:rPr>
              <w:t>=</w:t>
            </w:r>
          </w:p>
          <w:p>
            <w:pPr>
              <w:pStyle w:val="TableParagraph"/>
              <w:spacing w:line="206" w:lineRule="exact"/>
              <w:ind w:right="142"/>
              <w:rPr>
                <w:rFonts w:ascii="Trebuchet MS"/>
                <w:b/>
                <w:sz w:val="18"/>
              </w:rPr>
            </w:pPr>
            <w:r>
              <w:rPr>
                <w:rFonts w:ascii="Trebuchet MS"/>
                <w:b/>
                <w:w w:val="75"/>
                <w:sz w:val="18"/>
              </w:rPr>
              <w:t>$4,194,243.8 </w:t>
            </w:r>
            <w:r>
              <w:rPr>
                <w:rFonts w:ascii="Trebuchet MS"/>
                <w:b/>
                <w:w w:val="85"/>
                <w:sz w:val="18"/>
              </w:rPr>
              <w:t>6 </w:t>
            </w:r>
            <w:r>
              <w:rPr>
                <w:rFonts w:ascii="Trebuchet MS"/>
                <w:b/>
                <w:w w:val="75"/>
                <w:sz w:val="18"/>
              </w:rPr>
              <w:t>($369,512.88</w:t>
            </w:r>
          </w:p>
          <w:p>
            <w:pPr>
              <w:pStyle w:val="TableParagraph"/>
              <w:spacing w:line="205" w:lineRule="exact"/>
              <w:rPr>
                <w:rFonts w:ascii="Trebuchet MS"/>
                <w:b/>
                <w:sz w:val="18"/>
              </w:rPr>
            </w:pPr>
            <w:r>
              <w:rPr>
                <w:rFonts w:ascii="Trebuchet MS"/>
                <w:b/>
                <w:sz w:val="18"/>
              </w:rPr>
              <w:t>USD)</w:t>
            </w:r>
          </w:p>
        </w:tc>
        <w:tc>
          <w:tcPr>
            <w:tcW w:w="1099" w:type="dxa"/>
            <w:shd w:val="clear" w:color="auto" w:fill="A6A6A6"/>
          </w:tcPr>
          <w:p>
            <w:pPr>
              <w:pStyle w:val="TableParagraph"/>
              <w:tabs>
                <w:tab w:pos="899" w:val="left" w:leader="none"/>
              </w:tabs>
              <w:ind w:right="100"/>
              <w:rPr>
                <w:sz w:val="18"/>
              </w:rPr>
            </w:pPr>
            <w:r>
              <w:rPr>
                <w:w w:val="85"/>
                <w:sz w:val="18"/>
              </w:rPr>
              <w:t>p)</w:t>
            </w:r>
            <w:r>
              <w:rPr>
                <w:spacing w:val="-18"/>
                <w:w w:val="85"/>
                <w:sz w:val="18"/>
              </w:rPr>
              <w:t> </w:t>
            </w:r>
            <w:r>
              <w:rPr>
                <w:w w:val="85"/>
                <w:sz w:val="18"/>
              </w:rPr>
              <w:t>Reducción </w:t>
            </w:r>
            <w:r>
              <w:rPr>
                <w:w w:val="90"/>
                <w:sz w:val="18"/>
              </w:rPr>
              <w:t>3%</w:t>
              <w:tab/>
            </w:r>
            <w:r>
              <w:rPr>
                <w:w w:val="80"/>
                <w:sz w:val="18"/>
              </w:rPr>
              <w:t>=</w:t>
            </w:r>
          </w:p>
          <w:p>
            <w:pPr>
              <w:pStyle w:val="TableParagraph"/>
              <w:ind w:right="100"/>
              <w:rPr>
                <w:sz w:val="18"/>
              </w:rPr>
            </w:pPr>
            <w:r>
              <w:rPr>
                <w:w w:val="80"/>
                <w:sz w:val="18"/>
              </w:rPr>
              <w:t>$4,133,684.2 </w:t>
            </w:r>
            <w:r>
              <w:rPr>
                <w:w w:val="90"/>
                <w:sz w:val="18"/>
              </w:rPr>
              <w:t>2 </w:t>
            </w:r>
            <w:r>
              <w:rPr>
                <w:w w:val="80"/>
                <w:sz w:val="18"/>
              </w:rPr>
              <w:t>($364,177.57</w:t>
            </w:r>
          </w:p>
          <w:p>
            <w:pPr>
              <w:pStyle w:val="TableParagraph"/>
              <w:spacing w:line="206" w:lineRule="exact"/>
              <w:ind w:right="266"/>
              <w:rPr>
                <w:sz w:val="18"/>
              </w:rPr>
            </w:pPr>
            <w:r>
              <w:rPr>
                <w:w w:val="90"/>
                <w:sz w:val="18"/>
              </w:rPr>
              <w:t>USD)</w:t>
            </w:r>
          </w:p>
        </w:tc>
        <w:tc>
          <w:tcPr>
            <w:tcW w:w="1133" w:type="dxa"/>
          </w:tcPr>
          <w:p>
            <w:pPr/>
          </w:p>
        </w:tc>
        <w:tc>
          <w:tcPr>
            <w:tcW w:w="1419" w:type="dxa"/>
          </w:tcPr>
          <w:p>
            <w:pPr/>
          </w:p>
        </w:tc>
      </w:tr>
      <w:tr>
        <w:trPr>
          <w:trHeight w:val="1253" w:hRule="exact"/>
        </w:trPr>
        <w:tc>
          <w:tcPr>
            <w:tcW w:w="9040" w:type="dxa"/>
            <w:gridSpan w:val="8"/>
          </w:tcPr>
          <w:p>
            <w:pPr>
              <w:pStyle w:val="TableParagraph"/>
              <w:ind w:right="105"/>
              <w:jc w:val="both"/>
              <w:rPr>
                <w:b/>
                <w:sz w:val="18"/>
              </w:rPr>
            </w:pPr>
            <w:r>
              <w:rPr>
                <w:b/>
                <w:sz w:val="18"/>
              </w:rPr>
              <w:t>Mediante acuerdo CG37/2008 se ordenó a la Unidad de Fiscalización de los Recursos de los Partidos Políticos reponer los procedimientos de revisión de informes de campaña de los partidos políticos Acción Nacional y Alternativa Socialdemócrata (antes Alternativa Socialdemócrata y Campesina), así como de las otrora coaliciones Alianza por México y Por el Bien de Todos (respecto del Partido Convergencia) y se deja sin efecto la orden de inicio de los procedimientos administrativos oficiosos de investigación (CGIFE, 2008d).</w:t>
            </w:r>
          </w:p>
        </w:tc>
      </w:tr>
    </w:tbl>
    <w:p>
      <w:pPr>
        <w:spacing w:line="240" w:lineRule="auto" w:before="0"/>
        <w:ind w:left="222" w:right="324" w:firstLine="0"/>
        <w:jc w:val="both"/>
        <w:rPr>
          <w:sz w:val="20"/>
        </w:rPr>
      </w:pPr>
      <w:r>
        <w:rPr/>
        <w:pict>
          <v:group style="position:absolute;margin-left:85.223999pt;margin-top:-395.454132pt;width:451.65pt;height:395.15pt;mso-position-horizontal-relative:page;mso-position-vertical-relative:paragraph;z-index:-330424" coordorigin="1704,-7909" coordsize="9033,7903">
            <v:shape style="position:absolute;left:4825;top:-7909;width:103;height:826" type="#_x0000_t75" stroked="false">
              <v:imagedata r:id="rId195" o:title=""/>
            </v:shape>
            <v:shape style="position:absolute;left:5845;top:-7909;width:103;height:826" type="#_x0000_t75" stroked="false">
              <v:imagedata r:id="rId196" o:title=""/>
            </v:shape>
            <v:shape style="position:absolute;left:4825;top:-7083;width:1123;height:206" type="#_x0000_t75" stroked="false">
              <v:imagedata r:id="rId197" o:title=""/>
            </v:shape>
            <v:shape style="position:absolute;left:4928;top:-7909;width:917;height:206" type="#_x0000_t75" stroked="false">
              <v:imagedata r:id="rId198" o:title=""/>
            </v:shape>
            <v:shape style="position:absolute;left:4928;top:-7703;width:917;height:207" type="#_x0000_t75" stroked="false">
              <v:imagedata r:id="rId122" o:title=""/>
            </v:shape>
            <v:shape style="position:absolute;left:4928;top:-7496;width:917;height:206" type="#_x0000_t75" stroked="false">
              <v:imagedata r:id="rId199" o:title=""/>
            </v:shape>
            <v:shape style="position:absolute;left:4928;top:-7289;width:917;height:206" type="#_x0000_t75" stroked="false">
              <v:imagedata r:id="rId200" o:title=""/>
            </v:shape>
            <v:shape style="position:absolute;left:5960;top:-7909;width:101;height:620" type="#_x0000_t75" stroked="false">
              <v:imagedata r:id="rId201" o:title=""/>
            </v:shape>
            <v:shape style="position:absolute;left:6981;top:-7909;width:103;height:620" type="#_x0000_t75" stroked="false">
              <v:imagedata r:id="rId202" o:title=""/>
            </v:shape>
            <v:shape style="position:absolute;left:5960;top:-7289;width:1124;height:413" type="#_x0000_t75" stroked="false">
              <v:imagedata r:id="rId203" o:title=""/>
            </v:shape>
            <v:shape style="position:absolute;left:6061;top:-7909;width:920;height:206" type="#_x0000_t75" stroked="false">
              <v:imagedata r:id="rId130" o:title=""/>
            </v:shape>
            <v:shape style="position:absolute;left:6061;top:-7703;width:920;height:207" type="#_x0000_t75" stroked="false">
              <v:imagedata r:id="rId193" o:title=""/>
            </v:shape>
            <v:shape style="position:absolute;left:6061;top:-7496;width:920;height:206" type="#_x0000_t75" stroked="false">
              <v:imagedata r:id="rId204" o:title=""/>
            </v:shape>
            <v:shape style="position:absolute;left:4825;top:-6867;width:103;height:826" type="#_x0000_t75" stroked="false">
              <v:imagedata r:id="rId205" o:title=""/>
            </v:shape>
            <v:shape style="position:absolute;left:5845;top:-6867;width:103;height:826" type="#_x0000_t75" stroked="false">
              <v:imagedata r:id="rId206" o:title=""/>
            </v:shape>
            <v:shape style="position:absolute;left:4928;top:-6867;width:917;height:206" type="#_x0000_t75" stroked="false">
              <v:imagedata r:id="rId136" o:title=""/>
            </v:shape>
            <v:shape style="position:absolute;left:4928;top:-6661;width:917;height:206" type="#_x0000_t75" stroked="false">
              <v:imagedata r:id="rId207" o:title=""/>
            </v:shape>
            <v:shape style="position:absolute;left:4928;top:-6454;width:917;height:206" type="#_x0000_t75" stroked="false">
              <v:imagedata r:id="rId208" o:title=""/>
            </v:shape>
            <v:shape style="position:absolute;left:4928;top:-6248;width:917;height:206" type="#_x0000_t75" stroked="false">
              <v:imagedata r:id="rId209" o:title=""/>
            </v:shape>
            <v:shape style="position:absolute;left:5960;top:-6867;width:101;height:826" type="#_x0000_t75" stroked="false">
              <v:imagedata r:id="rId210" o:title=""/>
            </v:shape>
            <v:shape style="position:absolute;left:6981;top:-6867;width:103;height:826" type="#_x0000_t75" stroked="false">
              <v:imagedata r:id="rId211" o:title=""/>
            </v:shape>
            <v:shape style="position:absolute;left:6061;top:-6867;width:920;height:206" type="#_x0000_t75" stroked="false">
              <v:imagedata r:id="rId143" o:title=""/>
            </v:shape>
            <v:shape style="position:absolute;left:6061;top:-6661;width:920;height:206" type="#_x0000_t75" stroked="false">
              <v:imagedata r:id="rId144" o:title=""/>
            </v:shape>
            <v:shape style="position:absolute;left:6061;top:-6454;width:920;height:206" type="#_x0000_t75" stroked="false">
              <v:imagedata r:id="rId212" o:title=""/>
            </v:shape>
            <v:shape style="position:absolute;left:6061;top:-6248;width:920;height:206" type="#_x0000_t75" stroked="false">
              <v:imagedata r:id="rId213" o:title=""/>
            </v:shape>
            <v:shape style="position:absolute;left:4825;top:-6032;width:103;height:1447" type="#_x0000_t75" stroked="false">
              <v:imagedata r:id="rId214" o:title=""/>
            </v:shape>
            <v:shape style="position:absolute;left:5845;top:-6032;width:103;height:1447" type="#_x0000_t75" stroked="false">
              <v:imagedata r:id="rId215" o:title=""/>
            </v:shape>
            <v:shape style="position:absolute;left:4928;top:-6032;width:917;height:209" type="#_x0000_t75" stroked="false">
              <v:imagedata r:id="rId216" o:title=""/>
            </v:shape>
            <v:shape style="position:absolute;left:4928;top:-5823;width:917;height:206" type="#_x0000_t75" stroked="false">
              <v:imagedata r:id="rId217" o:title=""/>
            </v:shape>
            <v:shape style="position:absolute;left:4928;top:-5617;width:917;height:206" type="#_x0000_t75" stroked="false">
              <v:imagedata r:id="rId148" o:title=""/>
            </v:shape>
            <v:shape style="position:absolute;left:4928;top:-5410;width:917;height:206" type="#_x0000_t75" stroked="false">
              <v:imagedata r:id="rId218" o:title=""/>
            </v:shape>
            <v:shape style="position:absolute;left:4928;top:-5204;width:917;height:206" type="#_x0000_t75" stroked="false">
              <v:imagedata r:id="rId219" o:title=""/>
            </v:shape>
            <v:shape style="position:absolute;left:4928;top:-4997;width:917;height:206" type="#_x0000_t75" stroked="false">
              <v:imagedata r:id="rId151" o:title=""/>
            </v:shape>
            <v:shape style="position:absolute;left:4928;top:-4791;width:917;height:206" type="#_x0000_t75" stroked="false">
              <v:imagedata r:id="rId220" o:title=""/>
            </v:shape>
            <v:shape style="position:absolute;left:5960;top:-6032;width:101;height:1241" type="#_x0000_t75" stroked="false">
              <v:imagedata r:id="rId221" o:title=""/>
            </v:shape>
            <v:shape style="position:absolute;left:6981;top:-6032;width:103;height:1241" type="#_x0000_t75" stroked="false">
              <v:imagedata r:id="rId222" o:title=""/>
            </v:shape>
            <v:shape style="position:absolute;left:5960;top:-4791;width:1124;height:206" type="#_x0000_t75" stroked="false">
              <v:imagedata r:id="rId223" o:title=""/>
            </v:shape>
            <v:shape style="position:absolute;left:6061;top:-6032;width:920;height:209" type="#_x0000_t75" stroked="false">
              <v:imagedata r:id="rId224" o:title=""/>
            </v:shape>
            <v:shape style="position:absolute;left:6061;top:-5823;width:920;height:206" type="#_x0000_t75" stroked="false">
              <v:imagedata r:id="rId225" o:title=""/>
            </v:shape>
            <v:shape style="position:absolute;left:6061;top:-5617;width:920;height:206" type="#_x0000_t75" stroked="false">
              <v:imagedata r:id="rId156" o:title=""/>
            </v:shape>
            <v:shape style="position:absolute;left:6061;top:-5410;width:920;height:206" type="#_x0000_t75" stroked="false">
              <v:imagedata r:id="rId226" o:title=""/>
            </v:shape>
            <v:shape style="position:absolute;left:6061;top:-5204;width:920;height:206" type="#_x0000_t75" stroked="false">
              <v:imagedata r:id="rId227" o:title=""/>
            </v:shape>
            <v:shape style="position:absolute;left:6061;top:-4997;width:920;height:206" type="#_x0000_t75" stroked="false">
              <v:imagedata r:id="rId159" o:title=""/>
            </v:shape>
            <v:shape style="position:absolute;left:5960;top:-4575;width:101;height:1654" type="#_x0000_t75" stroked="false">
              <v:imagedata r:id="rId228" o:title=""/>
            </v:shape>
            <v:shape style="position:absolute;left:6981;top:-4575;width:103;height:1654" type="#_x0000_t75" stroked="false">
              <v:imagedata r:id="rId229" o:title=""/>
            </v:shape>
            <v:shape style="position:absolute;left:5960;top:-2921;width:1124;height:206" type="#_x0000_t75" stroked="false">
              <v:imagedata r:id="rId230" o:title=""/>
            </v:shape>
            <v:shape style="position:absolute;left:6061;top:-4575;width:920;height:206" type="#_x0000_t75" stroked="false">
              <v:imagedata r:id="rId231" o:title=""/>
            </v:shape>
            <v:shape style="position:absolute;left:6061;top:-4369;width:920;height:206" type="#_x0000_t75" stroked="false">
              <v:imagedata r:id="rId232" o:title=""/>
            </v:shape>
            <v:shape style="position:absolute;left:6061;top:-4162;width:920;height:207" type="#_x0000_t75" stroked="false">
              <v:imagedata r:id="rId233" o:title=""/>
            </v:shape>
            <v:shape style="position:absolute;left:6061;top:-3955;width:920;height:206" type="#_x0000_t75" stroked="false">
              <v:imagedata r:id="rId234" o:title=""/>
            </v:shape>
            <v:shape style="position:absolute;left:6061;top:-3749;width:920;height:206" type="#_x0000_t75" stroked="false">
              <v:imagedata r:id="rId235" o:title=""/>
            </v:shape>
            <v:shape style="position:absolute;left:6061;top:-3542;width:920;height:206" type="#_x0000_t75" stroked="false">
              <v:imagedata r:id="rId236" o:title=""/>
            </v:shape>
            <v:shape style="position:absolute;left:6061;top:-3336;width:920;height:206" type="#_x0000_t75" stroked="false">
              <v:imagedata r:id="rId237" o:title=""/>
            </v:shape>
            <v:shape style="position:absolute;left:6061;top:-3130;width:920;height:209" type="#_x0000_t75" stroked="false">
              <v:imagedata r:id="rId238" o:title=""/>
            </v:shape>
            <v:shape style="position:absolute;left:4825;top:-2705;width:103;height:1445" type="#_x0000_t75" stroked="false">
              <v:imagedata r:id="rId239" o:title=""/>
            </v:shape>
            <v:shape style="position:absolute;left:5845;top:-2705;width:103;height:1445" type="#_x0000_t75" stroked="false">
              <v:imagedata r:id="rId240" o:title=""/>
            </v:shape>
            <v:shape style="position:absolute;left:4928;top:-2705;width:917;height:206" type="#_x0000_t75" stroked="false">
              <v:imagedata r:id="rId241" o:title=""/>
            </v:shape>
            <v:shape style="position:absolute;left:4928;top:-2498;width:917;height:206" type="#_x0000_t75" stroked="false">
              <v:imagedata r:id="rId117" o:title=""/>
            </v:shape>
            <v:shape style="position:absolute;left:4928;top:-2292;width:917;height:206" type="#_x0000_t75" stroked="false">
              <v:imagedata r:id="rId242" o:title=""/>
            </v:shape>
            <v:shape style="position:absolute;left:4928;top:-2086;width:917;height:206" type="#_x0000_t75" stroked="false">
              <v:imagedata r:id="rId243" o:title=""/>
            </v:shape>
            <v:shape style="position:absolute;left:4928;top:-1879;width:917;height:206" type="#_x0000_t75" stroked="false">
              <v:imagedata r:id="rId120" o:title=""/>
            </v:shape>
            <v:shape style="position:absolute;left:4928;top:-1673;width:917;height:206" type="#_x0000_t75" stroked="false">
              <v:imagedata r:id="rId244" o:title=""/>
            </v:shape>
            <v:shape style="position:absolute;left:4928;top:-1466;width:917;height:206" type="#_x0000_t75" stroked="false">
              <v:imagedata r:id="rId122" o:title=""/>
            </v:shape>
            <v:shape style="position:absolute;left:5960;top:-2705;width:101;height:1445" type="#_x0000_t75" stroked="false">
              <v:imagedata r:id="rId245" o:title=""/>
            </v:shape>
            <v:shape style="position:absolute;left:6981;top:-2705;width:103;height:1445" type="#_x0000_t75" stroked="false">
              <v:imagedata r:id="rId246" o:title=""/>
            </v:shape>
            <v:shape style="position:absolute;left:6061;top:-2705;width:920;height:206" type="#_x0000_t75" stroked="false">
              <v:imagedata r:id="rId247" o:title=""/>
            </v:shape>
            <v:shape style="position:absolute;left:6061;top:-2498;width:920;height:206" type="#_x0000_t75" stroked="false">
              <v:imagedata r:id="rId126" o:title=""/>
            </v:shape>
            <v:shape style="position:absolute;left:6061;top:-2292;width:920;height:206" type="#_x0000_t75" stroked="false">
              <v:imagedata r:id="rId127" o:title=""/>
            </v:shape>
            <v:shape style="position:absolute;left:6061;top:-2086;width:920;height:206" type="#_x0000_t75" stroked="false">
              <v:imagedata r:id="rId128" o:title=""/>
            </v:shape>
            <v:shape style="position:absolute;left:6061;top:-1879;width:920;height:206" type="#_x0000_t75" stroked="false">
              <v:imagedata r:id="rId129" o:title=""/>
            </v:shape>
            <v:shape style="position:absolute;left:6061;top:-1673;width:920;height:206" type="#_x0000_t75" stroked="false">
              <v:imagedata r:id="rId130" o:title=""/>
            </v:shape>
            <v:shape style="position:absolute;left:6061;top:-1466;width:920;height:206" type="#_x0000_t75" stroked="false">
              <v:imagedata r:id="rId193" o:title=""/>
            </v:shape>
            <v:shape style="position:absolute;left:1704;top:-1250;width:103;height:1244" type="#_x0000_t75" stroked="false">
              <v:imagedata r:id="rId248" o:title=""/>
            </v:shape>
            <v:shape style="position:absolute;left:10634;top:-1250;width:103;height:1244" type="#_x0000_t75" stroked="false">
              <v:imagedata r:id="rId249" o:title=""/>
            </v:shape>
            <v:shape style="position:absolute;left:1808;top:-1250;width:8826;height:209" type="#_x0000_t75" stroked="false">
              <v:imagedata r:id="rId250" o:title=""/>
            </v:shape>
            <v:shape style="position:absolute;left:1808;top:-1042;width:8826;height:206" type="#_x0000_t75" stroked="false">
              <v:imagedata r:id="rId251" o:title=""/>
            </v:shape>
            <v:shape style="position:absolute;left:1808;top:-835;width:8826;height:207" type="#_x0000_t75" stroked="false">
              <v:imagedata r:id="rId252" o:title=""/>
            </v:shape>
            <v:shape style="position:absolute;left:1808;top:-628;width:8826;height:206" type="#_x0000_t75" stroked="false">
              <v:imagedata r:id="rId253" o:title=""/>
            </v:shape>
            <v:shape style="position:absolute;left:1808;top:-422;width:8826;height:209" type="#_x0000_t75" stroked="false">
              <v:imagedata r:id="rId254" o:title=""/>
            </v:shape>
            <v:shape style="position:absolute;left:1808;top:-213;width:8826;height:206" type="#_x0000_t75" stroked="false">
              <v:imagedata r:id="rId255" o:title=""/>
            </v:shape>
            <w10:wrap type="none"/>
          </v:group>
        </w:pict>
      </w:r>
      <w:r>
        <w:rPr>
          <w:sz w:val="20"/>
        </w:rPr>
        <w:t>Fuente: elaboración propia con base en los acuerdos CG20/2008 (CGIFE, 2008a), CG21/2008 (CGIFE, 2008b), CG33/2008 (CGIFE, 2008c), CG37/2007 (CGIFE, 2008d), CG96/2008 (CGIFE, 2008e), CG329/2008 (CGIFE, 2008f) y CG330/2008 (CGIFE, 2008g).</w:t>
      </w:r>
    </w:p>
    <w:p>
      <w:pPr>
        <w:spacing w:line="228" w:lineRule="exact" w:before="0" w:after="27"/>
        <w:ind w:left="222" w:right="0" w:firstLine="0"/>
        <w:jc w:val="both"/>
        <w:rPr>
          <w:sz w:val="20"/>
        </w:rPr>
      </w:pPr>
      <w:r>
        <w:rPr/>
        <w:pict>
          <v:group style="position:absolute;margin-left:79.213997pt;margin-top:11.56087pt;width:27.75pt;height:93.3pt;mso-position-horizontal-relative:page;mso-position-vertical-relative:paragraph;z-index:-330448" coordorigin="1584,231" coordsize="555,1866">
            <v:shape style="position:absolute;left:1594;top:231;width:533;height:231" coordorigin="1594,231" coordsize="533,231" path="m2127,231l2019,231,1702,231,1594,231,1594,462,1702,462,2019,462,2127,462,2127,231e" filled="true" fillcolor="#d9d9d9" stroked="false">
              <v:path arrowok="t"/>
              <v:fill type="solid"/>
            </v:shape>
            <v:shape style="position:absolute;left:1594;top:462;width:108;height:230" type="#_x0000_t75" stroked="false">
              <v:imagedata r:id="rId256" o:title=""/>
            </v:shape>
            <v:shape style="position:absolute;left:2019;top:462;width:108;height:230" type="#_x0000_t75" stroked="false">
              <v:imagedata r:id="rId256" o:title=""/>
            </v:shape>
            <v:shape style="position:absolute;left:1702;top:462;width:317;height:230" type="#_x0000_t75" stroked="false">
              <v:imagedata r:id="rId257" o:title=""/>
            </v:shape>
            <v:shape style="position:absolute;left:1594;top:692;width:108;height:230" type="#_x0000_t75" stroked="false">
              <v:imagedata r:id="rId258" o:title=""/>
            </v:shape>
            <v:shape style="position:absolute;left:2019;top:692;width:108;height:230" type="#_x0000_t75" stroked="false">
              <v:imagedata r:id="rId259" o:title=""/>
            </v:shape>
            <v:shape style="position:absolute;left:1702;top:692;width:317;height:230" type="#_x0000_t75" stroked="false">
              <v:imagedata r:id="rId260" o:title=""/>
            </v:shape>
            <v:shape style="position:absolute;left:1594;top:922;width:108;height:230" type="#_x0000_t75" stroked="false">
              <v:imagedata r:id="rId261" o:title=""/>
            </v:shape>
            <v:shape style="position:absolute;left:2019;top:922;width:108;height:230" type="#_x0000_t75" stroked="false">
              <v:imagedata r:id="rId262" o:title=""/>
            </v:shape>
            <v:shape style="position:absolute;left:1702;top:922;width:317;height:230" type="#_x0000_t75" stroked="false">
              <v:imagedata r:id="rId263" o:title=""/>
            </v:shape>
            <v:shape style="position:absolute;left:1594;top:1155;width:108;height:230" type="#_x0000_t75" stroked="false">
              <v:imagedata r:id="rId264" o:title=""/>
            </v:shape>
            <v:shape style="position:absolute;left:2019;top:1155;width:108;height:230" type="#_x0000_t75" stroked="false">
              <v:imagedata r:id="rId265" o:title=""/>
            </v:shape>
            <v:shape style="position:absolute;left:1702;top:1155;width:317;height:230" type="#_x0000_t75" stroked="false">
              <v:imagedata r:id="rId266" o:title=""/>
            </v:shape>
            <v:shape style="position:absolute;left:1594;top:1386;width:108;height:230" type="#_x0000_t75" stroked="false">
              <v:imagedata r:id="rId267" o:title=""/>
            </v:shape>
            <v:shape style="position:absolute;left:2019;top:1386;width:108;height:230" type="#_x0000_t75" stroked="false">
              <v:imagedata r:id="rId268" o:title=""/>
            </v:shape>
            <v:shape style="position:absolute;left:1702;top:1386;width:317;height:230" type="#_x0000_t75" stroked="false">
              <v:imagedata r:id="rId269" o:title=""/>
            </v:shape>
            <v:shape style="position:absolute;left:1589;top:1616;width:10;height:10" type="#_x0000_t75" stroked="false">
              <v:imagedata r:id="rId270" o:title=""/>
            </v:shape>
            <v:shape style="position:absolute;left:1589;top:1621;width:536;height:2" coordorigin="1589,1621" coordsize="536,0" path="m1589,1621l1599,1621m1599,1621l1608,1621m1608,1621l1656,1621m1656,1621l1704,1621m1704,1621l1752,1621m1752,1621l1800,1621m1800,1621l1848,1621m1848,1621l1896,1621m1896,1621l1944,1621m1944,1621l1992,1621m1992,1621l2040,1621m2040,1621l2088,1621m2088,1621l2124,1621e" filled="false" stroked="true" strokeweight=".47998pt" strokecolor="#000000">
              <v:path arrowok="t"/>
            </v:shape>
            <v:shape style="position:absolute;left:2124;top:1616;width:10;height:10" type="#_x0000_t75" stroked="false">
              <v:imagedata r:id="rId270" o:title=""/>
            </v:shape>
            <v:line style="position:absolute" from="2124,1621" to="2134,1621" stroked="true" strokeweight=".47998pt" strokecolor="#000000"/>
            <v:shape style="position:absolute;left:1594;top:1626;width:536;height:240" coordorigin="1594,1626" coordsize="536,240" path="m1594,1626l1594,1866m2129,1626l2129,1866e" filled="false" stroked="true" strokeweight=".48pt" strokecolor="#000000">
              <v:path arrowok="t"/>
            </v:shape>
            <v:shape style="position:absolute;left:1594;top:1866;width:533;height:231" coordorigin="1594,1866" coordsize="533,231" path="m2127,1866l2019,1866,1702,1866,1594,1866,1594,2097,1702,2097,2019,2097,2127,2097,2127,1866e" filled="true" fillcolor="#a6a6a6" stroked="false">
              <v:path arrowok="t"/>
              <v:fill type="solid"/>
            </v:shape>
            <v:shape style="position:absolute;left:1589;top:1856;width:10;height:10" type="#_x0000_t75" stroked="false">
              <v:imagedata r:id="rId270" o:title=""/>
            </v:shape>
            <v:shape style="position:absolute;left:1599;top:1861;width:526;height:2" coordorigin="1599,1861" coordsize="526,0" path="m1599,1861l1608,1861m1608,1861l1656,1861m1656,1861l1704,1861m1704,1861l1752,1861m1752,1861l1800,1861m1800,1861l1848,1861m1848,1861l1896,1861m1896,1861l1944,1861m1944,1861l1992,1861m1992,1861l2040,1861m2040,1861l2088,1861m2088,1861l2124,1861e" filled="false" stroked="true" strokeweight=".47998pt" strokecolor="#000000">
              <v:path arrowok="t"/>
            </v:shape>
            <v:shape style="position:absolute;left:2124;top:1856;width:10;height:10" type="#_x0000_t75" stroked="false">
              <v:imagedata r:id="rId270" o:title=""/>
            </v:shape>
            <w10:wrap type="none"/>
          </v:group>
        </w:pict>
      </w:r>
      <w:r>
        <w:rPr>
          <w:sz w:val="20"/>
        </w:rPr>
        <w:t>Notas:</w:t>
      </w:r>
    </w:p>
    <w:tbl>
      <w:tblPr>
        <w:tblW w:w="0" w:type="auto"/>
        <w:jc w:val="left"/>
        <w:tblInd w:w="55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041"/>
      </w:tblGrid>
      <w:tr>
        <w:trPr>
          <w:trHeight w:val="215" w:hRule="exact"/>
        </w:trPr>
        <w:tc>
          <w:tcPr>
            <w:tcW w:w="5041" w:type="dxa"/>
          </w:tcPr>
          <w:p>
            <w:pPr>
              <w:pStyle w:val="TableParagraph"/>
              <w:spacing w:line="204" w:lineRule="exact"/>
              <w:ind w:left="200"/>
              <w:rPr>
                <w:sz w:val="20"/>
              </w:rPr>
            </w:pPr>
            <w:r>
              <w:rPr>
                <w:sz w:val="20"/>
              </w:rPr>
              <w:t>Incisos sin modificaciones.</w:t>
            </w:r>
          </w:p>
        </w:tc>
      </w:tr>
      <w:tr>
        <w:trPr>
          <w:trHeight w:val="230" w:hRule="exact"/>
        </w:trPr>
        <w:tc>
          <w:tcPr>
            <w:tcW w:w="5041" w:type="dxa"/>
          </w:tcPr>
          <w:p>
            <w:pPr>
              <w:pStyle w:val="TableParagraph"/>
              <w:spacing w:line="219" w:lineRule="exact"/>
              <w:ind w:left="200"/>
              <w:rPr>
                <w:sz w:val="20"/>
              </w:rPr>
            </w:pPr>
            <w:r>
              <w:rPr>
                <w:sz w:val="20"/>
              </w:rPr>
              <w:t>Incisos anexados mediante acuerdo CG20/2008.</w:t>
            </w:r>
          </w:p>
        </w:tc>
      </w:tr>
      <w:tr>
        <w:trPr>
          <w:trHeight w:val="230" w:hRule="exact"/>
        </w:trPr>
        <w:tc>
          <w:tcPr>
            <w:tcW w:w="5041" w:type="dxa"/>
          </w:tcPr>
          <w:p>
            <w:pPr>
              <w:pStyle w:val="TableParagraph"/>
              <w:spacing w:line="219" w:lineRule="exact"/>
              <w:ind w:left="200"/>
              <w:rPr>
                <w:sz w:val="20"/>
              </w:rPr>
            </w:pPr>
            <w:r>
              <w:rPr>
                <w:sz w:val="20"/>
              </w:rPr>
              <w:t>Incisos anexados mediante acuerdo CG21/2008.</w:t>
            </w:r>
          </w:p>
        </w:tc>
      </w:tr>
      <w:tr>
        <w:trPr>
          <w:trHeight w:val="232" w:hRule="exact"/>
        </w:trPr>
        <w:tc>
          <w:tcPr>
            <w:tcW w:w="5041" w:type="dxa"/>
          </w:tcPr>
          <w:p>
            <w:pPr>
              <w:pStyle w:val="TableParagraph"/>
              <w:tabs>
                <w:tab w:pos="141" w:val="left" w:leader="none"/>
              </w:tabs>
              <w:spacing w:line="219" w:lineRule="exact"/>
              <w:ind w:left="-441"/>
              <w:rPr>
                <w:sz w:val="20"/>
              </w:rPr>
            </w:pPr>
            <w:r>
              <w:rPr>
                <w:w w:val="99"/>
                <w:sz w:val="20"/>
                <w:u w:val="single"/>
              </w:rPr>
              <w:t> </w:t>
            </w:r>
            <w:r>
              <w:rPr>
                <w:sz w:val="20"/>
                <w:u w:val="single"/>
              </w:rPr>
              <w:tab/>
            </w:r>
            <w:r>
              <w:rPr>
                <w:spacing w:val="2"/>
                <w:sz w:val="20"/>
              </w:rPr>
              <w:t> </w:t>
            </w:r>
            <w:r>
              <w:rPr>
                <w:sz w:val="20"/>
              </w:rPr>
              <w:t>Incisos anexados mediante acuerdo</w:t>
            </w:r>
            <w:r>
              <w:rPr>
                <w:spacing w:val="-12"/>
                <w:sz w:val="20"/>
              </w:rPr>
              <w:t> </w:t>
            </w:r>
            <w:r>
              <w:rPr>
                <w:sz w:val="20"/>
              </w:rPr>
              <w:t>CG33/2008.</w:t>
            </w:r>
          </w:p>
        </w:tc>
      </w:tr>
      <w:tr>
        <w:trPr>
          <w:trHeight w:val="232" w:hRule="exact"/>
        </w:trPr>
        <w:tc>
          <w:tcPr>
            <w:tcW w:w="5041" w:type="dxa"/>
          </w:tcPr>
          <w:p>
            <w:pPr>
              <w:pStyle w:val="TableParagraph"/>
              <w:spacing w:line="221" w:lineRule="exact"/>
              <w:ind w:left="0" w:right="198"/>
              <w:jc w:val="right"/>
              <w:rPr>
                <w:sz w:val="20"/>
              </w:rPr>
            </w:pPr>
            <w:r>
              <w:rPr>
                <w:sz w:val="20"/>
              </w:rPr>
              <w:t>Incisos modificados mediante acuerdo CG330/2008.</w:t>
            </w:r>
          </w:p>
        </w:tc>
      </w:tr>
      <w:tr>
        <w:trPr>
          <w:trHeight w:val="235" w:hRule="exact"/>
        </w:trPr>
        <w:tc>
          <w:tcPr>
            <w:tcW w:w="5041" w:type="dxa"/>
          </w:tcPr>
          <w:p>
            <w:pPr>
              <w:pStyle w:val="TableParagraph"/>
              <w:spacing w:line="219" w:lineRule="exact"/>
              <w:ind w:left="200"/>
              <w:rPr>
                <w:sz w:val="20"/>
              </w:rPr>
            </w:pPr>
            <w:r>
              <w:rPr>
                <w:sz w:val="20"/>
              </w:rPr>
              <w:t>Incisos anexados mediante acuerdo CG37/2008.</w:t>
            </w:r>
          </w:p>
        </w:tc>
      </w:tr>
      <w:tr>
        <w:trPr>
          <w:trHeight w:val="240" w:hRule="exact"/>
        </w:trPr>
        <w:tc>
          <w:tcPr>
            <w:tcW w:w="5041" w:type="dxa"/>
          </w:tcPr>
          <w:p>
            <w:pPr>
              <w:pStyle w:val="TableParagraph"/>
              <w:spacing w:line="224" w:lineRule="exact"/>
              <w:ind w:left="0" w:right="251"/>
              <w:jc w:val="right"/>
              <w:rPr>
                <w:sz w:val="20"/>
              </w:rPr>
            </w:pPr>
            <w:r>
              <w:rPr>
                <w:sz w:val="20"/>
              </w:rPr>
              <w:t>Incisos modificados mediante acuerdo CG329/2008</w:t>
            </w:r>
          </w:p>
        </w:tc>
      </w:tr>
      <w:tr>
        <w:trPr>
          <w:trHeight w:val="220" w:hRule="exact"/>
        </w:trPr>
        <w:tc>
          <w:tcPr>
            <w:tcW w:w="5041" w:type="dxa"/>
          </w:tcPr>
          <w:p>
            <w:pPr>
              <w:pStyle w:val="TableParagraph"/>
              <w:spacing w:line="224" w:lineRule="exact"/>
              <w:ind w:left="200"/>
              <w:rPr>
                <w:sz w:val="20"/>
              </w:rPr>
            </w:pPr>
            <w:r>
              <w:rPr>
                <w:sz w:val="20"/>
              </w:rPr>
              <w:t>Incisos anexados mediante acuerdo CG96/2008.</w:t>
            </w:r>
          </w:p>
        </w:tc>
      </w:tr>
    </w:tbl>
    <w:p>
      <w:pPr>
        <w:pStyle w:val="BodyText"/>
        <w:spacing w:before="6"/>
        <w:rPr>
          <w:sz w:val="14"/>
        </w:rPr>
      </w:pPr>
    </w:p>
    <w:p>
      <w:pPr>
        <w:pStyle w:val="BodyText"/>
        <w:spacing w:line="360" w:lineRule="auto" w:before="70"/>
        <w:ind w:left="222" w:right="318" w:firstLine="707"/>
        <w:jc w:val="both"/>
      </w:pPr>
      <w:r>
        <w:rPr/>
        <w:t>En el cuadro 3.2 se observó que de los siete acuerdos que modificaron el acuerdo CG97/2007, cinco anexaron algunas multas (CG20/2008, CG21/2008, CG33/2008, CG37/2008 y CG96/2008); y dos las modificaron reduciendo la multa impuesta (CG329/2008 y CG3302008). Las sanciones impuestas, </w:t>
      </w:r>
      <w:r>
        <w:rPr>
          <w:spacing w:val="4"/>
        </w:rPr>
        <w:t>de </w:t>
      </w:r>
      <w:r>
        <w:rPr/>
        <w:t>acuerdo con lo</w:t>
      </w:r>
      <w:r>
        <w:rPr>
          <w:spacing w:val="53"/>
        </w:rPr>
        <w:t> </w:t>
      </w:r>
      <w:r>
        <w:rPr/>
        <w:t>visto</w:t>
      </w:r>
      <w:r>
        <w:rPr>
          <w:spacing w:val="53"/>
        </w:rPr>
        <w:t> </w:t>
      </w:r>
      <w:r>
        <w:rPr/>
        <w:t>en</w:t>
      </w:r>
      <w:r>
        <w:rPr>
          <w:spacing w:val="53"/>
        </w:rPr>
        <w:t> </w:t>
      </w:r>
      <w:r>
        <w:rPr/>
        <w:t>los</w:t>
      </w:r>
      <w:r>
        <w:rPr>
          <w:spacing w:val="52"/>
        </w:rPr>
        <w:t> </w:t>
      </w:r>
      <w:r>
        <w:rPr/>
        <w:t>resolutivos</w:t>
      </w:r>
      <w:r>
        <w:rPr>
          <w:spacing w:val="52"/>
        </w:rPr>
        <w:t> </w:t>
      </w:r>
      <w:r>
        <w:rPr/>
        <w:t>de</w:t>
      </w:r>
      <w:r>
        <w:rPr>
          <w:spacing w:val="53"/>
        </w:rPr>
        <w:t> </w:t>
      </w:r>
      <w:r>
        <w:rPr/>
        <w:t>las</w:t>
      </w:r>
      <w:r>
        <w:rPr>
          <w:spacing w:val="53"/>
        </w:rPr>
        <w:t> </w:t>
      </w:r>
      <w:r>
        <w:rPr/>
        <w:t>sentencias,</w:t>
      </w:r>
      <w:r>
        <w:rPr>
          <w:spacing w:val="53"/>
        </w:rPr>
        <w:t> </w:t>
      </w:r>
      <w:r>
        <w:rPr/>
        <w:t>son</w:t>
      </w:r>
      <w:r>
        <w:rPr>
          <w:spacing w:val="51"/>
        </w:rPr>
        <w:t> </w:t>
      </w:r>
      <w:r>
        <w:rPr/>
        <w:t>por</w:t>
      </w:r>
      <w:r>
        <w:rPr>
          <w:spacing w:val="52"/>
        </w:rPr>
        <w:t> </w:t>
      </w:r>
      <w:r>
        <w:rPr/>
        <w:t>lo</w:t>
      </w:r>
      <w:r>
        <w:rPr>
          <w:spacing w:val="50"/>
        </w:rPr>
        <w:t> </w:t>
      </w:r>
      <w:r>
        <w:rPr/>
        <w:t>general</w:t>
      </w:r>
      <w:r>
        <w:rPr>
          <w:spacing w:val="52"/>
        </w:rPr>
        <w:t> </w:t>
      </w:r>
      <w:r>
        <w:rPr/>
        <w:t>de</w:t>
      </w:r>
      <w:r>
        <w:rPr>
          <w:spacing w:val="51"/>
        </w:rPr>
        <w:t> </w:t>
      </w:r>
      <w:r>
        <w:rPr/>
        <w:t>dos</w:t>
      </w:r>
      <w:r>
        <w:rPr>
          <w:spacing w:val="50"/>
        </w:rPr>
        <w:t> </w:t>
      </w:r>
      <w:r>
        <w:rPr/>
        <w:t>tipos:</w:t>
      </w:r>
    </w:p>
    <w:p>
      <w:pPr>
        <w:spacing w:after="0" w:line="360" w:lineRule="auto"/>
        <w:jc w:val="both"/>
        <w:sectPr>
          <w:footerReference w:type="default" r:id="rId194"/>
          <w:pgSz w:w="12240" w:h="15840"/>
          <w:pgMar w:footer="1003" w:header="749" w:top="960" w:bottom="1200" w:left="1480" w:right="1380"/>
          <w:pgNumType w:start="150"/>
        </w:sectPr>
      </w:pPr>
    </w:p>
    <w:p>
      <w:pPr>
        <w:pStyle w:val="BodyText"/>
        <w:rPr>
          <w:sz w:val="20"/>
        </w:rPr>
      </w:pPr>
      <w:r>
        <w:rPr/>
        <w:pict>
          <v:group style="position:absolute;margin-left:418.51001pt;margin-top:663.700012pt;width:56.2pt;height:53.2pt;mso-position-horizontal-relative:page;mso-position-vertical-relative:page;z-index:-330352" coordorigin="8370,13274" coordsize="1124,1064">
            <v:shape style="position:absolute;left:8370;top:13274;width:103;height:182" type="#_x0000_t75" stroked="false">
              <v:imagedata r:id="rId271" o:title=""/>
            </v:shape>
            <v:shape style="position:absolute;left:9390;top:13274;width:103;height:182" type="#_x0000_t75" stroked="false">
              <v:imagedata r:id="rId272" o:title=""/>
            </v:shape>
            <v:shape style="position:absolute;left:8473;top:13274;width:917;height:182" type="#_x0000_t75" stroked="false">
              <v:imagedata r:id="rId273" o:title=""/>
            </v:shape>
            <v:shape style="position:absolute;left:8370;top:13466;width:103;height:185" type="#_x0000_t75" stroked="false">
              <v:imagedata r:id="rId274" o:title=""/>
            </v:shape>
            <v:shape style="position:absolute;left:9390;top:13466;width:103;height:185" type="#_x0000_t75" stroked="false">
              <v:imagedata r:id="rId275" o:title=""/>
            </v:shape>
            <v:shape style="position:absolute;left:8473;top:13466;width:917;height:185" type="#_x0000_t75" stroked="false">
              <v:imagedata r:id="rId276" o:title=""/>
            </v:shape>
            <v:shape style="position:absolute;left:8370;top:13660;width:103;height:185" type="#_x0000_t75" stroked="false">
              <v:imagedata r:id="rId277" o:title=""/>
            </v:shape>
            <v:shape style="position:absolute;left:9390;top:13660;width:103;height:185" type="#_x0000_t75" stroked="false">
              <v:imagedata r:id="rId278" o:title=""/>
            </v:shape>
            <v:shape style="position:absolute;left:8473;top:13660;width:917;height:185" type="#_x0000_t75" stroked="false">
              <v:imagedata r:id="rId279" o:title=""/>
            </v:shape>
            <v:shape style="position:absolute;left:8370;top:13855;width:103;height:185" type="#_x0000_t75" stroked="false">
              <v:imagedata r:id="rId280" o:title=""/>
            </v:shape>
            <v:shape style="position:absolute;left:9390;top:13855;width:103;height:185" type="#_x0000_t75" stroked="false">
              <v:imagedata r:id="rId281" o:title=""/>
            </v:shape>
            <v:shape style="position:absolute;left:8473;top:13855;width:917;height:185" type="#_x0000_t75" stroked="false">
              <v:imagedata r:id="rId282" o:title=""/>
            </v:shape>
            <v:shape style="position:absolute;left:8370;top:14049;width:103;height:185" type="#_x0000_t75" stroked="false">
              <v:imagedata r:id="rId283" o:title=""/>
            </v:shape>
            <v:shape style="position:absolute;left:9390;top:14049;width:103;height:185" type="#_x0000_t75" stroked="false">
              <v:imagedata r:id="rId284" o:title=""/>
            </v:shape>
            <v:shape style="position:absolute;left:8370;top:14234;width:1123;height:103" type="#_x0000_t75" stroked="false">
              <v:imagedata r:id="rId285" o:title=""/>
            </v:shape>
            <v:shape style="position:absolute;left:8473;top:14049;width:917;height:185" type="#_x0000_t75" stroked="false">
              <v:imagedata r:id="rId286" o:title=""/>
            </v:shape>
            <w10:wrap type="none"/>
          </v:group>
        </w:pict>
      </w:r>
      <w:r>
        <w:rPr/>
        <w:pict>
          <v:group style="position:absolute;margin-left:248.449997pt;margin-top:692.736023pt;width:112.85pt;height:24.15pt;mso-position-horizontal-relative:page;mso-position-vertical-relative:page;z-index:-330328" coordorigin="4969,13855" coordsize="2257,483">
            <v:shape style="position:absolute;left:4969;top:13855;width:103;height:185" type="#_x0000_t75" stroked="false">
              <v:imagedata r:id="rId287" o:title=""/>
            </v:shape>
            <v:shape style="position:absolute;left:5989;top:13855;width:103;height:185" type="#_x0000_t75" stroked="false">
              <v:imagedata r:id="rId288" o:title=""/>
            </v:shape>
            <v:shape style="position:absolute;left:5072;top:13855;width:917;height:185" type="#_x0000_t75" stroked="false">
              <v:imagedata r:id="rId289" o:title=""/>
            </v:shape>
            <v:shape style="position:absolute;left:6102;top:13855;width:103;height:185" type="#_x0000_t75" stroked="false">
              <v:imagedata r:id="rId290" o:title=""/>
            </v:shape>
            <v:shape style="position:absolute;left:7122;top:13855;width:103;height:185" type="#_x0000_t75" stroked="false">
              <v:imagedata r:id="rId291" o:title=""/>
            </v:shape>
            <v:shape style="position:absolute;left:6205;top:13855;width:917;height:185" type="#_x0000_t75" stroked="false">
              <v:imagedata r:id="rId292" o:title=""/>
            </v:shape>
            <v:shape style="position:absolute;left:4969;top:14049;width:103;height:185" type="#_x0000_t75" stroked="false">
              <v:imagedata r:id="rId293" o:title=""/>
            </v:shape>
            <v:shape style="position:absolute;left:5989;top:14049;width:103;height:185" type="#_x0000_t75" stroked="false">
              <v:imagedata r:id="rId294" o:title=""/>
            </v:shape>
            <v:shape style="position:absolute;left:4969;top:14234;width:1123;height:103" type="#_x0000_t75" stroked="false">
              <v:imagedata r:id="rId295" o:title=""/>
            </v:shape>
            <v:shape style="position:absolute;left:5072;top:14049;width:917;height:185" type="#_x0000_t75" stroked="false">
              <v:imagedata r:id="rId296" o:title=""/>
            </v:shape>
            <v:shape style="position:absolute;left:6102;top:14049;width:103;height:185" type="#_x0000_t75" stroked="false">
              <v:imagedata r:id="rId297" o:title=""/>
            </v:shape>
            <v:shape style="position:absolute;left:7122;top:14049;width:103;height:185" type="#_x0000_t75" stroked="false">
              <v:imagedata r:id="rId298" o:title=""/>
            </v:shape>
            <v:shape style="position:absolute;left:6102;top:14234;width:1124;height:103" type="#_x0000_t75" stroked="false">
              <v:imagedata r:id="rId299" o:title=""/>
            </v:shape>
            <v:shape style="position:absolute;left:6205;top:14049;width:917;height:185" type="#_x0000_t75" stroked="false">
              <v:imagedata r:id="rId300" o:title=""/>
            </v:shape>
            <w10:wrap type="none"/>
          </v:group>
        </w:pict>
      </w:r>
    </w:p>
    <w:p>
      <w:pPr>
        <w:pStyle w:val="BodyText"/>
        <w:spacing w:line="360" w:lineRule="auto" w:before="214"/>
        <w:ind w:left="122" w:right="224"/>
        <w:jc w:val="both"/>
      </w:pPr>
      <w:r>
        <w:rPr/>
        <w:t>multas y reducciones del financiamiento; las primeras son pagadas por los  partidos políticos en una sola exhibición ante la Dirección Ejecutiva de Administración del IFE (en un término de quince días improrrogables) y las segundas se pagan en parcialidades (descontando un porcentaje de las ministraciones mensuales ordinarias) durante un</w:t>
      </w:r>
      <w:r>
        <w:rPr>
          <w:spacing w:val="-16"/>
        </w:rPr>
        <w:t> </w:t>
      </w:r>
      <w:r>
        <w:rPr/>
        <w:t>año.</w:t>
      </w:r>
    </w:p>
    <w:p>
      <w:pPr>
        <w:pStyle w:val="BodyText"/>
        <w:spacing w:line="360" w:lineRule="auto" w:before="5"/>
        <w:ind w:left="122" w:right="217" w:firstLine="707"/>
        <w:jc w:val="both"/>
      </w:pPr>
      <w:r>
        <w:rPr/>
        <w:t>Para determinar el monto total de las sanciones se sumaron las multas y las reducciones; para ello se adicionaron todas las multas que en todos los casos están establecidas en días de salario mínimo vigente en el Distrito Federal (D.F.), se multiplicaron por $48.67 pesos ($4.28 USD) (que fue el salario mínimo vigente en el D.F. en el 2006), posteriormente el resultado se dividió entre doce parcialidades y se calculó, con base a las ministraciones mensuales dadas a cada partido político, a qué porcentaje de la ministración mensual equivalían las multas. De acuerdo con lo anterior se elaboró un concentrado (cuadro 3.3) que califica cuantitativamente las sanciones relativas al financiamiento:</w:t>
      </w:r>
    </w:p>
    <w:p>
      <w:pPr>
        <w:pStyle w:val="BodyText"/>
      </w:pPr>
    </w:p>
    <w:p>
      <w:pPr>
        <w:pStyle w:val="Heading2"/>
        <w:ind w:left="3194" w:right="3291"/>
      </w:pPr>
      <w:r>
        <w:rPr/>
        <w:t>Cuadro 3.3</w:t>
      </w:r>
    </w:p>
    <w:p>
      <w:pPr>
        <w:spacing w:before="134"/>
        <w:ind w:left="417" w:right="520" w:firstLine="0"/>
        <w:jc w:val="center"/>
        <w:rPr>
          <w:b/>
          <w:sz w:val="24"/>
        </w:rPr>
      </w:pPr>
      <w:r>
        <w:rPr/>
        <w:pict>
          <v:group style="position:absolute;margin-left:149.179993pt;margin-top:84.335861pt;width:212.1pt;height:98.9pt;mso-position-horizontal-relative:page;mso-position-vertical-relative:paragraph;z-index:-330400" coordorigin="2984,1687" coordsize="4242,1978">
            <v:shape style="position:absolute;left:2984;top:1687;width:101;height:461" type="#_x0000_t75" stroked="false">
              <v:imagedata r:id="rId301" o:title=""/>
            </v:shape>
            <v:shape style="position:absolute;left:3862;top:1687;width:103;height:461" type="#_x0000_t75" stroked="false">
              <v:imagedata r:id="rId302" o:title=""/>
            </v:shape>
            <v:shape style="position:absolute;left:2984;top:2148;width:982;height:1507" type="#_x0000_t75" stroked="false">
              <v:imagedata r:id="rId303" o:title=""/>
            </v:shape>
            <v:shape style="position:absolute;left:3084;top:1687;width:778;height:230" type="#_x0000_t75" stroked="false">
              <v:imagedata r:id="rId304" o:title=""/>
            </v:shape>
            <v:shape style="position:absolute;left:3084;top:1917;width:778;height:230" type="#_x0000_t75" stroked="false">
              <v:imagedata r:id="rId305" o:title=""/>
            </v:shape>
            <v:shape style="position:absolute;left:3975;top:1687;width:103;height:461" type="#_x0000_t75" stroked="false">
              <v:imagedata r:id="rId306" o:title=""/>
            </v:shape>
            <v:shape style="position:absolute;left:4854;top:1687;width:103;height:461" type="#_x0000_t75" stroked="false">
              <v:imagedata r:id="rId307" o:title=""/>
            </v:shape>
            <v:shape style="position:absolute;left:4078;top:1687;width:776;height:230" type="#_x0000_t75" stroked="false">
              <v:imagedata r:id="rId308" o:title=""/>
            </v:shape>
            <v:shape style="position:absolute;left:4078;top:1917;width:776;height:230" type="#_x0000_t75" stroked="false">
              <v:imagedata r:id="rId309" o:title=""/>
            </v:shape>
            <v:shape style="position:absolute;left:4969;top:2265;width:103;height:919" type="#_x0000_t75" stroked="false">
              <v:imagedata r:id="rId310" o:title=""/>
            </v:shape>
            <v:shape style="position:absolute;left:5989;top:2265;width:103;height:919" type="#_x0000_t75" stroked="false">
              <v:imagedata r:id="rId311" o:title=""/>
            </v:shape>
            <v:shape style="position:absolute;left:5072;top:2265;width:917;height:228" type="#_x0000_t75" stroked="false">
              <v:imagedata r:id="rId312" o:title=""/>
            </v:shape>
            <v:shape style="position:absolute;left:5072;top:2493;width:917;height:230" type="#_x0000_t75" stroked="false">
              <v:imagedata r:id="rId313" o:title=""/>
            </v:shape>
            <v:shape style="position:absolute;left:5072;top:2724;width:917;height:230" type="#_x0000_t75" stroked="false">
              <v:imagedata r:id="rId314" o:title=""/>
            </v:shape>
            <v:shape style="position:absolute;left:5072;top:2954;width:917;height:230" type="#_x0000_t75" stroked="false">
              <v:imagedata r:id="rId315" o:title=""/>
            </v:shape>
            <v:shape style="position:absolute;left:6102;top:2265;width:103;height:919" type="#_x0000_t75" stroked="false">
              <v:imagedata r:id="rId316" o:title=""/>
            </v:shape>
            <v:shape style="position:absolute;left:7122;top:2265;width:103;height:919" type="#_x0000_t75" stroked="false">
              <v:imagedata r:id="rId317" o:title=""/>
            </v:shape>
            <v:shape style="position:absolute;left:6205;top:2265;width:917;height:228" type="#_x0000_t75" stroked="false">
              <v:imagedata r:id="rId318" o:title=""/>
            </v:shape>
            <v:shape style="position:absolute;left:6205;top:2493;width:917;height:230" type="#_x0000_t75" stroked="false">
              <v:imagedata r:id="rId319" o:title=""/>
            </v:shape>
            <v:shape style="position:absolute;left:6205;top:2724;width:917;height:230" type="#_x0000_t75" stroked="false">
              <v:imagedata r:id="rId320" o:title=""/>
            </v:shape>
            <v:shape style="position:absolute;left:6205;top:2954;width:917;height:230" type="#_x0000_t75" stroked="false">
              <v:imagedata r:id="rId321" o:title=""/>
            </v:shape>
            <v:shape style="position:absolute;left:6102;top:3194;width:103;height:461" type="#_x0000_t75" stroked="false">
              <v:imagedata r:id="rId322" o:title=""/>
            </v:shape>
            <v:shape style="position:absolute;left:7122;top:3194;width:103;height:461" type="#_x0000_t75" stroked="false">
              <v:imagedata r:id="rId323" o:title=""/>
            </v:shape>
            <v:shape style="position:absolute;left:6205;top:3194;width:917;height:230" type="#_x0000_t75" stroked="false">
              <v:imagedata r:id="rId324" o:title=""/>
            </v:shape>
            <v:shape style="position:absolute;left:6205;top:3424;width:917;height:230" type="#_x0000_t75" stroked="false">
              <v:imagedata r:id="rId325" o:title=""/>
            </v:shape>
            <v:shape style="position:absolute;left:4959;top:3184;width:10;height:10" type="#_x0000_t75" stroked="false">
              <v:imagedata r:id="rId326" o:title=""/>
            </v:shape>
            <v:shape style="position:absolute;left:6073;top:3184;width:29;height:10" type="#_x0000_t75" stroked="false">
              <v:imagedata r:id="rId327" o:title=""/>
            </v:shape>
            <v:shape style="position:absolute;left:4959;top:3194;width:10;height:48" type="#_x0000_t75" stroked="false">
              <v:imagedata r:id="rId328" o:title=""/>
            </v:shape>
            <v:shape style="position:absolute;left:6092;top:3194;width:10;height:48" type="#_x0000_t75" stroked="false">
              <v:imagedata r:id="rId328" o:title=""/>
            </v:shape>
            <v:shape style="position:absolute;left:4959;top:3626;width:58;height:38" type="#_x0000_t75" stroked="false">
              <v:imagedata r:id="rId71" o:title=""/>
            </v:shape>
            <v:shape style="position:absolute;left:5017;top:3660;width:1056;height:2" coordorigin="5017,3660" coordsize="1056,0" path="m5017,3660l5065,3660m5065,3660l5113,3660m5113,3660l5161,3660m5161,3660l5209,3660m5209,3660l5257,3660m5257,3660l5305,3660m5305,3660l5353,3660m5353,3660l5401,3660m5401,3660l5449,3660m5449,3660l5497,3660m5497,3660l5545,3660m5545,3660l5593,3660m5593,3660l5641,3660m5641,3660l5689,3660m5689,3660l5737,3660m5737,3660l5785,3660m5785,3660l5833,3660m5833,3660l5881,3660m5881,3660l5929,3660m5929,3660l5977,3660m5977,3660l6025,3660m6025,3660l6073,3660e" filled="false" stroked="true" strokeweight=".47998pt" strokecolor="#000000">
              <v:path arrowok="t"/>
            </v:shape>
            <v:shape style="position:absolute;left:6073;top:3626;width:29;height:38" type="#_x0000_t75" stroked="false">
              <v:imagedata r:id="rId72" o:title=""/>
            </v:shape>
            <w10:wrap type="none"/>
          </v:group>
        </w:pict>
      </w:r>
      <w:r>
        <w:rPr/>
        <w:pict>
          <v:group style="position:absolute;margin-left:418.51001pt;margin-top:113.255859pt;width:56.2pt;height:69.5pt;mso-position-horizontal-relative:page;mso-position-vertical-relative:paragraph;z-index:-330376" coordorigin="8370,2265" coordsize="1124,1390">
            <v:shape style="position:absolute;left:8370;top:2265;width:103;height:919" type="#_x0000_t75" stroked="false">
              <v:imagedata r:id="rId329" o:title=""/>
            </v:shape>
            <v:shape style="position:absolute;left:9390;top:2265;width:103;height:919" type="#_x0000_t75" stroked="false">
              <v:imagedata r:id="rId330" o:title=""/>
            </v:shape>
            <v:shape style="position:absolute;left:8370;top:3184;width:1123;height:470" type="#_x0000_t75" stroked="false">
              <v:imagedata r:id="rId331" o:title=""/>
            </v:shape>
            <v:shape style="position:absolute;left:8473;top:2265;width:917;height:228" type="#_x0000_t75" stroked="false">
              <v:imagedata r:id="rId332" o:title=""/>
            </v:shape>
            <v:shape style="position:absolute;left:8473;top:2493;width:917;height:230" type="#_x0000_t75" stroked="false">
              <v:imagedata r:id="rId333" o:title=""/>
            </v:shape>
            <v:shape style="position:absolute;left:8473;top:2724;width:917;height:230" type="#_x0000_t75" stroked="false">
              <v:imagedata r:id="rId334" o:title=""/>
            </v:shape>
            <v:shape style="position:absolute;left:8473;top:2954;width:917;height:230" type="#_x0000_t75" stroked="false">
              <v:imagedata r:id="rId335" o:title=""/>
            </v:shape>
            <w10:wrap type="none"/>
          </v:group>
        </w:pict>
      </w:r>
      <w:r>
        <w:rPr>
          <w:b/>
          <w:sz w:val="24"/>
        </w:rPr>
        <w:t>Porcentaje de sanciones relativas al financiamiento, por partido político federal (2005-2006)</w:t>
      </w:r>
    </w:p>
    <w:p>
      <w:pPr>
        <w:pStyle w:val="BodyText"/>
        <w:rPr>
          <w:b/>
          <w:sz w:val="20"/>
        </w:rPr>
      </w:pPr>
    </w:p>
    <w:p>
      <w:pPr>
        <w:pStyle w:val="BodyText"/>
        <w:spacing w:before="5" w:after="1"/>
        <w:rPr>
          <w:b/>
          <w:sz w:val="16"/>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77"/>
        <w:gridCol w:w="991"/>
        <w:gridCol w:w="993"/>
        <w:gridCol w:w="1134"/>
        <w:gridCol w:w="1136"/>
        <w:gridCol w:w="1133"/>
        <w:gridCol w:w="1135"/>
        <w:gridCol w:w="1133"/>
      </w:tblGrid>
      <w:tr>
        <w:trPr>
          <w:trHeight w:val="286" w:hRule="exact"/>
        </w:trPr>
        <w:tc>
          <w:tcPr>
            <w:tcW w:w="1277" w:type="dxa"/>
            <w:vMerge w:val="restart"/>
            <w:shd w:val="clear" w:color="auto" w:fill="BEBEBE"/>
          </w:tcPr>
          <w:p>
            <w:pPr>
              <w:pStyle w:val="TableParagraph"/>
              <w:spacing w:line="272" w:lineRule="exact"/>
              <w:ind w:right="190"/>
              <w:rPr>
                <w:b/>
                <w:sz w:val="24"/>
              </w:rPr>
            </w:pPr>
            <w:r>
              <w:rPr>
                <w:b/>
                <w:sz w:val="24"/>
              </w:rPr>
              <w:t>PAN</w:t>
            </w:r>
          </w:p>
        </w:tc>
        <w:tc>
          <w:tcPr>
            <w:tcW w:w="1984" w:type="dxa"/>
            <w:gridSpan w:val="2"/>
            <w:shd w:val="clear" w:color="auto" w:fill="BEBEBE"/>
          </w:tcPr>
          <w:p>
            <w:pPr>
              <w:pStyle w:val="TableParagraph"/>
              <w:spacing w:line="272" w:lineRule="exact"/>
              <w:ind w:left="631"/>
              <w:rPr>
                <w:b/>
                <w:sz w:val="24"/>
              </w:rPr>
            </w:pPr>
            <w:r>
              <w:rPr>
                <w:b/>
                <w:sz w:val="24"/>
              </w:rPr>
              <w:t>CAPM</w:t>
            </w:r>
          </w:p>
        </w:tc>
        <w:tc>
          <w:tcPr>
            <w:tcW w:w="3402" w:type="dxa"/>
            <w:gridSpan w:val="3"/>
            <w:shd w:val="clear" w:color="auto" w:fill="BEBEBE"/>
          </w:tcPr>
          <w:p>
            <w:pPr>
              <w:pStyle w:val="TableParagraph"/>
              <w:spacing w:line="272" w:lineRule="exact"/>
              <w:ind w:left="1263" w:right="1262"/>
              <w:jc w:val="center"/>
              <w:rPr>
                <w:b/>
                <w:sz w:val="24"/>
              </w:rPr>
            </w:pPr>
            <w:r>
              <w:rPr>
                <w:b/>
                <w:sz w:val="24"/>
              </w:rPr>
              <w:t>CAPBT</w:t>
            </w:r>
          </w:p>
        </w:tc>
        <w:tc>
          <w:tcPr>
            <w:tcW w:w="1135" w:type="dxa"/>
            <w:vMerge w:val="restart"/>
            <w:shd w:val="clear" w:color="auto" w:fill="BEBEBE"/>
          </w:tcPr>
          <w:p>
            <w:pPr>
              <w:pStyle w:val="TableParagraph"/>
              <w:spacing w:line="272" w:lineRule="exact"/>
              <w:ind w:left="370" w:right="368"/>
              <w:jc w:val="center"/>
              <w:rPr>
                <w:b/>
                <w:sz w:val="24"/>
              </w:rPr>
            </w:pPr>
            <w:r>
              <w:rPr>
                <w:b/>
                <w:sz w:val="24"/>
              </w:rPr>
              <w:t>NA</w:t>
            </w:r>
          </w:p>
        </w:tc>
        <w:tc>
          <w:tcPr>
            <w:tcW w:w="1133" w:type="dxa"/>
            <w:vMerge w:val="restart"/>
            <w:shd w:val="clear" w:color="auto" w:fill="BEBEBE"/>
          </w:tcPr>
          <w:p>
            <w:pPr>
              <w:pStyle w:val="TableParagraph"/>
              <w:spacing w:line="272" w:lineRule="exact"/>
              <w:ind w:left="228" w:right="111"/>
              <w:rPr>
                <w:b/>
                <w:sz w:val="24"/>
              </w:rPr>
            </w:pPr>
            <w:r>
              <w:rPr>
                <w:b/>
                <w:sz w:val="24"/>
              </w:rPr>
              <w:t>PASC</w:t>
            </w:r>
          </w:p>
        </w:tc>
      </w:tr>
      <w:tr>
        <w:trPr>
          <w:trHeight w:val="280" w:hRule="exact"/>
        </w:trPr>
        <w:tc>
          <w:tcPr>
            <w:tcW w:w="1277" w:type="dxa"/>
            <w:vMerge/>
            <w:shd w:val="clear" w:color="auto" w:fill="BEBEBE"/>
          </w:tcPr>
          <w:p>
            <w:pPr/>
          </w:p>
        </w:tc>
        <w:tc>
          <w:tcPr>
            <w:tcW w:w="991" w:type="dxa"/>
            <w:shd w:val="clear" w:color="auto" w:fill="BEBEBE"/>
          </w:tcPr>
          <w:p>
            <w:pPr>
              <w:pStyle w:val="TableParagraph"/>
              <w:spacing w:line="272" w:lineRule="exact"/>
              <w:ind w:left="287" w:right="98"/>
              <w:rPr>
                <w:b/>
                <w:sz w:val="24"/>
              </w:rPr>
            </w:pPr>
            <w:r>
              <w:rPr>
                <w:b/>
                <w:sz w:val="24"/>
              </w:rPr>
              <w:t>PRI</w:t>
            </w:r>
          </w:p>
        </w:tc>
        <w:tc>
          <w:tcPr>
            <w:tcW w:w="993" w:type="dxa"/>
            <w:shd w:val="clear" w:color="auto" w:fill="BEBEBE"/>
          </w:tcPr>
          <w:p>
            <w:pPr>
              <w:pStyle w:val="TableParagraph"/>
              <w:spacing w:line="272" w:lineRule="exact"/>
              <w:ind w:left="151"/>
              <w:rPr>
                <w:b/>
                <w:sz w:val="24"/>
              </w:rPr>
            </w:pPr>
            <w:r>
              <w:rPr>
                <w:b/>
                <w:sz w:val="24"/>
              </w:rPr>
              <w:t>PVEM</w:t>
            </w:r>
          </w:p>
        </w:tc>
        <w:tc>
          <w:tcPr>
            <w:tcW w:w="1134" w:type="dxa"/>
            <w:vMerge w:val="restart"/>
            <w:shd w:val="clear" w:color="auto" w:fill="BEBEBE"/>
          </w:tcPr>
          <w:p>
            <w:pPr>
              <w:pStyle w:val="TableParagraph"/>
              <w:spacing w:line="272" w:lineRule="exact"/>
              <w:ind w:left="308"/>
              <w:rPr>
                <w:b/>
                <w:sz w:val="24"/>
              </w:rPr>
            </w:pPr>
            <w:r>
              <w:rPr>
                <w:b/>
                <w:sz w:val="24"/>
              </w:rPr>
              <w:t>PRD</w:t>
            </w:r>
          </w:p>
        </w:tc>
        <w:tc>
          <w:tcPr>
            <w:tcW w:w="1136" w:type="dxa"/>
            <w:vMerge w:val="restart"/>
            <w:shd w:val="clear" w:color="auto" w:fill="BEBEBE"/>
          </w:tcPr>
          <w:p>
            <w:pPr>
              <w:pStyle w:val="TableParagraph"/>
              <w:spacing w:line="272" w:lineRule="exact"/>
              <w:ind w:left="389" w:right="390"/>
              <w:jc w:val="center"/>
              <w:rPr>
                <w:b/>
                <w:sz w:val="24"/>
              </w:rPr>
            </w:pPr>
            <w:r>
              <w:rPr>
                <w:b/>
                <w:sz w:val="24"/>
              </w:rPr>
              <w:t>PT</w:t>
            </w:r>
          </w:p>
        </w:tc>
        <w:tc>
          <w:tcPr>
            <w:tcW w:w="1133" w:type="dxa"/>
            <w:vMerge w:val="restart"/>
            <w:shd w:val="clear" w:color="auto" w:fill="BEBEBE"/>
          </w:tcPr>
          <w:p>
            <w:pPr>
              <w:pStyle w:val="TableParagraph"/>
              <w:spacing w:line="272" w:lineRule="exact"/>
              <w:ind w:left="0" w:right="2"/>
              <w:jc w:val="center"/>
              <w:rPr>
                <w:b/>
                <w:sz w:val="24"/>
              </w:rPr>
            </w:pPr>
            <w:r>
              <w:rPr>
                <w:b/>
                <w:w w:val="99"/>
                <w:sz w:val="24"/>
              </w:rPr>
              <w:t>C</w:t>
            </w:r>
          </w:p>
        </w:tc>
        <w:tc>
          <w:tcPr>
            <w:tcW w:w="1135" w:type="dxa"/>
            <w:vMerge/>
            <w:tcBorders>
              <w:bottom w:val="single" w:sz="4" w:space="0" w:color="FFFFFF"/>
            </w:tcBorders>
            <w:shd w:val="clear" w:color="auto" w:fill="BEBEBE"/>
          </w:tcPr>
          <w:p>
            <w:pPr/>
          </w:p>
        </w:tc>
        <w:tc>
          <w:tcPr>
            <w:tcW w:w="1133" w:type="dxa"/>
            <w:vMerge/>
            <w:tcBorders>
              <w:bottom w:val="single" w:sz="4" w:space="0" w:color="FFFFFF"/>
            </w:tcBorders>
            <w:shd w:val="clear" w:color="auto" w:fill="BEBEBE"/>
          </w:tcPr>
          <w:p>
            <w:pPr/>
          </w:p>
        </w:tc>
      </w:tr>
      <w:tr>
        <w:trPr>
          <w:trHeight w:val="583" w:hRule="exact"/>
        </w:trPr>
        <w:tc>
          <w:tcPr>
            <w:tcW w:w="1277" w:type="dxa"/>
            <w:vMerge/>
            <w:shd w:val="clear" w:color="auto" w:fill="BEBEBE"/>
          </w:tcPr>
          <w:p>
            <w:pPr/>
          </w:p>
        </w:tc>
        <w:tc>
          <w:tcPr>
            <w:tcW w:w="991" w:type="dxa"/>
            <w:tcBorders>
              <w:bottom w:val="nil"/>
            </w:tcBorders>
          </w:tcPr>
          <w:p>
            <w:pPr>
              <w:pStyle w:val="TableParagraph"/>
              <w:ind w:left="266" w:right="185" w:hanging="68"/>
              <w:rPr>
                <w:b/>
                <w:sz w:val="20"/>
              </w:rPr>
            </w:pPr>
            <w:r>
              <w:rPr>
                <w:b/>
                <w:sz w:val="20"/>
              </w:rPr>
              <w:t>CG37/</w:t>
            </w:r>
            <w:r>
              <w:rPr>
                <w:b/>
                <w:w w:val="99"/>
                <w:sz w:val="20"/>
              </w:rPr>
              <w:t> </w:t>
            </w:r>
            <w:r>
              <w:rPr>
                <w:b/>
                <w:sz w:val="20"/>
              </w:rPr>
              <w:t>2007</w:t>
            </w:r>
          </w:p>
        </w:tc>
        <w:tc>
          <w:tcPr>
            <w:tcW w:w="993" w:type="dxa"/>
            <w:tcBorders>
              <w:bottom w:val="single" w:sz="42" w:space="0" w:color="000000"/>
            </w:tcBorders>
          </w:tcPr>
          <w:p>
            <w:pPr>
              <w:pStyle w:val="TableParagraph"/>
              <w:ind w:left="269" w:right="184" w:hanging="68"/>
              <w:rPr>
                <w:b/>
                <w:sz w:val="20"/>
              </w:rPr>
            </w:pPr>
            <w:r>
              <w:rPr>
                <w:b/>
                <w:sz w:val="20"/>
              </w:rPr>
              <w:t>CG37/</w:t>
            </w:r>
            <w:r>
              <w:rPr>
                <w:b/>
                <w:w w:val="99"/>
                <w:sz w:val="20"/>
              </w:rPr>
              <w:t> </w:t>
            </w:r>
            <w:r>
              <w:rPr>
                <w:b/>
                <w:sz w:val="20"/>
              </w:rPr>
              <w:t>2007</w:t>
            </w:r>
          </w:p>
        </w:tc>
        <w:tc>
          <w:tcPr>
            <w:tcW w:w="1134" w:type="dxa"/>
            <w:vMerge/>
            <w:shd w:val="clear" w:color="auto" w:fill="BEBEBE"/>
          </w:tcPr>
          <w:p>
            <w:pPr/>
          </w:p>
        </w:tc>
        <w:tc>
          <w:tcPr>
            <w:tcW w:w="1136" w:type="dxa"/>
            <w:vMerge/>
            <w:shd w:val="clear" w:color="auto" w:fill="BEBEBE"/>
          </w:tcPr>
          <w:p>
            <w:pPr/>
          </w:p>
        </w:tc>
        <w:tc>
          <w:tcPr>
            <w:tcW w:w="1133" w:type="dxa"/>
            <w:vMerge/>
            <w:shd w:val="clear" w:color="auto" w:fill="BEBEBE"/>
          </w:tcPr>
          <w:p>
            <w:pPr/>
          </w:p>
        </w:tc>
        <w:tc>
          <w:tcPr>
            <w:tcW w:w="1135" w:type="dxa"/>
            <w:tcBorders>
              <w:top w:val="single" w:sz="4" w:space="0" w:color="FFFFFF"/>
            </w:tcBorders>
            <w:shd w:val="clear" w:color="auto" w:fill="BEBEBE"/>
          </w:tcPr>
          <w:p>
            <w:pPr/>
          </w:p>
        </w:tc>
        <w:tc>
          <w:tcPr>
            <w:tcW w:w="1133" w:type="dxa"/>
            <w:tcBorders>
              <w:top w:val="single" w:sz="4" w:space="0" w:color="FFFFFF"/>
            </w:tcBorders>
            <w:shd w:val="clear" w:color="auto" w:fill="BEBEBE"/>
          </w:tcPr>
          <w:p>
            <w:pPr/>
          </w:p>
        </w:tc>
      </w:tr>
      <w:tr>
        <w:trPr>
          <w:trHeight w:val="930" w:hRule="exact"/>
        </w:trPr>
        <w:tc>
          <w:tcPr>
            <w:tcW w:w="1277" w:type="dxa"/>
            <w:vMerge w:val="restart"/>
            <w:shd w:val="clear" w:color="auto" w:fill="A6A6A6"/>
          </w:tcPr>
          <w:p>
            <w:pPr>
              <w:pStyle w:val="TableParagraph"/>
              <w:spacing w:line="228" w:lineRule="exact" w:before="1"/>
              <w:ind w:right="190"/>
              <w:rPr>
                <w:b/>
                <w:sz w:val="20"/>
              </w:rPr>
            </w:pPr>
            <w:r>
              <w:rPr>
                <w:b/>
                <w:w w:val="95"/>
                <w:sz w:val="20"/>
              </w:rPr>
              <w:t>CG96/ </w:t>
            </w:r>
            <w:r>
              <w:rPr>
                <w:b/>
                <w:sz w:val="20"/>
              </w:rPr>
              <w:t>2008</w:t>
            </w:r>
          </w:p>
        </w:tc>
        <w:tc>
          <w:tcPr>
            <w:tcW w:w="991" w:type="dxa"/>
            <w:vMerge w:val="restart"/>
            <w:tcBorders>
              <w:top w:val="nil"/>
              <w:left w:val="single" w:sz="41" w:space="0" w:color="A6A6A6"/>
              <w:right w:val="single" w:sz="41" w:space="0" w:color="A6A6A6"/>
            </w:tcBorders>
          </w:tcPr>
          <w:p>
            <w:pPr/>
          </w:p>
        </w:tc>
        <w:tc>
          <w:tcPr>
            <w:tcW w:w="993" w:type="dxa"/>
            <w:vMerge w:val="restart"/>
            <w:tcBorders>
              <w:top w:val="single" w:sz="42" w:space="0" w:color="000000"/>
            </w:tcBorders>
            <w:shd w:val="clear" w:color="auto" w:fill="A6A6A6"/>
          </w:tcPr>
          <w:p>
            <w:pPr>
              <w:pStyle w:val="TableParagraph"/>
              <w:spacing w:line="177" w:lineRule="exact"/>
              <w:rPr>
                <w:b/>
                <w:sz w:val="20"/>
              </w:rPr>
            </w:pPr>
            <w:r>
              <w:rPr>
                <w:b/>
                <w:sz w:val="20"/>
              </w:rPr>
              <w:t>CG96/</w:t>
            </w:r>
          </w:p>
          <w:p>
            <w:pPr>
              <w:pStyle w:val="TableParagraph"/>
              <w:spacing w:line="229" w:lineRule="exact"/>
              <w:rPr>
                <w:b/>
                <w:sz w:val="20"/>
              </w:rPr>
            </w:pPr>
            <w:r>
              <w:rPr>
                <w:b/>
                <w:sz w:val="20"/>
              </w:rPr>
              <w:t>2008</w:t>
            </w:r>
          </w:p>
        </w:tc>
        <w:tc>
          <w:tcPr>
            <w:tcW w:w="1134" w:type="dxa"/>
            <w:tcBorders>
              <w:left w:val="thickThinMediumGap" w:sz="23" w:space="0" w:color="A6A6A6"/>
            </w:tcBorders>
          </w:tcPr>
          <w:p>
            <w:pPr>
              <w:pStyle w:val="TableParagraph"/>
              <w:spacing w:line="228" w:lineRule="exact" w:before="1"/>
              <w:ind w:left="51" w:right="144"/>
              <w:rPr>
                <w:b/>
                <w:sz w:val="20"/>
              </w:rPr>
            </w:pPr>
            <w:r>
              <w:rPr>
                <w:b/>
                <w:sz w:val="20"/>
              </w:rPr>
              <w:t>CG21/ 2008SUP</w:t>
            </w:r>
          </w:p>
          <w:p>
            <w:pPr>
              <w:pStyle w:val="TableParagraph"/>
              <w:ind w:left="51" w:right="144"/>
              <w:rPr>
                <w:b/>
                <w:sz w:val="20"/>
              </w:rPr>
            </w:pPr>
            <w:r>
              <w:rPr>
                <w:b/>
                <w:sz w:val="20"/>
              </w:rPr>
              <w:t>-RAP- </w:t>
            </w:r>
            <w:r>
              <w:rPr>
                <w:b/>
                <w:w w:val="95"/>
                <w:sz w:val="20"/>
              </w:rPr>
              <w:t>48/2007</w:t>
            </w:r>
          </w:p>
        </w:tc>
        <w:tc>
          <w:tcPr>
            <w:tcW w:w="1136" w:type="dxa"/>
            <w:tcBorders>
              <w:right w:val="single" w:sz="40" w:space="0" w:color="A6A6A6"/>
            </w:tcBorders>
          </w:tcPr>
          <w:p>
            <w:pPr>
              <w:pStyle w:val="TableParagraph"/>
              <w:spacing w:line="228" w:lineRule="exact" w:before="1"/>
              <w:rPr>
                <w:b/>
                <w:sz w:val="20"/>
              </w:rPr>
            </w:pPr>
            <w:r>
              <w:rPr>
                <w:b/>
                <w:sz w:val="20"/>
              </w:rPr>
              <w:t>CG33/ </w:t>
            </w:r>
            <w:r>
              <w:rPr>
                <w:b/>
                <w:w w:val="95"/>
                <w:sz w:val="20"/>
              </w:rPr>
              <w:t>2008SUP</w:t>
            </w:r>
          </w:p>
          <w:p>
            <w:pPr>
              <w:pStyle w:val="TableParagraph"/>
              <w:rPr>
                <w:b/>
                <w:sz w:val="20"/>
              </w:rPr>
            </w:pPr>
            <w:r>
              <w:rPr>
                <w:b/>
                <w:sz w:val="20"/>
              </w:rPr>
              <w:t>-RAP- </w:t>
            </w:r>
            <w:r>
              <w:rPr>
                <w:b/>
                <w:w w:val="95"/>
                <w:sz w:val="20"/>
              </w:rPr>
              <w:t>47/2007</w:t>
            </w:r>
          </w:p>
        </w:tc>
        <w:tc>
          <w:tcPr>
            <w:tcW w:w="1133" w:type="dxa"/>
            <w:vMerge w:val="restart"/>
            <w:shd w:val="clear" w:color="auto" w:fill="A6A6A6"/>
          </w:tcPr>
          <w:p>
            <w:pPr>
              <w:pStyle w:val="TableParagraph"/>
              <w:spacing w:line="228" w:lineRule="exact" w:before="1"/>
              <w:ind w:left="100" w:right="101"/>
              <w:rPr>
                <w:b/>
                <w:sz w:val="20"/>
              </w:rPr>
            </w:pPr>
            <w:r>
              <w:rPr>
                <w:b/>
                <w:w w:val="95"/>
                <w:sz w:val="20"/>
              </w:rPr>
              <w:t>CG96/ </w:t>
            </w:r>
            <w:r>
              <w:rPr>
                <w:b/>
                <w:sz w:val="20"/>
              </w:rPr>
              <w:t>2008</w:t>
            </w:r>
          </w:p>
        </w:tc>
        <w:tc>
          <w:tcPr>
            <w:tcW w:w="1135" w:type="dxa"/>
            <w:vMerge w:val="restart"/>
            <w:tcBorders>
              <w:left w:val="single" w:sz="41" w:space="0" w:color="A6A6A6"/>
              <w:right w:val="single" w:sz="41" w:space="0" w:color="A6A6A6"/>
            </w:tcBorders>
          </w:tcPr>
          <w:p>
            <w:pPr>
              <w:pStyle w:val="TableParagraph"/>
              <w:spacing w:line="228" w:lineRule="exact" w:before="1"/>
              <w:ind w:left="56" w:right="99"/>
              <w:rPr>
                <w:b/>
                <w:sz w:val="20"/>
              </w:rPr>
            </w:pPr>
            <w:r>
              <w:rPr>
                <w:b/>
                <w:sz w:val="20"/>
              </w:rPr>
              <w:t>CG20/ 2008SUP</w:t>
            </w:r>
          </w:p>
          <w:p>
            <w:pPr>
              <w:pStyle w:val="TableParagraph"/>
              <w:ind w:left="56" w:right="99"/>
              <w:rPr>
                <w:b/>
                <w:sz w:val="20"/>
              </w:rPr>
            </w:pPr>
            <w:r>
              <w:rPr>
                <w:b/>
                <w:sz w:val="20"/>
              </w:rPr>
              <w:t>-RAP- </w:t>
            </w:r>
            <w:r>
              <w:rPr>
                <w:b/>
                <w:w w:val="95"/>
                <w:sz w:val="20"/>
              </w:rPr>
              <w:t>46/2007</w:t>
            </w:r>
          </w:p>
        </w:tc>
        <w:tc>
          <w:tcPr>
            <w:tcW w:w="1133" w:type="dxa"/>
            <w:vMerge w:val="restart"/>
            <w:shd w:val="clear" w:color="auto" w:fill="A6A6A6"/>
          </w:tcPr>
          <w:p>
            <w:pPr>
              <w:pStyle w:val="TableParagraph"/>
              <w:spacing w:line="228" w:lineRule="exact" w:before="1"/>
              <w:ind w:right="111"/>
              <w:rPr>
                <w:b/>
                <w:sz w:val="20"/>
              </w:rPr>
            </w:pPr>
            <w:r>
              <w:rPr>
                <w:b/>
                <w:w w:val="95"/>
                <w:sz w:val="20"/>
              </w:rPr>
              <w:t>CG96/ </w:t>
            </w:r>
            <w:r>
              <w:rPr>
                <w:b/>
                <w:sz w:val="20"/>
              </w:rPr>
              <w:t>2008</w:t>
            </w:r>
          </w:p>
        </w:tc>
      </w:tr>
      <w:tr>
        <w:trPr>
          <w:trHeight w:val="475" w:hRule="exact"/>
        </w:trPr>
        <w:tc>
          <w:tcPr>
            <w:tcW w:w="1277" w:type="dxa"/>
            <w:vMerge/>
            <w:shd w:val="clear" w:color="auto" w:fill="A6A6A6"/>
          </w:tcPr>
          <w:p>
            <w:pPr/>
          </w:p>
        </w:tc>
        <w:tc>
          <w:tcPr>
            <w:tcW w:w="991" w:type="dxa"/>
            <w:vMerge/>
            <w:tcBorders>
              <w:left w:val="single" w:sz="41" w:space="0" w:color="A6A6A6"/>
              <w:right w:val="single" w:sz="41" w:space="0" w:color="A6A6A6"/>
            </w:tcBorders>
          </w:tcPr>
          <w:p>
            <w:pPr/>
          </w:p>
        </w:tc>
        <w:tc>
          <w:tcPr>
            <w:tcW w:w="993" w:type="dxa"/>
            <w:vMerge/>
            <w:shd w:val="clear" w:color="auto" w:fill="A6A6A6"/>
          </w:tcPr>
          <w:p>
            <w:pPr/>
          </w:p>
        </w:tc>
        <w:tc>
          <w:tcPr>
            <w:tcW w:w="1134" w:type="dxa"/>
            <w:tcBorders>
              <w:bottom w:val="nil"/>
            </w:tcBorders>
          </w:tcPr>
          <w:p>
            <w:pPr>
              <w:pStyle w:val="TableParagraph"/>
              <w:ind w:left="104"/>
              <w:rPr>
                <w:b/>
                <w:sz w:val="20"/>
              </w:rPr>
            </w:pPr>
            <w:r>
              <w:rPr>
                <w:b/>
                <w:w w:val="95"/>
                <w:sz w:val="20"/>
              </w:rPr>
              <w:t>CG329/ </w:t>
            </w:r>
            <w:r>
              <w:rPr>
                <w:b/>
                <w:sz w:val="20"/>
              </w:rPr>
              <w:t>2008</w:t>
            </w:r>
          </w:p>
        </w:tc>
        <w:tc>
          <w:tcPr>
            <w:tcW w:w="1136" w:type="dxa"/>
          </w:tcPr>
          <w:p>
            <w:pPr>
              <w:pStyle w:val="TableParagraph"/>
              <w:rPr>
                <w:b/>
                <w:sz w:val="20"/>
              </w:rPr>
            </w:pPr>
            <w:r>
              <w:rPr>
                <w:b/>
                <w:w w:val="95"/>
                <w:sz w:val="20"/>
              </w:rPr>
              <w:t>CG330/ </w:t>
            </w:r>
            <w:r>
              <w:rPr>
                <w:b/>
                <w:sz w:val="20"/>
              </w:rPr>
              <w:t>2008</w:t>
            </w:r>
          </w:p>
        </w:tc>
        <w:tc>
          <w:tcPr>
            <w:tcW w:w="1133" w:type="dxa"/>
            <w:vMerge/>
            <w:shd w:val="clear" w:color="auto" w:fill="A6A6A6"/>
          </w:tcPr>
          <w:p>
            <w:pPr/>
          </w:p>
        </w:tc>
        <w:tc>
          <w:tcPr>
            <w:tcW w:w="1135" w:type="dxa"/>
            <w:vMerge/>
            <w:tcBorders>
              <w:left w:val="single" w:sz="41" w:space="0" w:color="A6A6A6"/>
              <w:right w:val="single" w:sz="41" w:space="0" w:color="A6A6A6"/>
            </w:tcBorders>
          </w:tcPr>
          <w:p>
            <w:pPr/>
          </w:p>
        </w:tc>
        <w:tc>
          <w:tcPr>
            <w:tcW w:w="1133" w:type="dxa"/>
            <w:vMerge/>
            <w:shd w:val="clear" w:color="auto" w:fill="A6A6A6"/>
          </w:tcPr>
          <w:p>
            <w:pPr/>
          </w:p>
        </w:tc>
      </w:tr>
      <w:tr>
        <w:trPr>
          <w:trHeight w:val="557" w:hRule="exact"/>
        </w:trPr>
        <w:tc>
          <w:tcPr>
            <w:tcW w:w="1277" w:type="dxa"/>
            <w:shd w:val="clear" w:color="auto" w:fill="F1F1F1"/>
          </w:tcPr>
          <w:p>
            <w:pPr>
              <w:pStyle w:val="TableParagraph"/>
              <w:spacing w:line="176" w:lineRule="exact"/>
              <w:ind w:right="190"/>
              <w:rPr>
                <w:sz w:val="16"/>
              </w:rPr>
            </w:pPr>
            <w:r>
              <w:rPr>
                <w:sz w:val="16"/>
              </w:rPr>
              <w:t>a) 1.53%</w:t>
            </w:r>
          </w:p>
        </w:tc>
        <w:tc>
          <w:tcPr>
            <w:tcW w:w="991" w:type="dxa"/>
            <w:shd w:val="clear" w:color="auto" w:fill="F1F1F1"/>
          </w:tcPr>
          <w:p>
            <w:pPr>
              <w:pStyle w:val="TableParagraph"/>
              <w:spacing w:line="176" w:lineRule="exact"/>
              <w:ind w:left="100" w:right="98"/>
              <w:rPr>
                <w:sz w:val="16"/>
              </w:rPr>
            </w:pPr>
            <w:r>
              <w:rPr>
                <w:sz w:val="16"/>
              </w:rPr>
              <w:t>a) 6.49%</w:t>
            </w:r>
          </w:p>
        </w:tc>
        <w:tc>
          <w:tcPr>
            <w:tcW w:w="993" w:type="dxa"/>
            <w:shd w:val="clear" w:color="auto" w:fill="F1F1F1"/>
          </w:tcPr>
          <w:p>
            <w:pPr>
              <w:pStyle w:val="TableParagraph"/>
              <w:spacing w:line="176" w:lineRule="exact"/>
              <w:rPr>
                <w:sz w:val="16"/>
              </w:rPr>
            </w:pPr>
            <w:r>
              <w:rPr>
                <w:sz w:val="16"/>
              </w:rPr>
              <w:t>a) 4.68%</w:t>
            </w:r>
          </w:p>
        </w:tc>
        <w:tc>
          <w:tcPr>
            <w:tcW w:w="1134" w:type="dxa"/>
            <w:tcBorders>
              <w:top w:val="nil"/>
            </w:tcBorders>
            <w:shd w:val="clear" w:color="auto" w:fill="F1F1F1"/>
          </w:tcPr>
          <w:p>
            <w:pPr>
              <w:pStyle w:val="TableParagraph"/>
              <w:spacing w:line="180" w:lineRule="exact"/>
              <w:ind w:left="104"/>
              <w:rPr>
                <w:sz w:val="16"/>
              </w:rPr>
            </w:pPr>
            <w:r>
              <w:rPr>
                <w:sz w:val="16"/>
              </w:rPr>
              <w:t>a) 5.85%</w:t>
            </w:r>
          </w:p>
        </w:tc>
        <w:tc>
          <w:tcPr>
            <w:tcW w:w="1136" w:type="dxa"/>
            <w:shd w:val="clear" w:color="auto" w:fill="F1F1F1"/>
          </w:tcPr>
          <w:p>
            <w:pPr>
              <w:pStyle w:val="TableParagraph"/>
              <w:spacing w:line="176" w:lineRule="exact"/>
              <w:rPr>
                <w:sz w:val="16"/>
              </w:rPr>
            </w:pPr>
            <w:r>
              <w:rPr>
                <w:sz w:val="16"/>
              </w:rPr>
              <w:t>a) 4.62%</w:t>
            </w:r>
          </w:p>
        </w:tc>
        <w:tc>
          <w:tcPr>
            <w:tcW w:w="1133" w:type="dxa"/>
            <w:shd w:val="clear" w:color="auto" w:fill="F1F1F1"/>
          </w:tcPr>
          <w:p>
            <w:pPr>
              <w:pStyle w:val="TableParagraph"/>
              <w:spacing w:line="176" w:lineRule="exact"/>
              <w:ind w:left="100" w:right="101"/>
              <w:rPr>
                <w:sz w:val="16"/>
              </w:rPr>
            </w:pPr>
            <w:r>
              <w:rPr>
                <w:sz w:val="16"/>
              </w:rPr>
              <w:t>a) 4.81%</w:t>
            </w:r>
          </w:p>
        </w:tc>
        <w:tc>
          <w:tcPr>
            <w:tcW w:w="1135" w:type="dxa"/>
            <w:shd w:val="clear" w:color="auto" w:fill="F1F1F1"/>
          </w:tcPr>
          <w:p>
            <w:pPr>
              <w:pStyle w:val="TableParagraph"/>
              <w:spacing w:line="176" w:lineRule="exact"/>
              <w:ind w:right="101"/>
              <w:rPr>
                <w:sz w:val="16"/>
              </w:rPr>
            </w:pPr>
            <w:r>
              <w:rPr>
                <w:sz w:val="16"/>
              </w:rPr>
              <w:t>a) 1%</w:t>
            </w:r>
          </w:p>
        </w:tc>
        <w:tc>
          <w:tcPr>
            <w:tcW w:w="1133" w:type="dxa"/>
            <w:shd w:val="clear" w:color="auto" w:fill="F1F1F1"/>
          </w:tcPr>
          <w:p>
            <w:pPr>
              <w:pStyle w:val="TableParagraph"/>
              <w:ind w:right="227"/>
              <w:rPr>
                <w:sz w:val="16"/>
              </w:rPr>
            </w:pPr>
            <w:r>
              <w:rPr>
                <w:sz w:val="16"/>
              </w:rPr>
              <w:t>a) Amonesta- ción</w:t>
            </w:r>
          </w:p>
        </w:tc>
      </w:tr>
      <w:tr>
        <w:trPr>
          <w:trHeight w:val="194" w:hRule="exact"/>
        </w:trPr>
        <w:tc>
          <w:tcPr>
            <w:tcW w:w="1277" w:type="dxa"/>
            <w:shd w:val="clear" w:color="auto" w:fill="F1F1F1"/>
          </w:tcPr>
          <w:p>
            <w:pPr>
              <w:pStyle w:val="TableParagraph"/>
              <w:spacing w:line="180" w:lineRule="exact"/>
              <w:ind w:right="190"/>
              <w:rPr>
                <w:sz w:val="16"/>
              </w:rPr>
            </w:pPr>
            <w:r>
              <w:rPr>
                <w:sz w:val="16"/>
              </w:rPr>
              <w:t>b) 1100</w:t>
            </w:r>
          </w:p>
        </w:tc>
        <w:tc>
          <w:tcPr>
            <w:tcW w:w="991" w:type="dxa"/>
            <w:shd w:val="clear" w:color="auto" w:fill="F1F1F1"/>
          </w:tcPr>
          <w:p>
            <w:pPr>
              <w:pStyle w:val="TableParagraph"/>
              <w:spacing w:line="180" w:lineRule="exact"/>
              <w:ind w:left="100" w:right="98"/>
              <w:rPr>
                <w:sz w:val="16"/>
              </w:rPr>
            </w:pPr>
            <w:r>
              <w:rPr>
                <w:sz w:val="16"/>
              </w:rPr>
              <w:t>b) 150</w:t>
            </w:r>
          </w:p>
        </w:tc>
        <w:tc>
          <w:tcPr>
            <w:tcW w:w="993" w:type="dxa"/>
            <w:shd w:val="clear" w:color="auto" w:fill="F1F1F1"/>
          </w:tcPr>
          <w:p>
            <w:pPr>
              <w:pStyle w:val="TableParagraph"/>
              <w:spacing w:line="180" w:lineRule="exact"/>
              <w:rPr>
                <w:sz w:val="16"/>
              </w:rPr>
            </w:pPr>
            <w:r>
              <w:rPr>
                <w:sz w:val="16"/>
              </w:rPr>
              <w:t>b) 50</w:t>
            </w:r>
          </w:p>
        </w:tc>
        <w:tc>
          <w:tcPr>
            <w:tcW w:w="1134" w:type="dxa"/>
            <w:shd w:val="clear" w:color="auto" w:fill="F1F1F1"/>
          </w:tcPr>
          <w:p>
            <w:pPr>
              <w:pStyle w:val="TableParagraph"/>
              <w:spacing w:line="180" w:lineRule="exact"/>
              <w:ind w:left="104"/>
              <w:rPr>
                <w:sz w:val="16"/>
              </w:rPr>
            </w:pPr>
            <w:r>
              <w:rPr>
                <w:sz w:val="16"/>
              </w:rPr>
              <w:t>b) 2900</w:t>
            </w:r>
          </w:p>
        </w:tc>
        <w:tc>
          <w:tcPr>
            <w:tcW w:w="1136" w:type="dxa"/>
            <w:shd w:val="clear" w:color="auto" w:fill="F1F1F1"/>
          </w:tcPr>
          <w:p>
            <w:pPr>
              <w:pStyle w:val="TableParagraph"/>
              <w:spacing w:line="180" w:lineRule="exact"/>
              <w:rPr>
                <w:sz w:val="16"/>
              </w:rPr>
            </w:pPr>
            <w:r>
              <w:rPr>
                <w:sz w:val="16"/>
              </w:rPr>
              <w:t>b) 1050</w:t>
            </w:r>
          </w:p>
        </w:tc>
        <w:tc>
          <w:tcPr>
            <w:tcW w:w="1133" w:type="dxa"/>
            <w:shd w:val="clear" w:color="auto" w:fill="F1F1F1"/>
          </w:tcPr>
          <w:p>
            <w:pPr>
              <w:pStyle w:val="TableParagraph"/>
              <w:spacing w:line="180" w:lineRule="exact"/>
              <w:ind w:left="100" w:right="101"/>
              <w:rPr>
                <w:sz w:val="16"/>
              </w:rPr>
            </w:pPr>
            <w:r>
              <w:rPr>
                <w:sz w:val="16"/>
              </w:rPr>
              <w:t>b) 1050</w:t>
            </w:r>
          </w:p>
        </w:tc>
        <w:tc>
          <w:tcPr>
            <w:tcW w:w="1135" w:type="dxa"/>
            <w:shd w:val="clear" w:color="auto" w:fill="F1F1F1"/>
          </w:tcPr>
          <w:p>
            <w:pPr>
              <w:pStyle w:val="TableParagraph"/>
              <w:spacing w:line="180" w:lineRule="exact"/>
              <w:ind w:right="101"/>
              <w:rPr>
                <w:sz w:val="16"/>
              </w:rPr>
            </w:pPr>
            <w:r>
              <w:rPr>
                <w:sz w:val="16"/>
              </w:rPr>
              <w:t>b) 200</w:t>
            </w:r>
          </w:p>
        </w:tc>
        <w:tc>
          <w:tcPr>
            <w:tcW w:w="1133" w:type="dxa"/>
            <w:shd w:val="clear" w:color="auto" w:fill="F1F1F1"/>
          </w:tcPr>
          <w:p>
            <w:pPr>
              <w:pStyle w:val="TableParagraph"/>
              <w:spacing w:line="180" w:lineRule="exact"/>
              <w:ind w:right="111"/>
              <w:rPr>
                <w:sz w:val="16"/>
              </w:rPr>
            </w:pPr>
            <w:r>
              <w:rPr>
                <w:sz w:val="16"/>
              </w:rPr>
              <w:t>b) 1,700</w:t>
            </w:r>
          </w:p>
        </w:tc>
      </w:tr>
      <w:tr>
        <w:trPr>
          <w:trHeight w:val="193" w:hRule="exact"/>
        </w:trPr>
        <w:tc>
          <w:tcPr>
            <w:tcW w:w="1277" w:type="dxa"/>
            <w:shd w:val="clear" w:color="auto" w:fill="F1F1F1"/>
          </w:tcPr>
          <w:p>
            <w:pPr>
              <w:pStyle w:val="TableParagraph"/>
              <w:spacing w:line="180" w:lineRule="exact"/>
              <w:ind w:right="190"/>
              <w:rPr>
                <w:sz w:val="16"/>
              </w:rPr>
            </w:pPr>
            <w:r>
              <w:rPr>
                <w:sz w:val="16"/>
              </w:rPr>
              <w:t>c) 600</w:t>
            </w:r>
          </w:p>
        </w:tc>
        <w:tc>
          <w:tcPr>
            <w:tcW w:w="991" w:type="dxa"/>
            <w:shd w:val="clear" w:color="auto" w:fill="F1F1F1"/>
          </w:tcPr>
          <w:p>
            <w:pPr>
              <w:pStyle w:val="TableParagraph"/>
              <w:spacing w:line="180" w:lineRule="exact"/>
              <w:ind w:left="100" w:right="98"/>
              <w:rPr>
                <w:sz w:val="16"/>
              </w:rPr>
            </w:pPr>
            <w:r>
              <w:rPr>
                <w:sz w:val="16"/>
              </w:rPr>
              <w:t>c) 0.51%</w:t>
            </w:r>
          </w:p>
        </w:tc>
        <w:tc>
          <w:tcPr>
            <w:tcW w:w="993" w:type="dxa"/>
            <w:shd w:val="clear" w:color="auto" w:fill="F1F1F1"/>
          </w:tcPr>
          <w:p>
            <w:pPr>
              <w:pStyle w:val="TableParagraph"/>
              <w:spacing w:line="180" w:lineRule="exact"/>
              <w:rPr>
                <w:sz w:val="16"/>
              </w:rPr>
            </w:pPr>
            <w:r>
              <w:rPr>
                <w:sz w:val="16"/>
              </w:rPr>
              <w:t>c) 0.37%</w:t>
            </w:r>
          </w:p>
        </w:tc>
        <w:tc>
          <w:tcPr>
            <w:tcW w:w="1134" w:type="dxa"/>
            <w:shd w:val="clear" w:color="auto" w:fill="F1F1F1"/>
          </w:tcPr>
          <w:p>
            <w:pPr>
              <w:pStyle w:val="TableParagraph"/>
              <w:spacing w:line="180" w:lineRule="exact"/>
              <w:ind w:left="104"/>
              <w:rPr>
                <w:sz w:val="16"/>
              </w:rPr>
            </w:pPr>
            <w:r>
              <w:rPr>
                <w:sz w:val="16"/>
              </w:rPr>
              <w:t>c) 890</w:t>
            </w:r>
          </w:p>
        </w:tc>
        <w:tc>
          <w:tcPr>
            <w:tcW w:w="1136" w:type="dxa"/>
            <w:shd w:val="clear" w:color="auto" w:fill="F1F1F1"/>
          </w:tcPr>
          <w:p>
            <w:pPr>
              <w:pStyle w:val="TableParagraph"/>
              <w:spacing w:line="180" w:lineRule="exact"/>
              <w:rPr>
                <w:sz w:val="16"/>
              </w:rPr>
            </w:pPr>
            <w:r>
              <w:rPr>
                <w:sz w:val="16"/>
              </w:rPr>
              <w:t>c) 336</w:t>
            </w:r>
          </w:p>
        </w:tc>
        <w:tc>
          <w:tcPr>
            <w:tcW w:w="1133" w:type="dxa"/>
            <w:shd w:val="clear" w:color="auto" w:fill="F1F1F1"/>
          </w:tcPr>
          <w:p>
            <w:pPr>
              <w:pStyle w:val="TableParagraph"/>
              <w:spacing w:line="180" w:lineRule="exact"/>
              <w:ind w:left="100" w:right="101"/>
              <w:rPr>
                <w:sz w:val="16"/>
              </w:rPr>
            </w:pPr>
            <w:r>
              <w:rPr>
                <w:sz w:val="16"/>
              </w:rPr>
              <w:t>c) 330</w:t>
            </w:r>
          </w:p>
        </w:tc>
        <w:tc>
          <w:tcPr>
            <w:tcW w:w="1135" w:type="dxa"/>
            <w:shd w:val="clear" w:color="auto" w:fill="F1F1F1"/>
          </w:tcPr>
          <w:p>
            <w:pPr>
              <w:pStyle w:val="TableParagraph"/>
              <w:spacing w:line="180" w:lineRule="exact"/>
              <w:ind w:right="101"/>
              <w:rPr>
                <w:sz w:val="16"/>
              </w:rPr>
            </w:pPr>
            <w:r>
              <w:rPr>
                <w:sz w:val="16"/>
              </w:rPr>
              <w:t>c) 250</w:t>
            </w:r>
          </w:p>
        </w:tc>
        <w:tc>
          <w:tcPr>
            <w:tcW w:w="1133" w:type="dxa"/>
            <w:shd w:val="clear" w:color="auto" w:fill="F1F1F1"/>
          </w:tcPr>
          <w:p>
            <w:pPr>
              <w:pStyle w:val="TableParagraph"/>
              <w:spacing w:line="180" w:lineRule="exact"/>
              <w:ind w:right="111"/>
              <w:rPr>
                <w:sz w:val="16"/>
              </w:rPr>
            </w:pPr>
            <w:r>
              <w:rPr>
                <w:sz w:val="16"/>
              </w:rPr>
              <w:t>c) 1000</w:t>
            </w:r>
          </w:p>
        </w:tc>
      </w:tr>
      <w:tr>
        <w:trPr>
          <w:trHeight w:val="193" w:hRule="exact"/>
        </w:trPr>
        <w:tc>
          <w:tcPr>
            <w:tcW w:w="1277" w:type="dxa"/>
            <w:shd w:val="clear" w:color="auto" w:fill="F1F1F1"/>
          </w:tcPr>
          <w:p>
            <w:pPr>
              <w:pStyle w:val="TableParagraph"/>
              <w:spacing w:line="182" w:lineRule="exact"/>
              <w:ind w:right="190"/>
              <w:rPr>
                <w:sz w:val="16"/>
              </w:rPr>
            </w:pPr>
            <w:r>
              <w:rPr>
                <w:sz w:val="16"/>
              </w:rPr>
              <w:t>d) 2,500</w:t>
            </w:r>
          </w:p>
        </w:tc>
        <w:tc>
          <w:tcPr>
            <w:tcW w:w="991" w:type="dxa"/>
            <w:shd w:val="clear" w:color="auto" w:fill="F1F1F1"/>
          </w:tcPr>
          <w:p>
            <w:pPr>
              <w:pStyle w:val="TableParagraph"/>
              <w:spacing w:line="182" w:lineRule="exact"/>
              <w:ind w:left="100" w:right="98"/>
              <w:rPr>
                <w:sz w:val="16"/>
              </w:rPr>
            </w:pPr>
            <w:r>
              <w:rPr>
                <w:sz w:val="16"/>
              </w:rPr>
              <w:t>d) 0.69%</w:t>
            </w:r>
          </w:p>
        </w:tc>
        <w:tc>
          <w:tcPr>
            <w:tcW w:w="993" w:type="dxa"/>
            <w:shd w:val="clear" w:color="auto" w:fill="F1F1F1"/>
          </w:tcPr>
          <w:p>
            <w:pPr>
              <w:pStyle w:val="TableParagraph"/>
              <w:spacing w:line="182" w:lineRule="exact"/>
              <w:rPr>
                <w:sz w:val="16"/>
              </w:rPr>
            </w:pPr>
            <w:r>
              <w:rPr>
                <w:sz w:val="16"/>
              </w:rPr>
              <w:t>d) 0.50%</w:t>
            </w:r>
          </w:p>
        </w:tc>
        <w:tc>
          <w:tcPr>
            <w:tcW w:w="1134" w:type="dxa"/>
            <w:shd w:val="clear" w:color="auto" w:fill="F1F1F1"/>
          </w:tcPr>
          <w:p>
            <w:pPr>
              <w:pStyle w:val="TableParagraph"/>
              <w:spacing w:line="182" w:lineRule="exact"/>
              <w:ind w:left="104"/>
              <w:rPr>
                <w:sz w:val="16"/>
              </w:rPr>
            </w:pPr>
            <w:r>
              <w:rPr>
                <w:sz w:val="16"/>
              </w:rPr>
              <w:t>d) 2,310</w:t>
            </w:r>
          </w:p>
        </w:tc>
        <w:tc>
          <w:tcPr>
            <w:tcW w:w="1136" w:type="dxa"/>
            <w:shd w:val="clear" w:color="auto" w:fill="F1F1F1"/>
          </w:tcPr>
          <w:p>
            <w:pPr>
              <w:pStyle w:val="TableParagraph"/>
              <w:spacing w:line="182" w:lineRule="exact"/>
              <w:rPr>
                <w:sz w:val="16"/>
              </w:rPr>
            </w:pPr>
            <w:r>
              <w:rPr>
                <w:sz w:val="16"/>
              </w:rPr>
              <w:t>d) 865</w:t>
            </w:r>
          </w:p>
        </w:tc>
        <w:tc>
          <w:tcPr>
            <w:tcW w:w="1133" w:type="dxa"/>
            <w:shd w:val="clear" w:color="auto" w:fill="F1F1F1"/>
          </w:tcPr>
          <w:p>
            <w:pPr>
              <w:pStyle w:val="TableParagraph"/>
              <w:spacing w:line="182" w:lineRule="exact"/>
              <w:ind w:left="100" w:right="101"/>
              <w:rPr>
                <w:sz w:val="16"/>
              </w:rPr>
            </w:pPr>
            <w:r>
              <w:rPr>
                <w:sz w:val="16"/>
              </w:rPr>
              <w:t>d) 852</w:t>
            </w:r>
          </w:p>
        </w:tc>
        <w:tc>
          <w:tcPr>
            <w:tcW w:w="1135" w:type="dxa"/>
            <w:shd w:val="clear" w:color="auto" w:fill="F1F1F1"/>
          </w:tcPr>
          <w:p>
            <w:pPr>
              <w:pStyle w:val="TableParagraph"/>
              <w:spacing w:line="182" w:lineRule="exact"/>
              <w:ind w:right="101"/>
              <w:rPr>
                <w:sz w:val="16"/>
              </w:rPr>
            </w:pPr>
            <w:r>
              <w:rPr>
                <w:sz w:val="16"/>
              </w:rPr>
              <w:t>d) 350</w:t>
            </w:r>
          </w:p>
        </w:tc>
        <w:tc>
          <w:tcPr>
            <w:tcW w:w="1133" w:type="dxa"/>
            <w:shd w:val="clear" w:color="auto" w:fill="F1F1F1"/>
          </w:tcPr>
          <w:p>
            <w:pPr>
              <w:pStyle w:val="TableParagraph"/>
              <w:spacing w:line="182" w:lineRule="exact"/>
              <w:ind w:right="111"/>
              <w:rPr>
                <w:sz w:val="16"/>
              </w:rPr>
            </w:pPr>
            <w:r>
              <w:rPr>
                <w:sz w:val="16"/>
              </w:rPr>
              <w:t>d) 140</w:t>
            </w:r>
          </w:p>
        </w:tc>
      </w:tr>
      <w:tr>
        <w:trPr>
          <w:trHeight w:val="563" w:hRule="exact"/>
        </w:trPr>
        <w:tc>
          <w:tcPr>
            <w:tcW w:w="1277" w:type="dxa"/>
            <w:shd w:val="clear" w:color="auto" w:fill="F1F1F1"/>
          </w:tcPr>
          <w:p>
            <w:pPr>
              <w:pStyle w:val="TableParagraph"/>
              <w:spacing w:line="180" w:lineRule="exact"/>
              <w:ind w:right="190"/>
              <w:rPr>
                <w:sz w:val="16"/>
              </w:rPr>
            </w:pPr>
            <w:r>
              <w:rPr>
                <w:sz w:val="16"/>
              </w:rPr>
              <w:t>e) 0.07%</w:t>
            </w:r>
          </w:p>
        </w:tc>
        <w:tc>
          <w:tcPr>
            <w:tcW w:w="991" w:type="dxa"/>
            <w:tcBorders>
              <w:right w:val="single" w:sz="45" w:space="0" w:color="A6A6A6"/>
            </w:tcBorders>
            <w:shd w:val="clear" w:color="auto" w:fill="F1F1F1"/>
          </w:tcPr>
          <w:p>
            <w:pPr>
              <w:pStyle w:val="TableParagraph"/>
              <w:tabs>
                <w:tab w:pos="707" w:val="left" w:leader="none"/>
              </w:tabs>
              <w:spacing w:line="180" w:lineRule="exact"/>
              <w:ind w:left="100"/>
              <w:rPr>
                <w:sz w:val="16"/>
              </w:rPr>
            </w:pPr>
            <w:r>
              <w:rPr>
                <w:sz w:val="16"/>
              </w:rPr>
              <w:t>No</w:t>
              <w:tab/>
              <w:t>se</w:t>
            </w:r>
          </w:p>
          <w:p>
            <w:pPr>
              <w:pStyle w:val="TableParagraph"/>
              <w:spacing w:before="1"/>
              <w:ind w:left="100" w:right="89"/>
              <w:rPr>
                <w:sz w:val="16"/>
              </w:rPr>
            </w:pPr>
            <w:r>
              <w:rPr>
                <w:sz w:val="16"/>
              </w:rPr>
              <w:t>estableció inciso e)</w:t>
            </w:r>
          </w:p>
        </w:tc>
        <w:tc>
          <w:tcPr>
            <w:tcW w:w="993" w:type="dxa"/>
            <w:shd w:val="clear" w:color="auto" w:fill="A6A6A6"/>
          </w:tcPr>
          <w:p>
            <w:pPr>
              <w:pStyle w:val="TableParagraph"/>
              <w:spacing w:line="180" w:lineRule="exact"/>
              <w:rPr>
                <w:sz w:val="16"/>
              </w:rPr>
            </w:pPr>
            <w:r>
              <w:rPr>
                <w:sz w:val="16"/>
              </w:rPr>
              <w:t>e) 1%</w:t>
            </w:r>
          </w:p>
        </w:tc>
        <w:tc>
          <w:tcPr>
            <w:tcW w:w="1134" w:type="dxa"/>
            <w:tcBorders>
              <w:left w:val="thickThinMediumGap" w:sz="23" w:space="0" w:color="A6A6A6"/>
            </w:tcBorders>
            <w:shd w:val="clear" w:color="auto" w:fill="F1F1F1"/>
          </w:tcPr>
          <w:p>
            <w:pPr>
              <w:pStyle w:val="TableParagraph"/>
              <w:spacing w:line="180" w:lineRule="exact"/>
              <w:ind w:left="51" w:right="144"/>
              <w:rPr>
                <w:sz w:val="16"/>
              </w:rPr>
            </w:pPr>
            <w:r>
              <w:rPr>
                <w:sz w:val="16"/>
              </w:rPr>
              <w:t>e) 0.55%</w:t>
            </w:r>
          </w:p>
        </w:tc>
        <w:tc>
          <w:tcPr>
            <w:tcW w:w="1136" w:type="dxa"/>
            <w:shd w:val="clear" w:color="auto" w:fill="F1F1F1"/>
          </w:tcPr>
          <w:p>
            <w:pPr>
              <w:pStyle w:val="TableParagraph"/>
              <w:spacing w:line="180" w:lineRule="exact"/>
              <w:rPr>
                <w:sz w:val="16"/>
              </w:rPr>
            </w:pPr>
            <w:r>
              <w:rPr>
                <w:sz w:val="16"/>
              </w:rPr>
              <w:t>e) 0.43%</w:t>
            </w:r>
          </w:p>
        </w:tc>
        <w:tc>
          <w:tcPr>
            <w:tcW w:w="1133" w:type="dxa"/>
            <w:shd w:val="clear" w:color="auto" w:fill="F1F1F1"/>
          </w:tcPr>
          <w:p>
            <w:pPr>
              <w:pStyle w:val="TableParagraph"/>
              <w:spacing w:line="180" w:lineRule="exact"/>
              <w:ind w:left="100" w:right="101"/>
              <w:rPr>
                <w:sz w:val="16"/>
              </w:rPr>
            </w:pPr>
            <w:r>
              <w:rPr>
                <w:sz w:val="16"/>
              </w:rPr>
              <w:t>e) 0.45%</w:t>
            </w:r>
          </w:p>
        </w:tc>
        <w:tc>
          <w:tcPr>
            <w:tcW w:w="1135" w:type="dxa"/>
            <w:shd w:val="clear" w:color="auto" w:fill="F1F1F1"/>
          </w:tcPr>
          <w:p>
            <w:pPr>
              <w:pStyle w:val="TableParagraph"/>
              <w:spacing w:line="180" w:lineRule="exact"/>
              <w:ind w:right="101"/>
              <w:rPr>
                <w:sz w:val="16"/>
              </w:rPr>
            </w:pPr>
            <w:r>
              <w:rPr>
                <w:sz w:val="16"/>
              </w:rPr>
              <w:t>e) 250</w:t>
            </w:r>
          </w:p>
        </w:tc>
        <w:tc>
          <w:tcPr>
            <w:tcW w:w="1133" w:type="dxa"/>
            <w:shd w:val="clear" w:color="auto" w:fill="F1F1F1"/>
          </w:tcPr>
          <w:p>
            <w:pPr>
              <w:pStyle w:val="TableParagraph"/>
              <w:spacing w:line="180" w:lineRule="exact"/>
              <w:ind w:right="111"/>
              <w:rPr>
                <w:sz w:val="16"/>
              </w:rPr>
            </w:pPr>
            <w:r>
              <w:rPr>
                <w:sz w:val="16"/>
              </w:rPr>
              <w:t>e) 2000</w:t>
            </w:r>
          </w:p>
        </w:tc>
      </w:tr>
      <w:tr>
        <w:trPr>
          <w:trHeight w:val="193" w:hRule="exact"/>
        </w:trPr>
        <w:tc>
          <w:tcPr>
            <w:tcW w:w="1277" w:type="dxa"/>
            <w:shd w:val="clear" w:color="auto" w:fill="F1F1F1"/>
          </w:tcPr>
          <w:p>
            <w:pPr>
              <w:pStyle w:val="TableParagraph"/>
              <w:spacing w:line="182" w:lineRule="exact"/>
              <w:ind w:right="190"/>
              <w:rPr>
                <w:sz w:val="16"/>
              </w:rPr>
            </w:pPr>
            <w:r>
              <w:rPr>
                <w:sz w:val="16"/>
              </w:rPr>
              <w:t>f) 2.09%</w:t>
            </w:r>
          </w:p>
        </w:tc>
        <w:tc>
          <w:tcPr>
            <w:tcW w:w="991" w:type="dxa"/>
            <w:shd w:val="clear" w:color="auto" w:fill="F1F1F1"/>
          </w:tcPr>
          <w:p>
            <w:pPr>
              <w:pStyle w:val="TableParagraph"/>
              <w:spacing w:line="182" w:lineRule="exact"/>
              <w:ind w:left="100" w:right="98"/>
              <w:rPr>
                <w:sz w:val="16"/>
              </w:rPr>
            </w:pPr>
            <w:r>
              <w:rPr>
                <w:sz w:val="16"/>
              </w:rPr>
              <w:t>f) 0.94%</w:t>
            </w:r>
          </w:p>
        </w:tc>
        <w:tc>
          <w:tcPr>
            <w:tcW w:w="993" w:type="dxa"/>
            <w:shd w:val="clear" w:color="auto" w:fill="F1F1F1"/>
          </w:tcPr>
          <w:p>
            <w:pPr>
              <w:pStyle w:val="TableParagraph"/>
              <w:spacing w:line="182" w:lineRule="exact"/>
              <w:rPr>
                <w:sz w:val="16"/>
              </w:rPr>
            </w:pPr>
            <w:r>
              <w:rPr>
                <w:sz w:val="16"/>
              </w:rPr>
              <w:t>f) 0.68%</w:t>
            </w:r>
          </w:p>
        </w:tc>
        <w:tc>
          <w:tcPr>
            <w:tcW w:w="1134" w:type="dxa"/>
            <w:shd w:val="clear" w:color="auto" w:fill="F1F1F1"/>
          </w:tcPr>
          <w:p>
            <w:pPr>
              <w:pStyle w:val="TableParagraph"/>
              <w:spacing w:line="182" w:lineRule="exact"/>
              <w:ind w:left="104"/>
              <w:rPr>
                <w:sz w:val="16"/>
              </w:rPr>
            </w:pPr>
            <w:r>
              <w:rPr>
                <w:sz w:val="16"/>
              </w:rPr>
              <w:t>f) 0.11%</w:t>
            </w:r>
          </w:p>
        </w:tc>
        <w:tc>
          <w:tcPr>
            <w:tcW w:w="1136" w:type="dxa"/>
            <w:shd w:val="clear" w:color="auto" w:fill="F1F1F1"/>
          </w:tcPr>
          <w:p>
            <w:pPr>
              <w:pStyle w:val="TableParagraph"/>
              <w:spacing w:line="182" w:lineRule="exact"/>
              <w:rPr>
                <w:sz w:val="16"/>
              </w:rPr>
            </w:pPr>
            <w:r>
              <w:rPr>
                <w:sz w:val="16"/>
              </w:rPr>
              <w:t>f) 0.23%</w:t>
            </w:r>
          </w:p>
        </w:tc>
        <w:tc>
          <w:tcPr>
            <w:tcW w:w="1133" w:type="dxa"/>
            <w:shd w:val="clear" w:color="auto" w:fill="F1F1F1"/>
          </w:tcPr>
          <w:p>
            <w:pPr>
              <w:pStyle w:val="TableParagraph"/>
              <w:spacing w:line="182" w:lineRule="exact"/>
              <w:ind w:left="100" w:right="101"/>
              <w:rPr>
                <w:sz w:val="16"/>
              </w:rPr>
            </w:pPr>
            <w:r>
              <w:rPr>
                <w:sz w:val="16"/>
              </w:rPr>
              <w:t>f) 0.24%</w:t>
            </w:r>
          </w:p>
        </w:tc>
        <w:tc>
          <w:tcPr>
            <w:tcW w:w="1135" w:type="dxa"/>
          </w:tcPr>
          <w:p>
            <w:pPr>
              <w:pStyle w:val="TableParagraph"/>
              <w:spacing w:line="182" w:lineRule="exact"/>
              <w:ind w:right="101"/>
              <w:rPr>
                <w:sz w:val="16"/>
              </w:rPr>
            </w:pPr>
            <w:r>
              <w:rPr>
                <w:sz w:val="16"/>
              </w:rPr>
              <w:t>f) 500</w:t>
            </w:r>
          </w:p>
        </w:tc>
        <w:tc>
          <w:tcPr>
            <w:tcW w:w="1133" w:type="dxa"/>
            <w:shd w:val="clear" w:color="auto" w:fill="F1F1F1"/>
          </w:tcPr>
          <w:p>
            <w:pPr>
              <w:pStyle w:val="TableParagraph"/>
              <w:spacing w:line="182" w:lineRule="exact"/>
              <w:ind w:right="111"/>
              <w:rPr>
                <w:sz w:val="16"/>
              </w:rPr>
            </w:pPr>
            <w:r>
              <w:rPr>
                <w:sz w:val="16"/>
              </w:rPr>
              <w:t>f) 50</w:t>
            </w:r>
          </w:p>
        </w:tc>
      </w:tr>
      <w:tr>
        <w:trPr>
          <w:trHeight w:val="194" w:hRule="exact"/>
        </w:trPr>
        <w:tc>
          <w:tcPr>
            <w:tcW w:w="1277" w:type="dxa"/>
            <w:shd w:val="clear" w:color="auto" w:fill="F1F1F1"/>
          </w:tcPr>
          <w:p>
            <w:pPr>
              <w:pStyle w:val="TableParagraph"/>
              <w:spacing w:line="180" w:lineRule="exact"/>
              <w:ind w:right="190"/>
              <w:rPr>
                <w:sz w:val="16"/>
              </w:rPr>
            </w:pPr>
            <w:r>
              <w:rPr>
                <w:sz w:val="16"/>
              </w:rPr>
              <w:t>g) 0.08%</w:t>
            </w:r>
          </w:p>
        </w:tc>
        <w:tc>
          <w:tcPr>
            <w:tcW w:w="991" w:type="dxa"/>
            <w:shd w:val="clear" w:color="auto" w:fill="F1F1F1"/>
          </w:tcPr>
          <w:p>
            <w:pPr>
              <w:pStyle w:val="TableParagraph"/>
              <w:spacing w:line="180" w:lineRule="exact"/>
              <w:ind w:left="100" w:right="98"/>
              <w:rPr>
                <w:sz w:val="16"/>
              </w:rPr>
            </w:pPr>
            <w:r>
              <w:rPr>
                <w:sz w:val="16"/>
              </w:rPr>
              <w:t>g) 1.29%</w:t>
            </w:r>
          </w:p>
        </w:tc>
        <w:tc>
          <w:tcPr>
            <w:tcW w:w="993" w:type="dxa"/>
            <w:shd w:val="clear" w:color="auto" w:fill="F1F1F1"/>
          </w:tcPr>
          <w:p>
            <w:pPr>
              <w:pStyle w:val="TableParagraph"/>
              <w:spacing w:line="180" w:lineRule="exact"/>
              <w:rPr>
                <w:sz w:val="16"/>
              </w:rPr>
            </w:pPr>
            <w:r>
              <w:rPr>
                <w:sz w:val="16"/>
              </w:rPr>
              <w:t>g) 0.93%</w:t>
            </w:r>
          </w:p>
        </w:tc>
        <w:tc>
          <w:tcPr>
            <w:tcW w:w="1134" w:type="dxa"/>
            <w:shd w:val="clear" w:color="auto" w:fill="F1F1F1"/>
          </w:tcPr>
          <w:p>
            <w:pPr>
              <w:pStyle w:val="TableParagraph"/>
              <w:spacing w:line="180" w:lineRule="exact"/>
              <w:ind w:left="104"/>
              <w:rPr>
                <w:sz w:val="16"/>
              </w:rPr>
            </w:pPr>
            <w:r>
              <w:rPr>
                <w:sz w:val="16"/>
              </w:rPr>
              <w:t>g) 257</w:t>
            </w:r>
          </w:p>
        </w:tc>
        <w:tc>
          <w:tcPr>
            <w:tcW w:w="1136" w:type="dxa"/>
            <w:shd w:val="clear" w:color="auto" w:fill="F1F1F1"/>
          </w:tcPr>
          <w:p>
            <w:pPr>
              <w:pStyle w:val="TableParagraph"/>
              <w:spacing w:line="180" w:lineRule="exact"/>
              <w:rPr>
                <w:sz w:val="16"/>
              </w:rPr>
            </w:pPr>
            <w:r>
              <w:rPr>
                <w:sz w:val="16"/>
              </w:rPr>
              <w:t>g) 96</w:t>
            </w:r>
          </w:p>
        </w:tc>
        <w:tc>
          <w:tcPr>
            <w:tcW w:w="1133" w:type="dxa"/>
            <w:shd w:val="clear" w:color="auto" w:fill="F1F1F1"/>
          </w:tcPr>
          <w:p>
            <w:pPr>
              <w:pStyle w:val="TableParagraph"/>
              <w:spacing w:line="180" w:lineRule="exact"/>
              <w:ind w:left="100" w:right="101"/>
              <w:rPr>
                <w:sz w:val="16"/>
              </w:rPr>
            </w:pPr>
            <w:r>
              <w:rPr>
                <w:sz w:val="16"/>
              </w:rPr>
              <w:t>g) 95</w:t>
            </w:r>
          </w:p>
        </w:tc>
        <w:tc>
          <w:tcPr>
            <w:tcW w:w="1135" w:type="dxa"/>
          </w:tcPr>
          <w:p>
            <w:pPr>
              <w:pStyle w:val="TableParagraph"/>
              <w:spacing w:line="180" w:lineRule="exact"/>
              <w:ind w:right="101"/>
              <w:rPr>
                <w:sz w:val="16"/>
              </w:rPr>
            </w:pPr>
            <w:r>
              <w:rPr>
                <w:sz w:val="16"/>
              </w:rPr>
              <w:t>g)1%</w:t>
            </w:r>
          </w:p>
        </w:tc>
        <w:tc>
          <w:tcPr>
            <w:tcW w:w="1133" w:type="dxa"/>
            <w:shd w:val="clear" w:color="auto" w:fill="F1F1F1"/>
          </w:tcPr>
          <w:p>
            <w:pPr>
              <w:pStyle w:val="TableParagraph"/>
              <w:spacing w:line="180" w:lineRule="exact"/>
              <w:ind w:right="111"/>
              <w:rPr>
                <w:sz w:val="16"/>
              </w:rPr>
            </w:pPr>
            <w:r>
              <w:rPr>
                <w:sz w:val="16"/>
              </w:rPr>
              <w:t>g) 400</w:t>
            </w:r>
          </w:p>
        </w:tc>
      </w:tr>
      <w:tr>
        <w:trPr>
          <w:trHeight w:val="194" w:hRule="exact"/>
        </w:trPr>
        <w:tc>
          <w:tcPr>
            <w:tcW w:w="1277" w:type="dxa"/>
            <w:shd w:val="clear" w:color="auto" w:fill="A6A6A6"/>
          </w:tcPr>
          <w:p>
            <w:pPr>
              <w:pStyle w:val="TableParagraph"/>
              <w:spacing w:line="180" w:lineRule="exact"/>
              <w:ind w:right="190"/>
              <w:rPr>
                <w:sz w:val="16"/>
              </w:rPr>
            </w:pPr>
            <w:r>
              <w:rPr>
                <w:sz w:val="16"/>
              </w:rPr>
              <w:t>h) 1100</w:t>
            </w:r>
          </w:p>
        </w:tc>
        <w:tc>
          <w:tcPr>
            <w:tcW w:w="991" w:type="dxa"/>
            <w:tcBorders>
              <w:left w:val="thickThinMediumGap" w:sz="23" w:space="0" w:color="A6A6A6"/>
            </w:tcBorders>
            <w:shd w:val="clear" w:color="auto" w:fill="F1F1F1"/>
          </w:tcPr>
          <w:p>
            <w:pPr>
              <w:pStyle w:val="TableParagraph"/>
              <w:spacing w:line="180" w:lineRule="exact"/>
              <w:ind w:left="47"/>
              <w:rPr>
                <w:sz w:val="16"/>
              </w:rPr>
            </w:pPr>
            <w:r>
              <w:rPr>
                <w:sz w:val="16"/>
              </w:rPr>
              <w:t>h) 0.18%</w:t>
            </w:r>
          </w:p>
        </w:tc>
        <w:tc>
          <w:tcPr>
            <w:tcW w:w="993" w:type="dxa"/>
            <w:shd w:val="clear" w:color="auto" w:fill="F1F1F1"/>
          </w:tcPr>
          <w:p>
            <w:pPr>
              <w:pStyle w:val="TableParagraph"/>
              <w:spacing w:line="180" w:lineRule="exact"/>
              <w:rPr>
                <w:sz w:val="16"/>
              </w:rPr>
            </w:pPr>
            <w:r>
              <w:rPr>
                <w:sz w:val="16"/>
              </w:rPr>
              <w:t>h) 0.13%</w:t>
            </w:r>
          </w:p>
        </w:tc>
        <w:tc>
          <w:tcPr>
            <w:tcW w:w="1134" w:type="dxa"/>
            <w:shd w:val="clear" w:color="auto" w:fill="F1F1F1"/>
          </w:tcPr>
          <w:p>
            <w:pPr>
              <w:pStyle w:val="TableParagraph"/>
              <w:spacing w:line="180" w:lineRule="exact"/>
              <w:ind w:left="104"/>
              <w:rPr>
                <w:sz w:val="16"/>
              </w:rPr>
            </w:pPr>
            <w:r>
              <w:rPr>
                <w:sz w:val="16"/>
              </w:rPr>
              <w:t>h) 2868</w:t>
            </w:r>
          </w:p>
        </w:tc>
        <w:tc>
          <w:tcPr>
            <w:tcW w:w="1136" w:type="dxa"/>
            <w:shd w:val="clear" w:color="auto" w:fill="F1F1F1"/>
          </w:tcPr>
          <w:p>
            <w:pPr>
              <w:pStyle w:val="TableParagraph"/>
              <w:spacing w:line="180" w:lineRule="exact"/>
              <w:rPr>
                <w:sz w:val="16"/>
              </w:rPr>
            </w:pPr>
            <w:r>
              <w:rPr>
                <w:sz w:val="16"/>
              </w:rPr>
              <w:t>h) 1074</w:t>
            </w:r>
          </w:p>
        </w:tc>
        <w:tc>
          <w:tcPr>
            <w:tcW w:w="1133" w:type="dxa"/>
            <w:shd w:val="clear" w:color="auto" w:fill="F1F1F1"/>
          </w:tcPr>
          <w:p>
            <w:pPr>
              <w:pStyle w:val="TableParagraph"/>
              <w:spacing w:line="180" w:lineRule="exact"/>
              <w:ind w:left="100" w:right="101"/>
              <w:rPr>
                <w:sz w:val="16"/>
              </w:rPr>
            </w:pPr>
            <w:r>
              <w:rPr>
                <w:sz w:val="16"/>
              </w:rPr>
              <w:t>h) 1058</w:t>
            </w:r>
          </w:p>
        </w:tc>
        <w:tc>
          <w:tcPr>
            <w:tcW w:w="1135" w:type="dxa"/>
          </w:tcPr>
          <w:p>
            <w:pPr>
              <w:pStyle w:val="TableParagraph"/>
              <w:spacing w:line="180" w:lineRule="exact"/>
              <w:ind w:right="101"/>
              <w:rPr>
                <w:sz w:val="16"/>
              </w:rPr>
            </w:pPr>
            <w:r>
              <w:rPr>
                <w:sz w:val="16"/>
              </w:rPr>
              <w:t>h) 4000</w:t>
            </w:r>
          </w:p>
        </w:tc>
        <w:tc>
          <w:tcPr>
            <w:tcW w:w="1133" w:type="dxa"/>
            <w:shd w:val="clear" w:color="auto" w:fill="A6A6A6"/>
          </w:tcPr>
          <w:p>
            <w:pPr>
              <w:pStyle w:val="TableParagraph"/>
              <w:spacing w:line="180" w:lineRule="exact"/>
              <w:ind w:right="111"/>
              <w:rPr>
                <w:sz w:val="16"/>
              </w:rPr>
            </w:pPr>
            <w:r>
              <w:rPr>
                <w:sz w:val="16"/>
              </w:rPr>
              <w:t>h) 2610</w:t>
            </w:r>
          </w:p>
        </w:tc>
      </w:tr>
      <w:tr>
        <w:trPr>
          <w:trHeight w:val="194" w:hRule="exact"/>
        </w:trPr>
        <w:tc>
          <w:tcPr>
            <w:tcW w:w="1277" w:type="dxa"/>
            <w:shd w:val="clear" w:color="auto" w:fill="F1F1F1"/>
          </w:tcPr>
          <w:p>
            <w:pPr>
              <w:pStyle w:val="TableParagraph"/>
              <w:spacing w:line="180" w:lineRule="exact"/>
              <w:ind w:right="190"/>
              <w:rPr>
                <w:sz w:val="16"/>
              </w:rPr>
            </w:pPr>
            <w:r>
              <w:rPr>
                <w:sz w:val="16"/>
              </w:rPr>
              <w:t>i) 0.8%</w:t>
            </w:r>
          </w:p>
        </w:tc>
        <w:tc>
          <w:tcPr>
            <w:tcW w:w="991" w:type="dxa"/>
            <w:shd w:val="clear" w:color="auto" w:fill="F1F1F1"/>
          </w:tcPr>
          <w:p>
            <w:pPr>
              <w:pStyle w:val="TableParagraph"/>
              <w:spacing w:line="180" w:lineRule="exact"/>
              <w:ind w:left="100" w:right="98"/>
              <w:rPr>
                <w:sz w:val="16"/>
              </w:rPr>
            </w:pPr>
            <w:r>
              <w:rPr>
                <w:sz w:val="16"/>
              </w:rPr>
              <w:t>i) 3462</w:t>
            </w:r>
          </w:p>
        </w:tc>
        <w:tc>
          <w:tcPr>
            <w:tcW w:w="993" w:type="dxa"/>
            <w:shd w:val="clear" w:color="auto" w:fill="F1F1F1"/>
          </w:tcPr>
          <w:p>
            <w:pPr>
              <w:pStyle w:val="TableParagraph"/>
              <w:spacing w:line="180" w:lineRule="exact"/>
              <w:rPr>
                <w:sz w:val="16"/>
              </w:rPr>
            </w:pPr>
            <w:r>
              <w:rPr>
                <w:sz w:val="16"/>
              </w:rPr>
              <w:t>i) 1075</w:t>
            </w:r>
          </w:p>
        </w:tc>
        <w:tc>
          <w:tcPr>
            <w:tcW w:w="1134" w:type="dxa"/>
          </w:tcPr>
          <w:p>
            <w:pPr>
              <w:pStyle w:val="TableParagraph"/>
              <w:spacing w:line="180" w:lineRule="exact"/>
              <w:ind w:left="104"/>
              <w:rPr>
                <w:sz w:val="16"/>
              </w:rPr>
            </w:pPr>
            <w:r>
              <w:rPr>
                <w:sz w:val="16"/>
              </w:rPr>
              <w:t>i) 1%</w:t>
            </w:r>
          </w:p>
        </w:tc>
        <w:tc>
          <w:tcPr>
            <w:tcW w:w="1136" w:type="dxa"/>
          </w:tcPr>
          <w:p>
            <w:pPr>
              <w:pStyle w:val="TableParagraph"/>
              <w:spacing w:line="180" w:lineRule="exact"/>
              <w:rPr>
                <w:sz w:val="16"/>
              </w:rPr>
            </w:pPr>
            <w:r>
              <w:rPr>
                <w:sz w:val="16"/>
              </w:rPr>
              <w:t>i) 1%</w:t>
            </w:r>
          </w:p>
        </w:tc>
        <w:tc>
          <w:tcPr>
            <w:tcW w:w="1133" w:type="dxa"/>
            <w:shd w:val="clear" w:color="auto" w:fill="A6A6A6"/>
          </w:tcPr>
          <w:p>
            <w:pPr>
              <w:pStyle w:val="TableParagraph"/>
              <w:spacing w:line="180" w:lineRule="exact"/>
              <w:ind w:left="100" w:right="101"/>
              <w:rPr>
                <w:sz w:val="16"/>
              </w:rPr>
            </w:pPr>
            <w:r>
              <w:rPr>
                <w:sz w:val="16"/>
              </w:rPr>
              <w:t>i)1%</w:t>
            </w:r>
          </w:p>
        </w:tc>
        <w:tc>
          <w:tcPr>
            <w:tcW w:w="1135" w:type="dxa"/>
          </w:tcPr>
          <w:p>
            <w:pPr>
              <w:pStyle w:val="TableParagraph"/>
              <w:spacing w:line="180" w:lineRule="exact"/>
              <w:ind w:right="101"/>
              <w:rPr>
                <w:sz w:val="16"/>
              </w:rPr>
            </w:pPr>
            <w:r>
              <w:rPr>
                <w:sz w:val="16"/>
              </w:rPr>
              <w:t>i) 1%</w:t>
            </w:r>
          </w:p>
        </w:tc>
        <w:tc>
          <w:tcPr>
            <w:tcW w:w="1133" w:type="dxa"/>
            <w:shd w:val="clear" w:color="auto" w:fill="A6A6A6"/>
          </w:tcPr>
          <w:p>
            <w:pPr>
              <w:pStyle w:val="TableParagraph"/>
              <w:spacing w:line="180" w:lineRule="exact"/>
              <w:ind w:right="111"/>
              <w:rPr>
                <w:sz w:val="16"/>
              </w:rPr>
            </w:pPr>
            <w:r>
              <w:rPr>
                <w:sz w:val="16"/>
              </w:rPr>
              <w:t>i) 1%</w:t>
            </w:r>
          </w:p>
        </w:tc>
      </w:tr>
      <w:tr>
        <w:trPr>
          <w:trHeight w:val="298" w:hRule="exact"/>
        </w:trPr>
        <w:tc>
          <w:tcPr>
            <w:tcW w:w="1277" w:type="dxa"/>
            <w:shd w:val="clear" w:color="auto" w:fill="A6A6A6"/>
          </w:tcPr>
          <w:p>
            <w:pPr>
              <w:pStyle w:val="TableParagraph"/>
              <w:spacing w:line="180" w:lineRule="exact"/>
              <w:ind w:right="190"/>
              <w:rPr>
                <w:sz w:val="16"/>
              </w:rPr>
            </w:pPr>
            <w:r>
              <w:rPr>
                <w:sz w:val="16"/>
              </w:rPr>
              <w:t>j) 1%</w:t>
            </w:r>
          </w:p>
        </w:tc>
        <w:tc>
          <w:tcPr>
            <w:tcW w:w="991" w:type="dxa"/>
            <w:tcBorders>
              <w:left w:val="thickThinMediumGap" w:sz="23" w:space="0" w:color="A6A6A6"/>
            </w:tcBorders>
            <w:shd w:val="clear" w:color="auto" w:fill="F1F1F1"/>
          </w:tcPr>
          <w:p>
            <w:pPr>
              <w:pStyle w:val="TableParagraph"/>
              <w:spacing w:line="180" w:lineRule="exact"/>
              <w:ind w:left="47"/>
              <w:rPr>
                <w:sz w:val="16"/>
              </w:rPr>
            </w:pPr>
            <w:r>
              <w:rPr>
                <w:sz w:val="16"/>
              </w:rPr>
              <w:t>j) 1144</w:t>
            </w:r>
          </w:p>
        </w:tc>
        <w:tc>
          <w:tcPr>
            <w:tcW w:w="993" w:type="dxa"/>
            <w:shd w:val="clear" w:color="auto" w:fill="F1F1F1"/>
          </w:tcPr>
          <w:p>
            <w:pPr>
              <w:pStyle w:val="TableParagraph"/>
              <w:spacing w:line="180" w:lineRule="exact"/>
              <w:rPr>
                <w:sz w:val="16"/>
              </w:rPr>
            </w:pPr>
            <w:r>
              <w:rPr>
                <w:sz w:val="16"/>
              </w:rPr>
              <w:t>j) 355</w:t>
            </w:r>
          </w:p>
        </w:tc>
        <w:tc>
          <w:tcPr>
            <w:tcW w:w="1134" w:type="dxa"/>
          </w:tcPr>
          <w:p>
            <w:pPr>
              <w:pStyle w:val="TableParagraph"/>
              <w:spacing w:line="180" w:lineRule="exact"/>
              <w:ind w:left="104"/>
              <w:rPr>
                <w:sz w:val="16"/>
              </w:rPr>
            </w:pPr>
            <w:r>
              <w:rPr>
                <w:sz w:val="16"/>
              </w:rPr>
              <w:t>j) 876</w:t>
            </w:r>
          </w:p>
        </w:tc>
        <w:tc>
          <w:tcPr>
            <w:tcW w:w="1136" w:type="dxa"/>
          </w:tcPr>
          <w:p>
            <w:pPr>
              <w:pStyle w:val="TableParagraph"/>
              <w:spacing w:line="180" w:lineRule="exact"/>
              <w:rPr>
                <w:sz w:val="16"/>
              </w:rPr>
            </w:pPr>
            <w:r>
              <w:rPr>
                <w:sz w:val="16"/>
              </w:rPr>
              <w:t>j) 328</w:t>
            </w:r>
          </w:p>
        </w:tc>
        <w:tc>
          <w:tcPr>
            <w:tcW w:w="1133" w:type="dxa"/>
            <w:shd w:val="clear" w:color="auto" w:fill="A6A6A6"/>
          </w:tcPr>
          <w:p>
            <w:pPr>
              <w:pStyle w:val="TableParagraph"/>
              <w:spacing w:line="180" w:lineRule="exact"/>
              <w:ind w:left="100" w:right="101"/>
              <w:rPr>
                <w:sz w:val="16"/>
              </w:rPr>
            </w:pPr>
            <w:r>
              <w:rPr>
                <w:sz w:val="16"/>
              </w:rPr>
              <w:t>j) 323</w:t>
            </w:r>
          </w:p>
        </w:tc>
        <w:tc>
          <w:tcPr>
            <w:tcW w:w="1135" w:type="dxa"/>
          </w:tcPr>
          <w:p>
            <w:pPr>
              <w:pStyle w:val="TableParagraph"/>
              <w:spacing w:line="180" w:lineRule="exact"/>
              <w:ind w:right="101"/>
              <w:rPr>
                <w:sz w:val="16"/>
              </w:rPr>
            </w:pPr>
            <w:r>
              <w:rPr>
                <w:sz w:val="16"/>
              </w:rPr>
              <w:t>j) 1%</w:t>
            </w:r>
          </w:p>
        </w:tc>
        <w:tc>
          <w:tcPr>
            <w:tcW w:w="1133" w:type="dxa"/>
          </w:tcPr>
          <w:p>
            <w:pPr/>
          </w:p>
        </w:tc>
      </w:tr>
    </w:tbl>
    <w:p>
      <w:pPr>
        <w:spacing w:after="0"/>
        <w:sectPr>
          <w:pgSz w:w="12240" w:h="15840"/>
          <w:pgMar w:header="749" w:footer="1003" w:top="960" w:bottom="1200" w:left="1580" w:right="1480"/>
        </w:sectPr>
      </w:pPr>
    </w:p>
    <w:p>
      <w:pPr>
        <w:pStyle w:val="BodyText"/>
        <w:rPr>
          <w:b/>
          <w:sz w:val="20"/>
        </w:rPr>
      </w:pPr>
      <w:r>
        <w:rPr/>
        <w:pict>
          <v:group style="position:absolute;margin-left:149.179993pt;margin-top:71.400002pt;width:212.1pt;height:119.3pt;mso-position-horizontal-relative:page;mso-position-vertical-relative:page;z-index:-330304" coordorigin="2984,1428" coordsize="4242,2386">
            <v:shape style="position:absolute;left:4969;top:1428;width:103;height:182" type="#_x0000_t75" stroked="false">
              <v:imagedata r:id="rId336" o:title=""/>
            </v:shape>
            <v:shape style="position:absolute;left:5989;top:1428;width:103;height:182" type="#_x0000_t75" stroked="false">
              <v:imagedata r:id="rId337" o:title=""/>
            </v:shape>
            <v:shape style="position:absolute;left:4969;top:1610;width:1123;height:370" type="#_x0000_t75" stroked="false">
              <v:imagedata r:id="rId338" o:title=""/>
            </v:shape>
            <v:shape style="position:absolute;left:5072;top:1428;width:917;height:182" type="#_x0000_t75" stroked="false">
              <v:imagedata r:id="rId339" o:title=""/>
            </v:shape>
            <v:shape style="position:absolute;left:6102;top:1428;width:103;height:182" type="#_x0000_t75" stroked="false">
              <v:imagedata r:id="rId340" o:title=""/>
            </v:shape>
            <v:shape style="position:absolute;left:7122;top:1428;width:103;height:182" type="#_x0000_t75" stroked="false">
              <v:imagedata r:id="rId341" o:title=""/>
            </v:shape>
            <v:shape style="position:absolute;left:6102;top:1610;width:1124;height:370" type="#_x0000_t75" stroked="false">
              <v:imagedata r:id="rId342" o:title=""/>
            </v:shape>
            <v:shape style="position:absolute;left:6205;top:1428;width:917;height:182" type="#_x0000_t75" stroked="false">
              <v:imagedata r:id="rId343" o:title=""/>
            </v:shape>
            <v:shape style="position:absolute;left:4969;top:1990;width:103;height:182" type="#_x0000_t75" stroked="false">
              <v:imagedata r:id="rId344" o:title=""/>
            </v:shape>
            <v:shape style="position:absolute;left:5989;top:1990;width:103;height:182" type="#_x0000_t75" stroked="false">
              <v:imagedata r:id="rId345" o:title=""/>
            </v:shape>
            <v:shape style="position:absolute;left:4969;top:2172;width:1123;height:370" type="#_x0000_t75" stroked="false">
              <v:imagedata r:id="rId346" o:title=""/>
            </v:shape>
            <v:shape style="position:absolute;left:5072;top:1990;width:917;height:182" type="#_x0000_t75" stroked="false">
              <v:imagedata r:id="rId347" o:title=""/>
            </v:shape>
            <v:shape style="position:absolute;left:6102;top:1990;width:103;height:182" type="#_x0000_t75" stroked="false">
              <v:imagedata r:id="rId348" o:title=""/>
            </v:shape>
            <v:shape style="position:absolute;left:7122;top:1990;width:103;height:182" type="#_x0000_t75" stroked="false">
              <v:imagedata r:id="rId349" o:title=""/>
            </v:shape>
            <v:shape style="position:absolute;left:6102;top:2172;width:1124;height:370" type="#_x0000_t75" stroked="false">
              <v:imagedata r:id="rId350" o:title=""/>
            </v:shape>
            <v:shape style="position:absolute;left:6205;top:1990;width:917;height:182" type="#_x0000_t75" stroked="false">
              <v:imagedata r:id="rId351" o:title=""/>
            </v:shape>
            <v:shape style="position:absolute;left:4969;top:2552;width:103;height:185" type="#_x0000_t75" stroked="false">
              <v:imagedata r:id="rId352" o:title=""/>
            </v:shape>
            <v:shape style="position:absolute;left:5989;top:2552;width:103;height:185" type="#_x0000_t75" stroked="false">
              <v:imagedata r:id="rId353" o:title=""/>
            </v:shape>
            <v:shape style="position:absolute;left:5072;top:2552;width:917;height:185" type="#_x0000_t75" stroked="false">
              <v:imagedata r:id="rId354" o:title=""/>
            </v:shape>
            <v:shape style="position:absolute;left:6102;top:2552;width:103;height:185" type="#_x0000_t75" stroked="false">
              <v:imagedata r:id="rId355" o:title=""/>
            </v:shape>
            <v:shape style="position:absolute;left:7122;top:2552;width:103;height:185" type="#_x0000_t75" stroked="false">
              <v:imagedata r:id="rId356" o:title=""/>
            </v:shape>
            <v:shape style="position:absolute;left:6205;top:2552;width:917;height:185" type="#_x0000_t75" stroked="false">
              <v:imagedata r:id="rId357" o:title=""/>
            </v:shape>
            <v:shape style="position:absolute;left:4969;top:2746;width:103;height:182" type="#_x0000_t75" stroked="false">
              <v:imagedata r:id="rId358" o:title=""/>
            </v:shape>
            <v:shape style="position:absolute;left:5989;top:2746;width:103;height:182" type="#_x0000_t75" stroked="false">
              <v:imagedata r:id="rId359" o:title=""/>
            </v:shape>
            <v:shape style="position:absolute;left:5072;top:2746;width:917;height:182" type="#_x0000_t75" stroked="false">
              <v:imagedata r:id="rId360" o:title=""/>
            </v:shape>
            <v:shape style="position:absolute;left:6102;top:2746;width:103;height:182" type="#_x0000_t75" stroked="false">
              <v:imagedata r:id="rId361" o:title=""/>
            </v:shape>
            <v:shape style="position:absolute;left:7122;top:2746;width:103;height:182" type="#_x0000_t75" stroked="false">
              <v:imagedata r:id="rId362" o:title=""/>
            </v:shape>
            <v:shape style="position:absolute;left:6205;top:2746;width:917;height:182" type="#_x0000_t75" stroked="false">
              <v:imagedata r:id="rId363" o:title=""/>
            </v:shape>
            <v:shape style="position:absolute;left:4854;top:2940;width:103;height:182" type="#_x0000_t75" stroked="false">
              <v:imagedata r:id="rId364" o:title=""/>
            </v:shape>
            <v:shape style="position:absolute;left:2984;top:2940;width:101;height:182" type="#_x0000_t75" stroked="false">
              <v:imagedata r:id="rId365" o:title=""/>
            </v:shape>
            <v:shape style="position:absolute;left:3862;top:2940;width:103;height:182" type="#_x0000_t75" stroked="false">
              <v:imagedata r:id="rId366" o:title=""/>
            </v:shape>
            <v:shape style="position:absolute;left:3084;top:2940;width:778;height:182" type="#_x0000_t75" stroked="false">
              <v:imagedata r:id="rId367" o:title=""/>
            </v:shape>
            <v:shape style="position:absolute;left:3975;top:2940;width:103;height:182" type="#_x0000_t75" stroked="false">
              <v:imagedata r:id="rId368" o:title=""/>
            </v:shape>
            <v:shape style="position:absolute;left:4078;top:2940;width:776;height:182" type="#_x0000_t75" stroked="false">
              <v:imagedata r:id="rId369" o:title=""/>
            </v:shape>
            <v:shape style="position:absolute;left:4969;top:2940;width:103;height:182" type="#_x0000_t75" stroked="false">
              <v:imagedata r:id="rId370" o:title=""/>
            </v:shape>
            <v:shape style="position:absolute;left:5989;top:2940;width:103;height:182" type="#_x0000_t75" stroked="false">
              <v:imagedata r:id="rId371" o:title=""/>
            </v:shape>
            <v:shape style="position:absolute;left:5072;top:2940;width:917;height:182" type="#_x0000_t75" stroked="false">
              <v:imagedata r:id="rId372" o:title=""/>
            </v:shape>
            <v:shape style="position:absolute;left:6102;top:2940;width:103;height:182" type="#_x0000_t75" stroked="false">
              <v:imagedata r:id="rId373" o:title=""/>
            </v:shape>
            <v:shape style="position:absolute;left:7122;top:2940;width:103;height:182" type="#_x0000_t75" stroked="false">
              <v:imagedata r:id="rId374" o:title=""/>
            </v:shape>
            <v:shape style="position:absolute;left:6205;top:2940;width:917;height:182" type="#_x0000_t75" stroked="false">
              <v:imagedata r:id="rId375" o:title=""/>
            </v:shape>
            <v:shape style="position:absolute;left:6102;top:3132;width:103;height:185" type="#_x0000_t75" stroked="false">
              <v:imagedata r:id="rId376" o:title=""/>
            </v:shape>
            <v:shape style="position:absolute;left:7122;top:3132;width:103;height:185" type="#_x0000_t75" stroked="false">
              <v:imagedata r:id="rId377" o:title=""/>
            </v:shape>
            <v:shape style="position:absolute;left:6102;top:3317;width:1124;height:154" type="#_x0000_t75" stroked="false">
              <v:imagedata r:id="rId378" o:title=""/>
            </v:shape>
            <v:shape style="position:absolute;left:6205;top:3132;width:917;height:185" type="#_x0000_t75" stroked="false">
              <v:imagedata r:id="rId379" o:title=""/>
            </v:shape>
            <v:shape style="position:absolute;left:4959;top:3123;width:58;height:10" type="#_x0000_t75" stroked="false">
              <v:imagedata r:id="rId380" o:title=""/>
            </v:shape>
            <v:shape style="position:absolute;left:6073;top:3123;width:29;height:10" type="#_x0000_t75" stroked="false">
              <v:imagedata r:id="rId69" o:title=""/>
            </v:shape>
            <v:shape style="position:absolute;left:4969;top:3480;width:103;height:185" type="#_x0000_t75" stroked="false">
              <v:imagedata r:id="rId381" o:title=""/>
            </v:shape>
            <v:shape style="position:absolute;left:5989;top:3480;width:103;height:185" type="#_x0000_t75" stroked="false">
              <v:imagedata r:id="rId382" o:title=""/>
            </v:shape>
            <v:shape style="position:absolute;left:4969;top:3665;width:1123;height:149" type="#_x0000_t75" stroked="false">
              <v:imagedata r:id="rId383" o:title=""/>
            </v:shape>
            <v:shape style="position:absolute;left:5072;top:3480;width:917;height:185" type="#_x0000_t75" stroked="false">
              <v:imagedata r:id="rId384" o:title=""/>
            </v:shape>
            <v:shape style="position:absolute;left:6102;top:3480;width:103;height:185" type="#_x0000_t75" stroked="false">
              <v:imagedata r:id="rId385" o:title=""/>
            </v:shape>
            <v:shape style="position:absolute;left:7122;top:3480;width:103;height:185" type="#_x0000_t75" stroked="false">
              <v:imagedata r:id="rId386" o:title=""/>
            </v:shape>
            <v:shape style="position:absolute;left:6102;top:3665;width:1124;height:149" type="#_x0000_t75" stroked="false">
              <v:imagedata r:id="rId387" o:title=""/>
            </v:shape>
            <v:shape style="position:absolute;left:6205;top:3480;width:917;height:185" type="#_x0000_t75" stroked="false">
              <v:imagedata r:id="rId388" o:title=""/>
            </v:shape>
            <v:shape style="position:absolute;left:4959;top:3132;width:58;height:348" type="#_x0000_t75" stroked="false">
              <v:imagedata r:id="rId389" o:title=""/>
            </v:shape>
            <v:shape style="position:absolute;left:6073;top:3132;width:29;height:348" type="#_x0000_t75" stroked="false">
              <v:imagedata r:id="rId390" o:title=""/>
            </v:shape>
            <w10:wrap type="none"/>
          </v:group>
        </w:pict>
      </w:r>
    </w:p>
    <w:p>
      <w:pPr>
        <w:pStyle w:val="BodyText"/>
        <w:spacing w:before="9"/>
        <w:rPr>
          <w:b/>
          <w:sz w:val="18"/>
        </w:rPr>
      </w:pPr>
    </w:p>
    <w:tbl>
      <w:tblPr>
        <w:tblW w:w="0" w:type="auto"/>
        <w:jc w:val="left"/>
        <w:tblInd w:w="2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66"/>
        <w:gridCol w:w="710"/>
        <w:gridCol w:w="991"/>
        <w:gridCol w:w="994"/>
        <w:gridCol w:w="1133"/>
        <w:gridCol w:w="1136"/>
        <w:gridCol w:w="1133"/>
        <w:gridCol w:w="1135"/>
        <w:gridCol w:w="1133"/>
      </w:tblGrid>
      <w:tr>
        <w:trPr>
          <w:trHeight w:val="564" w:hRule="exact"/>
        </w:trPr>
        <w:tc>
          <w:tcPr>
            <w:tcW w:w="1277" w:type="dxa"/>
            <w:gridSpan w:val="2"/>
            <w:tcBorders>
              <w:right w:val="single" w:sz="40" w:space="0" w:color="F1F1F1"/>
            </w:tcBorders>
            <w:shd w:val="clear" w:color="auto" w:fill="A6A6A6"/>
          </w:tcPr>
          <w:p>
            <w:pPr>
              <w:pStyle w:val="TableParagraph"/>
              <w:spacing w:line="183" w:lineRule="exact"/>
              <w:rPr>
                <w:sz w:val="16"/>
              </w:rPr>
            </w:pPr>
            <w:r>
              <w:rPr>
                <w:sz w:val="16"/>
              </w:rPr>
              <w:t>k) 3%</w:t>
            </w:r>
          </w:p>
        </w:tc>
        <w:tc>
          <w:tcPr>
            <w:tcW w:w="991" w:type="dxa"/>
            <w:tcBorders>
              <w:left w:val="thickThinMediumGap" w:sz="23" w:space="0" w:color="A6A6A6"/>
            </w:tcBorders>
            <w:shd w:val="clear" w:color="auto" w:fill="F1F1F1"/>
          </w:tcPr>
          <w:p>
            <w:pPr>
              <w:pStyle w:val="TableParagraph"/>
              <w:tabs>
                <w:tab w:pos="654" w:val="left" w:leader="none"/>
              </w:tabs>
              <w:spacing w:line="182" w:lineRule="exact"/>
              <w:ind w:left="47"/>
              <w:rPr>
                <w:sz w:val="16"/>
              </w:rPr>
            </w:pPr>
            <w:r>
              <w:rPr>
                <w:sz w:val="16"/>
              </w:rPr>
              <w:t>No</w:t>
              <w:tab/>
              <w:t>se</w:t>
            </w:r>
          </w:p>
          <w:p>
            <w:pPr>
              <w:pStyle w:val="TableParagraph"/>
              <w:ind w:left="47" w:right="141"/>
              <w:rPr>
                <w:sz w:val="16"/>
              </w:rPr>
            </w:pPr>
            <w:r>
              <w:rPr>
                <w:sz w:val="16"/>
              </w:rPr>
              <w:t>estableció inciso k)</w:t>
            </w:r>
          </w:p>
        </w:tc>
        <w:tc>
          <w:tcPr>
            <w:tcW w:w="994" w:type="dxa"/>
            <w:tcBorders>
              <w:left w:val="single" w:sz="45" w:space="0" w:color="F1F1F1"/>
            </w:tcBorders>
            <w:shd w:val="clear" w:color="auto" w:fill="A6A6A6"/>
          </w:tcPr>
          <w:p>
            <w:pPr>
              <w:pStyle w:val="TableParagraph"/>
              <w:spacing w:line="183" w:lineRule="exact"/>
              <w:ind w:left="51"/>
              <w:rPr>
                <w:sz w:val="16"/>
              </w:rPr>
            </w:pPr>
            <w:r>
              <w:rPr>
                <w:sz w:val="16"/>
              </w:rPr>
              <w:t>k) 73</w:t>
            </w:r>
          </w:p>
        </w:tc>
        <w:tc>
          <w:tcPr>
            <w:tcW w:w="1133" w:type="dxa"/>
          </w:tcPr>
          <w:p>
            <w:pPr>
              <w:pStyle w:val="TableParagraph"/>
              <w:spacing w:line="183" w:lineRule="exact"/>
              <w:ind w:right="101"/>
              <w:rPr>
                <w:sz w:val="16"/>
              </w:rPr>
            </w:pPr>
            <w:r>
              <w:rPr>
                <w:sz w:val="16"/>
              </w:rPr>
              <w:t>K) 2079</w:t>
            </w:r>
          </w:p>
        </w:tc>
        <w:tc>
          <w:tcPr>
            <w:tcW w:w="1136" w:type="dxa"/>
          </w:tcPr>
          <w:p>
            <w:pPr>
              <w:pStyle w:val="TableParagraph"/>
              <w:spacing w:line="183" w:lineRule="exact"/>
              <w:rPr>
                <w:sz w:val="16"/>
              </w:rPr>
            </w:pPr>
            <w:r>
              <w:rPr>
                <w:sz w:val="16"/>
              </w:rPr>
              <w:t>k) 778</w:t>
            </w:r>
          </w:p>
        </w:tc>
        <w:tc>
          <w:tcPr>
            <w:tcW w:w="1133" w:type="dxa"/>
            <w:shd w:val="clear" w:color="auto" w:fill="A6A6A6"/>
          </w:tcPr>
          <w:p>
            <w:pPr>
              <w:pStyle w:val="TableParagraph"/>
              <w:spacing w:line="183" w:lineRule="exact"/>
              <w:ind w:left="100" w:right="101"/>
              <w:rPr>
                <w:sz w:val="16"/>
              </w:rPr>
            </w:pPr>
            <w:r>
              <w:rPr>
                <w:sz w:val="16"/>
              </w:rPr>
              <w:t>k) 767</w:t>
            </w:r>
          </w:p>
        </w:tc>
        <w:tc>
          <w:tcPr>
            <w:tcW w:w="1135" w:type="dxa"/>
          </w:tcPr>
          <w:p>
            <w:pPr/>
          </w:p>
        </w:tc>
        <w:tc>
          <w:tcPr>
            <w:tcW w:w="1133" w:type="dxa"/>
          </w:tcPr>
          <w:p>
            <w:pPr/>
          </w:p>
        </w:tc>
      </w:tr>
      <w:tr>
        <w:trPr>
          <w:trHeight w:val="562" w:hRule="exact"/>
        </w:trPr>
        <w:tc>
          <w:tcPr>
            <w:tcW w:w="1277" w:type="dxa"/>
            <w:gridSpan w:val="2"/>
            <w:tcBorders>
              <w:right w:val="single" w:sz="40" w:space="0" w:color="F1F1F1"/>
            </w:tcBorders>
          </w:tcPr>
          <w:p>
            <w:pPr/>
          </w:p>
        </w:tc>
        <w:tc>
          <w:tcPr>
            <w:tcW w:w="991" w:type="dxa"/>
            <w:shd w:val="clear" w:color="auto" w:fill="F1F1F1"/>
          </w:tcPr>
          <w:p>
            <w:pPr>
              <w:pStyle w:val="TableParagraph"/>
              <w:tabs>
                <w:tab w:pos="707" w:val="left" w:leader="none"/>
              </w:tabs>
              <w:spacing w:line="180" w:lineRule="exact"/>
              <w:ind w:left="100"/>
              <w:rPr>
                <w:sz w:val="16"/>
              </w:rPr>
            </w:pPr>
            <w:r>
              <w:rPr>
                <w:sz w:val="16"/>
              </w:rPr>
              <w:t>No</w:t>
              <w:tab/>
              <w:t>se</w:t>
            </w:r>
          </w:p>
          <w:p>
            <w:pPr>
              <w:pStyle w:val="TableParagraph"/>
              <w:ind w:left="100" w:right="141"/>
              <w:rPr>
                <w:sz w:val="16"/>
              </w:rPr>
            </w:pPr>
            <w:r>
              <w:rPr>
                <w:sz w:val="16"/>
              </w:rPr>
              <w:t>estableció inciso l)</w:t>
            </w:r>
          </w:p>
        </w:tc>
        <w:tc>
          <w:tcPr>
            <w:tcW w:w="994" w:type="dxa"/>
            <w:tcBorders>
              <w:left w:val="single" w:sz="45" w:space="0" w:color="F1F1F1"/>
            </w:tcBorders>
            <w:shd w:val="clear" w:color="auto" w:fill="A6A6A6"/>
          </w:tcPr>
          <w:p>
            <w:pPr>
              <w:pStyle w:val="TableParagraph"/>
              <w:spacing w:line="180" w:lineRule="exact"/>
              <w:ind w:left="51"/>
              <w:rPr>
                <w:sz w:val="16"/>
              </w:rPr>
            </w:pPr>
            <w:r>
              <w:rPr>
                <w:sz w:val="16"/>
              </w:rPr>
              <w:t>l) 279</w:t>
            </w:r>
          </w:p>
        </w:tc>
        <w:tc>
          <w:tcPr>
            <w:tcW w:w="1133" w:type="dxa"/>
          </w:tcPr>
          <w:p>
            <w:pPr>
              <w:pStyle w:val="TableParagraph"/>
              <w:spacing w:line="180" w:lineRule="exact"/>
              <w:ind w:right="101"/>
              <w:rPr>
                <w:sz w:val="16"/>
              </w:rPr>
            </w:pPr>
            <w:r>
              <w:rPr>
                <w:sz w:val="16"/>
              </w:rPr>
              <w:t>l) 1%</w:t>
            </w:r>
          </w:p>
        </w:tc>
        <w:tc>
          <w:tcPr>
            <w:tcW w:w="1136" w:type="dxa"/>
          </w:tcPr>
          <w:p>
            <w:pPr>
              <w:pStyle w:val="TableParagraph"/>
              <w:spacing w:line="180" w:lineRule="exact"/>
              <w:rPr>
                <w:sz w:val="16"/>
              </w:rPr>
            </w:pPr>
            <w:r>
              <w:rPr>
                <w:sz w:val="16"/>
              </w:rPr>
              <w:t>l) 1%</w:t>
            </w:r>
          </w:p>
        </w:tc>
        <w:tc>
          <w:tcPr>
            <w:tcW w:w="1133" w:type="dxa"/>
            <w:shd w:val="clear" w:color="auto" w:fill="A6A6A6"/>
          </w:tcPr>
          <w:p>
            <w:pPr>
              <w:pStyle w:val="TableParagraph"/>
              <w:spacing w:line="180" w:lineRule="exact"/>
              <w:ind w:left="100" w:right="101"/>
              <w:rPr>
                <w:sz w:val="16"/>
              </w:rPr>
            </w:pPr>
            <w:r>
              <w:rPr>
                <w:sz w:val="16"/>
              </w:rPr>
              <w:t>l) 1%</w:t>
            </w:r>
          </w:p>
        </w:tc>
        <w:tc>
          <w:tcPr>
            <w:tcW w:w="1135" w:type="dxa"/>
          </w:tcPr>
          <w:p>
            <w:pPr/>
          </w:p>
        </w:tc>
        <w:tc>
          <w:tcPr>
            <w:tcW w:w="1133" w:type="dxa"/>
          </w:tcPr>
          <w:p>
            <w:pPr/>
          </w:p>
        </w:tc>
      </w:tr>
      <w:tr>
        <w:trPr>
          <w:trHeight w:val="194" w:hRule="exact"/>
        </w:trPr>
        <w:tc>
          <w:tcPr>
            <w:tcW w:w="1277" w:type="dxa"/>
            <w:gridSpan w:val="2"/>
            <w:tcBorders>
              <w:right w:val="single" w:sz="40" w:space="0" w:color="F1F1F1"/>
            </w:tcBorders>
          </w:tcPr>
          <w:p>
            <w:pPr/>
          </w:p>
        </w:tc>
        <w:tc>
          <w:tcPr>
            <w:tcW w:w="991" w:type="dxa"/>
            <w:shd w:val="clear" w:color="auto" w:fill="F1F1F1"/>
          </w:tcPr>
          <w:p>
            <w:pPr>
              <w:pStyle w:val="TableParagraph"/>
              <w:spacing w:line="180" w:lineRule="exact"/>
              <w:ind w:left="100" w:right="98"/>
              <w:rPr>
                <w:sz w:val="16"/>
              </w:rPr>
            </w:pPr>
            <w:r>
              <w:rPr>
                <w:sz w:val="16"/>
              </w:rPr>
              <w:t>m) 1.27%</w:t>
            </w:r>
          </w:p>
        </w:tc>
        <w:tc>
          <w:tcPr>
            <w:tcW w:w="994" w:type="dxa"/>
            <w:shd w:val="clear" w:color="auto" w:fill="F1F1F1"/>
          </w:tcPr>
          <w:p>
            <w:pPr>
              <w:pStyle w:val="TableParagraph"/>
              <w:spacing w:line="180" w:lineRule="exact"/>
              <w:ind w:right="96"/>
              <w:rPr>
                <w:sz w:val="16"/>
              </w:rPr>
            </w:pPr>
            <w:r>
              <w:rPr>
                <w:sz w:val="16"/>
              </w:rPr>
              <w:t>m) 2.96%</w:t>
            </w:r>
          </w:p>
        </w:tc>
        <w:tc>
          <w:tcPr>
            <w:tcW w:w="1133" w:type="dxa"/>
            <w:tcBorders>
              <w:left w:val="thickThinMediumGap" w:sz="23" w:space="0" w:color="F1F1F1"/>
            </w:tcBorders>
          </w:tcPr>
          <w:p>
            <w:pPr>
              <w:pStyle w:val="TableParagraph"/>
              <w:spacing w:line="180" w:lineRule="exact"/>
              <w:ind w:left="50"/>
              <w:rPr>
                <w:sz w:val="16"/>
              </w:rPr>
            </w:pPr>
            <w:r>
              <w:rPr>
                <w:sz w:val="16"/>
              </w:rPr>
              <w:t>m) 3770</w:t>
            </w:r>
          </w:p>
        </w:tc>
        <w:tc>
          <w:tcPr>
            <w:tcW w:w="1136" w:type="dxa"/>
          </w:tcPr>
          <w:p>
            <w:pPr>
              <w:pStyle w:val="TableParagraph"/>
              <w:spacing w:line="180" w:lineRule="exact"/>
              <w:rPr>
                <w:sz w:val="16"/>
              </w:rPr>
            </w:pPr>
            <w:r>
              <w:rPr>
                <w:sz w:val="16"/>
              </w:rPr>
              <w:t>m) 1412</w:t>
            </w:r>
          </w:p>
        </w:tc>
        <w:tc>
          <w:tcPr>
            <w:tcW w:w="1133" w:type="dxa"/>
            <w:shd w:val="clear" w:color="auto" w:fill="A6A6A6"/>
          </w:tcPr>
          <w:p>
            <w:pPr>
              <w:pStyle w:val="TableParagraph"/>
              <w:spacing w:line="180" w:lineRule="exact"/>
              <w:ind w:left="100" w:right="101"/>
              <w:rPr>
                <w:sz w:val="16"/>
              </w:rPr>
            </w:pPr>
            <w:r>
              <w:rPr>
                <w:sz w:val="16"/>
              </w:rPr>
              <w:t>m) 1391</w:t>
            </w:r>
          </w:p>
        </w:tc>
        <w:tc>
          <w:tcPr>
            <w:tcW w:w="1135" w:type="dxa"/>
          </w:tcPr>
          <w:p>
            <w:pPr/>
          </w:p>
        </w:tc>
        <w:tc>
          <w:tcPr>
            <w:tcW w:w="1133" w:type="dxa"/>
          </w:tcPr>
          <w:p>
            <w:pPr/>
          </w:p>
        </w:tc>
      </w:tr>
      <w:tr>
        <w:trPr>
          <w:trHeight w:val="193" w:hRule="exact"/>
        </w:trPr>
        <w:tc>
          <w:tcPr>
            <w:tcW w:w="1277" w:type="dxa"/>
            <w:gridSpan w:val="2"/>
            <w:tcBorders>
              <w:right w:val="single" w:sz="40" w:space="0" w:color="D9D9D9"/>
            </w:tcBorders>
          </w:tcPr>
          <w:p>
            <w:pPr/>
          </w:p>
        </w:tc>
        <w:tc>
          <w:tcPr>
            <w:tcW w:w="991" w:type="dxa"/>
            <w:shd w:val="clear" w:color="auto" w:fill="D9D9D9"/>
          </w:tcPr>
          <w:p>
            <w:pPr>
              <w:pStyle w:val="TableParagraph"/>
              <w:spacing w:line="180" w:lineRule="exact"/>
              <w:ind w:left="100" w:right="98"/>
              <w:rPr>
                <w:sz w:val="16"/>
              </w:rPr>
            </w:pPr>
            <w:r>
              <w:rPr>
                <w:sz w:val="16"/>
              </w:rPr>
              <w:t>n) 3000</w:t>
            </w:r>
          </w:p>
        </w:tc>
        <w:tc>
          <w:tcPr>
            <w:tcW w:w="994" w:type="dxa"/>
            <w:shd w:val="clear" w:color="auto" w:fill="D9D9D9"/>
          </w:tcPr>
          <w:p>
            <w:pPr>
              <w:pStyle w:val="TableParagraph"/>
              <w:spacing w:line="180" w:lineRule="exact"/>
              <w:ind w:right="96"/>
              <w:rPr>
                <w:sz w:val="16"/>
              </w:rPr>
            </w:pPr>
            <w:r>
              <w:rPr>
                <w:sz w:val="16"/>
              </w:rPr>
              <w:t>n) 932</w:t>
            </w:r>
          </w:p>
        </w:tc>
        <w:tc>
          <w:tcPr>
            <w:tcW w:w="1133" w:type="dxa"/>
            <w:tcBorders>
              <w:left w:val="thickThinMediumGap" w:sz="23" w:space="0" w:color="D9D9D9"/>
            </w:tcBorders>
          </w:tcPr>
          <w:p>
            <w:pPr>
              <w:pStyle w:val="TableParagraph"/>
              <w:spacing w:line="180" w:lineRule="exact"/>
              <w:ind w:left="50"/>
              <w:rPr>
                <w:sz w:val="16"/>
              </w:rPr>
            </w:pPr>
            <w:r>
              <w:rPr>
                <w:sz w:val="16"/>
              </w:rPr>
              <w:t>n) 1670</w:t>
            </w:r>
          </w:p>
        </w:tc>
        <w:tc>
          <w:tcPr>
            <w:tcW w:w="1136" w:type="dxa"/>
          </w:tcPr>
          <w:p>
            <w:pPr>
              <w:pStyle w:val="TableParagraph"/>
              <w:spacing w:line="180" w:lineRule="exact"/>
              <w:rPr>
                <w:sz w:val="16"/>
              </w:rPr>
            </w:pPr>
            <w:r>
              <w:rPr>
                <w:sz w:val="16"/>
              </w:rPr>
              <w:t>n) 628</w:t>
            </w:r>
          </w:p>
        </w:tc>
        <w:tc>
          <w:tcPr>
            <w:tcW w:w="1133" w:type="dxa"/>
            <w:shd w:val="clear" w:color="auto" w:fill="A6A6A6"/>
          </w:tcPr>
          <w:p>
            <w:pPr>
              <w:pStyle w:val="TableParagraph"/>
              <w:spacing w:line="180" w:lineRule="exact"/>
              <w:ind w:left="100" w:right="101"/>
              <w:rPr>
                <w:sz w:val="16"/>
              </w:rPr>
            </w:pPr>
            <w:r>
              <w:rPr>
                <w:sz w:val="16"/>
              </w:rPr>
              <w:t>n) 619</w:t>
            </w:r>
          </w:p>
        </w:tc>
        <w:tc>
          <w:tcPr>
            <w:tcW w:w="1135" w:type="dxa"/>
          </w:tcPr>
          <w:p>
            <w:pPr/>
          </w:p>
        </w:tc>
        <w:tc>
          <w:tcPr>
            <w:tcW w:w="1133" w:type="dxa"/>
          </w:tcPr>
          <w:p>
            <w:pPr/>
          </w:p>
        </w:tc>
      </w:tr>
      <w:tr>
        <w:trPr>
          <w:trHeight w:val="193" w:hRule="exact"/>
        </w:trPr>
        <w:tc>
          <w:tcPr>
            <w:tcW w:w="1277" w:type="dxa"/>
            <w:gridSpan w:val="2"/>
          </w:tcPr>
          <w:p>
            <w:pPr/>
          </w:p>
        </w:tc>
        <w:tc>
          <w:tcPr>
            <w:tcW w:w="991" w:type="dxa"/>
          </w:tcPr>
          <w:p>
            <w:pPr>
              <w:pStyle w:val="TableParagraph"/>
              <w:spacing w:line="182" w:lineRule="exact"/>
              <w:ind w:left="100" w:right="98"/>
              <w:rPr>
                <w:sz w:val="16"/>
              </w:rPr>
            </w:pPr>
            <w:r>
              <w:rPr>
                <w:sz w:val="16"/>
              </w:rPr>
              <w:t>772.9</w:t>
            </w:r>
          </w:p>
        </w:tc>
        <w:tc>
          <w:tcPr>
            <w:tcW w:w="994" w:type="dxa"/>
          </w:tcPr>
          <w:p>
            <w:pPr>
              <w:pStyle w:val="TableParagraph"/>
              <w:spacing w:line="182" w:lineRule="exact"/>
              <w:ind w:right="96"/>
              <w:rPr>
                <w:sz w:val="16"/>
              </w:rPr>
            </w:pPr>
            <w:r>
              <w:rPr>
                <w:sz w:val="16"/>
              </w:rPr>
              <w:t>237.1</w:t>
            </w:r>
          </w:p>
        </w:tc>
        <w:tc>
          <w:tcPr>
            <w:tcW w:w="1133" w:type="dxa"/>
            <w:tcBorders>
              <w:bottom w:val="nil"/>
            </w:tcBorders>
          </w:tcPr>
          <w:p>
            <w:pPr>
              <w:pStyle w:val="TableParagraph"/>
              <w:spacing w:line="182" w:lineRule="exact"/>
              <w:ind w:right="101"/>
              <w:rPr>
                <w:sz w:val="16"/>
              </w:rPr>
            </w:pPr>
            <w:r>
              <w:rPr>
                <w:sz w:val="16"/>
              </w:rPr>
              <w:t>ñ) 520</w:t>
            </w:r>
          </w:p>
        </w:tc>
        <w:tc>
          <w:tcPr>
            <w:tcW w:w="1136" w:type="dxa"/>
          </w:tcPr>
          <w:p>
            <w:pPr>
              <w:pStyle w:val="TableParagraph"/>
              <w:spacing w:line="182" w:lineRule="exact"/>
              <w:rPr>
                <w:sz w:val="16"/>
              </w:rPr>
            </w:pPr>
            <w:r>
              <w:rPr>
                <w:sz w:val="16"/>
              </w:rPr>
              <w:t>ñ) 195</w:t>
            </w:r>
          </w:p>
        </w:tc>
        <w:tc>
          <w:tcPr>
            <w:tcW w:w="1133" w:type="dxa"/>
            <w:shd w:val="clear" w:color="auto" w:fill="A6A6A6"/>
          </w:tcPr>
          <w:p>
            <w:pPr>
              <w:pStyle w:val="TableParagraph"/>
              <w:spacing w:line="182" w:lineRule="exact"/>
              <w:ind w:left="100" w:right="101"/>
              <w:rPr>
                <w:sz w:val="16"/>
              </w:rPr>
            </w:pPr>
            <w:r>
              <w:rPr>
                <w:sz w:val="16"/>
              </w:rPr>
              <w:t>ñ) 192</w:t>
            </w:r>
          </w:p>
        </w:tc>
        <w:tc>
          <w:tcPr>
            <w:tcW w:w="1135" w:type="dxa"/>
          </w:tcPr>
          <w:p>
            <w:pPr/>
          </w:p>
        </w:tc>
        <w:tc>
          <w:tcPr>
            <w:tcW w:w="1133" w:type="dxa"/>
          </w:tcPr>
          <w:p>
            <w:pPr/>
          </w:p>
        </w:tc>
      </w:tr>
      <w:tr>
        <w:trPr>
          <w:trHeight w:val="348" w:hRule="exact"/>
        </w:trPr>
        <w:tc>
          <w:tcPr>
            <w:tcW w:w="1277" w:type="dxa"/>
            <w:gridSpan w:val="2"/>
          </w:tcPr>
          <w:p>
            <w:pPr/>
          </w:p>
        </w:tc>
        <w:tc>
          <w:tcPr>
            <w:tcW w:w="991" w:type="dxa"/>
          </w:tcPr>
          <w:p>
            <w:pPr/>
          </w:p>
        </w:tc>
        <w:tc>
          <w:tcPr>
            <w:tcW w:w="994" w:type="dxa"/>
            <w:tcBorders>
              <w:right w:val="nil"/>
            </w:tcBorders>
            <w:shd w:val="clear" w:color="auto" w:fill="A6A6A6"/>
          </w:tcPr>
          <w:p>
            <w:pPr>
              <w:pStyle w:val="TableParagraph"/>
              <w:spacing w:line="180" w:lineRule="exact"/>
              <w:rPr>
                <w:sz w:val="16"/>
              </w:rPr>
            </w:pPr>
            <w:r>
              <w:rPr>
                <w:sz w:val="16"/>
              </w:rPr>
              <w:t>o) 1%</w:t>
            </w:r>
          </w:p>
        </w:tc>
        <w:tc>
          <w:tcPr>
            <w:tcW w:w="1133" w:type="dxa"/>
            <w:tcBorders>
              <w:top w:val="nil"/>
              <w:left w:val="nil"/>
              <w:bottom w:val="nil"/>
              <w:right w:val="nil"/>
            </w:tcBorders>
          </w:tcPr>
          <w:p>
            <w:pPr>
              <w:pStyle w:val="TableParagraph"/>
              <w:spacing w:before="1"/>
              <w:ind w:left="108"/>
              <w:rPr>
                <w:sz w:val="16"/>
              </w:rPr>
            </w:pPr>
            <w:r>
              <w:rPr>
                <w:sz w:val="16"/>
              </w:rPr>
              <w:t>o) 1%</w:t>
            </w:r>
          </w:p>
        </w:tc>
        <w:tc>
          <w:tcPr>
            <w:tcW w:w="1136" w:type="dxa"/>
            <w:tcBorders>
              <w:left w:val="nil"/>
            </w:tcBorders>
          </w:tcPr>
          <w:p>
            <w:pPr>
              <w:pStyle w:val="TableParagraph"/>
              <w:spacing w:line="180" w:lineRule="exact"/>
              <w:ind w:left="107"/>
              <w:rPr>
                <w:sz w:val="16"/>
              </w:rPr>
            </w:pPr>
            <w:r>
              <w:rPr>
                <w:sz w:val="16"/>
              </w:rPr>
              <w:t>o) 1%</w:t>
            </w:r>
          </w:p>
        </w:tc>
        <w:tc>
          <w:tcPr>
            <w:tcW w:w="1133" w:type="dxa"/>
            <w:shd w:val="clear" w:color="auto" w:fill="A6A6A6"/>
          </w:tcPr>
          <w:p>
            <w:pPr>
              <w:pStyle w:val="TableParagraph"/>
              <w:spacing w:line="180" w:lineRule="exact"/>
              <w:ind w:left="100" w:right="101"/>
              <w:rPr>
                <w:sz w:val="16"/>
              </w:rPr>
            </w:pPr>
            <w:r>
              <w:rPr>
                <w:sz w:val="16"/>
              </w:rPr>
              <w:t>o) 1%</w:t>
            </w:r>
          </w:p>
        </w:tc>
        <w:tc>
          <w:tcPr>
            <w:tcW w:w="1135" w:type="dxa"/>
          </w:tcPr>
          <w:p>
            <w:pPr/>
          </w:p>
        </w:tc>
        <w:tc>
          <w:tcPr>
            <w:tcW w:w="1133" w:type="dxa"/>
          </w:tcPr>
          <w:p>
            <w:pPr/>
          </w:p>
        </w:tc>
      </w:tr>
      <w:tr>
        <w:trPr>
          <w:trHeight w:val="343" w:hRule="exact"/>
        </w:trPr>
        <w:tc>
          <w:tcPr>
            <w:tcW w:w="1277" w:type="dxa"/>
            <w:gridSpan w:val="2"/>
          </w:tcPr>
          <w:p>
            <w:pPr/>
          </w:p>
        </w:tc>
        <w:tc>
          <w:tcPr>
            <w:tcW w:w="991" w:type="dxa"/>
          </w:tcPr>
          <w:p>
            <w:pPr/>
          </w:p>
        </w:tc>
        <w:tc>
          <w:tcPr>
            <w:tcW w:w="994" w:type="dxa"/>
            <w:shd w:val="clear" w:color="auto" w:fill="A6A6A6"/>
          </w:tcPr>
          <w:p>
            <w:pPr>
              <w:pStyle w:val="TableParagraph"/>
              <w:spacing w:line="180" w:lineRule="exact"/>
              <w:ind w:right="96"/>
              <w:rPr>
                <w:sz w:val="16"/>
              </w:rPr>
            </w:pPr>
            <w:r>
              <w:rPr>
                <w:sz w:val="16"/>
              </w:rPr>
              <w:t>p) 3%</w:t>
            </w:r>
          </w:p>
        </w:tc>
        <w:tc>
          <w:tcPr>
            <w:tcW w:w="1133" w:type="dxa"/>
            <w:tcBorders>
              <w:top w:val="nil"/>
            </w:tcBorders>
          </w:tcPr>
          <w:p>
            <w:pPr>
              <w:pStyle w:val="TableParagraph"/>
              <w:spacing w:before="1"/>
              <w:ind w:right="101"/>
              <w:rPr>
                <w:sz w:val="16"/>
              </w:rPr>
            </w:pPr>
            <w:r>
              <w:rPr>
                <w:sz w:val="16"/>
              </w:rPr>
              <w:t>p) 3%</w:t>
            </w:r>
          </w:p>
        </w:tc>
        <w:tc>
          <w:tcPr>
            <w:tcW w:w="1136" w:type="dxa"/>
          </w:tcPr>
          <w:p>
            <w:pPr>
              <w:pStyle w:val="TableParagraph"/>
              <w:spacing w:line="180" w:lineRule="exact"/>
              <w:rPr>
                <w:sz w:val="16"/>
              </w:rPr>
            </w:pPr>
            <w:r>
              <w:rPr>
                <w:sz w:val="16"/>
              </w:rPr>
              <w:t>p) 3%</w:t>
            </w:r>
          </w:p>
        </w:tc>
        <w:tc>
          <w:tcPr>
            <w:tcW w:w="1133" w:type="dxa"/>
            <w:shd w:val="clear" w:color="auto" w:fill="A6A6A6"/>
          </w:tcPr>
          <w:p>
            <w:pPr>
              <w:pStyle w:val="TableParagraph"/>
              <w:spacing w:line="180" w:lineRule="exact"/>
              <w:ind w:left="100" w:right="101"/>
              <w:rPr>
                <w:sz w:val="16"/>
              </w:rPr>
            </w:pPr>
            <w:r>
              <w:rPr>
                <w:sz w:val="16"/>
              </w:rPr>
              <w:t>p) 3%</w:t>
            </w:r>
          </w:p>
        </w:tc>
        <w:tc>
          <w:tcPr>
            <w:tcW w:w="1135" w:type="dxa"/>
          </w:tcPr>
          <w:p>
            <w:pPr/>
          </w:p>
        </w:tc>
        <w:tc>
          <w:tcPr>
            <w:tcW w:w="1133" w:type="dxa"/>
          </w:tcPr>
          <w:p>
            <w:pPr/>
          </w:p>
        </w:tc>
      </w:tr>
      <w:tr>
        <w:trPr>
          <w:trHeight w:val="194" w:hRule="exact"/>
        </w:trPr>
        <w:tc>
          <w:tcPr>
            <w:tcW w:w="566" w:type="dxa"/>
          </w:tcPr>
          <w:p>
            <w:pPr>
              <w:pStyle w:val="TableParagraph"/>
              <w:spacing w:line="180" w:lineRule="exact"/>
              <w:ind w:right="238"/>
              <w:rPr>
                <w:sz w:val="16"/>
              </w:rPr>
            </w:pPr>
            <w:r>
              <w:rPr>
                <w:sz w:val="16"/>
              </w:rPr>
              <w:t>A)</w:t>
            </w:r>
          </w:p>
        </w:tc>
        <w:tc>
          <w:tcPr>
            <w:tcW w:w="710" w:type="dxa"/>
          </w:tcPr>
          <w:p>
            <w:pPr>
              <w:pStyle w:val="TableParagraph"/>
              <w:spacing w:line="180" w:lineRule="exact"/>
              <w:ind w:left="84" w:right="121"/>
              <w:jc w:val="center"/>
              <w:rPr>
                <w:sz w:val="16"/>
              </w:rPr>
            </w:pPr>
            <w:r>
              <w:rPr>
                <w:sz w:val="16"/>
              </w:rPr>
              <w:t>8.57%</w:t>
            </w:r>
          </w:p>
        </w:tc>
        <w:tc>
          <w:tcPr>
            <w:tcW w:w="991" w:type="dxa"/>
          </w:tcPr>
          <w:p>
            <w:pPr>
              <w:pStyle w:val="TableParagraph"/>
              <w:spacing w:line="180" w:lineRule="exact"/>
              <w:ind w:left="100" w:right="98"/>
              <w:rPr>
                <w:sz w:val="16"/>
              </w:rPr>
            </w:pPr>
            <w:r>
              <w:rPr>
                <w:sz w:val="16"/>
              </w:rPr>
              <w:t>11.37%</w:t>
            </w:r>
          </w:p>
        </w:tc>
        <w:tc>
          <w:tcPr>
            <w:tcW w:w="994" w:type="dxa"/>
          </w:tcPr>
          <w:p>
            <w:pPr>
              <w:pStyle w:val="TableParagraph"/>
              <w:spacing w:line="180" w:lineRule="exact"/>
              <w:ind w:right="96"/>
              <w:rPr>
                <w:sz w:val="16"/>
              </w:rPr>
            </w:pPr>
            <w:r>
              <w:rPr>
                <w:sz w:val="16"/>
              </w:rPr>
              <w:t>15.25%</w:t>
            </w:r>
          </w:p>
        </w:tc>
        <w:tc>
          <w:tcPr>
            <w:tcW w:w="1133" w:type="dxa"/>
          </w:tcPr>
          <w:p>
            <w:pPr>
              <w:pStyle w:val="TableParagraph"/>
              <w:spacing w:line="180" w:lineRule="exact"/>
              <w:ind w:right="101"/>
              <w:rPr>
                <w:sz w:val="16"/>
              </w:rPr>
            </w:pPr>
            <w:r>
              <w:rPr>
                <w:sz w:val="16"/>
              </w:rPr>
              <w:t>12.51%</w:t>
            </w:r>
          </w:p>
        </w:tc>
        <w:tc>
          <w:tcPr>
            <w:tcW w:w="1136" w:type="dxa"/>
          </w:tcPr>
          <w:p>
            <w:pPr>
              <w:pStyle w:val="TableParagraph"/>
              <w:spacing w:line="180" w:lineRule="exact"/>
              <w:rPr>
                <w:sz w:val="16"/>
              </w:rPr>
            </w:pPr>
            <w:r>
              <w:rPr>
                <w:sz w:val="16"/>
              </w:rPr>
              <w:t>11.28%</w:t>
            </w:r>
          </w:p>
        </w:tc>
        <w:tc>
          <w:tcPr>
            <w:tcW w:w="1133" w:type="dxa"/>
          </w:tcPr>
          <w:p>
            <w:pPr>
              <w:pStyle w:val="TableParagraph"/>
              <w:spacing w:line="180" w:lineRule="exact"/>
              <w:ind w:left="100" w:right="101"/>
              <w:rPr>
                <w:sz w:val="16"/>
              </w:rPr>
            </w:pPr>
            <w:r>
              <w:rPr>
                <w:sz w:val="16"/>
              </w:rPr>
              <w:t>11.5%</w:t>
            </w:r>
          </w:p>
        </w:tc>
        <w:tc>
          <w:tcPr>
            <w:tcW w:w="1135" w:type="dxa"/>
          </w:tcPr>
          <w:p>
            <w:pPr>
              <w:pStyle w:val="TableParagraph"/>
              <w:spacing w:line="180" w:lineRule="exact"/>
              <w:ind w:right="101"/>
              <w:rPr>
                <w:sz w:val="16"/>
              </w:rPr>
            </w:pPr>
            <w:r>
              <w:rPr>
                <w:sz w:val="16"/>
              </w:rPr>
              <w:t>4%</w:t>
            </w:r>
          </w:p>
        </w:tc>
        <w:tc>
          <w:tcPr>
            <w:tcW w:w="1133" w:type="dxa"/>
          </w:tcPr>
          <w:p>
            <w:pPr>
              <w:pStyle w:val="TableParagraph"/>
              <w:spacing w:line="180" w:lineRule="exact"/>
              <w:ind w:right="111"/>
              <w:rPr>
                <w:sz w:val="16"/>
              </w:rPr>
            </w:pPr>
            <w:r>
              <w:rPr>
                <w:sz w:val="16"/>
              </w:rPr>
              <w:t>1%</w:t>
            </w:r>
          </w:p>
        </w:tc>
      </w:tr>
      <w:tr>
        <w:trPr>
          <w:trHeight w:val="192" w:hRule="exact"/>
        </w:trPr>
        <w:tc>
          <w:tcPr>
            <w:tcW w:w="566" w:type="dxa"/>
          </w:tcPr>
          <w:p>
            <w:pPr>
              <w:pStyle w:val="TableParagraph"/>
              <w:spacing w:line="180" w:lineRule="exact"/>
              <w:ind w:right="238"/>
              <w:rPr>
                <w:sz w:val="16"/>
              </w:rPr>
            </w:pPr>
            <w:r>
              <w:rPr>
                <w:sz w:val="16"/>
              </w:rPr>
              <w:t>B)</w:t>
            </w:r>
          </w:p>
        </w:tc>
        <w:tc>
          <w:tcPr>
            <w:tcW w:w="710" w:type="dxa"/>
          </w:tcPr>
          <w:p>
            <w:pPr>
              <w:pStyle w:val="TableParagraph"/>
              <w:spacing w:line="180" w:lineRule="exact"/>
              <w:ind w:left="31" w:right="122"/>
              <w:jc w:val="center"/>
              <w:rPr>
                <w:sz w:val="16"/>
              </w:rPr>
            </w:pPr>
            <w:r>
              <w:rPr>
                <w:sz w:val="16"/>
              </w:rPr>
              <w:t>5,300</w:t>
            </w:r>
          </w:p>
        </w:tc>
        <w:tc>
          <w:tcPr>
            <w:tcW w:w="991" w:type="dxa"/>
          </w:tcPr>
          <w:p>
            <w:pPr>
              <w:pStyle w:val="TableParagraph"/>
              <w:spacing w:line="180" w:lineRule="exact"/>
              <w:ind w:left="100" w:right="98"/>
              <w:rPr>
                <w:sz w:val="16"/>
              </w:rPr>
            </w:pPr>
            <w:r>
              <w:rPr>
                <w:sz w:val="16"/>
              </w:rPr>
              <w:t>7,756</w:t>
            </w:r>
          </w:p>
        </w:tc>
        <w:tc>
          <w:tcPr>
            <w:tcW w:w="994" w:type="dxa"/>
          </w:tcPr>
          <w:p>
            <w:pPr>
              <w:pStyle w:val="TableParagraph"/>
              <w:spacing w:line="180" w:lineRule="exact"/>
              <w:ind w:right="96"/>
              <w:rPr>
                <w:sz w:val="16"/>
              </w:rPr>
            </w:pPr>
            <w:r>
              <w:rPr>
                <w:sz w:val="16"/>
              </w:rPr>
              <w:t>2,764</w:t>
            </w:r>
          </w:p>
        </w:tc>
        <w:tc>
          <w:tcPr>
            <w:tcW w:w="1133" w:type="dxa"/>
          </w:tcPr>
          <w:p>
            <w:pPr>
              <w:pStyle w:val="TableParagraph"/>
              <w:spacing w:line="180" w:lineRule="exact"/>
              <w:ind w:right="101"/>
              <w:rPr>
                <w:sz w:val="16"/>
              </w:rPr>
            </w:pPr>
            <w:r>
              <w:rPr>
                <w:sz w:val="16"/>
              </w:rPr>
              <w:t>18,140</w:t>
            </w:r>
          </w:p>
        </w:tc>
        <w:tc>
          <w:tcPr>
            <w:tcW w:w="1136" w:type="dxa"/>
          </w:tcPr>
          <w:p>
            <w:pPr>
              <w:pStyle w:val="TableParagraph"/>
              <w:spacing w:line="180" w:lineRule="exact"/>
              <w:rPr>
                <w:sz w:val="16"/>
              </w:rPr>
            </w:pPr>
            <w:r>
              <w:rPr>
                <w:sz w:val="16"/>
              </w:rPr>
              <w:t>6762</w:t>
            </w:r>
          </w:p>
        </w:tc>
        <w:tc>
          <w:tcPr>
            <w:tcW w:w="1133" w:type="dxa"/>
          </w:tcPr>
          <w:p>
            <w:pPr>
              <w:pStyle w:val="TableParagraph"/>
              <w:spacing w:line="180" w:lineRule="exact"/>
              <w:ind w:left="100" w:right="101"/>
              <w:rPr>
                <w:sz w:val="16"/>
              </w:rPr>
            </w:pPr>
            <w:r>
              <w:rPr>
                <w:sz w:val="16"/>
              </w:rPr>
              <w:t>6,677</w:t>
            </w:r>
          </w:p>
        </w:tc>
        <w:tc>
          <w:tcPr>
            <w:tcW w:w="1135" w:type="dxa"/>
          </w:tcPr>
          <w:p>
            <w:pPr>
              <w:pStyle w:val="TableParagraph"/>
              <w:spacing w:line="180" w:lineRule="exact"/>
              <w:ind w:right="101"/>
              <w:rPr>
                <w:sz w:val="16"/>
              </w:rPr>
            </w:pPr>
            <w:r>
              <w:rPr>
                <w:sz w:val="16"/>
              </w:rPr>
              <w:t>5,550</w:t>
            </w:r>
          </w:p>
        </w:tc>
        <w:tc>
          <w:tcPr>
            <w:tcW w:w="1133" w:type="dxa"/>
          </w:tcPr>
          <w:p>
            <w:pPr>
              <w:pStyle w:val="TableParagraph"/>
              <w:spacing w:line="180" w:lineRule="exact"/>
              <w:ind w:right="111"/>
              <w:rPr>
                <w:sz w:val="16"/>
              </w:rPr>
            </w:pPr>
            <w:r>
              <w:rPr>
                <w:sz w:val="16"/>
              </w:rPr>
              <w:t>7,900</w:t>
            </w:r>
          </w:p>
        </w:tc>
      </w:tr>
      <w:tr>
        <w:trPr>
          <w:trHeight w:val="931" w:hRule="exact"/>
        </w:trPr>
        <w:tc>
          <w:tcPr>
            <w:tcW w:w="566" w:type="dxa"/>
          </w:tcPr>
          <w:p>
            <w:pPr>
              <w:pStyle w:val="TableParagraph"/>
              <w:ind w:right="238"/>
              <w:rPr>
                <w:sz w:val="16"/>
              </w:rPr>
            </w:pPr>
            <w:r>
              <w:rPr>
                <w:sz w:val="16"/>
              </w:rPr>
              <w:t>C) (1)</w:t>
            </w:r>
          </w:p>
        </w:tc>
        <w:tc>
          <w:tcPr>
            <w:tcW w:w="710" w:type="dxa"/>
          </w:tcPr>
          <w:p>
            <w:pPr>
              <w:pStyle w:val="TableParagraph"/>
              <w:ind w:right="88"/>
              <w:rPr>
                <w:sz w:val="16"/>
              </w:rPr>
            </w:pPr>
            <w:r>
              <w:rPr>
                <w:sz w:val="16"/>
              </w:rPr>
              <w:t>$257, 951.00 ($22,7 25.48</w:t>
            </w:r>
          </w:p>
          <w:p>
            <w:pPr>
              <w:pStyle w:val="TableParagraph"/>
              <w:spacing w:before="1"/>
              <w:ind w:right="88"/>
              <w:rPr>
                <w:sz w:val="16"/>
              </w:rPr>
            </w:pPr>
            <w:r>
              <w:rPr>
                <w:sz w:val="16"/>
              </w:rPr>
              <w:t>USD)</w:t>
            </w:r>
          </w:p>
        </w:tc>
        <w:tc>
          <w:tcPr>
            <w:tcW w:w="991" w:type="dxa"/>
          </w:tcPr>
          <w:p>
            <w:pPr>
              <w:pStyle w:val="TableParagraph"/>
              <w:ind w:left="100" w:right="96"/>
              <w:rPr>
                <w:sz w:val="16"/>
              </w:rPr>
            </w:pPr>
            <w:r>
              <w:rPr>
                <w:sz w:val="16"/>
              </w:rPr>
              <w:t>$377,484. 52 ($33,256.3 8 USD)</w:t>
            </w:r>
          </w:p>
        </w:tc>
        <w:tc>
          <w:tcPr>
            <w:tcW w:w="994" w:type="dxa"/>
          </w:tcPr>
          <w:p>
            <w:pPr>
              <w:pStyle w:val="TableParagraph"/>
              <w:ind w:right="96"/>
              <w:rPr>
                <w:sz w:val="16"/>
              </w:rPr>
            </w:pPr>
            <w:r>
              <w:rPr>
                <w:sz w:val="16"/>
              </w:rPr>
              <w:t>$134,523. 88 ($11,851.5 5 USD)</w:t>
            </w:r>
          </w:p>
        </w:tc>
        <w:tc>
          <w:tcPr>
            <w:tcW w:w="1133" w:type="dxa"/>
          </w:tcPr>
          <w:p>
            <w:pPr>
              <w:pStyle w:val="TableParagraph"/>
              <w:ind w:right="146"/>
              <w:rPr>
                <w:sz w:val="16"/>
              </w:rPr>
            </w:pPr>
            <w:r>
              <w:rPr>
                <w:sz w:val="16"/>
              </w:rPr>
              <w:t>$882,873.8 ($77,781.18</w:t>
            </w:r>
          </w:p>
          <w:p>
            <w:pPr>
              <w:pStyle w:val="TableParagraph"/>
              <w:spacing w:before="1"/>
              <w:ind w:right="101"/>
              <w:rPr>
                <w:sz w:val="16"/>
              </w:rPr>
            </w:pPr>
            <w:r>
              <w:rPr>
                <w:sz w:val="16"/>
              </w:rPr>
              <w:t>USD)</w:t>
            </w:r>
          </w:p>
        </w:tc>
        <w:tc>
          <w:tcPr>
            <w:tcW w:w="1136" w:type="dxa"/>
          </w:tcPr>
          <w:p>
            <w:pPr>
              <w:pStyle w:val="TableParagraph"/>
              <w:ind w:right="113"/>
              <w:rPr>
                <w:sz w:val="16"/>
              </w:rPr>
            </w:pPr>
            <w:r>
              <w:rPr>
                <w:sz w:val="16"/>
              </w:rPr>
              <w:t>$329,106.54 ($28,994.28</w:t>
            </w:r>
          </w:p>
          <w:p>
            <w:pPr>
              <w:pStyle w:val="TableParagraph"/>
              <w:spacing w:before="1"/>
              <w:rPr>
                <w:sz w:val="16"/>
              </w:rPr>
            </w:pPr>
            <w:r>
              <w:rPr>
                <w:sz w:val="16"/>
              </w:rPr>
              <w:t>USD)</w:t>
            </w:r>
          </w:p>
        </w:tc>
        <w:tc>
          <w:tcPr>
            <w:tcW w:w="1133" w:type="dxa"/>
          </w:tcPr>
          <w:p>
            <w:pPr>
              <w:pStyle w:val="TableParagraph"/>
              <w:ind w:left="100" w:right="113"/>
              <w:rPr>
                <w:sz w:val="16"/>
              </w:rPr>
            </w:pPr>
            <w:r>
              <w:rPr>
                <w:sz w:val="16"/>
              </w:rPr>
              <w:t>$324,969.59 ($28,629.82</w:t>
            </w:r>
          </w:p>
          <w:p>
            <w:pPr>
              <w:pStyle w:val="TableParagraph"/>
              <w:spacing w:before="1"/>
              <w:ind w:left="100" w:right="101"/>
              <w:rPr>
                <w:sz w:val="16"/>
              </w:rPr>
            </w:pPr>
            <w:r>
              <w:rPr>
                <w:sz w:val="16"/>
              </w:rPr>
              <w:t>USD)</w:t>
            </w:r>
          </w:p>
        </w:tc>
        <w:tc>
          <w:tcPr>
            <w:tcW w:w="1135" w:type="dxa"/>
          </w:tcPr>
          <w:p>
            <w:pPr>
              <w:pStyle w:val="TableParagraph"/>
              <w:ind w:right="148"/>
              <w:rPr>
                <w:sz w:val="16"/>
              </w:rPr>
            </w:pPr>
            <w:r>
              <w:rPr>
                <w:sz w:val="16"/>
              </w:rPr>
              <w:t>$270,118.5 ($23,797.43</w:t>
            </w:r>
          </w:p>
          <w:p>
            <w:pPr>
              <w:pStyle w:val="TableParagraph"/>
              <w:spacing w:before="1"/>
              <w:ind w:right="101"/>
              <w:rPr>
                <w:sz w:val="16"/>
              </w:rPr>
            </w:pPr>
            <w:r>
              <w:rPr>
                <w:sz w:val="16"/>
              </w:rPr>
              <w:t>USD)</w:t>
            </w:r>
          </w:p>
        </w:tc>
        <w:tc>
          <w:tcPr>
            <w:tcW w:w="1133" w:type="dxa"/>
          </w:tcPr>
          <w:p>
            <w:pPr>
              <w:pStyle w:val="TableParagraph"/>
              <w:ind w:right="111"/>
              <w:rPr>
                <w:sz w:val="16"/>
              </w:rPr>
            </w:pPr>
            <w:r>
              <w:rPr>
                <w:sz w:val="16"/>
              </w:rPr>
              <w:t>$384,493.00 ($33,873.83</w:t>
            </w:r>
          </w:p>
          <w:p>
            <w:pPr>
              <w:pStyle w:val="TableParagraph"/>
              <w:spacing w:before="1"/>
              <w:ind w:right="111"/>
              <w:rPr>
                <w:sz w:val="16"/>
              </w:rPr>
            </w:pPr>
            <w:r>
              <w:rPr>
                <w:sz w:val="16"/>
              </w:rPr>
              <w:t>USD)</w:t>
            </w:r>
          </w:p>
        </w:tc>
      </w:tr>
      <w:tr>
        <w:trPr>
          <w:trHeight w:val="929" w:hRule="exact"/>
        </w:trPr>
        <w:tc>
          <w:tcPr>
            <w:tcW w:w="566" w:type="dxa"/>
          </w:tcPr>
          <w:p>
            <w:pPr>
              <w:pStyle w:val="TableParagraph"/>
              <w:spacing w:line="181" w:lineRule="exact"/>
              <w:ind w:right="238"/>
              <w:rPr>
                <w:sz w:val="16"/>
              </w:rPr>
            </w:pPr>
            <w:r>
              <w:rPr>
                <w:sz w:val="16"/>
              </w:rPr>
              <w:t>D)</w:t>
            </w:r>
          </w:p>
        </w:tc>
        <w:tc>
          <w:tcPr>
            <w:tcW w:w="710" w:type="dxa"/>
          </w:tcPr>
          <w:p>
            <w:pPr>
              <w:pStyle w:val="TableParagraph"/>
              <w:ind w:right="88"/>
              <w:rPr>
                <w:sz w:val="16"/>
              </w:rPr>
            </w:pPr>
            <w:r>
              <w:rPr>
                <w:sz w:val="16"/>
              </w:rPr>
              <w:t>$21, 495.91 ($1,89 3.78</w:t>
            </w:r>
          </w:p>
          <w:p>
            <w:pPr>
              <w:pStyle w:val="TableParagraph"/>
              <w:spacing w:before="1"/>
              <w:ind w:right="88"/>
              <w:rPr>
                <w:sz w:val="16"/>
              </w:rPr>
            </w:pPr>
            <w:r>
              <w:rPr>
                <w:sz w:val="16"/>
              </w:rPr>
              <w:t>USD)</w:t>
            </w:r>
          </w:p>
        </w:tc>
        <w:tc>
          <w:tcPr>
            <w:tcW w:w="991" w:type="dxa"/>
          </w:tcPr>
          <w:p>
            <w:pPr>
              <w:pStyle w:val="TableParagraph"/>
              <w:ind w:left="100" w:right="96"/>
              <w:rPr>
                <w:sz w:val="16"/>
              </w:rPr>
            </w:pPr>
            <w:r>
              <w:rPr>
                <w:sz w:val="16"/>
              </w:rPr>
              <w:t>$31,457.0 4 ($2,771.36</w:t>
            </w:r>
          </w:p>
          <w:p>
            <w:pPr>
              <w:pStyle w:val="TableParagraph"/>
              <w:spacing w:before="1"/>
              <w:ind w:left="100" w:right="98"/>
              <w:rPr>
                <w:sz w:val="16"/>
              </w:rPr>
            </w:pPr>
            <w:r>
              <w:rPr>
                <w:sz w:val="16"/>
              </w:rPr>
              <w:t>USD)</w:t>
            </w:r>
          </w:p>
        </w:tc>
        <w:tc>
          <w:tcPr>
            <w:tcW w:w="994" w:type="dxa"/>
          </w:tcPr>
          <w:p>
            <w:pPr>
              <w:pStyle w:val="TableParagraph"/>
              <w:ind w:right="96"/>
              <w:rPr>
                <w:sz w:val="16"/>
              </w:rPr>
            </w:pPr>
            <w:r>
              <w:rPr>
                <w:sz w:val="16"/>
              </w:rPr>
              <w:t>$11,210.3 2 ($987.62</w:t>
            </w:r>
          </w:p>
          <w:p>
            <w:pPr>
              <w:pStyle w:val="TableParagraph"/>
              <w:spacing w:line="182" w:lineRule="exact"/>
              <w:ind w:right="96"/>
              <w:rPr>
                <w:sz w:val="16"/>
              </w:rPr>
            </w:pPr>
            <w:r>
              <w:rPr>
                <w:sz w:val="16"/>
              </w:rPr>
              <w:t>USD)</w:t>
            </w:r>
          </w:p>
        </w:tc>
        <w:tc>
          <w:tcPr>
            <w:tcW w:w="1133" w:type="dxa"/>
          </w:tcPr>
          <w:p>
            <w:pPr>
              <w:pStyle w:val="TableParagraph"/>
              <w:ind w:right="199"/>
              <w:rPr>
                <w:sz w:val="16"/>
              </w:rPr>
            </w:pPr>
            <w:r>
              <w:rPr>
                <w:sz w:val="16"/>
              </w:rPr>
              <w:t>$73,572.81 ($6,481.76</w:t>
            </w:r>
          </w:p>
          <w:p>
            <w:pPr>
              <w:pStyle w:val="TableParagraph"/>
              <w:spacing w:line="182" w:lineRule="exact"/>
              <w:ind w:right="101"/>
              <w:rPr>
                <w:sz w:val="16"/>
              </w:rPr>
            </w:pPr>
            <w:r>
              <w:rPr>
                <w:sz w:val="16"/>
              </w:rPr>
              <w:t>USD)</w:t>
            </w:r>
          </w:p>
        </w:tc>
        <w:tc>
          <w:tcPr>
            <w:tcW w:w="1136" w:type="dxa"/>
          </w:tcPr>
          <w:p>
            <w:pPr>
              <w:pStyle w:val="TableParagraph"/>
              <w:ind w:right="202"/>
              <w:rPr>
                <w:sz w:val="16"/>
              </w:rPr>
            </w:pPr>
            <w:r>
              <w:rPr>
                <w:sz w:val="16"/>
              </w:rPr>
              <w:t>$27,425.54 ($2,416.19</w:t>
            </w:r>
          </w:p>
          <w:p>
            <w:pPr>
              <w:pStyle w:val="TableParagraph"/>
              <w:spacing w:line="182" w:lineRule="exact"/>
              <w:rPr>
                <w:sz w:val="16"/>
              </w:rPr>
            </w:pPr>
            <w:r>
              <w:rPr>
                <w:sz w:val="16"/>
              </w:rPr>
              <w:t>USD)</w:t>
            </w:r>
          </w:p>
        </w:tc>
        <w:tc>
          <w:tcPr>
            <w:tcW w:w="1133" w:type="dxa"/>
          </w:tcPr>
          <w:p>
            <w:pPr>
              <w:pStyle w:val="TableParagraph"/>
              <w:ind w:left="100" w:right="202"/>
              <w:rPr>
                <w:sz w:val="16"/>
              </w:rPr>
            </w:pPr>
            <w:r>
              <w:rPr>
                <w:sz w:val="16"/>
              </w:rPr>
              <w:t>$27,080.79 ($2,385.81</w:t>
            </w:r>
          </w:p>
          <w:p>
            <w:pPr>
              <w:pStyle w:val="TableParagraph"/>
              <w:spacing w:line="182" w:lineRule="exact"/>
              <w:ind w:left="100" w:right="101"/>
              <w:rPr>
                <w:sz w:val="16"/>
              </w:rPr>
            </w:pPr>
            <w:r>
              <w:rPr>
                <w:sz w:val="16"/>
              </w:rPr>
              <w:t>USD)</w:t>
            </w:r>
          </w:p>
        </w:tc>
        <w:tc>
          <w:tcPr>
            <w:tcW w:w="1135" w:type="dxa"/>
          </w:tcPr>
          <w:p>
            <w:pPr>
              <w:pStyle w:val="TableParagraph"/>
              <w:ind w:right="201"/>
              <w:rPr>
                <w:sz w:val="16"/>
              </w:rPr>
            </w:pPr>
            <w:r>
              <w:rPr>
                <w:sz w:val="16"/>
              </w:rPr>
              <w:t>$22,509.87 ($1,983.11</w:t>
            </w:r>
          </w:p>
          <w:p>
            <w:pPr>
              <w:pStyle w:val="TableParagraph"/>
              <w:spacing w:line="182" w:lineRule="exact"/>
              <w:ind w:right="101"/>
              <w:rPr>
                <w:sz w:val="16"/>
              </w:rPr>
            </w:pPr>
            <w:r>
              <w:rPr>
                <w:sz w:val="16"/>
              </w:rPr>
              <w:t>USD)</w:t>
            </w:r>
          </w:p>
        </w:tc>
        <w:tc>
          <w:tcPr>
            <w:tcW w:w="1133" w:type="dxa"/>
          </w:tcPr>
          <w:p>
            <w:pPr>
              <w:pStyle w:val="TableParagraph"/>
              <w:ind w:right="200"/>
              <w:rPr>
                <w:sz w:val="16"/>
              </w:rPr>
            </w:pPr>
            <w:r>
              <w:rPr>
                <w:sz w:val="16"/>
              </w:rPr>
              <w:t>$32,041.08 ($2,822.81</w:t>
            </w:r>
          </w:p>
          <w:p>
            <w:pPr>
              <w:pStyle w:val="TableParagraph"/>
              <w:spacing w:line="182" w:lineRule="exact"/>
              <w:ind w:right="111"/>
              <w:rPr>
                <w:sz w:val="16"/>
              </w:rPr>
            </w:pPr>
            <w:r>
              <w:rPr>
                <w:sz w:val="16"/>
              </w:rPr>
              <w:t>USD)</w:t>
            </w:r>
          </w:p>
        </w:tc>
      </w:tr>
      <w:tr>
        <w:trPr>
          <w:trHeight w:val="1298" w:hRule="exact"/>
        </w:trPr>
        <w:tc>
          <w:tcPr>
            <w:tcW w:w="566" w:type="dxa"/>
          </w:tcPr>
          <w:p>
            <w:pPr>
              <w:pStyle w:val="TableParagraph"/>
              <w:spacing w:line="180" w:lineRule="exact"/>
              <w:ind w:right="238"/>
              <w:rPr>
                <w:sz w:val="16"/>
              </w:rPr>
            </w:pPr>
            <w:r>
              <w:rPr>
                <w:sz w:val="16"/>
              </w:rPr>
              <w:t>E)</w:t>
            </w:r>
          </w:p>
        </w:tc>
        <w:tc>
          <w:tcPr>
            <w:tcW w:w="710" w:type="dxa"/>
          </w:tcPr>
          <w:p>
            <w:pPr>
              <w:pStyle w:val="TableParagraph"/>
              <w:ind w:right="88"/>
              <w:rPr>
                <w:sz w:val="16"/>
              </w:rPr>
            </w:pPr>
            <w:r>
              <w:rPr>
                <w:sz w:val="16"/>
              </w:rPr>
              <w:t>$46,32 2,211.</w:t>
            </w:r>
          </w:p>
          <w:p>
            <w:pPr>
              <w:pStyle w:val="TableParagraph"/>
              <w:spacing w:before="1"/>
              <w:ind w:right="124"/>
              <w:rPr>
                <w:sz w:val="16"/>
              </w:rPr>
            </w:pPr>
            <w:r>
              <w:rPr>
                <w:sz w:val="16"/>
              </w:rPr>
              <w:t>47 ($4,08</w:t>
            </w:r>
          </w:p>
          <w:p>
            <w:pPr>
              <w:pStyle w:val="TableParagraph"/>
              <w:spacing w:before="1"/>
              <w:ind w:right="88"/>
              <w:rPr>
                <w:sz w:val="16"/>
              </w:rPr>
            </w:pPr>
            <w:r>
              <w:rPr>
                <w:sz w:val="16"/>
              </w:rPr>
              <w:t>0,986.</w:t>
            </w:r>
          </w:p>
          <w:p>
            <w:pPr>
              <w:pStyle w:val="TableParagraph"/>
              <w:spacing w:line="183" w:lineRule="exact" w:before="1"/>
              <w:ind w:right="88"/>
              <w:rPr>
                <w:sz w:val="16"/>
              </w:rPr>
            </w:pPr>
            <w:r>
              <w:rPr>
                <w:sz w:val="16"/>
              </w:rPr>
              <w:t>83</w:t>
            </w:r>
          </w:p>
          <w:p>
            <w:pPr>
              <w:pStyle w:val="TableParagraph"/>
              <w:spacing w:line="183" w:lineRule="exact"/>
              <w:ind w:right="88"/>
              <w:rPr>
                <w:sz w:val="16"/>
              </w:rPr>
            </w:pPr>
            <w:r>
              <w:rPr>
                <w:sz w:val="16"/>
              </w:rPr>
              <w:t>USD)</w:t>
            </w:r>
          </w:p>
        </w:tc>
        <w:tc>
          <w:tcPr>
            <w:tcW w:w="991" w:type="dxa"/>
          </w:tcPr>
          <w:p>
            <w:pPr>
              <w:pStyle w:val="TableParagraph"/>
              <w:ind w:left="100" w:right="96"/>
              <w:rPr>
                <w:sz w:val="16"/>
              </w:rPr>
            </w:pPr>
            <w:r>
              <w:rPr>
                <w:sz w:val="16"/>
              </w:rPr>
              <w:t>$51,117,1 18.71 ($4,503,41</w:t>
            </w:r>
          </w:p>
          <w:p>
            <w:pPr>
              <w:pStyle w:val="TableParagraph"/>
              <w:spacing w:line="182" w:lineRule="exact"/>
              <w:ind w:left="100"/>
              <w:rPr>
                <w:sz w:val="16"/>
              </w:rPr>
            </w:pPr>
            <w:r>
              <w:rPr>
                <w:sz w:val="16"/>
              </w:rPr>
              <w:t>8.15 USD)</w:t>
            </w:r>
          </w:p>
        </w:tc>
        <w:tc>
          <w:tcPr>
            <w:tcW w:w="994" w:type="dxa"/>
          </w:tcPr>
          <w:p>
            <w:pPr>
              <w:pStyle w:val="TableParagraph"/>
              <w:ind w:right="96"/>
              <w:rPr>
                <w:sz w:val="16"/>
              </w:rPr>
            </w:pPr>
            <w:r>
              <w:rPr>
                <w:sz w:val="16"/>
              </w:rPr>
              <w:t>$15,888,9 83.30 ($1,399,81</w:t>
            </w:r>
          </w:p>
          <w:p>
            <w:pPr>
              <w:pStyle w:val="TableParagraph"/>
              <w:spacing w:line="182" w:lineRule="exact"/>
              <w:rPr>
                <w:sz w:val="16"/>
              </w:rPr>
            </w:pPr>
            <w:r>
              <w:rPr>
                <w:sz w:val="16"/>
              </w:rPr>
              <w:t>9.42 USD)</w:t>
            </w:r>
          </w:p>
        </w:tc>
        <w:tc>
          <w:tcPr>
            <w:tcW w:w="1133" w:type="dxa"/>
          </w:tcPr>
          <w:p>
            <w:pPr>
              <w:pStyle w:val="TableParagraph"/>
              <w:spacing w:line="180" w:lineRule="exact"/>
              <w:rPr>
                <w:sz w:val="16"/>
              </w:rPr>
            </w:pPr>
            <w:r>
              <w:rPr>
                <w:sz w:val="16"/>
              </w:rPr>
              <w:t>$30,059,233</w:t>
            </w:r>
          </w:p>
          <w:p>
            <w:pPr>
              <w:pStyle w:val="TableParagraph"/>
              <w:spacing w:before="1"/>
              <w:ind w:right="101"/>
              <w:rPr>
                <w:sz w:val="16"/>
              </w:rPr>
            </w:pPr>
            <w:r>
              <w:rPr>
                <w:sz w:val="16"/>
              </w:rPr>
              <w:t>.67 ($2,648,218. 48 USD)</w:t>
            </w:r>
          </w:p>
        </w:tc>
        <w:tc>
          <w:tcPr>
            <w:tcW w:w="1136" w:type="dxa"/>
          </w:tcPr>
          <w:p>
            <w:pPr>
              <w:pStyle w:val="TableParagraph"/>
              <w:spacing w:line="180" w:lineRule="exact"/>
              <w:rPr>
                <w:sz w:val="16"/>
              </w:rPr>
            </w:pPr>
            <w:r>
              <w:rPr>
                <w:sz w:val="16"/>
              </w:rPr>
              <w:t>$11,255,952</w:t>
            </w:r>
          </w:p>
          <w:p>
            <w:pPr>
              <w:pStyle w:val="TableParagraph"/>
              <w:spacing w:before="1"/>
              <w:ind w:right="148"/>
              <w:rPr>
                <w:sz w:val="16"/>
              </w:rPr>
            </w:pPr>
            <w:r>
              <w:rPr>
                <w:sz w:val="16"/>
              </w:rPr>
              <w:t>.19 ($991,649.3 8 USD)</w:t>
            </w:r>
          </w:p>
        </w:tc>
        <w:tc>
          <w:tcPr>
            <w:tcW w:w="1133" w:type="dxa"/>
          </w:tcPr>
          <w:p>
            <w:pPr>
              <w:pStyle w:val="TableParagraph"/>
              <w:spacing w:line="180" w:lineRule="exact"/>
              <w:ind w:left="100"/>
              <w:rPr>
                <w:sz w:val="16"/>
              </w:rPr>
            </w:pPr>
            <w:r>
              <w:rPr>
                <w:sz w:val="16"/>
              </w:rPr>
              <w:t>$11,091,726</w:t>
            </w:r>
          </w:p>
          <w:p>
            <w:pPr>
              <w:pStyle w:val="TableParagraph"/>
              <w:spacing w:before="1"/>
              <w:ind w:left="100" w:right="149"/>
              <w:rPr>
                <w:sz w:val="16"/>
              </w:rPr>
            </w:pPr>
            <w:r>
              <w:rPr>
                <w:sz w:val="16"/>
              </w:rPr>
              <w:t>.09 ($977,181.0 6 USD)</w:t>
            </w:r>
          </w:p>
        </w:tc>
        <w:tc>
          <w:tcPr>
            <w:tcW w:w="1135" w:type="dxa"/>
          </w:tcPr>
          <w:p>
            <w:pPr>
              <w:pStyle w:val="TableParagraph"/>
              <w:ind w:right="148"/>
              <w:rPr>
                <w:sz w:val="16"/>
              </w:rPr>
            </w:pPr>
            <w:r>
              <w:rPr>
                <w:sz w:val="16"/>
              </w:rPr>
              <w:t>$3,314,704. 50 ($292,025.4 6 USD)</w:t>
            </w:r>
          </w:p>
        </w:tc>
        <w:tc>
          <w:tcPr>
            <w:tcW w:w="1133" w:type="dxa"/>
          </w:tcPr>
          <w:p>
            <w:pPr>
              <w:pStyle w:val="TableParagraph"/>
              <w:ind w:right="146"/>
              <w:rPr>
                <w:sz w:val="16"/>
              </w:rPr>
            </w:pPr>
            <w:r>
              <w:rPr>
                <w:sz w:val="16"/>
              </w:rPr>
              <w:t>$3,314,704. 50 ($292,025.4 6 USD)</w:t>
            </w:r>
          </w:p>
        </w:tc>
      </w:tr>
      <w:tr>
        <w:trPr>
          <w:trHeight w:val="194" w:hRule="exact"/>
        </w:trPr>
        <w:tc>
          <w:tcPr>
            <w:tcW w:w="566" w:type="dxa"/>
          </w:tcPr>
          <w:p>
            <w:pPr>
              <w:pStyle w:val="TableParagraph"/>
              <w:spacing w:line="180" w:lineRule="exact"/>
              <w:ind w:right="238"/>
              <w:rPr>
                <w:sz w:val="16"/>
              </w:rPr>
            </w:pPr>
            <w:r>
              <w:rPr>
                <w:sz w:val="16"/>
              </w:rPr>
              <w:t>F)</w:t>
            </w:r>
          </w:p>
        </w:tc>
        <w:tc>
          <w:tcPr>
            <w:tcW w:w="710" w:type="dxa"/>
          </w:tcPr>
          <w:p>
            <w:pPr>
              <w:pStyle w:val="TableParagraph"/>
              <w:spacing w:line="180" w:lineRule="exact"/>
              <w:ind w:left="84" w:right="121"/>
              <w:jc w:val="center"/>
              <w:rPr>
                <w:sz w:val="16"/>
              </w:rPr>
            </w:pPr>
            <w:r>
              <w:rPr>
                <w:sz w:val="16"/>
              </w:rPr>
              <w:t>0.04%</w:t>
            </w:r>
          </w:p>
        </w:tc>
        <w:tc>
          <w:tcPr>
            <w:tcW w:w="991" w:type="dxa"/>
          </w:tcPr>
          <w:p>
            <w:pPr>
              <w:pStyle w:val="TableParagraph"/>
              <w:spacing w:line="180" w:lineRule="exact"/>
              <w:ind w:left="100" w:right="98"/>
              <w:rPr>
                <w:sz w:val="16"/>
              </w:rPr>
            </w:pPr>
            <w:r>
              <w:rPr>
                <w:sz w:val="16"/>
              </w:rPr>
              <w:t>0.06%</w:t>
            </w:r>
          </w:p>
        </w:tc>
        <w:tc>
          <w:tcPr>
            <w:tcW w:w="994" w:type="dxa"/>
          </w:tcPr>
          <w:p>
            <w:pPr>
              <w:pStyle w:val="TableParagraph"/>
              <w:spacing w:line="180" w:lineRule="exact"/>
              <w:ind w:right="96"/>
              <w:rPr>
                <w:sz w:val="16"/>
              </w:rPr>
            </w:pPr>
            <w:r>
              <w:rPr>
                <w:sz w:val="16"/>
              </w:rPr>
              <w:t>0.07%</w:t>
            </w:r>
          </w:p>
        </w:tc>
        <w:tc>
          <w:tcPr>
            <w:tcW w:w="1133" w:type="dxa"/>
          </w:tcPr>
          <w:p>
            <w:pPr>
              <w:pStyle w:val="TableParagraph"/>
              <w:spacing w:line="180" w:lineRule="exact"/>
              <w:ind w:right="101"/>
              <w:rPr>
                <w:sz w:val="16"/>
              </w:rPr>
            </w:pPr>
            <w:r>
              <w:rPr>
                <w:sz w:val="16"/>
              </w:rPr>
              <w:t>0.24%</w:t>
            </w:r>
          </w:p>
        </w:tc>
        <w:tc>
          <w:tcPr>
            <w:tcW w:w="1136" w:type="dxa"/>
          </w:tcPr>
          <w:p>
            <w:pPr>
              <w:pStyle w:val="TableParagraph"/>
              <w:spacing w:line="180" w:lineRule="exact"/>
              <w:rPr>
                <w:sz w:val="16"/>
              </w:rPr>
            </w:pPr>
            <w:r>
              <w:rPr>
                <w:sz w:val="16"/>
              </w:rPr>
              <w:t>0.24%</w:t>
            </w:r>
          </w:p>
        </w:tc>
        <w:tc>
          <w:tcPr>
            <w:tcW w:w="1133" w:type="dxa"/>
          </w:tcPr>
          <w:p>
            <w:pPr>
              <w:pStyle w:val="TableParagraph"/>
              <w:spacing w:line="180" w:lineRule="exact"/>
              <w:ind w:left="100" w:right="101"/>
              <w:rPr>
                <w:sz w:val="16"/>
              </w:rPr>
            </w:pPr>
            <w:r>
              <w:rPr>
                <w:sz w:val="16"/>
              </w:rPr>
              <w:t>0.24%</w:t>
            </w:r>
          </w:p>
        </w:tc>
        <w:tc>
          <w:tcPr>
            <w:tcW w:w="1135" w:type="dxa"/>
          </w:tcPr>
          <w:p>
            <w:pPr>
              <w:pStyle w:val="TableParagraph"/>
              <w:spacing w:line="180" w:lineRule="exact"/>
              <w:ind w:right="101"/>
              <w:rPr>
                <w:sz w:val="16"/>
              </w:rPr>
            </w:pPr>
            <w:r>
              <w:rPr>
                <w:sz w:val="16"/>
              </w:rPr>
              <w:t>0.67%</w:t>
            </w:r>
          </w:p>
        </w:tc>
        <w:tc>
          <w:tcPr>
            <w:tcW w:w="1133" w:type="dxa"/>
          </w:tcPr>
          <w:p>
            <w:pPr>
              <w:pStyle w:val="TableParagraph"/>
              <w:spacing w:line="180" w:lineRule="exact"/>
              <w:ind w:right="111"/>
              <w:rPr>
                <w:sz w:val="16"/>
              </w:rPr>
            </w:pPr>
            <w:r>
              <w:rPr>
                <w:sz w:val="16"/>
              </w:rPr>
              <w:t>0.96%</w:t>
            </w:r>
          </w:p>
        </w:tc>
      </w:tr>
      <w:tr>
        <w:trPr>
          <w:trHeight w:val="194" w:hRule="exact"/>
        </w:trPr>
        <w:tc>
          <w:tcPr>
            <w:tcW w:w="566" w:type="dxa"/>
          </w:tcPr>
          <w:p>
            <w:pPr>
              <w:pStyle w:val="TableParagraph"/>
              <w:spacing w:line="180" w:lineRule="exact"/>
              <w:rPr>
                <w:sz w:val="16"/>
              </w:rPr>
            </w:pPr>
            <w:r>
              <w:rPr>
                <w:sz w:val="16"/>
              </w:rPr>
              <w:t>G)</w:t>
            </w:r>
          </w:p>
        </w:tc>
        <w:tc>
          <w:tcPr>
            <w:tcW w:w="710" w:type="dxa"/>
          </w:tcPr>
          <w:p>
            <w:pPr>
              <w:pStyle w:val="TableParagraph"/>
              <w:spacing w:line="178" w:lineRule="exact"/>
              <w:ind w:left="84" w:right="121"/>
              <w:jc w:val="center"/>
              <w:rPr>
                <w:b/>
                <w:sz w:val="16"/>
              </w:rPr>
            </w:pPr>
            <w:r>
              <w:rPr>
                <w:b/>
                <w:sz w:val="16"/>
              </w:rPr>
              <w:t>8.61%</w:t>
            </w:r>
          </w:p>
        </w:tc>
        <w:tc>
          <w:tcPr>
            <w:tcW w:w="991" w:type="dxa"/>
          </w:tcPr>
          <w:p>
            <w:pPr>
              <w:pStyle w:val="TableParagraph"/>
              <w:spacing w:line="178" w:lineRule="exact"/>
              <w:ind w:left="100" w:right="98"/>
              <w:rPr>
                <w:b/>
                <w:sz w:val="16"/>
              </w:rPr>
            </w:pPr>
            <w:r>
              <w:rPr>
                <w:b/>
                <w:sz w:val="16"/>
              </w:rPr>
              <w:t>11.43%</w:t>
            </w:r>
          </w:p>
        </w:tc>
        <w:tc>
          <w:tcPr>
            <w:tcW w:w="994" w:type="dxa"/>
          </w:tcPr>
          <w:p>
            <w:pPr>
              <w:pStyle w:val="TableParagraph"/>
              <w:spacing w:line="178" w:lineRule="exact"/>
              <w:ind w:right="96"/>
              <w:rPr>
                <w:b/>
                <w:sz w:val="16"/>
              </w:rPr>
            </w:pPr>
            <w:r>
              <w:rPr>
                <w:b/>
                <w:sz w:val="16"/>
              </w:rPr>
              <w:t>15.32%</w:t>
            </w:r>
          </w:p>
        </w:tc>
        <w:tc>
          <w:tcPr>
            <w:tcW w:w="1133" w:type="dxa"/>
          </w:tcPr>
          <w:p>
            <w:pPr>
              <w:pStyle w:val="TableParagraph"/>
              <w:spacing w:line="178" w:lineRule="exact"/>
              <w:ind w:right="101"/>
              <w:rPr>
                <w:b/>
                <w:sz w:val="16"/>
              </w:rPr>
            </w:pPr>
            <w:r>
              <w:rPr>
                <w:b/>
                <w:sz w:val="16"/>
              </w:rPr>
              <w:t>12.75%</w:t>
            </w:r>
          </w:p>
        </w:tc>
        <w:tc>
          <w:tcPr>
            <w:tcW w:w="1136" w:type="dxa"/>
          </w:tcPr>
          <w:p>
            <w:pPr>
              <w:pStyle w:val="TableParagraph"/>
              <w:spacing w:line="178" w:lineRule="exact"/>
              <w:rPr>
                <w:b/>
                <w:sz w:val="16"/>
              </w:rPr>
            </w:pPr>
            <w:r>
              <w:rPr>
                <w:b/>
                <w:sz w:val="16"/>
              </w:rPr>
              <w:t>11.52%</w:t>
            </w:r>
          </w:p>
        </w:tc>
        <w:tc>
          <w:tcPr>
            <w:tcW w:w="1133" w:type="dxa"/>
          </w:tcPr>
          <w:p>
            <w:pPr>
              <w:pStyle w:val="TableParagraph"/>
              <w:spacing w:line="178" w:lineRule="exact"/>
              <w:ind w:left="100" w:right="101"/>
              <w:rPr>
                <w:b/>
                <w:sz w:val="16"/>
              </w:rPr>
            </w:pPr>
            <w:r>
              <w:rPr>
                <w:b/>
                <w:sz w:val="16"/>
              </w:rPr>
              <w:t>11.74%</w:t>
            </w:r>
          </w:p>
        </w:tc>
        <w:tc>
          <w:tcPr>
            <w:tcW w:w="1135" w:type="dxa"/>
          </w:tcPr>
          <w:p>
            <w:pPr>
              <w:pStyle w:val="TableParagraph"/>
              <w:spacing w:line="178" w:lineRule="exact"/>
              <w:ind w:right="101"/>
              <w:rPr>
                <w:b/>
                <w:sz w:val="16"/>
              </w:rPr>
            </w:pPr>
            <w:r>
              <w:rPr>
                <w:b/>
                <w:sz w:val="16"/>
              </w:rPr>
              <w:t>4.67%</w:t>
            </w:r>
          </w:p>
        </w:tc>
        <w:tc>
          <w:tcPr>
            <w:tcW w:w="1133" w:type="dxa"/>
          </w:tcPr>
          <w:p>
            <w:pPr>
              <w:pStyle w:val="TableParagraph"/>
              <w:spacing w:line="178" w:lineRule="exact"/>
              <w:ind w:right="111"/>
              <w:rPr>
                <w:b/>
                <w:sz w:val="16"/>
              </w:rPr>
            </w:pPr>
            <w:r>
              <w:rPr>
                <w:b/>
                <w:sz w:val="16"/>
              </w:rPr>
              <w:t>1.96%</w:t>
            </w:r>
          </w:p>
        </w:tc>
      </w:tr>
      <w:tr>
        <w:trPr>
          <w:trHeight w:val="216" w:hRule="exact"/>
        </w:trPr>
        <w:tc>
          <w:tcPr>
            <w:tcW w:w="566" w:type="dxa"/>
          </w:tcPr>
          <w:p>
            <w:pPr>
              <w:pStyle w:val="TableParagraph"/>
              <w:spacing w:line="201" w:lineRule="exact"/>
              <w:rPr>
                <w:b/>
                <w:sz w:val="18"/>
              </w:rPr>
            </w:pPr>
            <w:r>
              <w:rPr>
                <w:b/>
                <w:sz w:val="18"/>
              </w:rPr>
              <w:t>H)</w:t>
            </w:r>
          </w:p>
        </w:tc>
        <w:tc>
          <w:tcPr>
            <w:tcW w:w="8366" w:type="dxa"/>
            <w:gridSpan w:val="8"/>
          </w:tcPr>
          <w:p>
            <w:pPr>
              <w:pStyle w:val="TableParagraph"/>
              <w:spacing w:line="201" w:lineRule="exact"/>
              <w:rPr>
                <w:b/>
                <w:sz w:val="18"/>
              </w:rPr>
            </w:pPr>
            <w:r>
              <w:rPr>
                <w:b/>
                <w:sz w:val="18"/>
              </w:rPr>
              <w:t>78% entre 8 = 9.75% (1.0 bajo apego a la legalidad)</w:t>
            </w:r>
          </w:p>
        </w:tc>
      </w:tr>
    </w:tbl>
    <w:p>
      <w:pPr>
        <w:spacing w:line="240" w:lineRule="auto" w:before="0"/>
        <w:ind w:left="222" w:right="225" w:firstLine="0"/>
        <w:jc w:val="both"/>
        <w:rPr>
          <w:sz w:val="20"/>
        </w:rPr>
      </w:pPr>
      <w:r>
        <w:rPr>
          <w:sz w:val="20"/>
        </w:rPr>
        <w:t>Fuente: elaboración propia con base en los acuerdos CG20/2008 (CGIFE, 2008a), CG21/2008 (CGIFE, 2008b), CG33/2008 (CGIFE, 2008c), CG37/2008 (CGIFE, 2008d), CG96/2008 (CGIFE, 2008e), CG329/2008 (CGIFE, 2008f) y CG330/2008 (CGIFE, 2008g).</w:t>
      </w:r>
    </w:p>
    <w:p>
      <w:pPr>
        <w:spacing w:before="1"/>
        <w:ind w:left="222" w:right="221" w:firstLine="0"/>
        <w:jc w:val="both"/>
        <w:rPr>
          <w:sz w:val="20"/>
        </w:rPr>
      </w:pPr>
      <w:r>
        <w:rPr>
          <w:sz w:val="20"/>
        </w:rPr>
        <w:t>Notas: (1) Salario mínimo diario general vigente en el Distrito Federal en 2006: $48.67, A) Suma de porcentajes de reducciones, B) = Suma de multas, C) = Días multa por salario diario, D) = Entre doce meses, E) = Ministración mensual, F) Multas con sus equivalencias a porcentaje de reducciones, G) Porcentaje total de reducciones en las ministraciones mensuales, suma de A) y F); finalmente H) = Evaluación general, suma de C (78%) entre 8 partidos = 9.75%.</w:t>
      </w:r>
    </w:p>
    <w:p>
      <w:pPr>
        <w:spacing w:before="0" w:after="27"/>
        <w:ind w:left="222" w:right="0" w:firstLine="0"/>
        <w:jc w:val="both"/>
        <w:rPr>
          <w:sz w:val="20"/>
        </w:rPr>
      </w:pPr>
      <w:r>
        <w:rPr/>
        <w:pict>
          <v:group style="position:absolute;margin-left:79.213997pt;margin-top:11.659893pt;width:27.75pt;height:93.15pt;mso-position-horizontal-relative:page;mso-position-vertical-relative:paragraph;z-index:-330280" coordorigin="1584,233" coordsize="555,1863">
            <v:shape style="position:absolute;left:1594;top:233;width:533;height:231" coordorigin="1594,233" coordsize="533,231" path="m2127,233l2019,233,1702,233,1594,233,1594,464,1702,464,2019,464,2127,464,2127,233e" filled="true" fillcolor="#d9d9d9" stroked="false">
              <v:path arrowok="t"/>
              <v:fill type="solid"/>
            </v:shape>
            <v:shape style="position:absolute;left:1594;top:464;width:108;height:228" type="#_x0000_t75" stroked="false">
              <v:imagedata r:id="rId391" o:title=""/>
            </v:shape>
            <v:shape style="position:absolute;left:2019;top:464;width:108;height:228" type="#_x0000_t75" stroked="false">
              <v:imagedata r:id="rId391" o:title=""/>
            </v:shape>
            <v:shape style="position:absolute;left:1702;top:464;width:317;height:228" type="#_x0000_t75" stroked="false">
              <v:imagedata r:id="rId392" o:title=""/>
            </v:shape>
            <v:shape style="position:absolute;left:1594;top:692;width:108;height:230" type="#_x0000_t75" stroked="false">
              <v:imagedata r:id="rId393" o:title=""/>
            </v:shape>
            <v:shape style="position:absolute;left:2019;top:692;width:108;height:230" type="#_x0000_t75" stroked="false">
              <v:imagedata r:id="rId394" o:title=""/>
            </v:shape>
            <v:shape style="position:absolute;left:1702;top:692;width:317;height:230" type="#_x0000_t75" stroked="false">
              <v:imagedata r:id="rId395" o:title=""/>
            </v:shape>
            <v:shape style="position:absolute;left:1594;top:922;width:108;height:230" type="#_x0000_t75" stroked="false">
              <v:imagedata r:id="rId396" o:title=""/>
            </v:shape>
            <v:shape style="position:absolute;left:2019;top:922;width:108;height:230" type="#_x0000_t75" stroked="false">
              <v:imagedata r:id="rId397" o:title=""/>
            </v:shape>
            <v:shape style="position:absolute;left:1702;top:922;width:317;height:230" type="#_x0000_t75" stroked="false">
              <v:imagedata r:id="rId398" o:title=""/>
            </v:shape>
            <v:shape style="position:absolute;left:1594;top:1157;width:108;height:230" type="#_x0000_t75" stroked="false">
              <v:imagedata r:id="rId399" o:title=""/>
            </v:shape>
            <v:shape style="position:absolute;left:2019;top:1157;width:108;height:230" type="#_x0000_t75" stroked="false">
              <v:imagedata r:id="rId400" o:title=""/>
            </v:shape>
            <v:shape style="position:absolute;left:1702;top:1157;width:317;height:230" type="#_x0000_t75" stroked="false">
              <v:imagedata r:id="rId401" o:title=""/>
            </v:shape>
            <v:shape style="position:absolute;left:1594;top:1388;width:108;height:228" type="#_x0000_t75" stroked="false">
              <v:imagedata r:id="rId402" o:title=""/>
            </v:shape>
            <v:shape style="position:absolute;left:2019;top:1388;width:108;height:228" type="#_x0000_t75" stroked="false">
              <v:imagedata r:id="rId403" o:title=""/>
            </v:shape>
            <v:shape style="position:absolute;left:1702;top:1388;width:317;height:228" type="#_x0000_t75" stroked="false">
              <v:imagedata r:id="rId404" o:title=""/>
            </v:shape>
            <v:shape style="position:absolute;left:1589;top:1616;width:10;height:10" type="#_x0000_t75" stroked="false">
              <v:imagedata r:id="rId270" o:title=""/>
            </v:shape>
            <v:shape style="position:absolute;left:1589;top:1620;width:536;height:2" coordorigin="1589,1620" coordsize="536,0" path="m1589,1620l1599,1620m1599,1620l1608,1620m1608,1620l1656,1620m1656,1620l1704,1620m1704,1620l1752,1620m1752,1620l1800,1620m1800,1620l1848,1620m1848,1620l1896,1620m1896,1620l1944,1620m1944,1620l1992,1620m1992,1620l2040,1620m2040,1620l2088,1620m2088,1620l2124,1620e" filled="false" stroked="true" strokeweight=".47998pt" strokecolor="#000000">
              <v:path arrowok="t"/>
            </v:shape>
            <v:shape style="position:absolute;left:2124;top:1616;width:10;height:10" type="#_x0000_t75" stroked="false">
              <v:imagedata r:id="rId270" o:title=""/>
            </v:shape>
            <v:line style="position:absolute" from="2124,1620" to="2134,1620" stroked="true" strokeweight=".47998pt" strokecolor="#000000"/>
            <v:shape style="position:absolute;left:1594;top:1625;width:536;height:240" coordorigin="1594,1625" coordsize="536,240" path="m1594,1625l1594,1865m2129,1625l2129,1865e" filled="false" stroked="true" strokeweight=".48pt" strokecolor="#000000">
              <v:path arrowok="t"/>
            </v:shape>
            <v:shape style="position:absolute;left:1594;top:1868;width:533;height:228" coordorigin="1594,1868" coordsize="533,228" path="m2127,1868l2019,1868,1702,1868,1594,1868,1594,2096,1702,2096,2019,2096,2127,2096,2127,1868e" filled="true" fillcolor="#a6a6a6" stroked="false">
              <v:path arrowok="t"/>
              <v:fill type="solid"/>
            </v:shape>
            <v:shape style="position:absolute;left:1589;top:1856;width:10;height:10" type="#_x0000_t75" stroked="false">
              <v:imagedata r:id="rId270" o:title=""/>
            </v:shape>
            <v:shape style="position:absolute;left:1599;top:1860;width:526;height:2" coordorigin="1599,1860" coordsize="526,0" path="m1599,1860l1608,1860m1608,1860l1656,1860m1656,1860l1704,1860m1704,1860l1752,1860m1752,1860l1800,1860m1800,1860l1848,1860m1848,1860l1896,1860m1896,1860l1944,1860m1944,1860l1992,1860m1992,1860l2040,1860m2040,1860l2088,1860m2088,1860l2124,1860e" filled="false" stroked="true" strokeweight=".47998pt" strokecolor="#000000">
              <v:path arrowok="t"/>
            </v:shape>
            <v:shape style="position:absolute;left:2124;top:1856;width:10;height:10" type="#_x0000_t75" stroked="false">
              <v:imagedata r:id="rId270" o:title=""/>
            </v:shape>
            <w10:wrap type="none"/>
          </v:group>
        </w:pict>
      </w:r>
      <w:r>
        <w:rPr>
          <w:sz w:val="20"/>
        </w:rPr>
        <w:t>Notas:</w:t>
      </w:r>
    </w:p>
    <w:tbl>
      <w:tblPr>
        <w:tblW w:w="0" w:type="auto"/>
        <w:jc w:val="left"/>
        <w:tblInd w:w="55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041"/>
      </w:tblGrid>
      <w:tr>
        <w:trPr>
          <w:trHeight w:val="215" w:hRule="exact"/>
        </w:trPr>
        <w:tc>
          <w:tcPr>
            <w:tcW w:w="5041" w:type="dxa"/>
          </w:tcPr>
          <w:p>
            <w:pPr>
              <w:pStyle w:val="TableParagraph"/>
              <w:spacing w:line="204" w:lineRule="exact"/>
              <w:ind w:left="200"/>
              <w:rPr>
                <w:sz w:val="20"/>
              </w:rPr>
            </w:pPr>
            <w:r>
              <w:rPr>
                <w:sz w:val="20"/>
              </w:rPr>
              <w:t>Incisos sin modificaciones.</w:t>
            </w:r>
          </w:p>
        </w:tc>
      </w:tr>
      <w:tr>
        <w:trPr>
          <w:trHeight w:val="229" w:hRule="exact"/>
        </w:trPr>
        <w:tc>
          <w:tcPr>
            <w:tcW w:w="5041" w:type="dxa"/>
          </w:tcPr>
          <w:p>
            <w:pPr>
              <w:pStyle w:val="TableParagraph"/>
              <w:spacing w:line="219" w:lineRule="exact"/>
              <w:ind w:left="200"/>
              <w:rPr>
                <w:sz w:val="20"/>
              </w:rPr>
            </w:pPr>
            <w:r>
              <w:rPr>
                <w:sz w:val="20"/>
              </w:rPr>
              <w:t>Incisos anexados mediante acuerdo CG20/2008.</w:t>
            </w:r>
          </w:p>
        </w:tc>
      </w:tr>
      <w:tr>
        <w:trPr>
          <w:trHeight w:val="229" w:hRule="exact"/>
        </w:trPr>
        <w:tc>
          <w:tcPr>
            <w:tcW w:w="5041" w:type="dxa"/>
          </w:tcPr>
          <w:p>
            <w:pPr>
              <w:pStyle w:val="TableParagraph"/>
              <w:spacing w:line="218" w:lineRule="exact"/>
              <w:ind w:left="200"/>
              <w:rPr>
                <w:sz w:val="20"/>
              </w:rPr>
            </w:pPr>
            <w:r>
              <w:rPr>
                <w:sz w:val="20"/>
              </w:rPr>
              <w:t>Incisos anexados mediante acuerdo CG21/2008.</w:t>
            </w:r>
          </w:p>
        </w:tc>
      </w:tr>
      <w:tr>
        <w:trPr>
          <w:trHeight w:val="233" w:hRule="exact"/>
        </w:trPr>
        <w:tc>
          <w:tcPr>
            <w:tcW w:w="5041" w:type="dxa"/>
          </w:tcPr>
          <w:p>
            <w:pPr>
              <w:pStyle w:val="TableParagraph"/>
              <w:tabs>
                <w:tab w:pos="141" w:val="left" w:leader="none"/>
              </w:tabs>
              <w:spacing w:line="219" w:lineRule="exact"/>
              <w:ind w:left="-441"/>
              <w:rPr>
                <w:sz w:val="20"/>
              </w:rPr>
            </w:pPr>
            <w:r>
              <w:rPr>
                <w:w w:val="99"/>
                <w:sz w:val="20"/>
                <w:u w:val="single"/>
              </w:rPr>
              <w:t> </w:t>
            </w:r>
            <w:r>
              <w:rPr>
                <w:sz w:val="20"/>
                <w:u w:val="single"/>
              </w:rPr>
              <w:tab/>
            </w:r>
            <w:r>
              <w:rPr>
                <w:spacing w:val="2"/>
                <w:sz w:val="20"/>
              </w:rPr>
              <w:t> </w:t>
            </w:r>
            <w:r>
              <w:rPr>
                <w:sz w:val="20"/>
              </w:rPr>
              <w:t>Incisos anexados mediante acuerdo</w:t>
            </w:r>
            <w:r>
              <w:rPr>
                <w:spacing w:val="-12"/>
                <w:sz w:val="20"/>
              </w:rPr>
              <w:t> </w:t>
            </w:r>
            <w:r>
              <w:rPr>
                <w:sz w:val="20"/>
              </w:rPr>
              <w:t>CG33/2008.</w:t>
            </w:r>
          </w:p>
        </w:tc>
      </w:tr>
      <w:tr>
        <w:trPr>
          <w:trHeight w:val="233" w:hRule="exact"/>
        </w:trPr>
        <w:tc>
          <w:tcPr>
            <w:tcW w:w="5041" w:type="dxa"/>
          </w:tcPr>
          <w:p>
            <w:pPr>
              <w:pStyle w:val="TableParagraph"/>
              <w:spacing w:line="222" w:lineRule="exact"/>
              <w:ind w:left="0" w:right="198"/>
              <w:jc w:val="right"/>
              <w:rPr>
                <w:sz w:val="20"/>
              </w:rPr>
            </w:pPr>
            <w:r>
              <w:rPr>
                <w:sz w:val="20"/>
              </w:rPr>
              <w:t>Incisos modificados mediante acuerdo CG330/2008.</w:t>
            </w:r>
          </w:p>
        </w:tc>
      </w:tr>
      <w:tr>
        <w:trPr>
          <w:trHeight w:val="235" w:hRule="exact"/>
        </w:trPr>
        <w:tc>
          <w:tcPr>
            <w:tcW w:w="5041" w:type="dxa"/>
          </w:tcPr>
          <w:p>
            <w:pPr>
              <w:pStyle w:val="TableParagraph"/>
              <w:spacing w:line="219" w:lineRule="exact"/>
              <w:ind w:left="200"/>
              <w:rPr>
                <w:sz w:val="20"/>
              </w:rPr>
            </w:pPr>
            <w:r>
              <w:rPr>
                <w:sz w:val="20"/>
              </w:rPr>
              <w:t>Incisos anexados mediante acuerdo CG37/2008.</w:t>
            </w:r>
          </w:p>
        </w:tc>
      </w:tr>
      <w:tr>
        <w:trPr>
          <w:trHeight w:val="240" w:hRule="exact"/>
        </w:trPr>
        <w:tc>
          <w:tcPr>
            <w:tcW w:w="5041" w:type="dxa"/>
          </w:tcPr>
          <w:p>
            <w:pPr>
              <w:pStyle w:val="TableParagraph"/>
              <w:spacing w:line="224" w:lineRule="exact"/>
              <w:ind w:left="0" w:right="251"/>
              <w:jc w:val="right"/>
              <w:rPr>
                <w:sz w:val="20"/>
              </w:rPr>
            </w:pPr>
            <w:r>
              <w:rPr>
                <w:sz w:val="20"/>
              </w:rPr>
              <w:t>Incisos modificados mediante acuerdo CG329/2008</w:t>
            </w:r>
          </w:p>
        </w:tc>
      </w:tr>
      <w:tr>
        <w:trPr>
          <w:trHeight w:val="220" w:hRule="exact"/>
        </w:trPr>
        <w:tc>
          <w:tcPr>
            <w:tcW w:w="5041" w:type="dxa"/>
          </w:tcPr>
          <w:p>
            <w:pPr>
              <w:pStyle w:val="TableParagraph"/>
              <w:spacing w:line="224" w:lineRule="exact"/>
              <w:ind w:left="200"/>
              <w:rPr>
                <w:sz w:val="20"/>
              </w:rPr>
            </w:pPr>
            <w:r>
              <w:rPr>
                <w:sz w:val="20"/>
              </w:rPr>
              <w:t>Incisos anexados mediante acuerdo CG96/2008.</w:t>
            </w:r>
          </w:p>
        </w:tc>
      </w:tr>
    </w:tbl>
    <w:p>
      <w:pPr>
        <w:pStyle w:val="BodyText"/>
        <w:rPr>
          <w:sz w:val="20"/>
        </w:rPr>
      </w:pPr>
    </w:p>
    <w:p>
      <w:pPr>
        <w:pStyle w:val="BodyText"/>
        <w:spacing w:line="360" w:lineRule="auto" w:before="189"/>
        <w:ind w:left="222" w:right="220" w:firstLine="707"/>
        <w:jc w:val="both"/>
      </w:pPr>
      <w:r>
        <w:rPr/>
        <w:t>De acuerdo con el cuadro anterior el promedio de reducciones en las ministraciones mensuales por concepto de actividades ordinarias por partido es de 9.75%, el partido que obtuvo el porcentaje de reducción más alto es el PVEM (15.32%), por su parte el PASC obtuvo el menor porcentaje de reducción (1.96%).</w:t>
      </w:r>
    </w:p>
    <w:p>
      <w:pPr>
        <w:spacing w:after="0" w:line="360" w:lineRule="auto"/>
        <w:jc w:val="both"/>
        <w:sectPr>
          <w:pgSz w:w="12240" w:h="15840"/>
          <w:pgMar w:header="749" w:footer="1003" w:top="960" w:bottom="1200" w:left="1480" w:right="1480"/>
        </w:sectPr>
      </w:pPr>
    </w:p>
    <w:p>
      <w:pPr>
        <w:pStyle w:val="BodyText"/>
        <w:rPr>
          <w:sz w:val="20"/>
        </w:rPr>
      </w:pPr>
    </w:p>
    <w:p>
      <w:pPr>
        <w:pStyle w:val="BodyText"/>
        <w:spacing w:line="360" w:lineRule="auto" w:before="214"/>
        <w:ind w:left="102" w:right="123" w:firstLine="707"/>
        <w:jc w:val="both"/>
      </w:pPr>
      <w:r>
        <w:rPr/>
        <w:t>Cabe señalar que para elaborar el cuadro 3.3 se revisaron todos los acuerdos aprobados por el CGIFE de 2006 (después de la jornada electoral) a 2008; pues aun cuando las sanciones son relativas a los gastos efectuados durante las campañas de las elecciones federales de 2006, dichas sanciones no fueron definitivas hasta 2008 debido a las impugnaciones presentadas por parte  de los partidos políticos, las sentencias emitidas por el TEPJF y las consiguientes modificaciones a los acuerdos por parte del</w:t>
      </w:r>
      <w:r>
        <w:rPr>
          <w:spacing w:val="-14"/>
        </w:rPr>
        <w:t> </w:t>
      </w:r>
      <w:r>
        <w:rPr/>
        <w:t>CGIFE.</w:t>
      </w:r>
    </w:p>
    <w:p>
      <w:pPr>
        <w:pStyle w:val="BodyText"/>
        <w:spacing w:line="360" w:lineRule="auto" w:before="5"/>
        <w:ind w:left="102" w:right="118" w:firstLine="707"/>
        <w:jc w:val="both"/>
      </w:pPr>
      <w:r>
        <w:rPr/>
        <w:t>Durante el proceso electoral 2006 de acuerdo con las sentencias del TEPJF y los acuerdos del CGIFE se cometieron diversas irregularidades, relativas a financiamiento público, por parte de los partidos políticos, mismas que dieron lugar a 110 sanciones de las cuales 59 fueron multas, 50 reducciones y una amonestación, al dividir el total de sanciones entre 32 estados se obtuvo que el promedio de sanciones por estado fue de 3.43 sanciones, dato que se contrastó con el Estado de México en su apartado correspondiente.</w:t>
      </w:r>
    </w:p>
    <w:p>
      <w:pPr>
        <w:pStyle w:val="BodyText"/>
        <w:spacing w:line="360" w:lineRule="auto" w:before="2"/>
        <w:ind w:left="102" w:right="124" w:firstLine="707"/>
        <w:jc w:val="both"/>
      </w:pPr>
      <w:r>
        <w:rPr/>
        <w:t>En conclusión los partidos políticos registrados ante el IFE tuvieron un bajo apego a la legalidad (1.0) al presentar irregularidades en la aplicación del financiamiento público que equivalían al 9.75% en promedio por partido.</w:t>
      </w:r>
    </w:p>
    <w:p>
      <w:pPr>
        <w:pStyle w:val="BodyText"/>
      </w:pPr>
    </w:p>
    <w:p>
      <w:pPr>
        <w:pStyle w:val="ListParagraph"/>
        <w:numPr>
          <w:ilvl w:val="0"/>
          <w:numId w:val="28"/>
        </w:numPr>
        <w:tabs>
          <w:tab w:pos="1079" w:val="left" w:leader="none"/>
        </w:tabs>
        <w:spacing w:line="240" w:lineRule="auto" w:before="140" w:after="0"/>
        <w:ind w:left="1078" w:right="0" w:hanging="268"/>
        <w:jc w:val="left"/>
        <w:rPr>
          <w:i/>
          <w:sz w:val="24"/>
        </w:rPr>
      </w:pPr>
      <w:r>
        <w:rPr>
          <w:i/>
          <w:sz w:val="24"/>
        </w:rPr>
        <w:t>Rebase de topes en gastos de</w:t>
      </w:r>
      <w:r>
        <w:rPr>
          <w:i/>
          <w:spacing w:val="-15"/>
          <w:sz w:val="24"/>
        </w:rPr>
        <w:t> </w:t>
      </w:r>
      <w:r>
        <w:rPr>
          <w:i/>
          <w:sz w:val="24"/>
        </w:rPr>
        <w:t>campaña</w:t>
      </w:r>
    </w:p>
    <w:p>
      <w:pPr>
        <w:pStyle w:val="BodyText"/>
        <w:rPr>
          <w:i/>
        </w:rPr>
      </w:pPr>
    </w:p>
    <w:p>
      <w:pPr>
        <w:pStyle w:val="BodyText"/>
        <w:spacing w:before="2"/>
        <w:rPr>
          <w:i/>
        </w:rPr>
      </w:pPr>
    </w:p>
    <w:p>
      <w:pPr>
        <w:pStyle w:val="BodyText"/>
        <w:spacing w:line="360" w:lineRule="auto"/>
        <w:ind w:left="102" w:right="117"/>
        <w:jc w:val="both"/>
      </w:pPr>
      <w:r>
        <w:rPr/>
        <w:t>En cuanto a los topes de gastos de campaña de la elección de Presidente de los Estados Unidos Mexicanos como en la de diputados se obtuvo una alta evaluación (3.0), pues ninguno de los partidos que participaron en las elecciones presidenciales y de diputados federales en el Estado de México rebasaron los montos establecidos, de acuerdo con ello los partidos políticos federales se ubicaron como altamente apegados a la normatividad en cuanto al respeto a los topes de gastos de campaña.</w:t>
      </w:r>
    </w:p>
    <w:p>
      <w:pPr>
        <w:pStyle w:val="BodyText"/>
        <w:spacing w:line="360" w:lineRule="auto" w:before="5"/>
        <w:ind w:left="102" w:right="117" w:firstLine="707"/>
        <w:jc w:val="both"/>
      </w:pPr>
      <w:r>
        <w:rPr/>
        <w:t>De conformidad con el artículo 182-A del Código Federal de Instituciones y Procedimientos Electorales los gastos que realicen los partidos políticos, las coaliciones y sus candidatos, en la propaganda electoral y las actividades de campaña, no podrán rebasar los topes que para cada elección acuerde el Consejo</w:t>
      </w:r>
    </w:p>
    <w:p>
      <w:pPr>
        <w:spacing w:after="0" w:line="360" w:lineRule="auto"/>
        <w:jc w:val="both"/>
        <w:sectPr>
          <w:pgSz w:w="12240" w:h="15840"/>
          <w:pgMar w:header="749" w:footer="1003" w:top="960" w:bottom="1200" w:left="1600" w:right="1580"/>
        </w:sectPr>
      </w:pPr>
    </w:p>
    <w:p>
      <w:pPr>
        <w:pStyle w:val="BodyText"/>
        <w:rPr>
          <w:sz w:val="20"/>
        </w:rPr>
      </w:pPr>
    </w:p>
    <w:p>
      <w:pPr>
        <w:pStyle w:val="BodyText"/>
        <w:spacing w:line="362" w:lineRule="auto" w:before="214"/>
        <w:ind w:left="122" w:right="124"/>
        <w:jc w:val="both"/>
      </w:pPr>
      <w:r>
        <w:rPr/>
        <w:t>General. Para establecer el tope de gastos el Consejo General aplicó las siguientes</w:t>
      </w:r>
      <w:r>
        <w:rPr>
          <w:spacing w:val="-2"/>
        </w:rPr>
        <w:t> </w:t>
      </w:r>
      <w:r>
        <w:rPr/>
        <w:t>reglas:</w:t>
      </w:r>
    </w:p>
    <w:p>
      <w:pPr>
        <w:pStyle w:val="BodyText"/>
      </w:pPr>
    </w:p>
    <w:p>
      <w:pPr>
        <w:spacing w:line="360" w:lineRule="auto" w:before="139"/>
        <w:ind w:left="830" w:right="116" w:firstLine="0"/>
        <w:jc w:val="both"/>
        <w:rPr>
          <w:sz w:val="22"/>
        </w:rPr>
      </w:pPr>
      <w:r>
        <w:rPr>
          <w:sz w:val="22"/>
        </w:rPr>
        <w:t>1) Para la elección de Presidente de los Estados Unidos Mexicanos, a más tardar el día último de noviembre del año anterior al de la elección determinará el tope máximo de gastos de campaña, el cual será la cantidad que resulte de multiplicar por 2.5, el costo mínimo para la campaña de diputado fijado para efectos del financiamiento público en los términos del párrafo 7, inciso a), fracción I,  del artículo 49 del Código Federal de Instituciones y Procedimientos Electorales, actualizado al mes inmediato anterior, por 300 distritos, dividida entre los días que dura la campaña para diputado y multiplicándola por los días que dura la campaña para Presidente (CDHCU L LIX, 2005:</w:t>
      </w:r>
      <w:r>
        <w:rPr>
          <w:spacing w:val="-7"/>
          <w:sz w:val="22"/>
        </w:rPr>
        <w:t> </w:t>
      </w:r>
      <w:r>
        <w:rPr>
          <w:sz w:val="22"/>
        </w:rPr>
        <w:t>155).</w:t>
      </w:r>
    </w:p>
    <w:p>
      <w:pPr>
        <w:pStyle w:val="BodyText"/>
        <w:rPr>
          <w:sz w:val="22"/>
        </w:rPr>
      </w:pPr>
    </w:p>
    <w:p>
      <w:pPr>
        <w:pStyle w:val="BodyText"/>
        <w:spacing w:line="360" w:lineRule="auto" w:before="163"/>
        <w:ind w:left="122" w:right="124" w:firstLine="707"/>
        <w:jc w:val="both"/>
      </w:pPr>
      <w:r>
        <w:rPr/>
        <w:t>Por su parte el artículo 49 señalaba que el financiamiento se realizaría </w:t>
      </w:r>
      <w:r>
        <w:rPr>
          <w:color w:val="221F1F"/>
        </w:rPr>
        <w:t>tomando como base los costos aprobados para el año inmediato anterior, actualizándolos mediante la aplicación del índice nacional de precios al consumidor, que establezca el Banco de México; así como los demás factores que el propio Consejo determine (</w:t>
      </w:r>
      <w:r>
        <w:rPr/>
        <w:t>CDHCU L LIX</w:t>
      </w:r>
      <w:r>
        <w:rPr>
          <w:color w:val="221F1F"/>
        </w:rPr>
        <w:t>, 2005: 43-45).</w:t>
      </w:r>
    </w:p>
    <w:p>
      <w:pPr>
        <w:pStyle w:val="BodyText"/>
        <w:spacing w:line="350" w:lineRule="auto" w:before="5"/>
        <w:ind w:left="122" w:right="116" w:firstLine="707"/>
        <w:jc w:val="both"/>
      </w:pPr>
      <w:r>
        <w:rPr/>
        <w:t>Tomando en cuenta lo anterior el Consejo General aprobó el tope de gastos de campaña para la elección presidencial de 2006 mediante el acuerdo número CG239/2005 de fecha 30 de noviembre de 2005 el cual señala: “Primero.-Se determina  en  la  cantidad  de  $651,428,441.67</w:t>
      </w:r>
      <w:r>
        <w:rPr>
          <w:position w:val="11"/>
          <w:sz w:val="16"/>
        </w:rPr>
        <w:t>28    </w:t>
      </w:r>
      <w:r>
        <w:rPr/>
        <w:t>(seiscientos  cincuenta  y     un</w:t>
      </w:r>
    </w:p>
    <w:p>
      <w:pPr>
        <w:pStyle w:val="BodyText"/>
        <w:spacing w:line="360" w:lineRule="auto"/>
        <w:ind w:left="122" w:right="123"/>
        <w:jc w:val="both"/>
      </w:pPr>
      <w:r>
        <w:rPr/>
        <w:t>millones cuatrocientos veintiocho mil cuatrocientos cuarenta y un pesos 67/100 M. N.), el tope máximo de gastos de campaña para la elección de Presidente de los Estados Unidos Mexicanos durante el Proceso Electoral Federal del año 2006” (CGIFE, 2005a: 11-12).</w:t>
      </w:r>
    </w:p>
    <w:p>
      <w:pPr>
        <w:pStyle w:val="BodyText"/>
        <w:spacing w:line="360" w:lineRule="auto" w:before="5"/>
        <w:ind w:left="122" w:right="124" w:firstLine="707"/>
        <w:jc w:val="both"/>
      </w:pPr>
      <w:r>
        <w:rPr/>
        <w:t>En cuanto a la elección de diputados y senadores el COFIPE señala en su artículo 182-A que el CGIFE a más tardar el día último de enero del año de la elección, determinará el tope máximo de gastos de campaña para la elección de diputados por el principio de mayoría relativa, el cual será la cantidad que resulte de multiplicar por 2.5, el costo mínimo de la campaña para diputados que se  haya</w:t>
      </w:r>
    </w:p>
    <w:p>
      <w:pPr>
        <w:pStyle w:val="BodyText"/>
        <w:spacing w:before="10"/>
        <w:rPr>
          <w:sz w:val="8"/>
        </w:rPr>
      </w:pPr>
      <w:r>
        <w:rPr/>
        <w:pict>
          <v:line style="position:absolute;mso-position-horizontal-relative:page;mso-position-vertical-relative:paragraph;z-index:2152;mso-wrap-distance-left:0;mso-wrap-distance-right:0" from="85.103996pt,7.429889pt" to="229.123996pt,7.429889pt" stroked="true" strokeweight=".72003pt" strokecolor="#000000">
            <w10:wrap type="topAndBottom"/>
          </v:line>
        </w:pict>
      </w:r>
    </w:p>
    <w:p>
      <w:pPr>
        <w:spacing w:before="36"/>
        <w:ind w:left="122" w:right="178" w:firstLine="0"/>
        <w:jc w:val="left"/>
        <w:rPr>
          <w:sz w:val="20"/>
        </w:rPr>
      </w:pPr>
      <w:r>
        <w:rPr>
          <w:position w:val="10"/>
          <w:sz w:val="13"/>
        </w:rPr>
        <w:t>28 </w:t>
      </w:r>
      <w:r>
        <w:rPr>
          <w:sz w:val="20"/>
        </w:rPr>
        <w:t>Equivalentes a $57,390,845.71 USD.</w:t>
      </w:r>
    </w:p>
    <w:p>
      <w:pPr>
        <w:spacing w:after="0"/>
        <w:jc w:val="left"/>
        <w:rPr>
          <w:sz w:val="20"/>
        </w:rPr>
        <w:sectPr>
          <w:pgSz w:w="12240" w:h="15840"/>
          <w:pgMar w:header="749" w:footer="1003" w:top="960" w:bottom="1200" w:left="1580" w:right="1580"/>
        </w:sectPr>
      </w:pPr>
    </w:p>
    <w:p>
      <w:pPr>
        <w:pStyle w:val="BodyText"/>
        <w:rPr>
          <w:sz w:val="20"/>
        </w:rPr>
      </w:pPr>
    </w:p>
    <w:p>
      <w:pPr>
        <w:pStyle w:val="BodyText"/>
        <w:spacing w:line="362" w:lineRule="auto" w:before="214"/>
        <w:ind w:left="122" w:right="178"/>
      </w:pPr>
      <w:r>
        <w:rPr/>
        <w:t>fijado para efectos del financiamiento público, actualizado al mes inmediato anterior (CDHCU L LIX, 2005:</w:t>
      </w:r>
      <w:r>
        <w:rPr>
          <w:spacing w:val="-13"/>
        </w:rPr>
        <w:t> </w:t>
      </w:r>
      <w:r>
        <w:rPr/>
        <w:t>155).</w:t>
      </w:r>
    </w:p>
    <w:p>
      <w:pPr>
        <w:pStyle w:val="BodyText"/>
        <w:spacing w:line="360" w:lineRule="auto"/>
        <w:ind w:left="122" w:right="116" w:firstLine="707"/>
        <w:jc w:val="both"/>
      </w:pPr>
      <w:r>
        <w:rPr/>
        <w:t>Así mismo los topes de gasto de campaña para la elección de diputados y senadores 2006 fueron aprobados por el Consejo General del IFE mediante el acuerdo No. CG17/2006 de fecha 31 de enero de 2006; sin embargo, sólo hice referencia a los topes de campaña para la elección de diputados (que es la que  me ocupa), mismos que se encuentran establecidos en el acuerdo primero: </w:t>
      </w:r>
      <w:r>
        <w:rPr>
          <w:spacing w:val="2"/>
        </w:rPr>
        <w:t>“se </w:t>
      </w:r>
      <w:r>
        <w:rPr/>
        <w:t>determina el tope máximo de gastos de cada campaña para la elección de Diputados por el principio de Mayoría Relativa, en el Proceso Electoral Federal</w:t>
      </w:r>
      <w:r>
        <w:rPr>
          <w:spacing w:val="24"/>
        </w:rPr>
        <w:t> </w:t>
      </w:r>
      <w:r>
        <w:rPr/>
        <w:t>del</w:t>
      </w:r>
    </w:p>
    <w:p>
      <w:pPr>
        <w:pStyle w:val="BodyText"/>
        <w:spacing w:line="328" w:lineRule="auto" w:before="5"/>
        <w:ind w:left="122" w:right="178"/>
      </w:pPr>
      <w:r>
        <w:rPr/>
        <w:t>año 2006, en la cantidad de $950,186.10 (novecientos cincuenta mil ciento ochenta y seis pesos 10/100 M. N.)</w:t>
      </w:r>
      <w:r>
        <w:rPr>
          <w:position w:val="11"/>
          <w:sz w:val="16"/>
        </w:rPr>
        <w:t>29</w:t>
      </w:r>
      <w:r>
        <w:rPr/>
        <w:t>” (CGIFE, 2006b:</w:t>
      </w:r>
      <w:r>
        <w:rPr>
          <w:spacing w:val="-17"/>
        </w:rPr>
        <w:t> </w:t>
      </w:r>
      <w:r>
        <w:rPr/>
        <w:t>415).</w:t>
      </w:r>
    </w:p>
    <w:p>
      <w:pPr>
        <w:pStyle w:val="BodyText"/>
        <w:spacing w:line="360" w:lineRule="auto" w:before="26"/>
        <w:ind w:left="122" w:right="115" w:firstLine="707"/>
        <w:jc w:val="both"/>
      </w:pPr>
      <w:r>
        <w:rPr/>
        <w:t>Cabe aclarar que aun cuando los partidos políticos decidieron coaligarse para la campaña electoral los gastos de campaña se realizaron como si se tratara de un solo partido; lo anterior de conformidad con el acuerdo número CG215/2005 de fecha treinta y uno de octubre de dos </w:t>
      </w:r>
      <w:r>
        <w:rPr>
          <w:spacing w:val="2"/>
        </w:rPr>
        <w:t>mil </w:t>
      </w:r>
      <w:r>
        <w:rPr/>
        <w:t>cinco expedido por el Consejo General del IFE, en el cual se aprobó el “Acuerdo por el que se expide el Instructivo que deberán observar los Partidos Políticos Nacionales que busquen formar coaliciones para las elecciones de Presidente de los Estados Unidos Mexicanos, de Senadores y Diputados por el principio de Representación Proporcional y de Senadores y Diputados por el principio de Mayoría Relativa, en sus dos modalidades, para el Proceso Electoral Federal del año 2006” el cual en el punto de acuerdo primero, apartado II, numeral 12, incisos j) y k)</w:t>
      </w:r>
      <w:r>
        <w:rPr>
          <w:spacing w:val="-22"/>
        </w:rPr>
        <w:t> </w:t>
      </w:r>
      <w:r>
        <w:rPr/>
        <w:t>señaló:</w:t>
      </w:r>
    </w:p>
    <w:p>
      <w:pPr>
        <w:pStyle w:val="BodyText"/>
      </w:pPr>
    </w:p>
    <w:p>
      <w:pPr>
        <w:spacing w:line="360" w:lineRule="auto" w:before="141"/>
        <w:ind w:left="688" w:right="120" w:firstLine="0"/>
        <w:jc w:val="both"/>
        <w:rPr>
          <w:sz w:val="22"/>
        </w:rPr>
      </w:pPr>
      <w:r>
        <w:rPr>
          <w:sz w:val="22"/>
        </w:rPr>
        <w:t>12. El convenio de Coalición para Presidente de los Estados Unidos Mexicanos, establecido en los artículos 59, párrafo 2 y 64, párrafo 1 del Código Federal de Instituciones y Procedimientos Electorales, al que se hace referencia en el inciso a) del numeral 4 del presente instrumento, deberá contener lo siguiente: …</w:t>
      </w:r>
    </w:p>
    <w:p>
      <w:pPr>
        <w:pStyle w:val="ListParagraph"/>
        <w:numPr>
          <w:ilvl w:val="1"/>
          <w:numId w:val="29"/>
        </w:numPr>
        <w:tabs>
          <w:tab w:pos="887" w:val="left" w:leader="none"/>
        </w:tabs>
        <w:spacing w:line="360" w:lineRule="auto" w:before="3" w:after="0"/>
        <w:ind w:left="688" w:right="117" w:firstLine="0"/>
        <w:jc w:val="both"/>
        <w:rPr>
          <w:sz w:val="22"/>
        </w:rPr>
      </w:pPr>
      <w:r>
        <w:rPr>
          <w:sz w:val="22"/>
        </w:rPr>
        <w:t>Que los Partidos Políticos integrantes de la Coalición se sujetarán a los topes de gastos de campaña que se fijen para las distintas elecciones, como si se tratara de un solo</w:t>
      </w:r>
      <w:r>
        <w:rPr>
          <w:spacing w:val="-3"/>
          <w:sz w:val="22"/>
        </w:rPr>
        <w:t> </w:t>
      </w:r>
      <w:r>
        <w:rPr>
          <w:sz w:val="22"/>
        </w:rPr>
        <w:t>partido.</w:t>
      </w:r>
    </w:p>
    <w:p>
      <w:pPr>
        <w:pStyle w:val="BodyText"/>
        <w:rPr>
          <w:sz w:val="20"/>
        </w:rPr>
      </w:pPr>
    </w:p>
    <w:p>
      <w:pPr>
        <w:pStyle w:val="BodyText"/>
        <w:rPr>
          <w:sz w:val="19"/>
        </w:rPr>
      </w:pPr>
      <w:r>
        <w:rPr/>
        <w:pict>
          <v:line style="position:absolute;mso-position-horizontal-relative:page;mso-position-vertical-relative:paragraph;z-index:2176;mso-wrap-distance-left:0;mso-wrap-distance-right:0" from="85.103996pt,13.261379pt" to="229.123996pt,13.261379pt" stroked="true" strokeweight=".72003pt" strokecolor="#000000">
            <w10:wrap type="topAndBottom"/>
          </v:line>
        </w:pict>
      </w:r>
    </w:p>
    <w:p>
      <w:pPr>
        <w:spacing w:before="36"/>
        <w:ind w:left="122" w:right="178" w:firstLine="0"/>
        <w:jc w:val="left"/>
        <w:rPr>
          <w:sz w:val="20"/>
        </w:rPr>
      </w:pPr>
      <w:r>
        <w:rPr>
          <w:position w:val="10"/>
          <w:sz w:val="13"/>
        </w:rPr>
        <w:t>29 </w:t>
      </w:r>
      <w:r>
        <w:rPr>
          <w:sz w:val="20"/>
        </w:rPr>
        <w:t>Equivalentes a $83,711.39 USD.</w:t>
      </w:r>
    </w:p>
    <w:p>
      <w:pPr>
        <w:spacing w:after="0"/>
        <w:jc w:val="left"/>
        <w:rPr>
          <w:sz w:val="20"/>
        </w:rPr>
        <w:sectPr>
          <w:footerReference w:type="default" r:id="rId405"/>
          <w:pgSz w:w="12240" w:h="15840"/>
          <w:pgMar w:footer="1003" w:header="749" w:top="960" w:bottom="1200" w:left="1580" w:right="1580"/>
          <w:pgNumType w:start="155"/>
        </w:sectPr>
      </w:pPr>
    </w:p>
    <w:p>
      <w:pPr>
        <w:pStyle w:val="BodyText"/>
        <w:rPr>
          <w:sz w:val="20"/>
        </w:rPr>
      </w:pPr>
    </w:p>
    <w:p>
      <w:pPr>
        <w:pStyle w:val="BodyText"/>
        <w:spacing w:before="7"/>
        <w:rPr>
          <w:sz w:val="18"/>
        </w:rPr>
      </w:pPr>
    </w:p>
    <w:p>
      <w:pPr>
        <w:pStyle w:val="ListParagraph"/>
        <w:numPr>
          <w:ilvl w:val="1"/>
          <w:numId w:val="29"/>
        </w:numPr>
        <w:tabs>
          <w:tab w:pos="944" w:val="left" w:leader="none"/>
        </w:tabs>
        <w:spacing w:line="360" w:lineRule="auto" w:before="0" w:after="0"/>
        <w:ind w:left="668" w:right="113" w:firstLine="0"/>
        <w:jc w:val="both"/>
        <w:rPr>
          <w:sz w:val="22"/>
        </w:rPr>
      </w:pPr>
      <w:r>
        <w:rPr>
          <w:sz w:val="22"/>
        </w:rPr>
        <w:t>El monto que aportará cada Partido Político coaligado, ya sea en cantidades o porcentajes, para el desarrollo de las campañas respectivas, así como la forma de reportarlo en los informes correspondientes con apego a las disposiciones legales y a los lineamientos que establezca la autoridad federal electoral (CGIFE,2006c: 46- 47).</w:t>
      </w:r>
    </w:p>
    <w:p>
      <w:pPr>
        <w:pStyle w:val="BodyText"/>
        <w:rPr>
          <w:sz w:val="22"/>
        </w:rPr>
      </w:pPr>
    </w:p>
    <w:p>
      <w:pPr>
        <w:pStyle w:val="BodyText"/>
        <w:spacing w:line="360" w:lineRule="auto" w:before="163"/>
        <w:ind w:left="102" w:right="116" w:firstLine="566"/>
        <w:jc w:val="both"/>
      </w:pPr>
      <w:r>
        <w:rPr/>
        <w:t>Por otra parte cada partido político debería destinar el 50% de las erogaciones para propaganda en radio y televisión en programas para la difusión de su plataforma electoral, la promoción de sus candidatos, así como para el análisis de los temas de interés nacional y su posición ante ellos. Para vigilar que los partidos políticos y las coaliciones respetaran los topes de gastos de campaña, el IFE se apoyó en la Comisión de Fiscalización de los Recursos de los Partidos y Agrupaciones Políticas, de acuerdo con el artículo 49-A, párrafo 2, del COFIPE mediante la revisión de los informes de gastos de campaña (CDHCU L LIX, 2005: 49).</w:t>
      </w:r>
    </w:p>
    <w:p>
      <w:pPr>
        <w:pStyle w:val="BodyText"/>
        <w:spacing w:line="360" w:lineRule="auto" w:before="5"/>
        <w:ind w:left="102" w:right="118" w:firstLine="566"/>
        <w:jc w:val="both"/>
      </w:pPr>
      <w:r>
        <w:rPr/>
        <w:t>De conformidad con lo anterior, ninguno de los partidos políticos  o coaliciones que contendieron durante la elección presidencial rebasaron los topes de gastos de campaña según la “Declaración de validez de la elección” que emitió el Tribunal Electoral del Poder Judicial de la Federación. Dicha declaración en su punto 3 señala: “… no existen elementos para sostener, por ahora, que hubo rebase del tope de gastos de campaña … Lo anterior, con independencia de lo que, en su momento, decida la autoridad administrativa electoral, cuando examine todos los elementos y documentación correspondientes que le presenten los partidos políticos en la fase de rendición de cuentas, pues conforme con el Código Federal de Instituciones y Procedimientos Electorales, existe un procedimiento preciso con una reglamentación específica que los partidos políticos deben observar ante dicha autoridad respecto de este tema” (TEPJF, 2006: 150).</w:t>
      </w:r>
    </w:p>
    <w:p>
      <w:pPr>
        <w:pStyle w:val="BodyText"/>
        <w:spacing w:line="360" w:lineRule="auto" w:before="5"/>
        <w:ind w:left="102" w:right="120" w:firstLine="566"/>
        <w:jc w:val="both"/>
      </w:pPr>
      <w:r>
        <w:rPr/>
        <w:t>En efecto, el COFIPE prevé que la revisión de los gastos de campaña, incluido el apego a los topes correspondientes, ocurre con posterioridad a la jornada electoral, de acuerdo con el artículo 49-A, párrafo 1, inciso b) Informes de Campaña  “II.  Serán  presentados  a  más  tardar  dentro  de  los  sesenta      días</w:t>
      </w:r>
    </w:p>
    <w:p>
      <w:pPr>
        <w:spacing w:after="0" w:line="360" w:lineRule="auto"/>
        <w:jc w:val="both"/>
        <w:sectPr>
          <w:pgSz w:w="12240" w:h="15840"/>
          <w:pgMar w:header="749" w:footer="1003" w:top="960" w:bottom="1200" w:left="1600" w:right="1580"/>
        </w:sectPr>
      </w:pPr>
    </w:p>
    <w:p>
      <w:pPr>
        <w:pStyle w:val="BodyText"/>
        <w:rPr>
          <w:sz w:val="20"/>
        </w:rPr>
      </w:pPr>
    </w:p>
    <w:p>
      <w:pPr>
        <w:pStyle w:val="BodyText"/>
        <w:spacing w:line="362" w:lineRule="auto" w:before="214"/>
        <w:ind w:left="102" w:right="120"/>
      </w:pPr>
      <w:r>
        <w:rPr/>
        <w:t>siguientes contados a partir del día en que concluyan las campañas electorales” (CDHCU L LIX, 2005: 49).</w:t>
      </w:r>
    </w:p>
    <w:p>
      <w:pPr>
        <w:pStyle w:val="BodyText"/>
        <w:spacing w:line="360" w:lineRule="auto"/>
        <w:ind w:left="102" w:right="116" w:firstLine="566"/>
        <w:jc w:val="both"/>
      </w:pPr>
      <w:r>
        <w:rPr/>
        <w:t>Transcurridos los sesenta días señalados la Comisión de Fiscalización de los Recursos de los Partidos y Agrupaciones Políticas del Consejo General del Instituto Federal Electoral emitió un Dictamen consolidado que presentó  al Consejo General del Instituto Federal Electoral, respecto de la revisión de los informes de campaña de los partidos políticos nacionales y coaliciones relacionados con el Proceso Electoral Federal 2005-2006 (CFRPAP, 2006a), en el cual señaló que no hubo rebase de gastos de campaña en la  elección presidencial, sin embargo, en la elección de diputados si rebasaron los topes de gastos varios candidatos de diferentes partidos en distintos distritos, pero ningún distrito pertenecía al Estado de México.</w:t>
      </w:r>
    </w:p>
    <w:p>
      <w:pPr>
        <w:pStyle w:val="BodyText"/>
        <w:spacing w:line="360" w:lineRule="auto" w:before="2"/>
        <w:ind w:left="102" w:right="115" w:firstLine="566"/>
        <w:jc w:val="both"/>
      </w:pPr>
      <w:r>
        <w:rPr/>
        <w:t>Del análisis al referido dictamen en cuanto a la elección de diputados se desprendió que todos los partidos políticos tuvieron irregularidades en sus informes y dos de ellos además de irregularidades rebasaron los </w:t>
      </w:r>
      <w:r>
        <w:rPr>
          <w:spacing w:val="2"/>
        </w:rPr>
        <w:t>topes </w:t>
      </w:r>
      <w:r>
        <w:rPr/>
        <w:t>de gastos de campaña siendo éstos el PAN y la Coalición “Alianza por México”. El PAN rebasó los topes en seis distritos: en el estado de Morelos distrito 5, en Tamaulipas distrito 1 y en Veracruz en los distritos 3, 4, 12 y 16; por su parte la Coalición los rebasó en 13 distritos: en Chiapas distritos 08 y 09; Chihuahua distrito 6; D.F. distrito 10; Jalisco distrito 5; Oaxaca distritos 04, 07, 08, 09 y 11; Sinaloa distritos 03 y 05 y Veracruz distrito 10. De acuerdo con lo anterior los resultados fueron (ver cuadro</w:t>
      </w:r>
      <w:r>
        <w:rPr>
          <w:spacing w:val="-8"/>
        </w:rPr>
        <w:t> </w:t>
      </w:r>
      <w:r>
        <w:rPr/>
        <w:t>3.4):</w:t>
      </w:r>
    </w:p>
    <w:p>
      <w:pPr>
        <w:spacing w:after="0" w:line="360" w:lineRule="auto"/>
        <w:jc w:val="both"/>
        <w:sectPr>
          <w:pgSz w:w="12240" w:h="15840"/>
          <w:pgMar w:header="749" w:footer="1003" w:top="960" w:bottom="1200" w:left="1600" w:right="1580"/>
        </w:sectPr>
      </w:pPr>
    </w:p>
    <w:p>
      <w:pPr>
        <w:pStyle w:val="BodyText"/>
        <w:rPr>
          <w:sz w:val="20"/>
        </w:rPr>
      </w:pPr>
    </w:p>
    <w:p>
      <w:pPr>
        <w:pStyle w:val="Heading2"/>
        <w:spacing w:before="214"/>
        <w:ind w:left="231" w:right="248"/>
      </w:pPr>
      <w:r>
        <w:rPr/>
        <w:t>Cuadro 3.4</w:t>
      </w:r>
    </w:p>
    <w:p>
      <w:pPr>
        <w:spacing w:before="139"/>
        <w:ind w:left="231" w:right="246" w:firstLine="0"/>
        <w:jc w:val="center"/>
        <w:rPr>
          <w:b/>
          <w:sz w:val="24"/>
        </w:rPr>
      </w:pPr>
      <w:r>
        <w:rPr>
          <w:b/>
          <w:sz w:val="24"/>
        </w:rPr>
        <w:t>Rebase de topes de gastos de campaña (IFE 2006)</w:t>
      </w:r>
    </w:p>
    <w:p>
      <w:pPr>
        <w:pStyle w:val="BodyText"/>
        <w:rPr>
          <w:b/>
          <w:sz w:val="20"/>
        </w:rPr>
      </w:pPr>
    </w:p>
    <w:p>
      <w:pPr>
        <w:pStyle w:val="BodyText"/>
        <w:spacing w:before="2"/>
        <w:rPr>
          <w:b/>
          <w:sz w:val="28"/>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34"/>
        <w:gridCol w:w="569"/>
        <w:gridCol w:w="1416"/>
        <w:gridCol w:w="4837"/>
      </w:tblGrid>
      <w:tr>
        <w:trPr>
          <w:trHeight w:val="389" w:hRule="exact"/>
        </w:trPr>
        <w:tc>
          <w:tcPr>
            <w:tcW w:w="2234" w:type="dxa"/>
            <w:shd w:val="clear" w:color="auto" w:fill="D9D9D9"/>
          </w:tcPr>
          <w:p>
            <w:pPr>
              <w:pStyle w:val="TableParagraph"/>
              <w:spacing w:line="248" w:lineRule="exact"/>
              <w:ind w:left="659" w:right="377"/>
              <w:rPr>
                <w:b/>
                <w:sz w:val="22"/>
              </w:rPr>
            </w:pPr>
            <w:r>
              <w:rPr>
                <w:b/>
                <w:sz w:val="22"/>
              </w:rPr>
              <w:t>Elección</w:t>
            </w:r>
          </w:p>
        </w:tc>
        <w:tc>
          <w:tcPr>
            <w:tcW w:w="569" w:type="dxa"/>
            <w:shd w:val="clear" w:color="auto" w:fill="D9D9D9"/>
          </w:tcPr>
          <w:p>
            <w:pPr>
              <w:pStyle w:val="TableParagraph"/>
              <w:spacing w:line="248" w:lineRule="exact"/>
              <w:ind w:left="179"/>
              <w:rPr>
                <w:b/>
                <w:sz w:val="22"/>
              </w:rPr>
            </w:pPr>
            <w:r>
              <w:rPr>
                <w:b/>
                <w:w w:val="100"/>
                <w:sz w:val="22"/>
              </w:rPr>
              <w:t>%</w:t>
            </w:r>
          </w:p>
        </w:tc>
        <w:tc>
          <w:tcPr>
            <w:tcW w:w="1416" w:type="dxa"/>
            <w:shd w:val="clear" w:color="auto" w:fill="D9D9D9"/>
          </w:tcPr>
          <w:p>
            <w:pPr>
              <w:pStyle w:val="TableParagraph"/>
              <w:spacing w:line="248" w:lineRule="exact"/>
              <w:ind w:left="101" w:right="103"/>
              <w:jc w:val="center"/>
              <w:rPr>
                <w:b/>
                <w:sz w:val="22"/>
              </w:rPr>
            </w:pPr>
            <w:r>
              <w:rPr>
                <w:b/>
                <w:sz w:val="22"/>
              </w:rPr>
              <w:t>Evaluación</w:t>
            </w:r>
          </w:p>
        </w:tc>
        <w:tc>
          <w:tcPr>
            <w:tcW w:w="4837" w:type="dxa"/>
            <w:shd w:val="clear" w:color="auto" w:fill="D9D9D9"/>
          </w:tcPr>
          <w:p>
            <w:pPr>
              <w:pStyle w:val="TableParagraph"/>
              <w:spacing w:line="248" w:lineRule="exact"/>
              <w:ind w:left="1605" w:right="1603"/>
              <w:jc w:val="center"/>
              <w:rPr>
                <w:b/>
                <w:sz w:val="22"/>
              </w:rPr>
            </w:pPr>
            <w:r>
              <w:rPr>
                <w:b/>
                <w:sz w:val="22"/>
              </w:rPr>
              <w:t>Observaciones</w:t>
            </w:r>
          </w:p>
        </w:tc>
      </w:tr>
      <w:tr>
        <w:trPr>
          <w:trHeight w:val="516" w:hRule="exact"/>
        </w:trPr>
        <w:tc>
          <w:tcPr>
            <w:tcW w:w="2234" w:type="dxa"/>
          </w:tcPr>
          <w:p>
            <w:pPr>
              <w:pStyle w:val="TableParagraph"/>
              <w:spacing w:line="242" w:lineRule="auto"/>
              <w:ind w:right="377"/>
              <w:rPr>
                <w:sz w:val="22"/>
              </w:rPr>
            </w:pPr>
            <w:r>
              <w:rPr>
                <w:sz w:val="22"/>
              </w:rPr>
              <w:t>Elección presidencial 2006</w:t>
            </w:r>
          </w:p>
        </w:tc>
        <w:tc>
          <w:tcPr>
            <w:tcW w:w="569" w:type="dxa"/>
          </w:tcPr>
          <w:p>
            <w:pPr>
              <w:pStyle w:val="TableParagraph"/>
              <w:spacing w:line="251" w:lineRule="exact"/>
              <w:rPr>
                <w:sz w:val="22"/>
              </w:rPr>
            </w:pPr>
            <w:r>
              <w:rPr>
                <w:w w:val="100"/>
                <w:sz w:val="22"/>
              </w:rPr>
              <w:t>0</w:t>
            </w:r>
          </w:p>
        </w:tc>
        <w:tc>
          <w:tcPr>
            <w:tcW w:w="1416" w:type="dxa"/>
          </w:tcPr>
          <w:p>
            <w:pPr>
              <w:pStyle w:val="TableParagraph"/>
              <w:spacing w:line="251" w:lineRule="exact"/>
              <w:ind w:left="100" w:right="103"/>
              <w:jc w:val="center"/>
              <w:rPr>
                <w:sz w:val="22"/>
              </w:rPr>
            </w:pPr>
            <w:r>
              <w:rPr>
                <w:sz w:val="22"/>
              </w:rPr>
              <w:t>3.0</w:t>
            </w:r>
          </w:p>
        </w:tc>
        <w:tc>
          <w:tcPr>
            <w:tcW w:w="4837" w:type="dxa"/>
          </w:tcPr>
          <w:p>
            <w:pPr>
              <w:pStyle w:val="TableParagraph"/>
              <w:spacing w:line="242" w:lineRule="auto"/>
              <w:rPr>
                <w:sz w:val="22"/>
              </w:rPr>
            </w:pPr>
            <w:r>
              <w:rPr>
                <w:sz w:val="22"/>
              </w:rPr>
              <w:t>Ningún partido rebasó los topes de gastos de campaña.</w:t>
            </w:r>
          </w:p>
        </w:tc>
      </w:tr>
      <w:tr>
        <w:trPr>
          <w:trHeight w:val="1022" w:hRule="exact"/>
        </w:trPr>
        <w:tc>
          <w:tcPr>
            <w:tcW w:w="2234" w:type="dxa"/>
          </w:tcPr>
          <w:p>
            <w:pPr>
              <w:pStyle w:val="TableParagraph"/>
              <w:tabs>
                <w:tab w:pos="1876" w:val="left" w:leader="none"/>
              </w:tabs>
              <w:ind w:right="98"/>
              <w:jc w:val="both"/>
              <w:rPr>
                <w:sz w:val="22"/>
              </w:rPr>
            </w:pPr>
            <w:r>
              <w:rPr>
                <w:sz w:val="22"/>
              </w:rPr>
              <w:t>Elección</w:t>
              <w:tab/>
              <w:t>de diputados federales 2006 (en el Estado de</w:t>
            </w:r>
            <w:r>
              <w:rPr>
                <w:spacing w:val="-5"/>
                <w:sz w:val="22"/>
              </w:rPr>
              <w:t> </w:t>
            </w:r>
            <w:r>
              <w:rPr>
                <w:sz w:val="22"/>
              </w:rPr>
              <w:t>México)*</w:t>
            </w:r>
          </w:p>
        </w:tc>
        <w:tc>
          <w:tcPr>
            <w:tcW w:w="569" w:type="dxa"/>
          </w:tcPr>
          <w:p>
            <w:pPr>
              <w:pStyle w:val="TableParagraph"/>
              <w:spacing w:line="251" w:lineRule="exact"/>
              <w:rPr>
                <w:sz w:val="22"/>
              </w:rPr>
            </w:pPr>
            <w:r>
              <w:rPr>
                <w:w w:val="100"/>
                <w:sz w:val="22"/>
              </w:rPr>
              <w:t>0</w:t>
            </w:r>
          </w:p>
        </w:tc>
        <w:tc>
          <w:tcPr>
            <w:tcW w:w="1416" w:type="dxa"/>
          </w:tcPr>
          <w:p>
            <w:pPr>
              <w:pStyle w:val="TableParagraph"/>
              <w:spacing w:line="251" w:lineRule="exact"/>
              <w:ind w:left="100" w:right="103"/>
              <w:jc w:val="center"/>
              <w:rPr>
                <w:sz w:val="22"/>
              </w:rPr>
            </w:pPr>
            <w:r>
              <w:rPr>
                <w:sz w:val="22"/>
              </w:rPr>
              <w:t>3.0</w:t>
            </w:r>
          </w:p>
        </w:tc>
        <w:tc>
          <w:tcPr>
            <w:tcW w:w="4837" w:type="dxa"/>
          </w:tcPr>
          <w:p>
            <w:pPr>
              <w:pStyle w:val="TableParagraph"/>
              <w:ind w:right="101"/>
              <w:jc w:val="both"/>
              <w:rPr>
                <w:sz w:val="22"/>
              </w:rPr>
            </w:pPr>
            <w:r>
              <w:rPr>
                <w:sz w:val="22"/>
              </w:rPr>
              <w:t>En ninguno de los 40 distritos federales con que cuenta el Estado de México se rebasaron los topes de gastos de campaña.</w:t>
            </w:r>
          </w:p>
        </w:tc>
      </w:tr>
      <w:tr>
        <w:trPr>
          <w:trHeight w:val="554" w:hRule="exact"/>
        </w:trPr>
        <w:tc>
          <w:tcPr>
            <w:tcW w:w="2234" w:type="dxa"/>
          </w:tcPr>
          <w:p>
            <w:pPr>
              <w:pStyle w:val="TableParagraph"/>
              <w:spacing w:line="251" w:lineRule="exact"/>
              <w:rPr>
                <w:sz w:val="22"/>
              </w:rPr>
            </w:pPr>
            <w:r>
              <w:rPr>
                <w:sz w:val="22"/>
              </w:rPr>
              <w:t>Evaluación general</w:t>
            </w:r>
          </w:p>
        </w:tc>
        <w:tc>
          <w:tcPr>
            <w:tcW w:w="6822" w:type="dxa"/>
            <w:gridSpan w:val="3"/>
          </w:tcPr>
          <w:p>
            <w:pPr>
              <w:pStyle w:val="TableParagraph"/>
              <w:spacing w:line="251" w:lineRule="exact"/>
              <w:rPr>
                <w:sz w:val="22"/>
              </w:rPr>
            </w:pPr>
            <w:r>
              <w:rPr>
                <w:sz w:val="22"/>
              </w:rPr>
              <w:t>3.0 (partidos altamente apegados a la legalidad)</w:t>
            </w:r>
          </w:p>
        </w:tc>
      </w:tr>
    </w:tbl>
    <w:p>
      <w:pPr>
        <w:spacing w:line="240" w:lineRule="auto" w:before="0"/>
        <w:ind w:left="222" w:right="238" w:firstLine="0"/>
        <w:jc w:val="both"/>
        <w:rPr>
          <w:sz w:val="20"/>
        </w:rPr>
      </w:pPr>
      <w:r>
        <w:rPr>
          <w:sz w:val="20"/>
        </w:rPr>
        <w:t>Fuente: elaboración propia con base en el Dictamen consolidado que presentó la Comisión de Fiscalización de los Recursos de los Partidos y Agrupaciones Políticas al Consejo General del Instituto Federal Electoral, respecto de la revisión de los informes de campaña de los partidos políticos nacionales y coaliciones relacionados con el proceso electoral federal 2005- 2006(CFRPAP, 2006ª). Notas: % = promedio de porcentaje de rebase del tope establecido para la elección presidencial; % = porcentaje de distritos que rebasaron los topes de gastos de campaña en la elección de</w:t>
      </w:r>
      <w:r>
        <w:rPr>
          <w:spacing w:val="-8"/>
          <w:sz w:val="20"/>
        </w:rPr>
        <w:t> </w:t>
      </w:r>
      <w:r>
        <w:rPr>
          <w:sz w:val="20"/>
        </w:rPr>
        <w:t>diputados.</w:t>
      </w:r>
    </w:p>
    <w:p>
      <w:pPr>
        <w:pStyle w:val="BodyText"/>
        <w:spacing w:before="1"/>
        <w:rPr>
          <w:sz w:val="20"/>
        </w:rPr>
      </w:pPr>
    </w:p>
    <w:p>
      <w:pPr>
        <w:pStyle w:val="BodyText"/>
        <w:spacing w:line="360" w:lineRule="auto"/>
        <w:ind w:left="222" w:right="236" w:firstLine="707"/>
        <w:jc w:val="both"/>
      </w:pPr>
      <w:r>
        <w:rPr/>
        <w:t>En este caso el porcentaje es 0% para ambas elecciones, pues ningún partido o distrito rebasó los topes de gastos; cabe señalar que el dictamen fue realizado por la Comisión de Fiscalización de los Recursos de los Partidos y Agrupaciones Políticas del Consejo General del Instituto Federal Electoral el cual es controvertido pues menciona que los partidos Nueva Alianza, del Trabajo y de la Revolución Democrática (éstos dos últimos integrantes de la coalición "Por el Bien de Todos") no rebasaron los gastos de campaña, pero que existe la posibilidad de que no hayan reportado un gran número de spots (con lo cual la coalición rebasaría los topes) y ante la posibilidad de un financiamiento irregular  de los promocionales se solicitó realizar el procedimiento administrativo oficioso de investigación.</w:t>
      </w:r>
    </w:p>
    <w:p>
      <w:pPr>
        <w:pStyle w:val="BodyText"/>
        <w:spacing w:line="360" w:lineRule="auto" w:before="2"/>
        <w:ind w:left="222" w:right="235" w:firstLine="707"/>
        <w:jc w:val="both"/>
      </w:pPr>
      <w:r>
        <w:rPr/>
        <w:t>Posteriormente el Consejo General del IFE repuso el procedimiento de revisión de informes de campaña y mediante los acuerdos CG20/2008 y CG21/2008 de fecha 15 de febrero de 2008 acordó modificar la resolución CG97/2007 respecto de las irregularidades encontradas en la revisión de los informes de campaña presentados por los partidos políticos y las coaliciones correspondientes al proceso electoral federal 2005-2006. Lo anterior en acatamiento  a  las  sentencias  de  la  sala  superior  del  TEPJF,  recaídas  a   los</w:t>
      </w:r>
    </w:p>
    <w:p>
      <w:pPr>
        <w:spacing w:after="0" w:line="360" w:lineRule="auto"/>
        <w:jc w:val="both"/>
        <w:sectPr>
          <w:pgSz w:w="12240" w:h="15840"/>
          <w:pgMar w:header="749" w:footer="1003" w:top="960" w:bottom="1200" w:left="1480" w:right="1460"/>
        </w:sectPr>
      </w:pPr>
    </w:p>
    <w:p>
      <w:pPr>
        <w:pStyle w:val="BodyText"/>
        <w:rPr>
          <w:sz w:val="20"/>
        </w:rPr>
      </w:pPr>
    </w:p>
    <w:p>
      <w:pPr>
        <w:pStyle w:val="BodyText"/>
        <w:spacing w:line="360" w:lineRule="auto" w:before="214"/>
        <w:ind w:left="102" w:right="118"/>
        <w:jc w:val="both"/>
      </w:pPr>
      <w:r>
        <w:rPr/>
        <w:t>recursos de apelación interpuestos por el Partido Nueva Alianza y la Coalición  “Por el Bien de Todos” en contra de dicha resolución, identificados con los números de expedientes SUP-RAP-46/2007 y SUP-RAP-48/2007 (CGIFE, 2008a  y</w:t>
      </w:r>
      <w:r>
        <w:rPr>
          <w:spacing w:val="-3"/>
        </w:rPr>
        <w:t> </w:t>
      </w:r>
      <w:r>
        <w:rPr/>
        <w:t>2008b).</w:t>
      </w:r>
    </w:p>
    <w:p>
      <w:pPr>
        <w:pStyle w:val="BodyText"/>
        <w:spacing w:line="360" w:lineRule="auto" w:before="2"/>
        <w:ind w:left="102" w:right="114" w:firstLine="707"/>
        <w:jc w:val="both"/>
      </w:pPr>
      <w:r>
        <w:rPr/>
        <w:t>Dicha modificación al acuerdo CG97/2007 consistió en: modificar las multas señaladas en el resolutivo cuarto incisos g), h), </w:t>
      </w:r>
      <w:r>
        <w:rPr>
          <w:spacing w:val="2"/>
        </w:rPr>
        <w:t>i) </w:t>
      </w:r>
      <w:r>
        <w:rPr/>
        <w:t>y j), disminuyéndolas en cuanto al Partido Nueva Alianza; pues se calificó la falta como grave especial ya que el partido omitió reportar la totalidad del gasto de campaña y se observó un importante desorden administrativo, entre otros; por lo que respecta al PRD se modificaron las multas de los incisos i), j), k), l) y m) del considerando 5.3, disminuyéndolas; debido a que se calificó la falta como grave especial pues el partido demostró falta de cuidado y negligencia en su conducta al incumplir la obligación de reportar la totalidad de las aportaciones recibidas y reportar con falsedad la aportación de un militante y el destino de los recursos erogados para el reconocimiento de actividades políticas, demostrando un importante desorden administrativo.</w:t>
      </w:r>
    </w:p>
    <w:p>
      <w:pPr>
        <w:pStyle w:val="BodyText"/>
        <w:spacing w:line="360" w:lineRule="auto" w:before="2"/>
        <w:ind w:left="102" w:right="117" w:firstLine="707"/>
        <w:jc w:val="both"/>
      </w:pPr>
      <w:r>
        <w:rPr/>
        <w:t>La resolución dada por el IFE en el sentido de que no hubo rebase de topes de gastos de campaña fue calificada por la prensa como un “carpetazo” al asunto para no entrar al fondo de la discusión, por lo cual sólo se impusieron multas leves al PRD y al PNA (Urrutia, 2008). Posteriormente en 2007 se realizó una reforma electoral que modificó la forma en que los partidos hacían uso de los medios de comunicación y designó al IFE como administrador único de los tiempos  del Estado en Radio y TV, prohibiendo así a los partidos la compra de espacios publicitarios.</w:t>
      </w:r>
    </w:p>
    <w:p>
      <w:pPr>
        <w:pStyle w:val="BodyText"/>
        <w:spacing w:line="360" w:lineRule="auto" w:before="2"/>
        <w:ind w:left="102" w:right="115" w:firstLine="707"/>
        <w:jc w:val="both"/>
      </w:pPr>
      <w:r>
        <w:rPr/>
        <w:t>Los partidos mexicanos que participaron en las elecciones nacionales se ubicaron como altamente apegados a la legalidad obteniendo una alta calificación (3.0). Sin embargo, si él estudió se hubiera realizado en otro estado el resultado habría sido distinto, pues hubo entidades en las cuales se rebasaron los topes establecidos por la ley.</w:t>
      </w:r>
    </w:p>
    <w:p>
      <w:pPr>
        <w:spacing w:after="0" w:line="360" w:lineRule="auto"/>
        <w:jc w:val="both"/>
        <w:sectPr>
          <w:pgSz w:w="12240" w:h="15840"/>
          <w:pgMar w:header="749" w:footer="1003" w:top="960" w:bottom="1200" w:left="1600" w:right="1580"/>
        </w:sectPr>
      </w:pPr>
    </w:p>
    <w:p>
      <w:pPr>
        <w:pStyle w:val="BodyText"/>
        <w:rPr>
          <w:sz w:val="20"/>
        </w:rPr>
      </w:pPr>
    </w:p>
    <w:p>
      <w:pPr>
        <w:pStyle w:val="Heading2"/>
        <w:numPr>
          <w:ilvl w:val="0"/>
          <w:numId w:val="27"/>
        </w:numPr>
        <w:tabs>
          <w:tab w:pos="1170" w:val="left" w:leader="none"/>
        </w:tabs>
        <w:spacing w:line="240" w:lineRule="auto" w:before="214" w:after="0"/>
        <w:ind w:left="1170" w:right="0" w:hanging="360"/>
        <w:jc w:val="both"/>
      </w:pPr>
      <w:r>
        <w:rPr/>
        <w:t>Estado de</w:t>
      </w:r>
      <w:r>
        <w:rPr>
          <w:spacing w:val="-2"/>
        </w:rPr>
        <w:t> </w:t>
      </w:r>
      <w:r>
        <w:rPr/>
        <w:t>México</w:t>
      </w:r>
    </w:p>
    <w:p>
      <w:pPr>
        <w:pStyle w:val="BodyText"/>
        <w:rPr>
          <w:b/>
        </w:rPr>
      </w:pPr>
    </w:p>
    <w:p>
      <w:pPr>
        <w:pStyle w:val="BodyText"/>
        <w:rPr>
          <w:b/>
        </w:rPr>
      </w:pPr>
    </w:p>
    <w:p>
      <w:pPr>
        <w:pStyle w:val="BodyText"/>
        <w:spacing w:line="360" w:lineRule="auto"/>
        <w:ind w:left="102" w:right="114"/>
        <w:jc w:val="both"/>
      </w:pPr>
      <w:r>
        <w:rPr/>
        <w:t>El financiamiento dado a los partidos políticos registrados para la elección local de 2006 se fundamentó en lo establecido en el artículo 58 fracción segunda del  CEEM de 1996, reformado el 9 de octubre de 1999, en él se señalaba el financiamiento público otorgado a los partidos para el sostenimiento de sus actividades permanentes y para la obtención del</w:t>
      </w:r>
      <w:r>
        <w:rPr>
          <w:spacing w:val="-20"/>
        </w:rPr>
        <w:t> </w:t>
      </w:r>
      <w:r>
        <w:rPr/>
        <w:t>voto:</w:t>
      </w:r>
    </w:p>
    <w:p>
      <w:pPr>
        <w:pStyle w:val="BodyText"/>
      </w:pPr>
    </w:p>
    <w:p>
      <w:pPr>
        <w:pStyle w:val="ListParagraph"/>
        <w:numPr>
          <w:ilvl w:val="0"/>
          <w:numId w:val="30"/>
        </w:numPr>
        <w:tabs>
          <w:tab w:pos="1146" w:val="left" w:leader="none"/>
        </w:tabs>
        <w:spacing w:line="360" w:lineRule="auto" w:before="141" w:after="0"/>
        <w:ind w:left="810" w:right="122" w:firstLine="0"/>
        <w:jc w:val="both"/>
        <w:rPr>
          <w:sz w:val="22"/>
        </w:rPr>
      </w:pPr>
      <w:r>
        <w:rPr>
          <w:sz w:val="22"/>
        </w:rPr>
        <w:t>El financiamiento ordinario se fijará anualmente conforme a los siguientes criterios:</w:t>
      </w:r>
    </w:p>
    <w:p>
      <w:pPr>
        <w:spacing w:line="360" w:lineRule="auto" w:before="5"/>
        <w:ind w:left="810" w:right="116" w:firstLine="0"/>
        <w:jc w:val="both"/>
        <w:rPr>
          <w:sz w:val="22"/>
        </w:rPr>
      </w:pPr>
      <w:r>
        <w:rPr>
          <w:sz w:val="22"/>
        </w:rPr>
        <w:t>La cantidad base para asignar el financiamiento público, será la que resulte de multiplicar el 40% del salario mínimo vigente en la capital del Estado, por el  número total de ciudadanos inscritos en el padrón electoral de la entidad, con corte al 31 de diciembre del año anterior al que deba realizarse el cálculo correspondiente.</w:t>
      </w:r>
    </w:p>
    <w:p>
      <w:pPr>
        <w:spacing w:before="3"/>
        <w:ind w:left="810" w:right="0" w:firstLine="0"/>
        <w:jc w:val="both"/>
        <w:rPr>
          <w:sz w:val="22"/>
        </w:rPr>
      </w:pPr>
      <w:r>
        <w:rPr>
          <w:sz w:val="22"/>
        </w:rPr>
        <w:t>La forma de asignar y distribuir la cantidad resultante será la siguiente:</w:t>
      </w:r>
    </w:p>
    <w:p>
      <w:pPr>
        <w:pStyle w:val="ListParagraph"/>
        <w:numPr>
          <w:ilvl w:val="0"/>
          <w:numId w:val="31"/>
        </w:numPr>
        <w:tabs>
          <w:tab w:pos="1125" w:val="left" w:leader="none"/>
        </w:tabs>
        <w:spacing w:line="360" w:lineRule="auto" w:before="126" w:after="0"/>
        <w:ind w:left="810" w:right="121" w:firstLine="0"/>
        <w:jc w:val="both"/>
        <w:rPr>
          <w:sz w:val="22"/>
        </w:rPr>
      </w:pPr>
      <w:r>
        <w:rPr>
          <w:sz w:val="22"/>
        </w:rPr>
        <w:t>El 15% de la cantidad resultante se distribuirá de forma paritaria entre los partidos</w:t>
      </w:r>
      <w:r>
        <w:rPr>
          <w:spacing w:val="-7"/>
          <w:sz w:val="22"/>
        </w:rPr>
        <w:t> </w:t>
      </w:r>
      <w:r>
        <w:rPr>
          <w:sz w:val="22"/>
        </w:rPr>
        <w:t>políticos.</w:t>
      </w:r>
    </w:p>
    <w:p>
      <w:pPr>
        <w:pStyle w:val="ListParagraph"/>
        <w:numPr>
          <w:ilvl w:val="0"/>
          <w:numId w:val="31"/>
        </w:numPr>
        <w:tabs>
          <w:tab w:pos="1072" w:val="left" w:leader="none"/>
        </w:tabs>
        <w:spacing w:line="360" w:lineRule="auto" w:before="3" w:after="0"/>
        <w:ind w:left="810" w:right="120" w:firstLine="0"/>
        <w:jc w:val="both"/>
        <w:rPr>
          <w:sz w:val="22"/>
        </w:rPr>
      </w:pPr>
      <w:r>
        <w:rPr>
          <w:sz w:val="22"/>
        </w:rPr>
        <w:t>El restante 85% se distribuirá en forma proporcional directa </w:t>
      </w:r>
      <w:r>
        <w:rPr>
          <w:spacing w:val="2"/>
          <w:sz w:val="22"/>
        </w:rPr>
        <w:t>de </w:t>
      </w:r>
      <w:r>
        <w:rPr>
          <w:sz w:val="22"/>
        </w:rPr>
        <w:t>la votación válida efectiva de cada partido político en la última elección de diputados locales del Estado.</w:t>
      </w:r>
    </w:p>
    <w:p>
      <w:pPr>
        <w:pStyle w:val="ListParagraph"/>
        <w:numPr>
          <w:ilvl w:val="0"/>
          <w:numId w:val="30"/>
        </w:numPr>
        <w:tabs>
          <w:tab w:pos="1113" w:val="left" w:leader="none"/>
        </w:tabs>
        <w:spacing w:line="360" w:lineRule="auto" w:before="3" w:after="0"/>
        <w:ind w:left="810" w:right="115" w:firstLine="0"/>
        <w:jc w:val="both"/>
        <w:rPr>
          <w:sz w:val="22"/>
        </w:rPr>
      </w:pPr>
      <w:r>
        <w:rPr>
          <w:sz w:val="22"/>
        </w:rPr>
        <w:t>El financiamiento para la obtención del voto en campañas electorales será el equivalente al doble del monto de financiamiento que corresponda a cada partido político por actividades ordinarias, durante el año del</w:t>
      </w:r>
      <w:r>
        <w:rPr>
          <w:spacing w:val="-17"/>
          <w:sz w:val="22"/>
        </w:rPr>
        <w:t> </w:t>
      </w:r>
      <w:r>
        <w:rPr>
          <w:sz w:val="22"/>
        </w:rPr>
        <w:t>proceso.</w:t>
      </w:r>
    </w:p>
    <w:p>
      <w:pPr>
        <w:pStyle w:val="ListParagraph"/>
        <w:numPr>
          <w:ilvl w:val="0"/>
          <w:numId w:val="30"/>
        </w:numPr>
        <w:tabs>
          <w:tab w:pos="1158" w:val="left" w:leader="none"/>
        </w:tabs>
        <w:spacing w:line="360" w:lineRule="auto" w:before="3" w:after="0"/>
        <w:ind w:left="810" w:right="119" w:firstLine="0"/>
        <w:jc w:val="both"/>
        <w:rPr>
          <w:sz w:val="22"/>
        </w:rPr>
      </w:pPr>
      <w:r>
        <w:rPr>
          <w:sz w:val="22"/>
        </w:rPr>
        <w:t>El financiamiento público para la obtención del voto durante los procesos electorales será entregado a partir del siguiente calendario: 40% en la fecha del otorgamiento del registro de los candidatos que correspondan y 3 exhibiciones del 20%, en ambos casos el financiamiento público será entregado a las dirigencias estatales de los partidos políticos (LEM LIII,</w:t>
      </w:r>
      <w:r>
        <w:rPr>
          <w:spacing w:val="-13"/>
          <w:sz w:val="22"/>
        </w:rPr>
        <w:t> </w:t>
      </w:r>
      <w:r>
        <w:rPr>
          <w:sz w:val="22"/>
        </w:rPr>
        <w:t>1999).</w:t>
      </w:r>
    </w:p>
    <w:p>
      <w:pPr>
        <w:pStyle w:val="BodyText"/>
        <w:rPr>
          <w:sz w:val="22"/>
        </w:rPr>
      </w:pPr>
    </w:p>
    <w:p>
      <w:pPr>
        <w:pStyle w:val="BodyText"/>
        <w:spacing w:line="360" w:lineRule="auto" w:before="163"/>
        <w:ind w:left="102" w:right="114" w:firstLine="707"/>
        <w:jc w:val="both"/>
      </w:pPr>
      <w:r>
        <w:rPr/>
        <w:t>Para las elecciones de 2006 el IEEM otorgó financiamiento a los partidos políticos registrados con anterioridad a la última elección: PAN, PRI, PRD, PVEM, PT y Convergencia; en cuanto a los partidos de reciente creación, PNA, PUM y</w:t>
      </w:r>
    </w:p>
    <w:p>
      <w:pPr>
        <w:spacing w:after="0" w:line="360" w:lineRule="auto"/>
        <w:jc w:val="both"/>
        <w:sectPr>
          <w:footerReference w:type="default" r:id="rId406"/>
          <w:pgSz w:w="12240" w:h="15840"/>
          <w:pgMar w:footer="1003" w:header="749" w:top="960" w:bottom="1200" w:left="1600" w:right="1580"/>
          <w:pgNumType w:start="160"/>
        </w:sectPr>
      </w:pPr>
    </w:p>
    <w:p>
      <w:pPr>
        <w:pStyle w:val="BodyText"/>
        <w:rPr>
          <w:sz w:val="20"/>
        </w:rPr>
      </w:pPr>
    </w:p>
    <w:p>
      <w:pPr>
        <w:pStyle w:val="BodyText"/>
        <w:spacing w:line="360" w:lineRule="auto" w:before="214"/>
        <w:ind w:left="122" w:right="126"/>
        <w:jc w:val="both"/>
      </w:pPr>
      <w:r>
        <w:rPr/>
        <w:t>PASC, se les otorgó el 2% a cada uno del monto total que por financiamiento les corresponde a los partidos políticos para actividades ordinarias y otro tanto para actividades de campaña.</w:t>
      </w:r>
    </w:p>
    <w:p>
      <w:pPr>
        <w:pStyle w:val="BodyText"/>
        <w:spacing w:line="360" w:lineRule="auto" w:before="5"/>
        <w:ind w:left="122" w:right="117" w:firstLine="707"/>
        <w:jc w:val="both"/>
      </w:pPr>
      <w:r>
        <w:rPr/>
        <w:t>De conformidad con las normas vigentes antes señaladas, el financiamiento público estatal distribuido entre los partidos políticos para el año 2006 ascendió   a</w:t>
      </w:r>
    </w:p>
    <w:p>
      <w:pPr>
        <w:pStyle w:val="BodyText"/>
        <w:spacing w:line="281" w:lineRule="exact"/>
        <w:ind w:left="122"/>
        <w:jc w:val="both"/>
      </w:pPr>
      <w:r>
        <w:rPr/>
        <w:t>$487, 701, 698.19 pesos ($42,966,519.61 USD)</w:t>
      </w:r>
      <w:r>
        <w:rPr>
          <w:position w:val="11"/>
          <w:sz w:val="16"/>
        </w:rPr>
        <w:t>30</w:t>
      </w:r>
      <w:r>
        <w:rPr/>
        <w:t>, el cual se distribuyó en dos</w:t>
      </w:r>
    </w:p>
    <w:p>
      <w:pPr>
        <w:pStyle w:val="BodyText"/>
        <w:spacing w:before="137"/>
        <w:ind w:left="122"/>
        <w:jc w:val="both"/>
      </w:pPr>
      <w:r>
        <w:rPr/>
        <w:t>rubros de la siguiente forma:</w:t>
      </w:r>
    </w:p>
    <w:p>
      <w:pPr>
        <w:pStyle w:val="BodyText"/>
        <w:spacing w:line="360" w:lineRule="auto" w:before="139"/>
        <w:ind w:left="122" w:right="118"/>
        <w:jc w:val="both"/>
      </w:pPr>
      <w:r>
        <w:rPr/>
        <w:t>a).- Por concepto de financiamiento público ordinario para el sostenimiento de actividades permanentes, la cantidad $168,172,999.38 pesos ($15,724,175.44 USD)  se  distribuyó  entre  los  9  partidos  que  tuvieron  derecho,  el  PAN recibió</w:t>
      </w:r>
    </w:p>
    <w:p>
      <w:pPr>
        <w:pStyle w:val="BodyText"/>
        <w:spacing w:line="360" w:lineRule="auto" w:before="2"/>
        <w:ind w:left="122" w:right="119"/>
        <w:jc w:val="both"/>
      </w:pPr>
      <w:r>
        <w:rPr/>
        <w:t>$44,843,893.72 pesos ($4,192,904.06 USD); el PRI $44,681,172.94 pesos ($4,177,689.66 USD); el PRD $37,825,949.91 pesos ($3,536,726.31 USD); el   PT</w:t>
      </w:r>
    </w:p>
    <w:p>
      <w:pPr>
        <w:pStyle w:val="BodyText"/>
        <w:spacing w:line="360" w:lineRule="auto" w:before="2"/>
        <w:ind w:left="122" w:right="114"/>
        <w:jc w:val="both"/>
      </w:pPr>
      <w:r>
        <w:rPr/>
        <w:t>$10,002,335.14 pesos ($935,218.33 USD); PVEM $12,892,607.27 pesos ($1,205,458.77    USD);    C    $7,836,660.43    pesos    ($732,727    USD);   PASC</w:t>
      </w:r>
    </w:p>
    <w:p>
      <w:pPr>
        <w:pStyle w:val="BodyText"/>
        <w:spacing w:line="360" w:lineRule="auto" w:before="2"/>
        <w:ind w:left="122" w:right="126"/>
        <w:jc w:val="both"/>
      </w:pPr>
      <w:r>
        <w:rPr/>
        <w:t>$3,363,459.99 pesos ($314,483.50 USD); NA $3,363,459.99 pesos ($314,483.50 USD) y PUM $3,363,459.99 pesos ($314,483.50 USD).</w:t>
      </w:r>
    </w:p>
    <w:p>
      <w:pPr>
        <w:pStyle w:val="BodyText"/>
        <w:spacing w:line="360" w:lineRule="auto" w:before="2"/>
        <w:ind w:left="122" w:right="116"/>
        <w:jc w:val="both"/>
      </w:pPr>
      <w:r>
        <w:rPr/>
        <w:t>b).- Por concepto de financiamiento público para la obtención del voto se distribuyó la cantidad de $319,528,698.81 pesos ($29,875,933.33 USD) entre los 7 partidos que contendieron en la elección, el PAN recibió $89,687,787.45 ($8,385,808.12   USD);  el  PRI  $89,362,345.87  ($8,355,379.33  USD);  el   </w:t>
      </w:r>
      <w:r>
        <w:rPr>
          <w:spacing w:val="60"/>
        </w:rPr>
        <w:t> </w:t>
      </w:r>
      <w:r>
        <w:rPr/>
        <w:t>PRD</w:t>
      </w:r>
    </w:p>
    <w:p>
      <w:pPr>
        <w:pStyle w:val="BodyText"/>
        <w:spacing w:line="360" w:lineRule="auto" w:before="2"/>
        <w:ind w:left="122" w:right="126"/>
        <w:jc w:val="both"/>
      </w:pPr>
      <w:r>
        <w:rPr/>
        <w:t>$75,651,899.82 ($ 7,073,452.63 USD); PT $20,004,670.27 ($1,870,436.67 USD); PVEM  $25,785,214.53  ($2,410,917.55  USD);  C  $15,673,320.87 ($1,465,455.50</w:t>
      </w:r>
    </w:p>
    <w:p>
      <w:pPr>
        <w:pStyle w:val="BodyText"/>
        <w:spacing w:line="360" w:lineRule="auto" w:before="2"/>
        <w:ind w:left="122" w:right="119"/>
        <w:jc w:val="both"/>
      </w:pPr>
      <w:r>
        <w:rPr/>
        <w:t>USD) y PUM $3,363,459.99 ($314,483.50 USD). Como se observa la cantidad entregada a cada partido político por este concepto equivale al doble de la entregada para actividades permanentes.</w:t>
      </w:r>
    </w:p>
    <w:p>
      <w:pPr>
        <w:pStyle w:val="BodyText"/>
        <w:spacing w:line="360" w:lineRule="auto" w:before="5"/>
        <w:ind w:left="122" w:right="121" w:firstLine="707"/>
        <w:jc w:val="both"/>
      </w:pPr>
      <w:r>
        <w:rPr/>
        <w:t>En total el PAN recibió $134, 531, 681.17 pesos ($12,578,712.18 USD), equivalente al 27.5% del total del financiamiento, el PRI obtuvo $134, 043, 518.81 pesos ($12,533,069.00 USD) (27.48%), el PRD obtuvo $113, 477, 849.73 pesos</w:t>
      </w:r>
    </w:p>
    <w:p>
      <w:pPr>
        <w:pStyle w:val="BodyText"/>
        <w:spacing w:before="5"/>
        <w:rPr>
          <w:sz w:val="28"/>
        </w:rPr>
      </w:pPr>
      <w:r>
        <w:rPr/>
        <w:pict>
          <v:line style="position:absolute;mso-position-horizontal-relative:page;mso-position-vertical-relative:paragraph;z-index:2200;mso-wrap-distance-left:0;mso-wrap-distance-right:0" from="85.103996pt,18.713917pt" to="229.123996pt,18.713917pt" stroked="true" strokeweight=".71997pt" strokecolor="#000000">
            <w10:wrap type="topAndBottom"/>
          </v:line>
        </w:pict>
      </w:r>
    </w:p>
    <w:p>
      <w:pPr>
        <w:spacing w:before="36"/>
        <w:ind w:left="122" w:right="117" w:firstLine="0"/>
        <w:jc w:val="both"/>
        <w:rPr>
          <w:sz w:val="20"/>
        </w:rPr>
      </w:pPr>
      <w:r>
        <w:rPr>
          <w:position w:val="10"/>
          <w:sz w:val="13"/>
        </w:rPr>
        <w:t>30 </w:t>
      </w:r>
      <w:r>
        <w:rPr>
          <w:sz w:val="20"/>
        </w:rPr>
        <w:t>El tipo de cambio, para todo lo relativo a la elección estatal, se realizó tomando como base el punto medio (entre compra y venta) de cambio histórico que tuvo el peso frente al dólar el 12 de marzo de 2006, día de la jornada electoral, siendo éste de $0.0935 USD por peso (OANDA, 2013).</w:t>
      </w:r>
    </w:p>
    <w:p>
      <w:pPr>
        <w:spacing w:after="0"/>
        <w:jc w:val="both"/>
        <w:rPr>
          <w:sz w:val="20"/>
        </w:rPr>
        <w:sectPr>
          <w:pgSz w:w="12240" w:h="15840"/>
          <w:pgMar w:header="749" w:footer="1003" w:top="960" w:bottom="1200" w:left="1580" w:right="1580"/>
        </w:sectPr>
      </w:pPr>
    </w:p>
    <w:p>
      <w:pPr>
        <w:pStyle w:val="BodyText"/>
        <w:rPr>
          <w:sz w:val="20"/>
        </w:rPr>
      </w:pPr>
    </w:p>
    <w:p>
      <w:pPr>
        <w:pStyle w:val="BodyText"/>
        <w:spacing w:line="362" w:lineRule="auto" w:before="214"/>
        <w:ind w:left="102" w:right="124"/>
        <w:jc w:val="both"/>
      </w:pPr>
      <w:r>
        <w:rPr/>
        <w:t>($10,610,178.94 USD) (23.26%), el PT recibió $30, 007, 005.41 pesos ($2,805,655.00   USD)   (6.15%),   el   PVEM   obtuvo   $38,   677,   821.8     pesos</w:t>
      </w:r>
    </w:p>
    <w:p>
      <w:pPr>
        <w:pStyle w:val="BodyText"/>
        <w:spacing w:line="360" w:lineRule="auto"/>
        <w:ind w:left="102" w:right="124"/>
        <w:jc w:val="both"/>
      </w:pPr>
      <w:r>
        <w:rPr/>
        <w:t>($3,616,376.33 USD) (7.93%), C se hizo acreedor a $23, 509, 981.3 pesos ($2,198,183.25 USD) (4.82%), el PUM recibió $6, 726, 919.98 pesos ($628,967.01 USD) (1.37%), la PASC $3,363,459.99 pesos ($314,483.50 USD) (0.68%) y NA</w:t>
      </w:r>
    </w:p>
    <w:p>
      <w:pPr>
        <w:pStyle w:val="BodyText"/>
        <w:spacing w:before="5"/>
        <w:ind w:left="102"/>
        <w:jc w:val="both"/>
      </w:pPr>
      <w:r>
        <w:rPr/>
        <w:t>$3,363,459.99 pesos ($314,483.50 USD).</w:t>
      </w:r>
    </w:p>
    <w:p>
      <w:pPr>
        <w:pStyle w:val="BodyText"/>
        <w:spacing w:line="360" w:lineRule="auto" w:before="137"/>
        <w:ind w:left="102" w:right="121" w:firstLine="707"/>
        <w:jc w:val="both"/>
      </w:pPr>
      <w:r>
        <w:rPr/>
        <w:t>Es importante mencionar que el PAN, C y PUM fueron solos a la contienda; y el PRI junto con el PVEM formó la coalición parcial “Alianza por México”, por lo que al unirse obtuvieron juntos el 35.41% del financiamiento total; por su parte el PRD y el PT integraron la coalición “Por el Bien de Todos”, juntos obtuvieron el 29.41% del financiamiento. De lo anterior se observa que los tres partidos más competitivos (PAN, PRI, y PRD) obtuvieron los porcentajes de financiamiento más altos, los cuales fueron proporcionales y de acuerdo con lo estipulado en la ley.</w:t>
      </w:r>
    </w:p>
    <w:p>
      <w:pPr>
        <w:pStyle w:val="BodyText"/>
      </w:pPr>
    </w:p>
    <w:p>
      <w:pPr>
        <w:pStyle w:val="ListParagraph"/>
        <w:numPr>
          <w:ilvl w:val="0"/>
          <w:numId w:val="32"/>
        </w:numPr>
        <w:tabs>
          <w:tab w:pos="1513" w:val="left" w:leader="none"/>
          <w:tab w:pos="1514" w:val="left" w:leader="none"/>
        </w:tabs>
        <w:spacing w:line="240" w:lineRule="auto" w:before="139" w:after="0"/>
        <w:ind w:left="1513" w:right="0" w:hanging="706"/>
        <w:jc w:val="left"/>
        <w:rPr>
          <w:i/>
          <w:sz w:val="24"/>
        </w:rPr>
      </w:pPr>
      <w:r>
        <w:rPr>
          <w:i/>
          <w:sz w:val="24"/>
        </w:rPr>
        <w:t>Costo de los partidos para el erario</w:t>
      </w:r>
      <w:r>
        <w:rPr>
          <w:i/>
          <w:spacing w:val="-15"/>
          <w:sz w:val="24"/>
        </w:rPr>
        <w:t> </w:t>
      </w:r>
      <w:r>
        <w:rPr>
          <w:i/>
          <w:sz w:val="24"/>
        </w:rPr>
        <w:t>público</w:t>
      </w:r>
    </w:p>
    <w:p>
      <w:pPr>
        <w:pStyle w:val="BodyText"/>
        <w:rPr>
          <w:i/>
        </w:rPr>
      </w:pPr>
    </w:p>
    <w:p>
      <w:pPr>
        <w:pStyle w:val="BodyText"/>
        <w:spacing w:before="2"/>
        <w:rPr>
          <w:i/>
        </w:rPr>
      </w:pPr>
    </w:p>
    <w:p>
      <w:pPr>
        <w:pStyle w:val="BodyText"/>
        <w:ind w:left="102"/>
        <w:jc w:val="both"/>
      </w:pPr>
      <w:r>
        <w:rPr/>
        <w:t>En   2006   el   Ejecutivo   estatal   solicitó   un   presupuesto   para   la   entidad de</w:t>
      </w:r>
    </w:p>
    <w:p>
      <w:pPr>
        <w:pStyle w:val="BodyText"/>
        <w:spacing w:line="360" w:lineRule="auto" w:before="139"/>
        <w:ind w:left="102" w:right="114"/>
        <w:jc w:val="both"/>
      </w:pPr>
      <w:r>
        <w:rPr/>
        <w:t>$92,152,748,533.00 pesos ($8,118,657,145.75 USD), de los cuales el IEEM recibió un presupuesto de $1,234,732,000.00 pesos ($115,447,442 USD) por parte del gobierno del Estado de México; de dicho presupuesto $519,975,849.50 millones de pesos ($48,617,741.92 USD) se entregaron a los partidos políticos lo que representó el 0.56% del presupuesto estatal; dicho resultado ubicó a los partidos políticos registrados ante el IEEM como altamente costosos por lo que obtuvieron una baja evaluación (1.0) (LEM LV,</w:t>
      </w:r>
      <w:r>
        <w:rPr>
          <w:spacing w:val="-13"/>
        </w:rPr>
        <w:t> </w:t>
      </w:r>
      <w:r>
        <w:rPr/>
        <w:t>2005d).</w:t>
      </w:r>
    </w:p>
    <w:p>
      <w:pPr>
        <w:pStyle w:val="BodyText"/>
      </w:pPr>
    </w:p>
    <w:p>
      <w:pPr>
        <w:pStyle w:val="ListParagraph"/>
        <w:numPr>
          <w:ilvl w:val="0"/>
          <w:numId w:val="32"/>
        </w:numPr>
        <w:tabs>
          <w:tab w:pos="1513" w:val="left" w:leader="none"/>
          <w:tab w:pos="1514" w:val="left" w:leader="none"/>
        </w:tabs>
        <w:spacing w:line="240" w:lineRule="auto" w:before="139" w:after="0"/>
        <w:ind w:left="1513" w:right="0" w:hanging="706"/>
        <w:jc w:val="left"/>
        <w:rPr>
          <w:i/>
          <w:sz w:val="24"/>
        </w:rPr>
      </w:pPr>
      <w:r>
        <w:rPr>
          <w:i/>
          <w:sz w:val="24"/>
        </w:rPr>
        <w:t>Irregularidades en la aplicación del financiamiento</w:t>
      </w:r>
      <w:r>
        <w:rPr>
          <w:i/>
          <w:spacing w:val="-19"/>
          <w:sz w:val="24"/>
        </w:rPr>
        <w:t> </w:t>
      </w:r>
      <w:r>
        <w:rPr>
          <w:i/>
          <w:sz w:val="24"/>
        </w:rPr>
        <w:t>público</w:t>
      </w:r>
    </w:p>
    <w:p>
      <w:pPr>
        <w:pStyle w:val="BodyText"/>
        <w:rPr>
          <w:i/>
        </w:rPr>
      </w:pPr>
    </w:p>
    <w:p>
      <w:pPr>
        <w:pStyle w:val="BodyText"/>
        <w:spacing w:before="3"/>
        <w:rPr>
          <w:i/>
        </w:rPr>
      </w:pPr>
    </w:p>
    <w:p>
      <w:pPr>
        <w:pStyle w:val="BodyText"/>
        <w:spacing w:line="360" w:lineRule="auto"/>
        <w:ind w:left="102" w:right="123"/>
        <w:jc w:val="both"/>
      </w:pPr>
      <w:r>
        <w:rPr/>
        <w:t>Durante el proceso electoral de 2006 en el Estado de México el IEEM impuso diversas sanciones a los partidos políticos por irregularidades de fondo y/o forma en cuanto a la aplicación del financiamiento, mediante el acuerdo número 323/2006</w:t>
      </w:r>
      <w:r>
        <w:rPr>
          <w:spacing w:val="26"/>
        </w:rPr>
        <w:t> </w:t>
      </w:r>
      <w:r>
        <w:rPr/>
        <w:t>relativo</w:t>
      </w:r>
      <w:r>
        <w:rPr>
          <w:spacing w:val="24"/>
        </w:rPr>
        <w:t> </w:t>
      </w:r>
      <w:r>
        <w:rPr/>
        <w:t>al</w:t>
      </w:r>
      <w:r>
        <w:rPr>
          <w:spacing w:val="24"/>
        </w:rPr>
        <w:t> </w:t>
      </w:r>
      <w:r>
        <w:rPr>
          <w:b/>
        </w:rPr>
        <w:t>“</w:t>
      </w:r>
      <w:r>
        <w:rPr/>
        <w:t>Dictamen</w:t>
      </w:r>
      <w:r>
        <w:rPr>
          <w:spacing w:val="24"/>
        </w:rPr>
        <w:t> </w:t>
      </w:r>
      <w:r>
        <w:rPr/>
        <w:t>sobre</w:t>
      </w:r>
      <w:r>
        <w:rPr>
          <w:spacing w:val="23"/>
        </w:rPr>
        <w:t> </w:t>
      </w:r>
      <w:r>
        <w:rPr/>
        <w:t>los</w:t>
      </w:r>
      <w:r>
        <w:rPr>
          <w:spacing w:val="21"/>
        </w:rPr>
        <w:t> </w:t>
      </w:r>
      <w:r>
        <w:rPr/>
        <w:t>informes</w:t>
      </w:r>
      <w:r>
        <w:rPr>
          <w:spacing w:val="21"/>
        </w:rPr>
        <w:t> </w:t>
      </w:r>
      <w:r>
        <w:rPr/>
        <w:t>de</w:t>
      </w:r>
      <w:r>
        <w:rPr>
          <w:spacing w:val="22"/>
        </w:rPr>
        <w:t> </w:t>
      </w:r>
      <w:r>
        <w:rPr/>
        <w:t>gastos</w:t>
      </w:r>
      <w:r>
        <w:rPr>
          <w:spacing w:val="21"/>
        </w:rPr>
        <w:t> </w:t>
      </w:r>
      <w:r>
        <w:rPr/>
        <w:t>de</w:t>
      </w:r>
      <w:r>
        <w:rPr>
          <w:spacing w:val="24"/>
        </w:rPr>
        <w:t> </w:t>
      </w:r>
      <w:r>
        <w:rPr/>
        <w:t>campaña</w:t>
      </w:r>
      <w:r>
        <w:rPr>
          <w:spacing w:val="24"/>
        </w:rPr>
        <w:t> </w:t>
      </w:r>
      <w:r>
        <w:rPr/>
        <w:t>de</w:t>
      </w:r>
      <w:r>
        <w:rPr>
          <w:spacing w:val="24"/>
        </w:rPr>
        <w:t> </w:t>
      </w:r>
      <w:r>
        <w:rPr/>
        <w:t>los</w:t>
      </w:r>
    </w:p>
    <w:p>
      <w:pPr>
        <w:spacing w:after="0" w:line="360" w:lineRule="auto"/>
        <w:jc w:val="both"/>
        <w:sectPr>
          <w:pgSz w:w="12240" w:h="15840"/>
          <w:pgMar w:header="749" w:footer="1003" w:top="960" w:bottom="1200" w:left="1600" w:right="1580"/>
        </w:sectPr>
      </w:pPr>
    </w:p>
    <w:p>
      <w:pPr>
        <w:pStyle w:val="BodyText"/>
        <w:rPr>
          <w:sz w:val="20"/>
        </w:rPr>
      </w:pPr>
    </w:p>
    <w:p>
      <w:pPr>
        <w:pStyle w:val="BodyText"/>
        <w:spacing w:line="362" w:lineRule="auto" w:before="214"/>
        <w:ind w:left="222" w:right="239"/>
      </w:pPr>
      <w:r>
        <w:rPr/>
        <w:t>partidos políticos y coaliciones correspondiente a los procesos electorales 2005- 2006” (CGIEEM, 2006c):</w:t>
      </w:r>
    </w:p>
    <w:p>
      <w:pPr>
        <w:pStyle w:val="BodyText"/>
      </w:pPr>
    </w:p>
    <w:p>
      <w:pPr>
        <w:pStyle w:val="Heading2"/>
        <w:spacing w:before="139"/>
        <w:ind w:left="231" w:right="248"/>
      </w:pPr>
      <w:r>
        <w:rPr/>
        <w:t>Cuadro 3.5</w:t>
      </w:r>
    </w:p>
    <w:p>
      <w:pPr>
        <w:spacing w:before="137"/>
        <w:ind w:left="231" w:right="247" w:firstLine="0"/>
        <w:jc w:val="center"/>
        <w:rPr>
          <w:b/>
          <w:sz w:val="24"/>
        </w:rPr>
      </w:pPr>
      <w:r>
        <w:rPr>
          <w:b/>
          <w:sz w:val="24"/>
        </w:rPr>
        <w:t>Sanciones aprobadas en el acuerdo 323/2006 del CGIEEM</w:t>
      </w:r>
    </w:p>
    <w:p>
      <w:pPr>
        <w:pStyle w:val="BodyText"/>
        <w:rPr>
          <w:b/>
          <w:sz w:val="20"/>
        </w:rPr>
      </w:pPr>
    </w:p>
    <w:p>
      <w:pPr>
        <w:pStyle w:val="BodyText"/>
        <w:spacing w:before="2"/>
        <w:rPr>
          <w:b/>
          <w:sz w:val="28"/>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43"/>
        <w:gridCol w:w="1417"/>
        <w:gridCol w:w="1277"/>
        <w:gridCol w:w="1985"/>
        <w:gridCol w:w="1901"/>
        <w:gridCol w:w="1234"/>
      </w:tblGrid>
      <w:tr>
        <w:trPr>
          <w:trHeight w:val="845" w:hRule="exact"/>
        </w:trPr>
        <w:tc>
          <w:tcPr>
            <w:tcW w:w="1243" w:type="dxa"/>
            <w:vMerge w:val="restart"/>
            <w:shd w:val="clear" w:color="auto" w:fill="D9D9D9"/>
          </w:tcPr>
          <w:p>
            <w:pPr>
              <w:pStyle w:val="TableParagraph"/>
              <w:spacing w:line="274" w:lineRule="exact"/>
              <w:ind w:left="362" w:right="187"/>
              <w:rPr>
                <w:b/>
                <w:sz w:val="24"/>
              </w:rPr>
            </w:pPr>
            <w:r>
              <w:rPr>
                <w:b/>
                <w:sz w:val="24"/>
              </w:rPr>
              <w:t>PAN</w:t>
            </w:r>
          </w:p>
        </w:tc>
        <w:tc>
          <w:tcPr>
            <w:tcW w:w="2693" w:type="dxa"/>
            <w:gridSpan w:val="2"/>
            <w:shd w:val="clear" w:color="auto" w:fill="D9D9D9"/>
          </w:tcPr>
          <w:p>
            <w:pPr>
              <w:pStyle w:val="TableParagraph"/>
              <w:spacing w:line="278" w:lineRule="auto"/>
              <w:ind w:left="131" w:right="118" w:firstLine="199"/>
              <w:rPr>
                <w:b/>
                <w:sz w:val="24"/>
              </w:rPr>
            </w:pPr>
            <w:r>
              <w:rPr>
                <w:b/>
                <w:sz w:val="24"/>
              </w:rPr>
              <w:t>Coalición parcial* “Alianza por México”</w:t>
            </w:r>
          </w:p>
        </w:tc>
        <w:tc>
          <w:tcPr>
            <w:tcW w:w="3886" w:type="dxa"/>
            <w:gridSpan w:val="2"/>
            <w:shd w:val="clear" w:color="auto" w:fill="D9D9D9"/>
          </w:tcPr>
          <w:p>
            <w:pPr>
              <w:pStyle w:val="TableParagraph"/>
              <w:spacing w:line="278" w:lineRule="auto"/>
              <w:ind w:left="1250" w:right="179" w:hanging="1054"/>
              <w:rPr>
                <w:b/>
                <w:sz w:val="24"/>
              </w:rPr>
            </w:pPr>
            <w:r>
              <w:rPr>
                <w:b/>
                <w:sz w:val="24"/>
              </w:rPr>
              <w:t>Coalición PRD-PT “Por el Bien de Todos”**</w:t>
            </w:r>
          </w:p>
        </w:tc>
        <w:tc>
          <w:tcPr>
            <w:tcW w:w="1234" w:type="dxa"/>
            <w:vMerge w:val="restart"/>
            <w:shd w:val="clear" w:color="auto" w:fill="D9D9D9"/>
          </w:tcPr>
          <w:p>
            <w:pPr>
              <w:pStyle w:val="TableParagraph"/>
              <w:spacing w:line="274" w:lineRule="exact"/>
              <w:ind w:left="0" w:right="1"/>
              <w:jc w:val="center"/>
              <w:rPr>
                <w:b/>
                <w:sz w:val="24"/>
              </w:rPr>
            </w:pPr>
            <w:r>
              <w:rPr>
                <w:b/>
                <w:w w:val="99"/>
                <w:sz w:val="24"/>
              </w:rPr>
              <w:t>C</w:t>
            </w:r>
          </w:p>
        </w:tc>
      </w:tr>
      <w:tr>
        <w:trPr>
          <w:trHeight w:val="529" w:hRule="exact"/>
        </w:trPr>
        <w:tc>
          <w:tcPr>
            <w:tcW w:w="1243" w:type="dxa"/>
            <w:vMerge/>
            <w:shd w:val="clear" w:color="auto" w:fill="D9D9D9"/>
          </w:tcPr>
          <w:p>
            <w:pPr/>
          </w:p>
        </w:tc>
        <w:tc>
          <w:tcPr>
            <w:tcW w:w="1417" w:type="dxa"/>
            <w:shd w:val="clear" w:color="auto" w:fill="D9D9D9"/>
          </w:tcPr>
          <w:p>
            <w:pPr>
              <w:pStyle w:val="TableParagraph"/>
              <w:spacing w:line="274" w:lineRule="exact"/>
              <w:ind w:left="100" w:right="142"/>
              <w:rPr>
                <w:b/>
                <w:sz w:val="24"/>
              </w:rPr>
            </w:pPr>
            <w:r>
              <w:rPr>
                <w:b/>
                <w:sz w:val="24"/>
              </w:rPr>
              <w:t>PRI</w:t>
            </w:r>
          </w:p>
        </w:tc>
        <w:tc>
          <w:tcPr>
            <w:tcW w:w="1277" w:type="dxa"/>
            <w:shd w:val="clear" w:color="auto" w:fill="D9D9D9"/>
          </w:tcPr>
          <w:p>
            <w:pPr>
              <w:pStyle w:val="TableParagraph"/>
              <w:spacing w:line="274" w:lineRule="exact"/>
              <w:rPr>
                <w:b/>
                <w:sz w:val="24"/>
              </w:rPr>
            </w:pPr>
            <w:r>
              <w:rPr>
                <w:b/>
                <w:sz w:val="24"/>
              </w:rPr>
              <w:t>PVE</w:t>
            </w:r>
          </w:p>
        </w:tc>
        <w:tc>
          <w:tcPr>
            <w:tcW w:w="1985" w:type="dxa"/>
            <w:shd w:val="clear" w:color="auto" w:fill="D9D9D9"/>
          </w:tcPr>
          <w:p>
            <w:pPr>
              <w:pStyle w:val="TableParagraph"/>
              <w:spacing w:line="274" w:lineRule="exact"/>
              <w:rPr>
                <w:b/>
                <w:sz w:val="24"/>
              </w:rPr>
            </w:pPr>
            <w:r>
              <w:rPr>
                <w:b/>
                <w:sz w:val="24"/>
              </w:rPr>
              <w:t>PRD</w:t>
            </w:r>
          </w:p>
        </w:tc>
        <w:tc>
          <w:tcPr>
            <w:tcW w:w="1901" w:type="dxa"/>
            <w:shd w:val="clear" w:color="auto" w:fill="D9D9D9"/>
          </w:tcPr>
          <w:p>
            <w:pPr>
              <w:pStyle w:val="TableParagraph"/>
              <w:spacing w:line="274" w:lineRule="exact"/>
              <w:ind w:left="100"/>
              <w:rPr>
                <w:b/>
                <w:sz w:val="24"/>
              </w:rPr>
            </w:pPr>
            <w:r>
              <w:rPr>
                <w:b/>
                <w:sz w:val="24"/>
              </w:rPr>
              <w:t>PT</w:t>
            </w:r>
          </w:p>
        </w:tc>
        <w:tc>
          <w:tcPr>
            <w:tcW w:w="1234" w:type="dxa"/>
            <w:vMerge/>
            <w:shd w:val="clear" w:color="auto" w:fill="D9D9D9"/>
          </w:tcPr>
          <w:p>
            <w:pPr/>
          </w:p>
        </w:tc>
      </w:tr>
      <w:tr>
        <w:trPr>
          <w:trHeight w:val="977" w:hRule="exact"/>
        </w:trPr>
        <w:tc>
          <w:tcPr>
            <w:tcW w:w="1243" w:type="dxa"/>
          </w:tcPr>
          <w:p>
            <w:pPr>
              <w:pStyle w:val="TableParagraph"/>
              <w:spacing w:line="276" w:lineRule="auto"/>
              <w:ind w:right="187"/>
              <w:rPr>
                <w:sz w:val="20"/>
              </w:rPr>
            </w:pPr>
            <w:r>
              <w:rPr>
                <w:sz w:val="20"/>
              </w:rPr>
              <w:t>Recomen- daciones</w:t>
            </w:r>
          </w:p>
        </w:tc>
        <w:tc>
          <w:tcPr>
            <w:tcW w:w="1417" w:type="dxa"/>
          </w:tcPr>
          <w:p>
            <w:pPr>
              <w:pStyle w:val="TableParagraph"/>
              <w:spacing w:line="276" w:lineRule="auto"/>
              <w:ind w:left="100" w:right="142"/>
              <w:rPr>
                <w:sz w:val="20"/>
              </w:rPr>
            </w:pPr>
            <w:r>
              <w:rPr>
                <w:sz w:val="20"/>
              </w:rPr>
              <w:t>Recomenda-</w:t>
            </w:r>
            <w:r>
              <w:rPr>
                <w:w w:val="99"/>
                <w:sz w:val="20"/>
              </w:rPr>
              <w:t> </w:t>
            </w:r>
            <w:r>
              <w:rPr>
                <w:sz w:val="20"/>
              </w:rPr>
              <w:t>ciones</w:t>
            </w:r>
          </w:p>
        </w:tc>
        <w:tc>
          <w:tcPr>
            <w:tcW w:w="1277" w:type="dxa"/>
          </w:tcPr>
          <w:p>
            <w:pPr>
              <w:pStyle w:val="TableParagraph"/>
              <w:spacing w:line="230" w:lineRule="exact"/>
              <w:rPr>
                <w:sz w:val="20"/>
              </w:rPr>
            </w:pPr>
            <w:r>
              <w:rPr>
                <w:sz w:val="20"/>
              </w:rPr>
              <w:t>Ninguna</w:t>
            </w:r>
          </w:p>
        </w:tc>
        <w:tc>
          <w:tcPr>
            <w:tcW w:w="1985" w:type="dxa"/>
          </w:tcPr>
          <w:p>
            <w:pPr>
              <w:pStyle w:val="TableParagraph"/>
              <w:spacing w:line="230" w:lineRule="exact"/>
              <w:rPr>
                <w:sz w:val="20"/>
              </w:rPr>
            </w:pPr>
            <w:r>
              <w:rPr>
                <w:sz w:val="20"/>
              </w:rPr>
              <w:t>Sanción   500  días</w:t>
            </w:r>
          </w:p>
          <w:p>
            <w:pPr>
              <w:pStyle w:val="TableParagraph"/>
              <w:tabs>
                <w:tab w:pos="868" w:val="left" w:leader="none"/>
              </w:tabs>
              <w:spacing w:before="34"/>
              <w:rPr>
                <w:sz w:val="20"/>
              </w:rPr>
            </w:pPr>
            <w:r>
              <w:rPr>
                <w:sz w:val="20"/>
              </w:rPr>
              <w:t>****</w:t>
              <w:tab/>
              <w:t>$22,905.00</w:t>
            </w:r>
          </w:p>
          <w:p>
            <w:pPr>
              <w:pStyle w:val="TableParagraph"/>
              <w:spacing w:before="36"/>
              <w:rPr>
                <w:sz w:val="18"/>
              </w:rPr>
            </w:pPr>
            <w:r>
              <w:rPr>
                <w:sz w:val="18"/>
              </w:rPr>
              <w:t>($2,141.61 USD)</w:t>
            </w:r>
          </w:p>
        </w:tc>
        <w:tc>
          <w:tcPr>
            <w:tcW w:w="1901" w:type="dxa"/>
          </w:tcPr>
          <w:p>
            <w:pPr>
              <w:pStyle w:val="TableParagraph"/>
              <w:spacing w:line="230" w:lineRule="exact"/>
              <w:ind w:left="100"/>
              <w:rPr>
                <w:sz w:val="20"/>
              </w:rPr>
            </w:pPr>
            <w:r>
              <w:rPr>
                <w:sz w:val="20"/>
              </w:rPr>
              <w:t>Sanción  500  días</w:t>
            </w:r>
          </w:p>
          <w:p>
            <w:pPr>
              <w:pStyle w:val="TableParagraph"/>
              <w:tabs>
                <w:tab w:pos="782" w:val="left" w:leader="none"/>
              </w:tabs>
              <w:spacing w:before="34"/>
              <w:ind w:left="100"/>
              <w:rPr>
                <w:sz w:val="20"/>
              </w:rPr>
            </w:pPr>
            <w:r>
              <w:rPr>
                <w:sz w:val="20"/>
              </w:rPr>
              <w:t>****</w:t>
              <w:tab/>
              <w:t>$22,905.00</w:t>
            </w:r>
          </w:p>
          <w:p>
            <w:pPr>
              <w:pStyle w:val="TableParagraph"/>
              <w:spacing w:before="36"/>
              <w:ind w:left="100"/>
              <w:rPr>
                <w:sz w:val="18"/>
              </w:rPr>
            </w:pPr>
            <w:r>
              <w:rPr>
                <w:sz w:val="18"/>
              </w:rPr>
              <w:t>($2.141.61 USD)</w:t>
            </w:r>
          </w:p>
        </w:tc>
        <w:tc>
          <w:tcPr>
            <w:tcW w:w="1234" w:type="dxa"/>
          </w:tcPr>
          <w:p>
            <w:pPr>
              <w:pStyle w:val="TableParagraph"/>
              <w:spacing w:line="230" w:lineRule="exact"/>
              <w:ind w:left="100"/>
              <w:rPr>
                <w:sz w:val="20"/>
              </w:rPr>
            </w:pPr>
            <w:r>
              <w:rPr>
                <w:sz w:val="20"/>
              </w:rPr>
              <w:t>Ninguna</w:t>
            </w:r>
          </w:p>
        </w:tc>
      </w:tr>
      <w:tr>
        <w:trPr>
          <w:trHeight w:val="528" w:hRule="exact"/>
        </w:trPr>
        <w:tc>
          <w:tcPr>
            <w:tcW w:w="1243" w:type="dxa"/>
          </w:tcPr>
          <w:p>
            <w:pPr>
              <w:pStyle w:val="TableParagraph"/>
              <w:spacing w:line="230" w:lineRule="exact"/>
              <w:ind w:right="187"/>
              <w:rPr>
                <w:sz w:val="20"/>
              </w:rPr>
            </w:pPr>
            <w:r>
              <w:rPr>
                <w:sz w:val="20"/>
              </w:rPr>
              <w:t>PAS***</w:t>
            </w:r>
          </w:p>
        </w:tc>
        <w:tc>
          <w:tcPr>
            <w:tcW w:w="1417" w:type="dxa"/>
          </w:tcPr>
          <w:p>
            <w:pPr/>
          </w:p>
        </w:tc>
        <w:tc>
          <w:tcPr>
            <w:tcW w:w="1277" w:type="dxa"/>
          </w:tcPr>
          <w:p>
            <w:pPr/>
          </w:p>
        </w:tc>
        <w:tc>
          <w:tcPr>
            <w:tcW w:w="1985" w:type="dxa"/>
          </w:tcPr>
          <w:p>
            <w:pPr/>
          </w:p>
        </w:tc>
        <w:tc>
          <w:tcPr>
            <w:tcW w:w="1901" w:type="dxa"/>
          </w:tcPr>
          <w:p>
            <w:pPr/>
          </w:p>
        </w:tc>
        <w:tc>
          <w:tcPr>
            <w:tcW w:w="1234" w:type="dxa"/>
          </w:tcPr>
          <w:p>
            <w:pPr/>
          </w:p>
        </w:tc>
      </w:tr>
    </w:tbl>
    <w:p>
      <w:pPr>
        <w:spacing w:line="240" w:lineRule="auto" w:before="0"/>
        <w:ind w:left="222" w:right="237" w:firstLine="0"/>
        <w:jc w:val="both"/>
        <w:rPr>
          <w:sz w:val="20"/>
        </w:rPr>
      </w:pPr>
      <w:r>
        <w:rPr>
          <w:sz w:val="20"/>
        </w:rPr>
        <w:t>Fuente: elaboración propia con base en el acuerdo número 323/2006 relativo al Dictamen sobre los informes de gastos de campaña de los partidos políticos y coaliciones correspondiente a los procesos electorales 2005-2006 (CGIEEM, 2006c). Notas: * el Consejo General del Instituto, en sesión ordinaria de fecha veinticinco de noviembre de dos mil cinco, mediante acuerdo no. 148, aprobó el registro del convenio de coalición parcial “Alianza por México” que celebraron el Partido Revolucionario Institucional y el Partido Verde Ecologista de México para postular candidatos a diputados locales a la LVI Legislatura del Estado de México por el principio de mayoría relativa en treinta y ocho distritos uninominales en la elección ordinaria 2005-2006; asimismo el Consejo General en su sesión extraordinaria del día veintitrés de diciembre del año dos mil cinco, aprobó mediante acuerdo no. 162 el registro del convenio de la coalición referida para postular candidatos a los ciento veinticinco ayuntamientos de la Entidad. **El Consejo General del Instituto, en sesión ordinaria de dos de diciembre de dos mil cinco, aprobó mediante acuerdo no. 152 el registro del convenio de coalición que celebraron el Partido de la Revolución Democrática y el Partido del Trabajo, para postular candidatos a diputados locales a la LVI Legislatura del Estado de México por el principio de mayoría relativa, en los cuarenta y cinco distritos uninominales en la elección ordinaria 2005-2006; asimismo el Consejo General del Instituto Electoral del Estado de México, en sesión extraordinaria de veintitrés de diciembre del año dos mil cinco, aprobó mediante acuerdo  no. 164 las modificaciones al convenio citado. *** Iniciar el Procedimiento Administrativo Sancionador (PAS). ****Salario mínimo general aplicable en la capital del Estado de México en 2005.</w:t>
      </w:r>
    </w:p>
    <w:p>
      <w:pPr>
        <w:pStyle w:val="BodyText"/>
        <w:rPr>
          <w:sz w:val="20"/>
        </w:rPr>
      </w:pPr>
    </w:p>
    <w:p>
      <w:pPr>
        <w:pStyle w:val="BodyText"/>
        <w:rPr>
          <w:sz w:val="16"/>
        </w:rPr>
      </w:pPr>
    </w:p>
    <w:p>
      <w:pPr>
        <w:pStyle w:val="BodyText"/>
        <w:spacing w:line="362" w:lineRule="auto"/>
        <w:ind w:left="222" w:right="239" w:firstLine="707"/>
      </w:pPr>
      <w:r>
        <w:rPr/>
        <w:t>Posteriormente dichas sanciones fueron modificadas mediante los acuerdos 288/2006(CGIEEM,   2006a),   304/2006   (CGIEEM,   2006b)   y 8/2007(CGIEEM,</w:t>
      </w:r>
    </w:p>
    <w:p>
      <w:pPr>
        <w:pStyle w:val="BodyText"/>
        <w:ind w:left="222"/>
        <w:jc w:val="both"/>
      </w:pPr>
      <w:r>
        <w:rPr/>
        <w:t>2007), dándoles el carácter de definitivas:</w:t>
      </w:r>
    </w:p>
    <w:p>
      <w:pPr>
        <w:spacing w:after="0"/>
        <w:jc w:val="both"/>
        <w:sectPr>
          <w:pgSz w:w="12240" w:h="15840"/>
          <w:pgMar w:header="749" w:footer="1003" w:top="960" w:bottom="1200" w:left="1480" w:right="1460"/>
        </w:sectPr>
      </w:pPr>
    </w:p>
    <w:p>
      <w:pPr>
        <w:pStyle w:val="BodyText"/>
        <w:rPr>
          <w:sz w:val="20"/>
        </w:rPr>
      </w:pPr>
    </w:p>
    <w:p>
      <w:pPr>
        <w:pStyle w:val="Heading2"/>
        <w:spacing w:before="214"/>
        <w:ind w:left="1537" w:right="1674"/>
      </w:pPr>
      <w:r>
        <w:rPr/>
        <w:t>Cuadro 3.6</w:t>
      </w:r>
    </w:p>
    <w:p>
      <w:pPr>
        <w:spacing w:before="137"/>
        <w:ind w:left="1537" w:right="1679" w:firstLine="0"/>
        <w:jc w:val="center"/>
        <w:rPr>
          <w:b/>
          <w:sz w:val="24"/>
        </w:rPr>
      </w:pPr>
      <w:r>
        <w:rPr/>
        <w:pict>
          <v:group style="position:absolute;margin-left:79.944pt;margin-top:105.945862pt;width:97.1pt;height:28.6pt;mso-position-horizontal-relative:page;mso-position-vertical-relative:paragraph;z-index:-330184" coordorigin="1599,2119" coordsize="1942,572">
            <v:shape style="position:absolute;left:1599;top:2119;width:103;height:230" type="#_x0000_t75" stroked="false">
              <v:imagedata r:id="rId407" o:title=""/>
            </v:shape>
            <v:shape style="position:absolute;left:3437;top:2119;width:103;height:230" type="#_x0000_t75" stroked="false">
              <v:imagedata r:id="rId408" o:title=""/>
            </v:shape>
            <v:shape style="position:absolute;left:1599;top:2349;width:1942;height:101" type="#_x0000_t75" stroked="false">
              <v:imagedata r:id="rId409" o:title=""/>
            </v:shape>
            <v:shape style="position:absolute;left:1702;top:2119;width:1735;height:230" type="#_x0000_t75" stroked="false">
              <v:imagedata r:id="rId410" o:title=""/>
            </v:shape>
            <v:shape style="position:absolute;left:1599;top:2462;width:103;height:228" type="#_x0000_t75" stroked="false">
              <v:imagedata r:id="rId411" o:title=""/>
            </v:shape>
            <v:shape style="position:absolute;left:3437;top:2462;width:103;height:228" type="#_x0000_t75" stroked="false">
              <v:imagedata r:id="rId412" o:title=""/>
            </v:shape>
            <v:shape style="position:absolute;left:1702;top:2462;width:1735;height:228" type="#_x0000_t75" stroked="false">
              <v:imagedata r:id="rId413" o:title=""/>
            </v:shape>
            <w10:wrap type="none"/>
          </v:group>
        </w:pict>
      </w:r>
      <w:r>
        <w:rPr/>
        <w:pict>
          <v:group style="position:absolute;margin-left:316.130005pt;margin-top:105.945862pt;width:172.75pt;height:29.8pt;mso-position-horizontal-relative:page;mso-position-vertical-relative:paragraph;z-index:-330160" coordorigin="6323,2119" coordsize="3455,596">
            <v:shape style="position:absolute;left:6323;top:2119;width:103;height:230" type="#_x0000_t75" stroked="false">
              <v:imagedata r:id="rId414" o:title=""/>
            </v:shape>
            <v:shape style="position:absolute;left:7953;top:2119;width:103;height:230" type="#_x0000_t75" stroked="false">
              <v:imagedata r:id="rId415" o:title=""/>
            </v:shape>
            <v:shape style="position:absolute;left:6323;top:2349;width:1733;height:365" type="#_x0000_t75" stroked="false">
              <v:imagedata r:id="rId416" o:title=""/>
            </v:shape>
            <v:shape style="position:absolute;left:6426;top:2119;width:1527;height:230" type="#_x0000_t75" stroked="false">
              <v:imagedata r:id="rId417" o:title=""/>
            </v:shape>
            <v:shape style="position:absolute;left:8065;top:2119;width:103;height:230" type="#_x0000_t75" stroked="false">
              <v:imagedata r:id="rId418" o:title=""/>
            </v:shape>
            <v:shape style="position:absolute;left:9674;top:2119;width:103;height:230" type="#_x0000_t75" stroked="false">
              <v:imagedata r:id="rId419" o:title=""/>
            </v:shape>
            <v:shape style="position:absolute;left:8065;top:2349;width:1712;height:365" type="#_x0000_t75" stroked="false">
              <v:imagedata r:id="rId420" o:title=""/>
            </v:shape>
            <v:shape style="position:absolute;left:8169;top:2119;width:1505;height:230" type="#_x0000_t75" stroked="false">
              <v:imagedata r:id="rId421" o:title=""/>
            </v:shape>
            <w10:wrap type="none"/>
          </v:group>
        </w:pict>
      </w:r>
      <w:r>
        <w:rPr>
          <w:b/>
          <w:sz w:val="24"/>
        </w:rPr>
        <w:t>Modificación a las sanciones aprobadas en el acuerdo 323/2006 del CGIEEM</w:t>
      </w:r>
    </w:p>
    <w:p>
      <w:pPr>
        <w:pStyle w:val="BodyText"/>
        <w:rPr>
          <w:b/>
          <w:sz w:val="20"/>
        </w:rPr>
      </w:pPr>
    </w:p>
    <w:p>
      <w:pPr>
        <w:pStyle w:val="BodyText"/>
        <w:spacing w:before="4"/>
        <w:rPr>
          <w:b/>
          <w:sz w:val="16"/>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51"/>
        <w:gridCol w:w="1419"/>
        <w:gridCol w:w="1354"/>
        <w:gridCol w:w="1745"/>
        <w:gridCol w:w="1721"/>
        <w:gridCol w:w="991"/>
      </w:tblGrid>
      <w:tr>
        <w:trPr>
          <w:trHeight w:val="576" w:hRule="exact"/>
        </w:trPr>
        <w:tc>
          <w:tcPr>
            <w:tcW w:w="1951" w:type="dxa"/>
            <w:vMerge w:val="restart"/>
            <w:shd w:val="clear" w:color="auto" w:fill="D9D9D9"/>
          </w:tcPr>
          <w:p>
            <w:pPr>
              <w:pStyle w:val="TableParagraph"/>
              <w:spacing w:line="273" w:lineRule="exact"/>
              <w:ind w:right="101"/>
              <w:rPr>
                <w:b/>
                <w:sz w:val="24"/>
              </w:rPr>
            </w:pPr>
            <w:r>
              <w:rPr>
                <w:b/>
                <w:sz w:val="24"/>
              </w:rPr>
              <w:t>PAN</w:t>
            </w:r>
          </w:p>
        </w:tc>
        <w:tc>
          <w:tcPr>
            <w:tcW w:w="2773" w:type="dxa"/>
            <w:gridSpan w:val="2"/>
            <w:shd w:val="clear" w:color="auto" w:fill="D9D9D9"/>
          </w:tcPr>
          <w:p>
            <w:pPr>
              <w:pStyle w:val="TableParagraph"/>
              <w:tabs>
                <w:tab w:pos="1888" w:val="left" w:leader="none"/>
              </w:tabs>
              <w:ind w:right="101"/>
              <w:rPr>
                <w:b/>
                <w:sz w:val="24"/>
              </w:rPr>
            </w:pPr>
            <w:r>
              <w:rPr>
                <w:b/>
                <w:sz w:val="24"/>
              </w:rPr>
              <w:t>Coalición</w:t>
              <w:tab/>
            </w:r>
            <w:r>
              <w:rPr>
                <w:b/>
                <w:spacing w:val="-1"/>
                <w:sz w:val="24"/>
              </w:rPr>
              <w:t>parcial </w:t>
            </w:r>
            <w:r>
              <w:rPr>
                <w:b/>
                <w:sz w:val="24"/>
              </w:rPr>
              <w:t>“Alianza por</w:t>
            </w:r>
            <w:r>
              <w:rPr>
                <w:b/>
                <w:spacing w:val="-5"/>
                <w:sz w:val="24"/>
              </w:rPr>
              <w:t> </w:t>
            </w:r>
            <w:r>
              <w:rPr>
                <w:b/>
                <w:sz w:val="24"/>
              </w:rPr>
              <w:t>México”*</w:t>
            </w:r>
          </w:p>
        </w:tc>
        <w:tc>
          <w:tcPr>
            <w:tcW w:w="3467" w:type="dxa"/>
            <w:gridSpan w:val="2"/>
            <w:shd w:val="clear" w:color="auto" w:fill="D9D9D9"/>
          </w:tcPr>
          <w:p>
            <w:pPr>
              <w:pStyle w:val="TableParagraph"/>
              <w:rPr>
                <w:b/>
                <w:sz w:val="24"/>
              </w:rPr>
            </w:pPr>
            <w:r>
              <w:rPr>
                <w:b/>
                <w:sz w:val="24"/>
              </w:rPr>
              <w:t>Coalición PRD-PT “Por el Bien de Todos”**</w:t>
            </w:r>
          </w:p>
        </w:tc>
        <w:tc>
          <w:tcPr>
            <w:tcW w:w="991" w:type="dxa"/>
            <w:vMerge w:val="restart"/>
            <w:shd w:val="clear" w:color="auto" w:fill="D9D9D9"/>
          </w:tcPr>
          <w:p>
            <w:pPr>
              <w:pStyle w:val="TableParagraph"/>
              <w:spacing w:line="273" w:lineRule="exact"/>
              <w:ind w:left="100"/>
              <w:rPr>
                <w:b/>
                <w:sz w:val="24"/>
              </w:rPr>
            </w:pPr>
            <w:r>
              <w:rPr>
                <w:b/>
                <w:w w:val="99"/>
                <w:sz w:val="24"/>
              </w:rPr>
              <w:t>C</w:t>
            </w:r>
          </w:p>
        </w:tc>
      </w:tr>
      <w:tr>
        <w:trPr>
          <w:trHeight w:val="426" w:hRule="exact"/>
        </w:trPr>
        <w:tc>
          <w:tcPr>
            <w:tcW w:w="1951" w:type="dxa"/>
            <w:vMerge/>
            <w:shd w:val="clear" w:color="auto" w:fill="D9D9D9"/>
          </w:tcPr>
          <w:p>
            <w:pPr/>
          </w:p>
        </w:tc>
        <w:tc>
          <w:tcPr>
            <w:tcW w:w="1419" w:type="dxa"/>
            <w:vMerge w:val="restart"/>
            <w:shd w:val="clear" w:color="auto" w:fill="D9D9D9"/>
          </w:tcPr>
          <w:p>
            <w:pPr>
              <w:pStyle w:val="TableParagraph"/>
              <w:spacing w:before="9"/>
              <w:ind w:left="434" w:right="434"/>
              <w:jc w:val="center"/>
              <w:rPr>
                <w:b/>
                <w:sz w:val="24"/>
              </w:rPr>
            </w:pPr>
            <w:r>
              <w:rPr>
                <w:b/>
                <w:sz w:val="24"/>
              </w:rPr>
              <w:t>PRI</w:t>
            </w:r>
          </w:p>
        </w:tc>
        <w:tc>
          <w:tcPr>
            <w:tcW w:w="1354" w:type="dxa"/>
            <w:vMerge w:val="restart"/>
            <w:shd w:val="clear" w:color="auto" w:fill="D9D9D9"/>
          </w:tcPr>
          <w:p>
            <w:pPr>
              <w:pStyle w:val="TableParagraph"/>
              <w:spacing w:before="9"/>
              <w:ind w:left="432"/>
              <w:rPr>
                <w:b/>
                <w:sz w:val="24"/>
              </w:rPr>
            </w:pPr>
            <w:r>
              <w:rPr>
                <w:b/>
                <w:sz w:val="24"/>
              </w:rPr>
              <w:t>PVE</w:t>
            </w:r>
          </w:p>
        </w:tc>
        <w:tc>
          <w:tcPr>
            <w:tcW w:w="1745" w:type="dxa"/>
            <w:shd w:val="clear" w:color="auto" w:fill="D9D9D9"/>
          </w:tcPr>
          <w:p>
            <w:pPr>
              <w:pStyle w:val="TableParagraph"/>
              <w:spacing w:before="9"/>
              <w:ind w:left="593" w:right="594"/>
              <w:jc w:val="center"/>
              <w:rPr>
                <w:b/>
                <w:sz w:val="24"/>
              </w:rPr>
            </w:pPr>
            <w:r>
              <w:rPr>
                <w:b/>
                <w:sz w:val="24"/>
              </w:rPr>
              <w:t>PRD</w:t>
            </w:r>
          </w:p>
        </w:tc>
        <w:tc>
          <w:tcPr>
            <w:tcW w:w="1721" w:type="dxa"/>
            <w:shd w:val="clear" w:color="auto" w:fill="D9D9D9"/>
          </w:tcPr>
          <w:p>
            <w:pPr>
              <w:pStyle w:val="TableParagraph"/>
              <w:spacing w:before="9"/>
              <w:ind w:left="680" w:right="684"/>
              <w:jc w:val="center"/>
              <w:rPr>
                <w:b/>
                <w:sz w:val="24"/>
              </w:rPr>
            </w:pPr>
            <w:r>
              <w:rPr>
                <w:b/>
                <w:sz w:val="24"/>
              </w:rPr>
              <w:t>PT</w:t>
            </w:r>
          </w:p>
        </w:tc>
        <w:tc>
          <w:tcPr>
            <w:tcW w:w="991" w:type="dxa"/>
            <w:vMerge/>
            <w:shd w:val="clear" w:color="auto" w:fill="D9D9D9"/>
          </w:tcPr>
          <w:p>
            <w:pPr/>
          </w:p>
        </w:tc>
      </w:tr>
      <w:tr>
        <w:trPr>
          <w:trHeight w:val="342" w:hRule="exact"/>
        </w:trPr>
        <w:tc>
          <w:tcPr>
            <w:tcW w:w="1951" w:type="dxa"/>
          </w:tcPr>
          <w:p>
            <w:pPr>
              <w:pStyle w:val="TableParagraph"/>
              <w:spacing w:line="225" w:lineRule="exact"/>
              <w:ind w:right="101"/>
              <w:rPr>
                <w:b/>
                <w:sz w:val="20"/>
              </w:rPr>
            </w:pPr>
            <w:r>
              <w:rPr>
                <w:b/>
                <w:sz w:val="20"/>
              </w:rPr>
              <w:t>8/2007</w:t>
            </w:r>
          </w:p>
        </w:tc>
        <w:tc>
          <w:tcPr>
            <w:tcW w:w="1419" w:type="dxa"/>
            <w:vMerge/>
            <w:shd w:val="clear" w:color="auto" w:fill="D9D9D9"/>
          </w:tcPr>
          <w:p>
            <w:pPr/>
          </w:p>
        </w:tc>
        <w:tc>
          <w:tcPr>
            <w:tcW w:w="1354" w:type="dxa"/>
            <w:vMerge/>
            <w:shd w:val="clear" w:color="auto" w:fill="D9D9D9"/>
          </w:tcPr>
          <w:p>
            <w:pPr/>
          </w:p>
        </w:tc>
        <w:tc>
          <w:tcPr>
            <w:tcW w:w="1745" w:type="dxa"/>
            <w:vMerge w:val="restart"/>
          </w:tcPr>
          <w:p>
            <w:pPr>
              <w:pStyle w:val="TableParagraph"/>
              <w:spacing w:line="225" w:lineRule="exact"/>
              <w:rPr>
                <w:b/>
                <w:sz w:val="20"/>
              </w:rPr>
            </w:pPr>
            <w:r>
              <w:rPr>
                <w:b/>
                <w:sz w:val="20"/>
              </w:rPr>
              <w:t>304/2006</w:t>
            </w:r>
          </w:p>
        </w:tc>
        <w:tc>
          <w:tcPr>
            <w:tcW w:w="1721" w:type="dxa"/>
            <w:vMerge w:val="restart"/>
          </w:tcPr>
          <w:p>
            <w:pPr>
              <w:pStyle w:val="TableParagraph"/>
              <w:spacing w:line="225" w:lineRule="exact"/>
              <w:ind w:left="100"/>
              <w:rPr>
                <w:b/>
                <w:sz w:val="20"/>
              </w:rPr>
            </w:pPr>
            <w:r>
              <w:rPr>
                <w:b/>
                <w:sz w:val="20"/>
              </w:rPr>
              <w:t>304/2006</w:t>
            </w:r>
          </w:p>
        </w:tc>
        <w:tc>
          <w:tcPr>
            <w:tcW w:w="991" w:type="dxa"/>
            <w:vMerge/>
            <w:shd w:val="clear" w:color="auto" w:fill="D9D9D9"/>
          </w:tcPr>
          <w:p>
            <w:pPr/>
          </w:p>
        </w:tc>
      </w:tr>
      <w:tr>
        <w:trPr>
          <w:trHeight w:val="263" w:hRule="exact"/>
        </w:trPr>
        <w:tc>
          <w:tcPr>
            <w:tcW w:w="1951" w:type="dxa"/>
            <w:tcBorders>
              <w:bottom w:val="single" w:sz="13" w:space="0" w:color="000000"/>
            </w:tcBorders>
          </w:tcPr>
          <w:p>
            <w:pPr>
              <w:pStyle w:val="TableParagraph"/>
              <w:spacing w:line="226" w:lineRule="exact"/>
              <w:ind w:right="101"/>
              <w:rPr>
                <w:b/>
                <w:sz w:val="20"/>
              </w:rPr>
            </w:pPr>
            <w:r>
              <w:rPr>
                <w:b/>
                <w:sz w:val="20"/>
              </w:rPr>
              <w:t>288/2006</w:t>
            </w:r>
          </w:p>
        </w:tc>
        <w:tc>
          <w:tcPr>
            <w:tcW w:w="1419" w:type="dxa"/>
            <w:vMerge/>
            <w:shd w:val="clear" w:color="auto" w:fill="D9D9D9"/>
          </w:tcPr>
          <w:p>
            <w:pPr/>
          </w:p>
        </w:tc>
        <w:tc>
          <w:tcPr>
            <w:tcW w:w="1354" w:type="dxa"/>
            <w:vMerge/>
            <w:shd w:val="clear" w:color="auto" w:fill="D9D9D9"/>
          </w:tcPr>
          <w:p>
            <w:pPr/>
          </w:p>
        </w:tc>
        <w:tc>
          <w:tcPr>
            <w:tcW w:w="1745" w:type="dxa"/>
            <w:vMerge/>
          </w:tcPr>
          <w:p>
            <w:pPr/>
          </w:p>
        </w:tc>
        <w:tc>
          <w:tcPr>
            <w:tcW w:w="1721" w:type="dxa"/>
            <w:vMerge/>
          </w:tcPr>
          <w:p>
            <w:pPr/>
          </w:p>
        </w:tc>
        <w:tc>
          <w:tcPr>
            <w:tcW w:w="991" w:type="dxa"/>
            <w:vMerge/>
            <w:shd w:val="clear" w:color="auto" w:fill="D9D9D9"/>
          </w:tcPr>
          <w:p>
            <w:pPr/>
          </w:p>
        </w:tc>
      </w:tr>
      <w:tr>
        <w:trPr>
          <w:trHeight w:val="901" w:hRule="exact"/>
        </w:trPr>
        <w:tc>
          <w:tcPr>
            <w:tcW w:w="1951" w:type="dxa"/>
            <w:tcBorders>
              <w:top w:val="single" w:sz="13" w:space="0" w:color="000000"/>
            </w:tcBorders>
            <w:shd w:val="clear" w:color="auto" w:fill="F1F1F1"/>
          </w:tcPr>
          <w:p>
            <w:pPr>
              <w:pStyle w:val="TableParagraph"/>
              <w:spacing w:line="215" w:lineRule="exact"/>
              <w:ind w:right="101"/>
              <w:rPr>
                <w:sz w:val="20"/>
              </w:rPr>
            </w:pPr>
            <w:r>
              <w:rPr>
                <w:sz w:val="20"/>
              </w:rPr>
              <w:t>Recomendaciones</w:t>
            </w:r>
          </w:p>
        </w:tc>
        <w:tc>
          <w:tcPr>
            <w:tcW w:w="1419" w:type="dxa"/>
            <w:shd w:val="clear" w:color="auto" w:fill="F1F1F1"/>
          </w:tcPr>
          <w:p>
            <w:pPr>
              <w:pStyle w:val="TableParagraph"/>
              <w:ind w:right="141"/>
              <w:rPr>
                <w:sz w:val="20"/>
              </w:rPr>
            </w:pPr>
            <w:r>
              <w:rPr>
                <w:sz w:val="20"/>
              </w:rPr>
              <w:t>Recomenda- ciones</w:t>
            </w:r>
          </w:p>
        </w:tc>
        <w:tc>
          <w:tcPr>
            <w:tcW w:w="1354" w:type="dxa"/>
            <w:shd w:val="clear" w:color="auto" w:fill="F1F1F1"/>
          </w:tcPr>
          <w:p>
            <w:pPr>
              <w:pStyle w:val="TableParagraph"/>
              <w:spacing w:line="227" w:lineRule="exact"/>
              <w:rPr>
                <w:sz w:val="20"/>
              </w:rPr>
            </w:pPr>
            <w:r>
              <w:rPr>
                <w:sz w:val="20"/>
              </w:rPr>
              <w:t>Ninguna</w:t>
            </w:r>
          </w:p>
        </w:tc>
        <w:tc>
          <w:tcPr>
            <w:tcW w:w="1745" w:type="dxa"/>
            <w:shd w:val="clear" w:color="auto" w:fill="F1F1F1"/>
          </w:tcPr>
          <w:p>
            <w:pPr>
              <w:pStyle w:val="TableParagraph"/>
              <w:tabs>
                <w:tab w:pos="1626" w:val="right" w:leader="none"/>
              </w:tabs>
              <w:spacing w:line="227" w:lineRule="exact"/>
              <w:rPr>
                <w:sz w:val="20"/>
              </w:rPr>
            </w:pPr>
            <w:r>
              <w:rPr>
                <w:sz w:val="20"/>
              </w:rPr>
              <w:t>Sanción</w:t>
              <w:tab/>
              <w:t>500</w:t>
            </w:r>
          </w:p>
          <w:p>
            <w:pPr>
              <w:pStyle w:val="TableParagraph"/>
              <w:tabs>
                <w:tab w:pos="1317" w:val="left" w:leader="none"/>
              </w:tabs>
              <w:spacing w:line="229" w:lineRule="exact"/>
              <w:rPr>
                <w:sz w:val="20"/>
              </w:rPr>
            </w:pPr>
            <w:r>
              <w:rPr>
                <w:sz w:val="20"/>
              </w:rPr>
              <w:t>días</w:t>
              <w:tab/>
              <w:t>****</w:t>
            </w:r>
          </w:p>
          <w:p>
            <w:pPr>
              <w:pStyle w:val="TableParagraph"/>
              <w:spacing w:line="229" w:lineRule="exact"/>
              <w:rPr>
                <w:sz w:val="20"/>
              </w:rPr>
            </w:pPr>
            <w:r>
              <w:rPr>
                <w:sz w:val="20"/>
              </w:rPr>
              <w:t>$22,905.00</w:t>
            </w:r>
          </w:p>
          <w:p>
            <w:pPr>
              <w:pStyle w:val="TableParagraph"/>
              <w:spacing w:before="3"/>
              <w:rPr>
                <w:sz w:val="18"/>
              </w:rPr>
            </w:pPr>
            <w:r>
              <w:rPr>
                <w:sz w:val="18"/>
              </w:rPr>
              <w:t>($2,141.61 USD)</w:t>
            </w:r>
          </w:p>
        </w:tc>
        <w:tc>
          <w:tcPr>
            <w:tcW w:w="1721" w:type="dxa"/>
            <w:shd w:val="clear" w:color="auto" w:fill="F1F1F1"/>
          </w:tcPr>
          <w:p>
            <w:pPr>
              <w:pStyle w:val="TableParagraph"/>
              <w:tabs>
                <w:tab w:pos="1602" w:val="right" w:leader="none"/>
              </w:tabs>
              <w:spacing w:line="227" w:lineRule="exact"/>
              <w:ind w:left="100"/>
              <w:rPr>
                <w:sz w:val="20"/>
              </w:rPr>
            </w:pPr>
            <w:r>
              <w:rPr>
                <w:sz w:val="20"/>
              </w:rPr>
              <w:t>Sanción</w:t>
              <w:tab/>
              <w:t>500</w:t>
            </w:r>
          </w:p>
          <w:p>
            <w:pPr>
              <w:pStyle w:val="TableParagraph"/>
              <w:tabs>
                <w:tab w:pos="1293" w:val="left" w:leader="none"/>
              </w:tabs>
              <w:spacing w:line="229" w:lineRule="exact"/>
              <w:ind w:left="100"/>
              <w:rPr>
                <w:sz w:val="20"/>
              </w:rPr>
            </w:pPr>
            <w:r>
              <w:rPr>
                <w:sz w:val="20"/>
              </w:rPr>
              <w:t>días</w:t>
              <w:tab/>
              <w:t>****</w:t>
            </w:r>
          </w:p>
          <w:p>
            <w:pPr>
              <w:pStyle w:val="TableParagraph"/>
              <w:spacing w:line="229" w:lineRule="exact"/>
              <w:ind w:left="100"/>
              <w:rPr>
                <w:sz w:val="20"/>
              </w:rPr>
            </w:pPr>
            <w:r>
              <w:rPr>
                <w:sz w:val="20"/>
              </w:rPr>
              <w:t>$22,905.00</w:t>
            </w:r>
          </w:p>
          <w:p>
            <w:pPr>
              <w:pStyle w:val="TableParagraph"/>
              <w:spacing w:before="3"/>
              <w:ind w:left="100"/>
              <w:rPr>
                <w:sz w:val="18"/>
              </w:rPr>
            </w:pPr>
            <w:r>
              <w:rPr>
                <w:sz w:val="18"/>
              </w:rPr>
              <w:t>($2,141.61 USD)</w:t>
            </w:r>
          </w:p>
        </w:tc>
        <w:tc>
          <w:tcPr>
            <w:tcW w:w="991" w:type="dxa"/>
            <w:shd w:val="clear" w:color="auto" w:fill="F1F1F1"/>
          </w:tcPr>
          <w:p>
            <w:pPr>
              <w:pStyle w:val="TableParagraph"/>
              <w:spacing w:line="227" w:lineRule="exact"/>
              <w:ind w:left="100" w:right="96"/>
              <w:rPr>
                <w:sz w:val="20"/>
              </w:rPr>
            </w:pPr>
            <w:r>
              <w:rPr>
                <w:sz w:val="20"/>
              </w:rPr>
              <w:t>Ninguna</w:t>
            </w:r>
          </w:p>
        </w:tc>
      </w:tr>
      <w:tr>
        <w:trPr>
          <w:trHeight w:val="2983" w:hRule="exact"/>
        </w:trPr>
        <w:tc>
          <w:tcPr>
            <w:tcW w:w="1951" w:type="dxa"/>
          </w:tcPr>
          <w:p>
            <w:pPr>
              <w:pStyle w:val="TableParagraph"/>
              <w:tabs>
                <w:tab w:pos="1125" w:val="left" w:leader="none"/>
              </w:tabs>
              <w:spacing w:before="2"/>
              <w:ind w:right="102"/>
              <w:jc w:val="both"/>
              <w:rPr>
                <w:b/>
                <w:sz w:val="20"/>
              </w:rPr>
            </w:pPr>
            <w:r>
              <w:rPr>
                <w:b/>
                <w:sz w:val="20"/>
              </w:rPr>
              <w:t>No incurrió en irregularidad, no se</w:t>
              <w:tab/>
              <w:t>impone sanción.</w:t>
            </w:r>
          </w:p>
        </w:tc>
        <w:tc>
          <w:tcPr>
            <w:tcW w:w="1419" w:type="dxa"/>
          </w:tcPr>
          <w:p>
            <w:pPr/>
          </w:p>
        </w:tc>
        <w:tc>
          <w:tcPr>
            <w:tcW w:w="1354" w:type="dxa"/>
          </w:tcPr>
          <w:p>
            <w:pPr/>
          </w:p>
        </w:tc>
        <w:tc>
          <w:tcPr>
            <w:tcW w:w="1745" w:type="dxa"/>
          </w:tcPr>
          <w:p>
            <w:pPr>
              <w:pStyle w:val="TableParagraph"/>
              <w:tabs>
                <w:tab w:pos="644" w:val="left" w:leader="none"/>
                <w:tab w:pos="815" w:val="left" w:leader="none"/>
                <w:tab w:pos="881" w:val="left" w:leader="none"/>
                <w:tab w:pos="1338" w:val="left" w:leader="none"/>
                <w:tab w:pos="1407" w:val="left" w:leader="none"/>
                <w:tab w:pos="1459" w:val="left" w:leader="none"/>
              </w:tabs>
              <w:spacing w:before="2"/>
              <w:ind w:right="104"/>
              <w:rPr>
                <w:b/>
                <w:sz w:val="20"/>
              </w:rPr>
            </w:pPr>
            <w:r>
              <w:rPr>
                <w:b/>
                <w:sz w:val="20"/>
              </w:rPr>
              <w:t>Multa</w:t>
              <w:tab/>
              <w:tab/>
              <w:tab/>
              <w:t>por</w:t>
              <w:tab/>
              <w:tab/>
              <w:tab/>
              <w:t>la cantidad equivalente</w:t>
              <w:tab/>
              <w:tab/>
              <w:tab/>
              <w:t>al 2.67%</w:t>
              <w:tab/>
              <w:tab/>
              <w:tab/>
              <w:t>del financiamiento público correspondien- te</w:t>
              <w:tab/>
              <w:tab/>
              <w:t>a</w:t>
              <w:tab/>
              <w:tab/>
              <w:tab/>
              <w:t>la ministración de un</w:t>
              <w:tab/>
              <w:t>mes;</w:t>
              <w:tab/>
              <w:tab/>
              <w:t>es decir</w:t>
            </w:r>
          </w:p>
          <w:p>
            <w:pPr>
              <w:pStyle w:val="TableParagraph"/>
              <w:spacing w:line="229" w:lineRule="exact"/>
              <w:rPr>
                <w:b/>
                <w:sz w:val="20"/>
              </w:rPr>
            </w:pPr>
            <w:r>
              <w:rPr>
                <w:b/>
                <w:sz w:val="20"/>
              </w:rPr>
              <w:t>$23,676.00</w:t>
            </w:r>
          </w:p>
          <w:p>
            <w:pPr>
              <w:pStyle w:val="TableParagraph"/>
              <w:spacing w:line="206" w:lineRule="exact"/>
              <w:rPr>
                <w:b/>
                <w:sz w:val="18"/>
              </w:rPr>
            </w:pPr>
            <w:r>
              <w:rPr>
                <w:b/>
                <w:sz w:val="18"/>
              </w:rPr>
              <w:t>($2,213.7 USD)</w:t>
            </w:r>
          </w:p>
        </w:tc>
        <w:tc>
          <w:tcPr>
            <w:tcW w:w="1721" w:type="dxa"/>
          </w:tcPr>
          <w:p>
            <w:pPr>
              <w:pStyle w:val="TableParagraph"/>
              <w:tabs>
                <w:tab w:pos="570" w:val="left" w:leader="none"/>
                <w:tab w:pos="803" w:val="left" w:leader="none"/>
                <w:tab w:pos="870" w:val="left" w:leader="none"/>
                <w:tab w:pos="1249" w:val="left" w:leader="none"/>
                <w:tab w:pos="1314" w:val="left" w:leader="none"/>
                <w:tab w:pos="1436" w:val="left" w:leader="none"/>
                <w:tab w:pos="1492" w:val="left" w:leader="none"/>
              </w:tabs>
              <w:spacing w:before="2"/>
              <w:ind w:left="100" w:right="104"/>
              <w:rPr>
                <w:b/>
                <w:sz w:val="20"/>
              </w:rPr>
            </w:pPr>
            <w:r>
              <w:rPr>
                <w:b/>
                <w:sz w:val="20"/>
              </w:rPr>
              <w:t>Multa</w:t>
              <w:tab/>
              <w:tab/>
              <w:t>por</w:t>
              <w:tab/>
              <w:tab/>
              <w:tab/>
              <w:t>la cantidad equivalente</w:t>
              <w:tab/>
              <w:tab/>
              <w:tab/>
              <w:t>al 1.29%</w:t>
              <w:tab/>
              <w:tab/>
              <w:tab/>
              <w:tab/>
              <w:t>del financiamiento público correspondien- te</w:t>
              <w:tab/>
              <w:tab/>
              <w:t>a</w:t>
              <w:tab/>
              <w:tab/>
              <w:tab/>
              <w:t>la ministración de un</w:t>
              <w:tab/>
              <w:t>mes,</w:t>
              <w:tab/>
              <w:t>que equivale</w:t>
              <w:tab/>
              <w:tab/>
              <w:tab/>
              <w:tab/>
              <w:t>a</w:t>
            </w:r>
          </w:p>
          <w:p>
            <w:pPr>
              <w:pStyle w:val="TableParagraph"/>
              <w:spacing w:line="229" w:lineRule="exact"/>
              <w:ind w:left="100"/>
              <w:rPr>
                <w:b/>
                <w:sz w:val="20"/>
              </w:rPr>
            </w:pPr>
            <w:r>
              <w:rPr>
                <w:b/>
                <w:sz w:val="20"/>
              </w:rPr>
              <w:t>$11,439.00</w:t>
            </w:r>
          </w:p>
          <w:p>
            <w:pPr>
              <w:pStyle w:val="TableParagraph"/>
              <w:spacing w:line="206" w:lineRule="exact"/>
              <w:ind w:left="100"/>
              <w:rPr>
                <w:b/>
                <w:sz w:val="18"/>
              </w:rPr>
            </w:pPr>
            <w:r>
              <w:rPr>
                <w:b/>
                <w:sz w:val="18"/>
              </w:rPr>
              <w:t>($1,069.54 USD)</w:t>
            </w:r>
          </w:p>
        </w:tc>
        <w:tc>
          <w:tcPr>
            <w:tcW w:w="991" w:type="dxa"/>
          </w:tcPr>
          <w:p>
            <w:pPr/>
          </w:p>
        </w:tc>
      </w:tr>
      <w:tr>
        <w:trPr>
          <w:trHeight w:val="1827" w:hRule="exact"/>
        </w:trPr>
        <w:tc>
          <w:tcPr>
            <w:tcW w:w="1951" w:type="dxa"/>
          </w:tcPr>
          <w:p>
            <w:pPr>
              <w:pStyle w:val="TableParagraph"/>
              <w:tabs>
                <w:tab w:pos="1547" w:val="left" w:leader="none"/>
              </w:tabs>
              <w:ind w:right="103"/>
              <w:rPr>
                <w:b/>
                <w:sz w:val="20"/>
              </w:rPr>
            </w:pPr>
            <w:r>
              <w:rPr>
                <w:b/>
                <w:sz w:val="20"/>
              </w:rPr>
              <w:t>Reducción</w:t>
              <w:tab/>
              <w:t>del 7.02%</w:t>
            </w:r>
          </w:p>
          <w:p>
            <w:pPr>
              <w:pStyle w:val="TableParagraph"/>
              <w:tabs>
                <w:tab w:pos="690" w:val="left" w:leader="none"/>
                <w:tab w:pos="776" w:val="left" w:leader="none"/>
                <w:tab w:pos="1604" w:val="left" w:leader="none"/>
                <w:tab w:pos="1724" w:val="left" w:leader="none"/>
              </w:tabs>
              <w:ind w:right="101"/>
              <w:rPr>
                <w:b/>
                <w:sz w:val="20"/>
              </w:rPr>
            </w:pPr>
            <w:r>
              <w:rPr>
                <w:b/>
                <w:sz w:val="20"/>
              </w:rPr>
              <w:t>correspondiente a un</w:t>
              <w:tab/>
              <w:tab/>
              <w:t>mes</w:t>
              <w:tab/>
              <w:t>de financiamiento, que</w:t>
              <w:tab/>
              <w:t>equivale</w:t>
              <w:tab/>
              <w:tab/>
              <w:t>a</w:t>
            </w:r>
          </w:p>
          <w:p>
            <w:pPr>
              <w:pStyle w:val="TableParagraph"/>
              <w:ind w:right="101"/>
              <w:rPr>
                <w:b/>
                <w:sz w:val="20"/>
              </w:rPr>
            </w:pPr>
            <w:r>
              <w:rPr>
                <w:b/>
                <w:sz w:val="20"/>
              </w:rPr>
              <w:t>$262,253.79</w:t>
            </w:r>
          </w:p>
          <w:p>
            <w:pPr>
              <w:pStyle w:val="TableParagraph"/>
              <w:ind w:right="101"/>
              <w:rPr>
                <w:b/>
                <w:sz w:val="18"/>
              </w:rPr>
            </w:pPr>
            <w:r>
              <w:rPr>
                <w:b/>
                <w:sz w:val="18"/>
              </w:rPr>
              <w:t>($24,520.72 USD)</w:t>
            </w:r>
          </w:p>
        </w:tc>
        <w:tc>
          <w:tcPr>
            <w:tcW w:w="1419" w:type="dxa"/>
          </w:tcPr>
          <w:p>
            <w:pPr/>
          </w:p>
        </w:tc>
        <w:tc>
          <w:tcPr>
            <w:tcW w:w="1354" w:type="dxa"/>
          </w:tcPr>
          <w:p>
            <w:pPr/>
          </w:p>
        </w:tc>
        <w:tc>
          <w:tcPr>
            <w:tcW w:w="1745" w:type="dxa"/>
          </w:tcPr>
          <w:p>
            <w:pPr/>
          </w:p>
        </w:tc>
        <w:tc>
          <w:tcPr>
            <w:tcW w:w="1721" w:type="dxa"/>
          </w:tcPr>
          <w:p>
            <w:pPr/>
          </w:p>
        </w:tc>
        <w:tc>
          <w:tcPr>
            <w:tcW w:w="991" w:type="dxa"/>
          </w:tcPr>
          <w:p>
            <w:pPr/>
          </w:p>
        </w:tc>
      </w:tr>
    </w:tbl>
    <w:p>
      <w:pPr>
        <w:spacing w:line="240" w:lineRule="auto" w:before="0"/>
        <w:ind w:left="222" w:right="168" w:firstLine="0"/>
        <w:jc w:val="left"/>
        <w:rPr>
          <w:sz w:val="20"/>
        </w:rPr>
      </w:pPr>
      <w:r>
        <w:rPr/>
        <w:pict>
          <v:group style="position:absolute;margin-left:79.944pt;margin-top:-240.000122pt;width:97.1pt;height:239.7pt;mso-position-horizontal-relative:page;mso-position-vertical-relative:paragraph;z-index:-330136" coordorigin="1599,-4800" coordsize="1942,4794">
            <v:shape style="position:absolute;left:1599;top:-4800;width:103;height:919" type="#_x0000_t75" stroked="false">
              <v:imagedata r:id="rId422" o:title=""/>
            </v:shape>
            <v:shape style="position:absolute;left:3437;top:-4800;width:103;height:919" type="#_x0000_t75" stroked="false">
              <v:imagedata r:id="rId423" o:title=""/>
            </v:shape>
            <v:shape style="position:absolute;left:1599;top:-3881;width:1942;height:2047" type="#_x0000_t75" stroked="false">
              <v:imagedata r:id="rId424" o:title=""/>
            </v:shape>
            <v:shape style="position:absolute;left:1702;top:-4800;width:1735;height:228" type="#_x0000_t75" stroked="false">
              <v:imagedata r:id="rId425" o:title=""/>
            </v:shape>
            <v:shape style="position:absolute;left:1702;top:-4572;width:1735;height:230" type="#_x0000_t75" stroked="false">
              <v:imagedata r:id="rId426" o:title=""/>
            </v:shape>
            <v:shape style="position:absolute;left:1702;top:-4342;width:1735;height:230" type="#_x0000_t75" stroked="false">
              <v:imagedata r:id="rId427" o:title=""/>
            </v:shape>
            <v:shape style="position:absolute;left:1702;top:-4111;width:1735;height:230" type="#_x0000_t75" stroked="false">
              <v:imagedata r:id="rId428" o:title=""/>
            </v:shape>
            <v:shape style="position:absolute;left:1599;top:-1824;width:103;height:1817" type="#_x0000_t75" stroked="false">
              <v:imagedata r:id="rId429" o:title=""/>
            </v:shape>
            <v:shape style="position:absolute;left:3437;top:-1824;width:103;height:1817" type="#_x0000_t75" stroked="false">
              <v:imagedata r:id="rId430" o:title=""/>
            </v:shape>
            <v:shape style="position:absolute;left:1702;top:-1824;width:1735;height:230" type="#_x0000_t75" stroked="false">
              <v:imagedata r:id="rId431" o:title=""/>
            </v:shape>
            <v:shape style="position:absolute;left:1702;top:-1594;width:1735;height:231" type="#_x0000_t75" stroked="false">
              <v:imagedata r:id="rId432" o:title=""/>
            </v:shape>
            <v:shape style="position:absolute;left:1702;top:-1363;width:1735;height:228" type="#_x0000_t75" stroked="false">
              <v:imagedata r:id="rId433" o:title=""/>
            </v:shape>
            <v:shape style="position:absolute;left:1702;top:-1135;width:1735;height:230" type="#_x0000_t75" stroked="false">
              <v:imagedata r:id="rId434" o:title=""/>
            </v:shape>
            <v:shape style="position:absolute;left:1702;top:-904;width:1735;height:230" type="#_x0000_t75" stroked="false">
              <v:imagedata r:id="rId435" o:title=""/>
            </v:shape>
            <v:shape style="position:absolute;left:1702;top:-674;width:1735;height:230" type="#_x0000_t75" stroked="false">
              <v:imagedata r:id="rId436" o:title=""/>
            </v:shape>
            <v:shape style="position:absolute;left:1702;top:-444;width:1735;height:230" type="#_x0000_t75" stroked="false">
              <v:imagedata r:id="rId437" o:title=""/>
            </v:shape>
            <v:shape style="position:absolute;left:1702;top:-213;width:1735;height:206" type="#_x0000_t75" stroked="false">
              <v:imagedata r:id="rId438" o:title=""/>
            </v:shape>
            <w10:wrap type="none"/>
          </v:group>
        </w:pict>
      </w:r>
      <w:r>
        <w:rPr/>
        <w:pict>
          <v:group style="position:absolute;margin-left:316.130005pt;margin-top:-240.000122pt;width:172.75pt;height:148.35pt;mso-position-horizontal-relative:page;mso-position-vertical-relative:paragraph;z-index:-330112" coordorigin="6323,-4800" coordsize="3455,2967">
            <v:shape style="position:absolute;left:6323;top:-4800;width:103;height:2966" type="#_x0000_t75" stroked="false">
              <v:imagedata r:id="rId439" o:title=""/>
            </v:shape>
            <v:shape style="position:absolute;left:7953;top:-4800;width:103;height:2966" type="#_x0000_t75" stroked="false">
              <v:imagedata r:id="rId440" o:title=""/>
            </v:shape>
            <v:shape style="position:absolute;left:6426;top:-4800;width:1527;height:228" type="#_x0000_t75" stroked="false">
              <v:imagedata r:id="rId441" o:title=""/>
            </v:shape>
            <v:shape style="position:absolute;left:6426;top:-4572;width:1527;height:230" type="#_x0000_t75" stroked="false">
              <v:imagedata r:id="rId442" o:title=""/>
            </v:shape>
            <v:shape style="position:absolute;left:6426;top:-4342;width:1527;height:230" type="#_x0000_t75" stroked="false">
              <v:imagedata r:id="rId443" o:title=""/>
            </v:shape>
            <v:shape style="position:absolute;left:6426;top:-4111;width:1527;height:230" type="#_x0000_t75" stroked="false">
              <v:imagedata r:id="rId444" o:title=""/>
            </v:shape>
            <v:shape style="position:absolute;left:6426;top:-3881;width:1527;height:230" type="#_x0000_t75" stroked="false">
              <v:imagedata r:id="rId445" o:title=""/>
            </v:shape>
            <v:shape style="position:absolute;left:6426;top:-3650;width:1527;height:230" type="#_x0000_t75" stroked="false">
              <v:imagedata r:id="rId446" o:title=""/>
            </v:shape>
            <v:shape style="position:absolute;left:6426;top:-3420;width:1527;height:228" type="#_x0000_t75" stroked="false">
              <v:imagedata r:id="rId447" o:title=""/>
            </v:shape>
            <v:shape style="position:absolute;left:6426;top:-3192;width:1527;height:230" type="#_x0000_t75" stroked="false">
              <v:imagedata r:id="rId448" o:title=""/>
            </v:shape>
            <v:shape style="position:absolute;left:6426;top:-2962;width:1527;height:230" type="#_x0000_t75" stroked="false">
              <v:imagedata r:id="rId449" o:title=""/>
            </v:shape>
            <v:shape style="position:absolute;left:6426;top:-2731;width:1527;height:230" type="#_x0000_t75" stroked="false">
              <v:imagedata r:id="rId450" o:title=""/>
            </v:shape>
            <v:shape style="position:absolute;left:6426;top:-2501;width:1527;height:230" type="#_x0000_t75" stroked="false">
              <v:imagedata r:id="rId451" o:title=""/>
            </v:shape>
            <v:shape style="position:absolute;left:6426;top:-2270;width:1527;height:228" type="#_x0000_t75" stroked="false">
              <v:imagedata r:id="rId452" o:title=""/>
            </v:shape>
            <v:shape style="position:absolute;left:6426;top:-2042;width:1527;height:209" type="#_x0000_t75" stroked="false">
              <v:imagedata r:id="rId453" o:title=""/>
            </v:shape>
            <v:shape style="position:absolute;left:8065;top:-4800;width:103;height:2966" type="#_x0000_t75" stroked="false">
              <v:imagedata r:id="rId454" o:title=""/>
            </v:shape>
            <v:shape style="position:absolute;left:9674;top:-4800;width:103;height:2966" type="#_x0000_t75" stroked="false">
              <v:imagedata r:id="rId455" o:title=""/>
            </v:shape>
            <v:shape style="position:absolute;left:8169;top:-4800;width:1505;height:228" type="#_x0000_t75" stroked="false">
              <v:imagedata r:id="rId456" o:title=""/>
            </v:shape>
            <v:shape style="position:absolute;left:8169;top:-4572;width:1505;height:230" type="#_x0000_t75" stroked="false">
              <v:imagedata r:id="rId457" o:title=""/>
            </v:shape>
            <v:shape style="position:absolute;left:8169;top:-4342;width:1505;height:230" type="#_x0000_t75" stroked="false">
              <v:imagedata r:id="rId458" o:title=""/>
            </v:shape>
            <v:shape style="position:absolute;left:8169;top:-4111;width:1505;height:230" type="#_x0000_t75" stroked="false">
              <v:imagedata r:id="rId459" o:title=""/>
            </v:shape>
            <v:shape style="position:absolute;left:8169;top:-3881;width:1505;height:230" type="#_x0000_t75" stroked="false">
              <v:imagedata r:id="rId460" o:title=""/>
            </v:shape>
            <v:shape style="position:absolute;left:8169;top:-3650;width:1505;height:230" type="#_x0000_t75" stroked="false">
              <v:imagedata r:id="rId461" o:title=""/>
            </v:shape>
            <v:shape style="position:absolute;left:8169;top:-3420;width:1505;height:228" type="#_x0000_t75" stroked="false">
              <v:imagedata r:id="rId462" o:title=""/>
            </v:shape>
            <v:shape style="position:absolute;left:8169;top:-3192;width:1505;height:230" type="#_x0000_t75" stroked="false">
              <v:imagedata r:id="rId463" o:title=""/>
            </v:shape>
            <v:shape style="position:absolute;left:8169;top:-2962;width:1505;height:230" type="#_x0000_t75" stroked="false">
              <v:imagedata r:id="rId464" o:title=""/>
            </v:shape>
            <v:shape style="position:absolute;left:8169;top:-2731;width:1505;height:230" type="#_x0000_t75" stroked="false">
              <v:imagedata r:id="rId465" o:title=""/>
            </v:shape>
            <v:shape style="position:absolute;left:8169;top:-2501;width:1505;height:230" type="#_x0000_t75" stroked="false">
              <v:imagedata r:id="rId466" o:title=""/>
            </v:shape>
            <v:shape style="position:absolute;left:8169;top:-2270;width:1505;height:228" type="#_x0000_t75" stroked="false">
              <v:imagedata r:id="rId467" o:title=""/>
            </v:shape>
            <v:shape style="position:absolute;left:8169;top:-2042;width:1505;height:209" type="#_x0000_t75" stroked="false">
              <v:imagedata r:id="rId468" o:title=""/>
            </v:shape>
            <w10:wrap type="none"/>
          </v:group>
        </w:pict>
      </w:r>
      <w:r>
        <w:rPr>
          <w:sz w:val="20"/>
        </w:rPr>
        <w:t>Fuente: elaboración propia con base en los acuerdos288/2006 (CGIEEM, 2006a), 304/2006 (CGIEEM, 2006b) y 8/2007 (CGIEEM, 2007).</w:t>
      </w:r>
    </w:p>
    <w:p>
      <w:pPr>
        <w:spacing w:before="0" w:after="27"/>
        <w:ind w:left="222" w:right="168" w:firstLine="0"/>
        <w:jc w:val="left"/>
        <w:rPr>
          <w:sz w:val="20"/>
        </w:rPr>
      </w:pPr>
      <w:r>
        <w:rPr/>
        <w:pict>
          <v:group style="position:absolute;margin-left:79.704002pt;margin-top:11.659888pt;width:26.65pt;height:46pt;mso-position-horizontal-relative:page;mso-position-vertical-relative:paragraph;z-index:-330088" coordorigin="1594,233" coordsize="533,920">
            <v:shape style="position:absolute;left:1594;top:233;width:533;height:228" coordorigin="1594,233" coordsize="533,228" path="m2127,233l2019,233,1702,233,1594,233,1594,461,1702,461,2019,461,2127,461,2127,233e" filled="true" fillcolor="#f1f1f1" stroked="false">
              <v:path arrowok="t"/>
              <v:fill type="solid"/>
            </v:shape>
            <v:shape style="position:absolute;left:1594;top:461;width:108;height:230" type="#_x0000_t75" stroked="false">
              <v:imagedata r:id="rId469" o:title=""/>
            </v:shape>
            <v:shape style="position:absolute;left:2019;top:461;width:108;height:230" type="#_x0000_t75" stroked="false">
              <v:imagedata r:id="rId469" o:title=""/>
            </v:shape>
            <v:shape style="position:absolute;left:1702;top:461;width:317;height:230" type="#_x0000_t75" stroked="false">
              <v:imagedata r:id="rId470" o:title=""/>
            </v:shape>
            <v:shape style="position:absolute;left:1594;top:692;width:108;height:230" type="#_x0000_t75" stroked="false">
              <v:imagedata r:id="rId471" o:title=""/>
            </v:shape>
            <v:shape style="position:absolute;left:2019;top:692;width:108;height:230" type="#_x0000_t75" stroked="false">
              <v:imagedata r:id="rId472" o:title=""/>
            </v:shape>
            <v:shape style="position:absolute;left:1702;top:692;width:317;height:230" type="#_x0000_t75" stroked="false">
              <v:imagedata r:id="rId473" o:title=""/>
            </v:shape>
            <v:shape style="position:absolute;left:1594;top:922;width:108;height:230" type="#_x0000_t75" stroked="false">
              <v:imagedata r:id="rId474" o:title=""/>
            </v:shape>
            <v:shape style="position:absolute;left:2019;top:922;width:108;height:230" type="#_x0000_t75" stroked="false">
              <v:imagedata r:id="rId475" o:title=""/>
            </v:shape>
            <v:shape style="position:absolute;left:1702;top:922;width:317;height:230" type="#_x0000_t75" stroked="false">
              <v:imagedata r:id="rId476" o:title=""/>
            </v:shape>
            <w10:wrap type="none"/>
          </v:group>
        </w:pict>
      </w:r>
      <w:r>
        <w:rPr>
          <w:sz w:val="20"/>
        </w:rPr>
        <w:t>Notas:</w:t>
      </w:r>
    </w:p>
    <w:tbl>
      <w:tblPr>
        <w:tblW w:w="0" w:type="auto"/>
        <w:jc w:val="left"/>
        <w:tblInd w:w="55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546"/>
      </w:tblGrid>
      <w:tr>
        <w:trPr>
          <w:trHeight w:val="214" w:hRule="exact"/>
        </w:trPr>
        <w:tc>
          <w:tcPr>
            <w:tcW w:w="4546" w:type="dxa"/>
          </w:tcPr>
          <w:p>
            <w:pPr>
              <w:pStyle w:val="TableParagraph"/>
              <w:spacing w:line="204" w:lineRule="exact"/>
              <w:ind w:left="200"/>
              <w:rPr>
                <w:sz w:val="20"/>
              </w:rPr>
            </w:pPr>
            <w:r>
              <w:rPr>
                <w:sz w:val="20"/>
              </w:rPr>
              <w:t>Incisos sin modificaciones.</w:t>
            </w:r>
          </w:p>
        </w:tc>
      </w:tr>
      <w:tr>
        <w:trPr>
          <w:trHeight w:val="229" w:hRule="exact"/>
        </w:trPr>
        <w:tc>
          <w:tcPr>
            <w:tcW w:w="4546" w:type="dxa"/>
          </w:tcPr>
          <w:p>
            <w:pPr>
              <w:pStyle w:val="TableParagraph"/>
              <w:spacing w:line="218" w:lineRule="exact"/>
              <w:ind w:left="200"/>
              <w:rPr>
                <w:sz w:val="20"/>
              </w:rPr>
            </w:pPr>
            <w:r>
              <w:rPr>
                <w:sz w:val="20"/>
              </w:rPr>
              <w:t>Incisos anexados mediante acuerdo 8/2007.</w:t>
            </w:r>
          </w:p>
        </w:tc>
      </w:tr>
      <w:tr>
        <w:trPr>
          <w:trHeight w:val="230" w:hRule="exact"/>
        </w:trPr>
        <w:tc>
          <w:tcPr>
            <w:tcW w:w="4546" w:type="dxa"/>
          </w:tcPr>
          <w:p>
            <w:pPr>
              <w:pStyle w:val="TableParagraph"/>
              <w:spacing w:line="219" w:lineRule="exact"/>
              <w:ind w:left="-441" w:right="198"/>
              <w:jc w:val="right"/>
              <w:rPr>
                <w:sz w:val="20"/>
              </w:rPr>
            </w:pPr>
            <w:r>
              <w:rPr>
                <w:sz w:val="20"/>
              </w:rPr>
              <w:t>Incisos anexados mediante acuerdo 288/2006.</w:t>
            </w:r>
          </w:p>
        </w:tc>
      </w:tr>
      <w:tr>
        <w:trPr>
          <w:trHeight w:val="215" w:hRule="exact"/>
        </w:trPr>
        <w:tc>
          <w:tcPr>
            <w:tcW w:w="4546" w:type="dxa"/>
          </w:tcPr>
          <w:p>
            <w:pPr>
              <w:pStyle w:val="TableParagraph"/>
              <w:tabs>
                <w:tab w:pos="141" w:val="left" w:leader="none"/>
              </w:tabs>
              <w:spacing w:line="219" w:lineRule="exact"/>
              <w:ind w:left="-441" w:right="198"/>
              <w:jc w:val="right"/>
              <w:rPr>
                <w:sz w:val="20"/>
              </w:rPr>
            </w:pPr>
            <w:r>
              <w:rPr>
                <w:w w:val="99"/>
                <w:sz w:val="20"/>
                <w:u w:val="single"/>
              </w:rPr>
              <w:t> </w:t>
            </w:r>
            <w:r>
              <w:rPr>
                <w:sz w:val="20"/>
                <w:u w:val="single"/>
              </w:rPr>
              <w:tab/>
            </w:r>
            <w:r>
              <w:rPr>
                <w:spacing w:val="2"/>
                <w:sz w:val="20"/>
              </w:rPr>
              <w:t> </w:t>
            </w:r>
            <w:r>
              <w:rPr>
                <w:sz w:val="20"/>
              </w:rPr>
              <w:t>Incisos anexados mediante acuerdo</w:t>
            </w:r>
            <w:r>
              <w:rPr>
                <w:spacing w:val="-10"/>
                <w:sz w:val="20"/>
              </w:rPr>
              <w:t> </w:t>
            </w:r>
            <w:r>
              <w:rPr>
                <w:sz w:val="20"/>
              </w:rPr>
              <w:t>304/2006.</w:t>
            </w:r>
          </w:p>
        </w:tc>
      </w:tr>
    </w:tbl>
    <w:p>
      <w:pPr>
        <w:spacing w:after="0" w:line="219" w:lineRule="exact"/>
        <w:jc w:val="right"/>
        <w:rPr>
          <w:sz w:val="20"/>
        </w:rPr>
        <w:sectPr>
          <w:pgSz w:w="12240" w:h="15840"/>
          <w:pgMar w:header="749" w:footer="1003" w:top="960" w:bottom="1200" w:left="1480" w:right="1340"/>
        </w:sectPr>
      </w:pPr>
    </w:p>
    <w:p>
      <w:pPr>
        <w:pStyle w:val="BodyText"/>
        <w:rPr>
          <w:sz w:val="20"/>
        </w:rPr>
      </w:pPr>
      <w:r>
        <w:rPr/>
        <w:pict>
          <v:group style="position:absolute;margin-left:79.944pt;margin-top:332.929993pt;width:124.2pt;height:230.55pt;mso-position-horizontal-relative:page;mso-position-vertical-relative:page;z-index:-330016" coordorigin="1599,6659" coordsize="2484,4611">
            <v:shape style="position:absolute;left:1599;top:6659;width:103;height:689" type="#_x0000_t75" stroked="false">
              <v:imagedata r:id="rId477" o:title=""/>
            </v:shape>
            <v:shape style="position:absolute;left:3980;top:6659;width:103;height:689" type="#_x0000_t75" stroked="false">
              <v:imagedata r:id="rId478" o:title=""/>
            </v:shape>
            <v:shape style="position:absolute;left:1599;top:7347;width:2484;height:2532" type="#_x0000_t75" stroked="false">
              <v:imagedata r:id="rId479" o:title=""/>
            </v:shape>
            <v:shape style="position:absolute;left:1702;top:6659;width:2278;height:230" type="#_x0000_t75" stroked="false">
              <v:imagedata r:id="rId480" o:title=""/>
            </v:shape>
            <v:shape style="position:absolute;left:1702;top:6889;width:2278;height:230" type="#_x0000_t75" stroked="false">
              <v:imagedata r:id="rId481" o:title=""/>
            </v:shape>
            <v:shape style="position:absolute;left:1702;top:7119;width:2278;height:228" type="#_x0000_t75" stroked="false">
              <v:imagedata r:id="rId482" o:title=""/>
            </v:shape>
            <v:shape style="position:absolute;left:1599;top:9889;width:103;height:1380" type="#_x0000_t75" stroked="false">
              <v:imagedata r:id="rId483" o:title=""/>
            </v:shape>
            <v:shape style="position:absolute;left:3980;top:9889;width:103;height:1380" type="#_x0000_t75" stroked="false">
              <v:imagedata r:id="rId484" o:title=""/>
            </v:shape>
            <v:shape style="position:absolute;left:1702;top:9889;width:2278;height:230" type="#_x0000_t75" stroked="false">
              <v:imagedata r:id="rId485" o:title=""/>
            </v:shape>
            <v:shape style="position:absolute;left:1702;top:10120;width:2278;height:228" type="#_x0000_t75" stroked="false">
              <v:imagedata r:id="rId486" o:title=""/>
            </v:shape>
            <v:shape style="position:absolute;left:1702;top:10348;width:2278;height:230" type="#_x0000_t75" stroked="false">
              <v:imagedata r:id="rId487" o:title=""/>
            </v:shape>
            <v:shape style="position:absolute;left:1702;top:10578;width:2278;height:230" type="#_x0000_t75" stroked="false">
              <v:imagedata r:id="rId488" o:title=""/>
            </v:shape>
            <v:shape style="position:absolute;left:1702;top:10809;width:2278;height:230" type="#_x0000_t75" stroked="false">
              <v:imagedata r:id="rId489" o:title=""/>
            </v:shape>
            <v:shape style="position:absolute;left:1702;top:11039;width:2278;height:230" type="#_x0000_t75" stroked="false">
              <v:imagedata r:id="rId490" o:title=""/>
            </v:shape>
            <w10:wrap type="none"/>
          </v:group>
        </w:pict>
      </w:r>
      <w:r>
        <w:rPr/>
        <w:pict>
          <v:group style="position:absolute;margin-left:312.170013pt;margin-top:332.929993pt;width:169.6pt;height:161.1pt;mso-position-horizontal-relative:page;mso-position-vertical-relative:page;z-index:-329992" coordorigin="6243,6659" coordsize="3392,3222">
            <v:shape style="position:absolute;left:6243;top:6659;width:103;height:2991" type="#_x0000_t75" stroked="false">
              <v:imagedata r:id="rId491" o:title=""/>
            </v:shape>
            <v:shape style="position:absolute;left:7833;top:6659;width:101;height:2991" type="#_x0000_t75" stroked="false">
              <v:imagedata r:id="rId492" o:title=""/>
            </v:shape>
            <v:shape style="position:absolute;left:6243;top:9649;width:1690;height:230" type="#_x0000_t75" stroked="false">
              <v:imagedata r:id="rId493" o:title=""/>
            </v:shape>
            <v:shape style="position:absolute;left:6347;top:6659;width:1486;height:230" type="#_x0000_t75" stroked="false">
              <v:imagedata r:id="rId494" o:title=""/>
            </v:shape>
            <v:shape style="position:absolute;left:6347;top:6889;width:1486;height:230" type="#_x0000_t75" stroked="false">
              <v:imagedata r:id="rId495" o:title=""/>
            </v:shape>
            <v:shape style="position:absolute;left:6347;top:7119;width:1486;height:228" type="#_x0000_t75" stroked="false">
              <v:imagedata r:id="rId496" o:title=""/>
            </v:shape>
            <v:shape style="position:absolute;left:6347;top:7347;width:1486;height:230" type="#_x0000_t75" stroked="false">
              <v:imagedata r:id="rId497" o:title=""/>
            </v:shape>
            <v:shape style="position:absolute;left:6347;top:7578;width:1486;height:230" type="#_x0000_t75" stroked="false">
              <v:imagedata r:id="rId498" o:title=""/>
            </v:shape>
            <v:shape style="position:absolute;left:6347;top:7808;width:1486;height:230" type="#_x0000_t75" stroked="false">
              <v:imagedata r:id="rId499" o:title=""/>
            </v:shape>
            <v:shape style="position:absolute;left:6347;top:8039;width:1486;height:230" type="#_x0000_t75" stroked="false">
              <v:imagedata r:id="rId500" o:title=""/>
            </v:shape>
            <v:shape style="position:absolute;left:6347;top:8269;width:1486;height:230" type="#_x0000_t75" stroked="false">
              <v:imagedata r:id="rId501" o:title=""/>
            </v:shape>
            <v:shape style="position:absolute;left:6347;top:8499;width:1486;height:228" type="#_x0000_t75" stroked="false">
              <v:imagedata r:id="rId502" o:title=""/>
            </v:shape>
            <v:shape style="position:absolute;left:6347;top:8728;width:1486;height:230" type="#_x0000_t75" stroked="false">
              <v:imagedata r:id="rId503" o:title=""/>
            </v:shape>
            <v:shape style="position:absolute;left:6347;top:8958;width:1486;height:230" type="#_x0000_t75" stroked="false">
              <v:imagedata r:id="rId504" o:title=""/>
            </v:shape>
            <v:shape style="position:absolute;left:6347;top:9189;width:1486;height:230" type="#_x0000_t75" stroked="false">
              <v:imagedata r:id="rId505" o:title=""/>
            </v:shape>
            <v:shape style="position:absolute;left:6347;top:9419;width:1486;height:230" type="#_x0000_t75" stroked="false">
              <v:imagedata r:id="rId506" o:title=""/>
            </v:shape>
            <v:shape style="position:absolute;left:7945;top:6659;width:103;height:3221" type="#_x0000_t75" stroked="false">
              <v:imagedata r:id="rId507" o:title=""/>
            </v:shape>
            <v:shape style="position:absolute;left:9532;top:6659;width:103;height:3221" type="#_x0000_t75" stroked="false">
              <v:imagedata r:id="rId508" o:title=""/>
            </v:shape>
            <v:shape style="position:absolute;left:8049;top:6659;width:1483;height:230" type="#_x0000_t75" stroked="false">
              <v:imagedata r:id="rId509" o:title=""/>
            </v:shape>
            <v:shape style="position:absolute;left:8049;top:6889;width:1483;height:230" type="#_x0000_t75" stroked="false">
              <v:imagedata r:id="rId510" o:title=""/>
            </v:shape>
            <v:shape style="position:absolute;left:8049;top:7119;width:1483;height:228" type="#_x0000_t75" stroked="false">
              <v:imagedata r:id="rId511" o:title=""/>
            </v:shape>
            <v:shape style="position:absolute;left:8049;top:7347;width:1483;height:230" type="#_x0000_t75" stroked="false">
              <v:imagedata r:id="rId512" o:title=""/>
            </v:shape>
            <v:shape style="position:absolute;left:8049;top:7578;width:1483;height:230" type="#_x0000_t75" stroked="false">
              <v:imagedata r:id="rId513" o:title=""/>
            </v:shape>
            <v:shape style="position:absolute;left:8049;top:7808;width:1483;height:230" type="#_x0000_t75" stroked="false">
              <v:imagedata r:id="rId514" o:title=""/>
            </v:shape>
            <v:shape style="position:absolute;left:8049;top:8039;width:1483;height:230" type="#_x0000_t75" stroked="false">
              <v:imagedata r:id="rId515" o:title=""/>
            </v:shape>
            <v:shape style="position:absolute;left:8049;top:8269;width:1483;height:230" type="#_x0000_t75" stroked="false">
              <v:imagedata r:id="rId516" o:title=""/>
            </v:shape>
            <v:shape style="position:absolute;left:8049;top:8499;width:1483;height:228" type="#_x0000_t75" stroked="false">
              <v:imagedata r:id="rId517" o:title=""/>
            </v:shape>
            <v:shape style="position:absolute;left:8049;top:8728;width:1483;height:230" type="#_x0000_t75" stroked="false">
              <v:imagedata r:id="rId518" o:title=""/>
            </v:shape>
            <v:shape style="position:absolute;left:8049;top:8958;width:1483;height:230" type="#_x0000_t75" stroked="false">
              <v:imagedata r:id="rId519" o:title=""/>
            </v:shape>
            <v:shape style="position:absolute;left:8049;top:9189;width:1483;height:230" type="#_x0000_t75" stroked="false">
              <v:imagedata r:id="rId520" o:title=""/>
            </v:shape>
            <v:shape style="position:absolute;left:8049;top:9419;width:1483;height:230" type="#_x0000_t75" stroked="false">
              <v:imagedata r:id="rId521" o:title=""/>
            </v:shape>
            <v:shape style="position:absolute;left:8049;top:9649;width:1483;height:230" type="#_x0000_t75" stroked="false">
              <v:imagedata r:id="rId522" o:title=""/>
            </v:shape>
            <w10:wrap type="none"/>
          </v:group>
        </w:pict>
      </w:r>
    </w:p>
    <w:p>
      <w:pPr>
        <w:pStyle w:val="BodyText"/>
        <w:spacing w:line="362" w:lineRule="auto" w:before="214"/>
        <w:ind w:left="222" w:right="239" w:firstLine="707"/>
      </w:pPr>
      <w:r>
        <w:rPr/>
        <w:t>Para evaluar cuantitativamente las sanciones se obtuvo el porcentaje del financiamiento público que representa la suma de las multas y reducciones:</w:t>
      </w:r>
    </w:p>
    <w:p>
      <w:pPr>
        <w:pStyle w:val="BodyText"/>
      </w:pPr>
    </w:p>
    <w:p>
      <w:pPr>
        <w:pStyle w:val="Heading2"/>
        <w:spacing w:before="139"/>
        <w:ind w:left="231" w:right="248"/>
      </w:pPr>
      <w:r>
        <w:rPr/>
        <w:t>Cuadro 3.7</w:t>
      </w:r>
    </w:p>
    <w:p>
      <w:pPr>
        <w:spacing w:before="134"/>
        <w:ind w:left="231" w:right="249" w:firstLine="0"/>
        <w:jc w:val="center"/>
        <w:rPr>
          <w:b/>
          <w:sz w:val="24"/>
        </w:rPr>
      </w:pPr>
      <w:r>
        <w:rPr/>
        <w:pict>
          <v:group style="position:absolute;margin-left:79.944pt;margin-top:116.865883pt;width:124.2pt;height:23.55pt;mso-position-horizontal-relative:page;mso-position-vertical-relative:paragraph;z-index:-330064" coordorigin="1599,2337" coordsize="2484,471">
            <v:shape style="position:absolute;left:1599;top:2337;width:103;height:230" type="#_x0000_t75" stroked="false">
              <v:imagedata r:id="rId523" o:title=""/>
            </v:shape>
            <v:shape style="position:absolute;left:3980;top:2337;width:103;height:230" type="#_x0000_t75" stroked="false">
              <v:imagedata r:id="rId524" o:title=""/>
            </v:shape>
            <v:shape style="position:absolute;left:1702;top:2337;width:2278;height:230" type="#_x0000_t75" stroked="false">
              <v:imagedata r:id="rId525" o:title=""/>
            </v:shape>
            <v:shape style="position:absolute;left:1599;top:2577;width:103;height:230" type="#_x0000_t75" stroked="false">
              <v:imagedata r:id="rId526" o:title=""/>
            </v:shape>
            <v:shape style="position:absolute;left:3980;top:2577;width:103;height:230" type="#_x0000_t75" stroked="false">
              <v:imagedata r:id="rId527" o:title=""/>
            </v:shape>
            <v:shape style="position:absolute;left:1702;top:2577;width:2278;height:230" type="#_x0000_t75" stroked="false">
              <v:imagedata r:id="rId528" o:title=""/>
            </v:shape>
            <w10:wrap type="none"/>
          </v:group>
        </w:pict>
      </w:r>
      <w:r>
        <w:rPr/>
        <w:pict>
          <v:group style="position:absolute;margin-left:312.170013pt;margin-top:116.865883pt;width:169.6pt;height:23.55pt;mso-position-horizontal-relative:page;mso-position-vertical-relative:paragraph;z-index:-330040" coordorigin="6243,2337" coordsize="3392,471">
            <v:shape style="position:absolute;left:6243;top:2337;width:103;height:230" type="#_x0000_t75" stroked="false">
              <v:imagedata r:id="rId529" o:title=""/>
            </v:shape>
            <v:shape style="position:absolute;left:7833;top:2337;width:101;height:230" type="#_x0000_t75" stroked="false">
              <v:imagedata r:id="rId530" o:title=""/>
            </v:shape>
            <v:shape style="position:absolute;left:6243;top:2568;width:1690;height:240" type="#_x0000_t75" stroked="false">
              <v:imagedata r:id="rId531" o:title=""/>
            </v:shape>
            <v:shape style="position:absolute;left:6347;top:2337;width:1486;height:230" type="#_x0000_t75" stroked="false">
              <v:imagedata r:id="rId532" o:title=""/>
            </v:shape>
            <v:shape style="position:absolute;left:7945;top:2337;width:103;height:230" type="#_x0000_t75" stroked="false">
              <v:imagedata r:id="rId533" o:title=""/>
            </v:shape>
            <v:shape style="position:absolute;left:9532;top:2337;width:103;height:230" type="#_x0000_t75" stroked="false">
              <v:imagedata r:id="rId534" o:title=""/>
            </v:shape>
            <v:shape style="position:absolute;left:7945;top:2568;width:1690;height:240" type="#_x0000_t75" stroked="false">
              <v:imagedata r:id="rId535" o:title=""/>
            </v:shape>
            <v:shape style="position:absolute;left:8049;top:2337;width:1483;height:230" type="#_x0000_t75" stroked="false">
              <v:imagedata r:id="rId536" o:title=""/>
            </v:shape>
            <w10:wrap type="none"/>
          </v:group>
        </w:pict>
      </w:r>
      <w:r>
        <w:rPr>
          <w:b/>
          <w:sz w:val="24"/>
        </w:rPr>
        <w:t>Porcentaje de sanciones relativas al financiamiento, por partido político local (2005-2006)</w:t>
      </w:r>
    </w:p>
    <w:p>
      <w:pPr>
        <w:pStyle w:val="BodyText"/>
        <w:rPr>
          <w:b/>
          <w:sz w:val="20"/>
        </w:rPr>
      </w:pPr>
    </w:p>
    <w:p>
      <w:pPr>
        <w:pStyle w:val="BodyText"/>
        <w:spacing w:before="5"/>
        <w:rPr>
          <w:b/>
          <w:sz w:val="16"/>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109"/>
        <w:gridCol w:w="1160"/>
        <w:gridCol w:w="991"/>
        <w:gridCol w:w="1702"/>
        <w:gridCol w:w="1702"/>
        <w:gridCol w:w="1009"/>
      </w:tblGrid>
      <w:tr>
        <w:trPr>
          <w:trHeight w:val="838" w:hRule="exact"/>
        </w:trPr>
        <w:tc>
          <w:tcPr>
            <w:tcW w:w="2494" w:type="dxa"/>
            <w:gridSpan w:val="2"/>
            <w:vMerge w:val="restart"/>
            <w:shd w:val="clear" w:color="auto" w:fill="D9D9D9"/>
          </w:tcPr>
          <w:p>
            <w:pPr>
              <w:pStyle w:val="TableParagraph"/>
              <w:spacing w:line="272" w:lineRule="exact"/>
              <w:ind w:left="968" w:right="968"/>
              <w:jc w:val="center"/>
              <w:rPr>
                <w:b/>
                <w:sz w:val="24"/>
              </w:rPr>
            </w:pPr>
            <w:r>
              <w:rPr>
                <w:b/>
                <w:sz w:val="24"/>
              </w:rPr>
              <w:t>PAN</w:t>
            </w:r>
          </w:p>
        </w:tc>
        <w:tc>
          <w:tcPr>
            <w:tcW w:w="2151" w:type="dxa"/>
            <w:gridSpan w:val="2"/>
            <w:shd w:val="clear" w:color="auto" w:fill="D9D9D9"/>
          </w:tcPr>
          <w:p>
            <w:pPr>
              <w:pStyle w:val="TableParagraph"/>
              <w:ind w:left="108" w:right="109"/>
              <w:jc w:val="center"/>
              <w:rPr>
                <w:b/>
                <w:sz w:val="24"/>
              </w:rPr>
            </w:pPr>
            <w:r>
              <w:rPr>
                <w:b/>
                <w:sz w:val="24"/>
              </w:rPr>
              <w:t>Coalición parcial “Alianza por México”*</w:t>
            </w:r>
          </w:p>
        </w:tc>
        <w:tc>
          <w:tcPr>
            <w:tcW w:w="3404" w:type="dxa"/>
            <w:gridSpan w:val="2"/>
            <w:shd w:val="clear" w:color="auto" w:fill="D9D9D9"/>
          </w:tcPr>
          <w:p>
            <w:pPr>
              <w:pStyle w:val="TableParagraph"/>
              <w:ind w:left="715" w:right="234" w:hanging="469"/>
              <w:rPr>
                <w:b/>
                <w:sz w:val="24"/>
              </w:rPr>
            </w:pPr>
            <w:r>
              <w:rPr>
                <w:b/>
                <w:sz w:val="24"/>
              </w:rPr>
              <w:t>Coalición PRD-PT “Por el Bien de Todos”**</w:t>
            </w:r>
          </w:p>
        </w:tc>
        <w:tc>
          <w:tcPr>
            <w:tcW w:w="1009" w:type="dxa"/>
            <w:vMerge w:val="restart"/>
            <w:shd w:val="clear" w:color="auto" w:fill="D9D9D9"/>
          </w:tcPr>
          <w:p>
            <w:pPr>
              <w:pStyle w:val="TableParagraph"/>
              <w:spacing w:line="272" w:lineRule="exact"/>
              <w:ind w:left="0" w:right="1"/>
              <w:jc w:val="center"/>
              <w:rPr>
                <w:b/>
                <w:sz w:val="24"/>
              </w:rPr>
            </w:pPr>
            <w:r>
              <w:rPr>
                <w:b/>
                <w:w w:val="99"/>
                <w:sz w:val="24"/>
              </w:rPr>
              <w:t>C</w:t>
            </w:r>
          </w:p>
        </w:tc>
      </w:tr>
      <w:tr>
        <w:trPr>
          <w:trHeight w:val="385" w:hRule="exact"/>
        </w:trPr>
        <w:tc>
          <w:tcPr>
            <w:tcW w:w="2494" w:type="dxa"/>
            <w:gridSpan w:val="2"/>
            <w:vMerge/>
            <w:shd w:val="clear" w:color="auto" w:fill="D9D9D9"/>
          </w:tcPr>
          <w:p>
            <w:pPr/>
          </w:p>
        </w:tc>
        <w:tc>
          <w:tcPr>
            <w:tcW w:w="1160" w:type="dxa"/>
            <w:vMerge w:val="restart"/>
            <w:shd w:val="clear" w:color="auto" w:fill="D9D9D9"/>
          </w:tcPr>
          <w:p>
            <w:pPr>
              <w:pStyle w:val="TableParagraph"/>
              <w:spacing w:line="272" w:lineRule="exact"/>
              <w:ind w:left="374" w:right="104"/>
              <w:rPr>
                <w:b/>
                <w:sz w:val="24"/>
              </w:rPr>
            </w:pPr>
            <w:r>
              <w:rPr>
                <w:b/>
                <w:sz w:val="24"/>
              </w:rPr>
              <w:t>PRI</w:t>
            </w:r>
          </w:p>
        </w:tc>
        <w:tc>
          <w:tcPr>
            <w:tcW w:w="991" w:type="dxa"/>
            <w:vMerge w:val="restart"/>
            <w:shd w:val="clear" w:color="auto" w:fill="D9D9D9"/>
          </w:tcPr>
          <w:p>
            <w:pPr>
              <w:pStyle w:val="TableParagraph"/>
              <w:spacing w:line="272" w:lineRule="exact"/>
              <w:ind w:left="148" w:right="98"/>
              <w:rPr>
                <w:b/>
                <w:sz w:val="24"/>
              </w:rPr>
            </w:pPr>
            <w:r>
              <w:rPr>
                <w:b/>
                <w:sz w:val="24"/>
              </w:rPr>
              <w:t>PVEM</w:t>
            </w:r>
          </w:p>
        </w:tc>
        <w:tc>
          <w:tcPr>
            <w:tcW w:w="1702" w:type="dxa"/>
            <w:shd w:val="clear" w:color="auto" w:fill="D9D9D9"/>
          </w:tcPr>
          <w:p>
            <w:pPr>
              <w:pStyle w:val="TableParagraph"/>
              <w:spacing w:line="272" w:lineRule="exact"/>
              <w:ind w:left="572" w:right="572"/>
              <w:jc w:val="center"/>
              <w:rPr>
                <w:b/>
                <w:sz w:val="24"/>
              </w:rPr>
            </w:pPr>
            <w:r>
              <w:rPr>
                <w:b/>
                <w:sz w:val="24"/>
              </w:rPr>
              <w:t>PRD</w:t>
            </w:r>
          </w:p>
        </w:tc>
        <w:tc>
          <w:tcPr>
            <w:tcW w:w="1702" w:type="dxa"/>
            <w:shd w:val="clear" w:color="auto" w:fill="D9D9D9"/>
          </w:tcPr>
          <w:p>
            <w:pPr>
              <w:pStyle w:val="TableParagraph"/>
              <w:spacing w:line="272" w:lineRule="exact"/>
              <w:ind w:left="672" w:right="673"/>
              <w:jc w:val="center"/>
              <w:rPr>
                <w:b/>
                <w:sz w:val="24"/>
              </w:rPr>
            </w:pPr>
            <w:r>
              <w:rPr>
                <w:b/>
                <w:sz w:val="24"/>
              </w:rPr>
              <w:t>PT</w:t>
            </w:r>
          </w:p>
        </w:tc>
        <w:tc>
          <w:tcPr>
            <w:tcW w:w="1009" w:type="dxa"/>
            <w:vMerge/>
            <w:shd w:val="clear" w:color="auto" w:fill="D9D9D9"/>
          </w:tcPr>
          <w:p>
            <w:pPr/>
          </w:p>
        </w:tc>
      </w:tr>
      <w:tr>
        <w:trPr>
          <w:trHeight w:val="240" w:hRule="exact"/>
        </w:trPr>
        <w:tc>
          <w:tcPr>
            <w:tcW w:w="2494" w:type="dxa"/>
            <w:gridSpan w:val="2"/>
          </w:tcPr>
          <w:p>
            <w:pPr>
              <w:pStyle w:val="TableParagraph"/>
              <w:spacing w:line="225" w:lineRule="exact"/>
              <w:rPr>
                <w:b/>
                <w:sz w:val="20"/>
              </w:rPr>
            </w:pPr>
            <w:r>
              <w:rPr>
                <w:b/>
                <w:sz w:val="20"/>
              </w:rPr>
              <w:t>8/2007</w:t>
            </w:r>
          </w:p>
        </w:tc>
        <w:tc>
          <w:tcPr>
            <w:tcW w:w="1160" w:type="dxa"/>
            <w:vMerge/>
            <w:shd w:val="clear" w:color="auto" w:fill="D9D9D9"/>
          </w:tcPr>
          <w:p>
            <w:pPr/>
          </w:p>
        </w:tc>
        <w:tc>
          <w:tcPr>
            <w:tcW w:w="991" w:type="dxa"/>
            <w:vMerge/>
            <w:shd w:val="clear" w:color="auto" w:fill="D9D9D9"/>
          </w:tcPr>
          <w:p>
            <w:pPr/>
          </w:p>
        </w:tc>
        <w:tc>
          <w:tcPr>
            <w:tcW w:w="1702" w:type="dxa"/>
            <w:vMerge w:val="restart"/>
          </w:tcPr>
          <w:p>
            <w:pPr>
              <w:pStyle w:val="TableParagraph"/>
              <w:spacing w:line="225" w:lineRule="exact"/>
              <w:rPr>
                <w:b/>
                <w:sz w:val="20"/>
              </w:rPr>
            </w:pPr>
            <w:r>
              <w:rPr>
                <w:b/>
                <w:sz w:val="20"/>
              </w:rPr>
              <w:t>304/2006</w:t>
            </w:r>
          </w:p>
        </w:tc>
        <w:tc>
          <w:tcPr>
            <w:tcW w:w="1702" w:type="dxa"/>
            <w:vMerge w:val="restart"/>
          </w:tcPr>
          <w:p>
            <w:pPr>
              <w:pStyle w:val="TableParagraph"/>
              <w:spacing w:line="225" w:lineRule="exact"/>
              <w:rPr>
                <w:b/>
                <w:sz w:val="20"/>
              </w:rPr>
            </w:pPr>
            <w:r>
              <w:rPr>
                <w:b/>
                <w:sz w:val="20"/>
              </w:rPr>
              <w:t>304/2006</w:t>
            </w:r>
          </w:p>
        </w:tc>
        <w:tc>
          <w:tcPr>
            <w:tcW w:w="1009" w:type="dxa"/>
            <w:vMerge/>
            <w:shd w:val="clear" w:color="auto" w:fill="D9D9D9"/>
          </w:tcPr>
          <w:p>
            <w:pPr/>
          </w:p>
        </w:tc>
      </w:tr>
      <w:tr>
        <w:trPr>
          <w:trHeight w:val="240" w:hRule="exact"/>
        </w:trPr>
        <w:tc>
          <w:tcPr>
            <w:tcW w:w="2494" w:type="dxa"/>
            <w:gridSpan w:val="2"/>
          </w:tcPr>
          <w:p>
            <w:pPr>
              <w:pStyle w:val="TableParagraph"/>
              <w:spacing w:line="225" w:lineRule="exact"/>
              <w:rPr>
                <w:b/>
                <w:sz w:val="20"/>
              </w:rPr>
            </w:pPr>
            <w:r>
              <w:rPr>
                <w:b/>
                <w:sz w:val="20"/>
              </w:rPr>
              <w:t>288/2006</w:t>
            </w:r>
          </w:p>
        </w:tc>
        <w:tc>
          <w:tcPr>
            <w:tcW w:w="1160" w:type="dxa"/>
            <w:vMerge/>
            <w:shd w:val="clear" w:color="auto" w:fill="D9D9D9"/>
          </w:tcPr>
          <w:p>
            <w:pPr/>
          </w:p>
        </w:tc>
        <w:tc>
          <w:tcPr>
            <w:tcW w:w="991" w:type="dxa"/>
            <w:vMerge/>
            <w:shd w:val="clear" w:color="auto" w:fill="D9D9D9"/>
          </w:tcPr>
          <w:p>
            <w:pPr/>
          </w:p>
        </w:tc>
        <w:tc>
          <w:tcPr>
            <w:tcW w:w="1702" w:type="dxa"/>
            <w:vMerge/>
          </w:tcPr>
          <w:p>
            <w:pPr/>
          </w:p>
        </w:tc>
        <w:tc>
          <w:tcPr>
            <w:tcW w:w="1702" w:type="dxa"/>
            <w:vMerge/>
          </w:tcPr>
          <w:p>
            <w:pPr/>
          </w:p>
        </w:tc>
        <w:tc>
          <w:tcPr>
            <w:tcW w:w="1009" w:type="dxa"/>
            <w:vMerge/>
            <w:shd w:val="clear" w:color="auto" w:fill="D9D9D9"/>
          </w:tcPr>
          <w:p>
            <w:pPr/>
          </w:p>
        </w:tc>
      </w:tr>
      <w:tr>
        <w:trPr>
          <w:trHeight w:val="902" w:hRule="exact"/>
        </w:trPr>
        <w:tc>
          <w:tcPr>
            <w:tcW w:w="2494" w:type="dxa"/>
            <w:gridSpan w:val="2"/>
            <w:shd w:val="clear" w:color="auto" w:fill="D9D9D9"/>
          </w:tcPr>
          <w:p>
            <w:pPr>
              <w:pStyle w:val="TableParagraph"/>
              <w:spacing w:line="227" w:lineRule="exact"/>
              <w:rPr>
                <w:sz w:val="20"/>
              </w:rPr>
            </w:pPr>
            <w:r>
              <w:rPr>
                <w:sz w:val="20"/>
              </w:rPr>
              <w:t>Recomendaciones</w:t>
            </w:r>
          </w:p>
        </w:tc>
        <w:tc>
          <w:tcPr>
            <w:tcW w:w="1160" w:type="dxa"/>
            <w:shd w:val="clear" w:color="auto" w:fill="D9D9D9"/>
          </w:tcPr>
          <w:p>
            <w:pPr>
              <w:pStyle w:val="TableParagraph"/>
              <w:ind w:right="104"/>
              <w:rPr>
                <w:sz w:val="20"/>
              </w:rPr>
            </w:pPr>
            <w:r>
              <w:rPr>
                <w:sz w:val="20"/>
              </w:rPr>
              <w:t>Recomen- daciones</w:t>
            </w:r>
          </w:p>
        </w:tc>
        <w:tc>
          <w:tcPr>
            <w:tcW w:w="991" w:type="dxa"/>
            <w:shd w:val="clear" w:color="auto" w:fill="D9D9D9"/>
          </w:tcPr>
          <w:p>
            <w:pPr>
              <w:pStyle w:val="TableParagraph"/>
              <w:spacing w:line="227" w:lineRule="exact"/>
              <w:ind w:left="100" w:right="96"/>
              <w:rPr>
                <w:sz w:val="20"/>
              </w:rPr>
            </w:pPr>
            <w:r>
              <w:rPr>
                <w:sz w:val="20"/>
              </w:rPr>
              <w:t>Ninguna</w:t>
            </w:r>
          </w:p>
        </w:tc>
        <w:tc>
          <w:tcPr>
            <w:tcW w:w="1702" w:type="dxa"/>
            <w:shd w:val="clear" w:color="auto" w:fill="D9D9D9"/>
          </w:tcPr>
          <w:p>
            <w:pPr>
              <w:pStyle w:val="TableParagraph"/>
              <w:tabs>
                <w:tab w:pos="1585" w:val="right" w:leader="none"/>
              </w:tabs>
              <w:spacing w:line="227" w:lineRule="exact"/>
              <w:rPr>
                <w:sz w:val="20"/>
              </w:rPr>
            </w:pPr>
            <w:r>
              <w:rPr>
                <w:sz w:val="20"/>
              </w:rPr>
              <w:t>Sanción</w:t>
              <w:tab/>
              <w:t>500</w:t>
            </w:r>
          </w:p>
          <w:p>
            <w:pPr>
              <w:pStyle w:val="TableParagraph"/>
              <w:tabs>
                <w:tab w:pos="1276" w:val="left" w:leader="none"/>
              </w:tabs>
              <w:rPr>
                <w:sz w:val="20"/>
              </w:rPr>
            </w:pPr>
            <w:r>
              <w:rPr>
                <w:sz w:val="20"/>
              </w:rPr>
              <w:t>días</w:t>
              <w:tab/>
              <w:t>****</w:t>
            </w:r>
          </w:p>
          <w:p>
            <w:pPr>
              <w:pStyle w:val="TableParagraph"/>
              <w:rPr>
                <w:sz w:val="20"/>
              </w:rPr>
            </w:pPr>
            <w:r>
              <w:rPr>
                <w:sz w:val="20"/>
              </w:rPr>
              <w:t>$22,905.00</w:t>
            </w:r>
          </w:p>
          <w:p>
            <w:pPr>
              <w:pStyle w:val="TableParagraph"/>
              <w:spacing w:before="2"/>
              <w:rPr>
                <w:sz w:val="18"/>
              </w:rPr>
            </w:pPr>
            <w:r>
              <w:rPr>
                <w:sz w:val="18"/>
              </w:rPr>
              <w:t>($2,141.61 USD)</w:t>
            </w:r>
          </w:p>
        </w:tc>
        <w:tc>
          <w:tcPr>
            <w:tcW w:w="1702" w:type="dxa"/>
            <w:shd w:val="clear" w:color="auto" w:fill="D9D9D9"/>
          </w:tcPr>
          <w:p>
            <w:pPr>
              <w:pStyle w:val="TableParagraph"/>
              <w:tabs>
                <w:tab w:pos="1585" w:val="right" w:leader="none"/>
              </w:tabs>
              <w:spacing w:line="227" w:lineRule="exact"/>
              <w:rPr>
                <w:sz w:val="20"/>
              </w:rPr>
            </w:pPr>
            <w:r>
              <w:rPr>
                <w:sz w:val="20"/>
              </w:rPr>
              <w:t>Sanción</w:t>
              <w:tab/>
              <w:t>500</w:t>
            </w:r>
          </w:p>
          <w:p>
            <w:pPr>
              <w:pStyle w:val="TableParagraph"/>
              <w:tabs>
                <w:tab w:pos="1276" w:val="left" w:leader="none"/>
              </w:tabs>
              <w:rPr>
                <w:sz w:val="20"/>
              </w:rPr>
            </w:pPr>
            <w:r>
              <w:rPr>
                <w:sz w:val="20"/>
              </w:rPr>
              <w:t>días</w:t>
              <w:tab/>
              <w:t>****</w:t>
            </w:r>
          </w:p>
          <w:p>
            <w:pPr>
              <w:pStyle w:val="TableParagraph"/>
              <w:rPr>
                <w:sz w:val="20"/>
              </w:rPr>
            </w:pPr>
            <w:r>
              <w:rPr>
                <w:sz w:val="20"/>
              </w:rPr>
              <w:t>$22,905.00</w:t>
            </w:r>
          </w:p>
          <w:p>
            <w:pPr>
              <w:pStyle w:val="TableParagraph"/>
              <w:spacing w:before="2"/>
              <w:rPr>
                <w:sz w:val="18"/>
              </w:rPr>
            </w:pPr>
            <w:r>
              <w:rPr>
                <w:sz w:val="18"/>
              </w:rPr>
              <w:t>($2,141.61 USD)</w:t>
            </w:r>
          </w:p>
        </w:tc>
        <w:tc>
          <w:tcPr>
            <w:tcW w:w="1009" w:type="dxa"/>
            <w:shd w:val="clear" w:color="auto" w:fill="D9D9D9"/>
          </w:tcPr>
          <w:p>
            <w:pPr>
              <w:pStyle w:val="TableParagraph"/>
              <w:spacing w:line="227" w:lineRule="exact"/>
              <w:ind w:left="101"/>
              <w:rPr>
                <w:sz w:val="20"/>
              </w:rPr>
            </w:pPr>
            <w:r>
              <w:rPr>
                <w:sz w:val="20"/>
              </w:rPr>
              <w:t>Ninguna</w:t>
            </w:r>
          </w:p>
        </w:tc>
      </w:tr>
      <w:tr>
        <w:trPr>
          <w:trHeight w:val="3236" w:hRule="exact"/>
        </w:trPr>
        <w:tc>
          <w:tcPr>
            <w:tcW w:w="2494" w:type="dxa"/>
            <w:gridSpan w:val="2"/>
          </w:tcPr>
          <w:p>
            <w:pPr>
              <w:pStyle w:val="TableParagraph"/>
              <w:ind w:right="102"/>
              <w:jc w:val="both"/>
              <w:rPr>
                <w:b/>
                <w:sz w:val="20"/>
              </w:rPr>
            </w:pPr>
            <w:r>
              <w:rPr>
                <w:b/>
                <w:sz w:val="20"/>
              </w:rPr>
              <w:t>No incurrió en irregularidad, no se impone sanción.</w:t>
            </w:r>
          </w:p>
        </w:tc>
        <w:tc>
          <w:tcPr>
            <w:tcW w:w="1160" w:type="dxa"/>
          </w:tcPr>
          <w:p>
            <w:pPr/>
          </w:p>
        </w:tc>
        <w:tc>
          <w:tcPr>
            <w:tcW w:w="991" w:type="dxa"/>
          </w:tcPr>
          <w:p>
            <w:pPr/>
          </w:p>
        </w:tc>
        <w:tc>
          <w:tcPr>
            <w:tcW w:w="1702" w:type="dxa"/>
          </w:tcPr>
          <w:p>
            <w:pPr>
              <w:pStyle w:val="TableParagraph"/>
              <w:tabs>
                <w:tab w:pos="623" w:val="left" w:leader="none"/>
                <w:tab w:pos="793" w:val="left" w:leader="none"/>
                <w:tab w:pos="862" w:val="left" w:leader="none"/>
                <w:tab w:pos="1295" w:val="left" w:leader="none"/>
                <w:tab w:pos="1364" w:val="left" w:leader="none"/>
                <w:tab w:pos="1417" w:val="left" w:leader="none"/>
              </w:tabs>
              <w:ind w:right="102"/>
              <w:rPr>
                <w:b/>
                <w:sz w:val="20"/>
              </w:rPr>
            </w:pPr>
            <w:r>
              <w:rPr>
                <w:b/>
                <w:sz w:val="20"/>
              </w:rPr>
              <w:t>Multa</w:t>
              <w:tab/>
              <w:tab/>
              <w:t>por</w:t>
              <w:tab/>
              <w:tab/>
              <w:tab/>
              <w:t>la cantidad equivalente</w:t>
              <w:tab/>
              <w:tab/>
              <w:tab/>
              <w:t>al 2.67%</w:t>
              <w:tab/>
              <w:tab/>
              <w:tab/>
              <w:t>del financiamiento público correspondien- te</w:t>
              <w:tab/>
              <w:tab/>
              <w:t>a</w:t>
              <w:tab/>
              <w:tab/>
              <w:tab/>
              <w:t>la ministración de un</w:t>
              <w:tab/>
              <w:t>mes;</w:t>
              <w:tab/>
              <w:tab/>
              <w:t>es decir</w:t>
            </w:r>
          </w:p>
          <w:p>
            <w:pPr>
              <w:pStyle w:val="TableParagraph"/>
              <w:rPr>
                <w:b/>
                <w:sz w:val="20"/>
              </w:rPr>
            </w:pPr>
            <w:r>
              <w:rPr>
                <w:b/>
                <w:sz w:val="20"/>
              </w:rPr>
              <w:t>$23,676.00 ($2,213.7 USD)</w:t>
            </w:r>
          </w:p>
        </w:tc>
        <w:tc>
          <w:tcPr>
            <w:tcW w:w="1702" w:type="dxa"/>
          </w:tcPr>
          <w:p>
            <w:pPr>
              <w:pStyle w:val="TableParagraph"/>
              <w:tabs>
                <w:tab w:pos="560" w:val="left" w:leader="none"/>
                <w:tab w:pos="793" w:val="left" w:leader="none"/>
                <w:tab w:pos="862" w:val="left" w:leader="none"/>
                <w:tab w:pos="1229" w:val="left" w:leader="none"/>
                <w:tab w:pos="1295" w:val="left" w:leader="none"/>
                <w:tab w:pos="1417" w:val="left" w:leader="none"/>
                <w:tab w:pos="1475" w:val="left" w:leader="none"/>
              </w:tabs>
              <w:ind w:right="102"/>
              <w:rPr>
                <w:b/>
                <w:sz w:val="20"/>
              </w:rPr>
            </w:pPr>
            <w:r>
              <w:rPr>
                <w:b/>
                <w:sz w:val="20"/>
              </w:rPr>
              <w:t>Multa</w:t>
              <w:tab/>
              <w:tab/>
              <w:t>por</w:t>
              <w:tab/>
              <w:tab/>
              <w:tab/>
              <w:t>la cantidad equivalente</w:t>
              <w:tab/>
              <w:tab/>
              <w:tab/>
              <w:t>al 1.29%</w:t>
              <w:tab/>
              <w:tab/>
              <w:tab/>
              <w:tab/>
              <w:t>del financiamiento público correspondien- te</w:t>
              <w:tab/>
              <w:tab/>
              <w:t>a</w:t>
              <w:tab/>
              <w:tab/>
              <w:tab/>
              <w:t>la ministración de un</w:t>
              <w:tab/>
              <w:t>mes,</w:t>
              <w:tab/>
              <w:t>que equivale</w:t>
              <w:tab/>
              <w:tab/>
              <w:tab/>
              <w:tab/>
              <w:t>a</w:t>
            </w:r>
          </w:p>
          <w:p>
            <w:pPr>
              <w:pStyle w:val="TableParagraph"/>
              <w:rPr>
                <w:b/>
                <w:sz w:val="20"/>
              </w:rPr>
            </w:pPr>
            <w:r>
              <w:rPr>
                <w:b/>
                <w:w w:val="95"/>
                <w:sz w:val="20"/>
              </w:rPr>
              <w:t>$11,439.00 </w:t>
            </w:r>
            <w:r>
              <w:rPr>
                <w:b/>
                <w:sz w:val="20"/>
              </w:rPr>
              <w:t>($1,069.54</w:t>
            </w:r>
          </w:p>
          <w:p>
            <w:pPr>
              <w:pStyle w:val="TableParagraph"/>
              <w:rPr>
                <w:b/>
                <w:sz w:val="20"/>
              </w:rPr>
            </w:pPr>
            <w:r>
              <w:rPr>
                <w:b/>
                <w:sz w:val="20"/>
              </w:rPr>
              <w:t>USD)</w:t>
            </w:r>
          </w:p>
        </w:tc>
        <w:tc>
          <w:tcPr>
            <w:tcW w:w="1009" w:type="dxa"/>
          </w:tcPr>
          <w:p>
            <w:pPr/>
          </w:p>
        </w:tc>
      </w:tr>
      <w:tr>
        <w:trPr>
          <w:trHeight w:val="1390" w:hRule="exact"/>
        </w:trPr>
        <w:tc>
          <w:tcPr>
            <w:tcW w:w="2494" w:type="dxa"/>
            <w:gridSpan w:val="2"/>
          </w:tcPr>
          <w:p>
            <w:pPr>
              <w:pStyle w:val="TableParagraph"/>
              <w:ind w:right="102"/>
              <w:jc w:val="both"/>
              <w:rPr>
                <w:b/>
                <w:sz w:val="20"/>
              </w:rPr>
            </w:pPr>
            <w:r>
              <w:rPr>
                <w:b/>
                <w:sz w:val="20"/>
              </w:rPr>
              <w:t>Reducción del 7.02% correspondiente a un mes de financiamiento, que         equivale         a</w:t>
            </w:r>
          </w:p>
          <w:p>
            <w:pPr>
              <w:pStyle w:val="TableParagraph"/>
              <w:jc w:val="both"/>
              <w:rPr>
                <w:b/>
                <w:sz w:val="20"/>
              </w:rPr>
            </w:pPr>
            <w:r>
              <w:rPr>
                <w:b/>
                <w:sz w:val="20"/>
              </w:rPr>
              <w:t>$262,253.79 ($24,520.72</w:t>
            </w:r>
          </w:p>
          <w:p>
            <w:pPr>
              <w:pStyle w:val="TableParagraph"/>
              <w:jc w:val="both"/>
              <w:rPr>
                <w:b/>
                <w:sz w:val="20"/>
              </w:rPr>
            </w:pPr>
            <w:r>
              <w:rPr>
                <w:b/>
                <w:sz w:val="20"/>
              </w:rPr>
              <w:t>USD)</w:t>
            </w:r>
          </w:p>
        </w:tc>
        <w:tc>
          <w:tcPr>
            <w:tcW w:w="1160" w:type="dxa"/>
          </w:tcPr>
          <w:p>
            <w:pPr/>
          </w:p>
        </w:tc>
        <w:tc>
          <w:tcPr>
            <w:tcW w:w="991" w:type="dxa"/>
          </w:tcPr>
          <w:p>
            <w:pPr/>
          </w:p>
        </w:tc>
        <w:tc>
          <w:tcPr>
            <w:tcW w:w="1702" w:type="dxa"/>
          </w:tcPr>
          <w:p>
            <w:pPr/>
          </w:p>
        </w:tc>
        <w:tc>
          <w:tcPr>
            <w:tcW w:w="1702" w:type="dxa"/>
          </w:tcPr>
          <w:p>
            <w:pPr/>
          </w:p>
        </w:tc>
        <w:tc>
          <w:tcPr>
            <w:tcW w:w="1009" w:type="dxa"/>
          </w:tcPr>
          <w:p>
            <w:pPr/>
          </w:p>
        </w:tc>
      </w:tr>
      <w:tr>
        <w:trPr>
          <w:trHeight w:val="929" w:hRule="exact"/>
        </w:trPr>
        <w:tc>
          <w:tcPr>
            <w:tcW w:w="1385" w:type="dxa"/>
          </w:tcPr>
          <w:p>
            <w:pPr>
              <w:pStyle w:val="TableParagraph"/>
              <w:ind w:right="105"/>
              <w:rPr>
                <w:sz w:val="20"/>
              </w:rPr>
            </w:pPr>
            <w:r>
              <w:rPr>
                <w:sz w:val="20"/>
              </w:rPr>
              <w:t>Cantidad total a pagar por partido</w:t>
            </w:r>
          </w:p>
        </w:tc>
        <w:tc>
          <w:tcPr>
            <w:tcW w:w="1109" w:type="dxa"/>
          </w:tcPr>
          <w:p>
            <w:pPr>
              <w:pStyle w:val="TableParagraph"/>
              <w:ind w:left="100" w:right="89"/>
              <w:rPr>
                <w:sz w:val="20"/>
              </w:rPr>
            </w:pPr>
            <w:r>
              <w:rPr>
                <w:sz w:val="20"/>
              </w:rPr>
              <w:t>$262,253.</w:t>
            </w:r>
            <w:r>
              <w:rPr>
                <w:w w:val="99"/>
                <w:sz w:val="20"/>
              </w:rPr>
              <w:t> </w:t>
            </w:r>
            <w:r>
              <w:rPr>
                <w:sz w:val="20"/>
              </w:rPr>
              <w:t>79 ($24,520. 72 USD)</w:t>
            </w:r>
          </w:p>
        </w:tc>
        <w:tc>
          <w:tcPr>
            <w:tcW w:w="1160" w:type="dxa"/>
          </w:tcPr>
          <w:p>
            <w:pPr>
              <w:pStyle w:val="TableParagraph"/>
              <w:spacing w:line="227" w:lineRule="exact"/>
              <w:ind w:right="104"/>
              <w:rPr>
                <w:sz w:val="20"/>
              </w:rPr>
            </w:pPr>
            <w:r>
              <w:rPr>
                <w:sz w:val="20"/>
              </w:rPr>
              <w:t>Ninguna</w:t>
            </w:r>
          </w:p>
        </w:tc>
        <w:tc>
          <w:tcPr>
            <w:tcW w:w="991" w:type="dxa"/>
          </w:tcPr>
          <w:p>
            <w:pPr>
              <w:pStyle w:val="TableParagraph"/>
              <w:spacing w:line="227" w:lineRule="exact"/>
              <w:ind w:left="100" w:right="96"/>
              <w:rPr>
                <w:sz w:val="20"/>
              </w:rPr>
            </w:pPr>
            <w:r>
              <w:rPr>
                <w:sz w:val="20"/>
              </w:rPr>
              <w:t>Ninguna</w:t>
            </w:r>
          </w:p>
        </w:tc>
        <w:tc>
          <w:tcPr>
            <w:tcW w:w="1702" w:type="dxa"/>
          </w:tcPr>
          <w:p>
            <w:pPr>
              <w:pStyle w:val="TableParagraph"/>
              <w:rPr>
                <w:sz w:val="20"/>
              </w:rPr>
            </w:pPr>
            <w:r>
              <w:rPr>
                <w:w w:val="95"/>
                <w:sz w:val="20"/>
              </w:rPr>
              <w:t>$46,581.00 </w:t>
            </w:r>
            <w:r>
              <w:rPr>
                <w:sz w:val="20"/>
              </w:rPr>
              <w:t>($4,355.32</w:t>
            </w:r>
          </w:p>
          <w:p>
            <w:pPr>
              <w:pStyle w:val="TableParagraph"/>
              <w:spacing w:line="228" w:lineRule="exact"/>
              <w:rPr>
                <w:sz w:val="20"/>
              </w:rPr>
            </w:pPr>
            <w:r>
              <w:rPr>
                <w:sz w:val="20"/>
              </w:rPr>
              <w:t>USD)</w:t>
            </w:r>
          </w:p>
        </w:tc>
        <w:tc>
          <w:tcPr>
            <w:tcW w:w="1702" w:type="dxa"/>
          </w:tcPr>
          <w:p>
            <w:pPr>
              <w:pStyle w:val="TableParagraph"/>
              <w:rPr>
                <w:sz w:val="20"/>
              </w:rPr>
            </w:pPr>
            <w:r>
              <w:rPr>
                <w:w w:val="95"/>
                <w:sz w:val="20"/>
              </w:rPr>
              <w:t>$34,344.00 </w:t>
            </w:r>
            <w:r>
              <w:rPr>
                <w:sz w:val="20"/>
              </w:rPr>
              <w:t>($3,211.16</w:t>
            </w:r>
          </w:p>
          <w:p>
            <w:pPr>
              <w:pStyle w:val="TableParagraph"/>
              <w:spacing w:line="228" w:lineRule="exact"/>
              <w:rPr>
                <w:sz w:val="20"/>
              </w:rPr>
            </w:pPr>
            <w:r>
              <w:rPr>
                <w:sz w:val="20"/>
              </w:rPr>
              <w:t>USD)</w:t>
            </w:r>
          </w:p>
        </w:tc>
        <w:tc>
          <w:tcPr>
            <w:tcW w:w="1009" w:type="dxa"/>
          </w:tcPr>
          <w:p>
            <w:pPr>
              <w:pStyle w:val="TableParagraph"/>
              <w:spacing w:line="227" w:lineRule="exact"/>
              <w:ind w:left="101"/>
              <w:rPr>
                <w:sz w:val="20"/>
              </w:rPr>
            </w:pPr>
            <w:r>
              <w:rPr>
                <w:sz w:val="20"/>
              </w:rPr>
              <w:t>Ninguna</w:t>
            </w:r>
          </w:p>
        </w:tc>
      </w:tr>
      <w:tr>
        <w:trPr>
          <w:trHeight w:val="701" w:hRule="exact"/>
        </w:trPr>
        <w:tc>
          <w:tcPr>
            <w:tcW w:w="1385" w:type="dxa"/>
          </w:tcPr>
          <w:p>
            <w:pPr>
              <w:pStyle w:val="TableParagraph"/>
              <w:tabs>
                <w:tab w:pos="1269" w:val="right" w:leader="none"/>
              </w:tabs>
              <w:spacing w:line="227" w:lineRule="exact"/>
              <w:rPr>
                <w:sz w:val="20"/>
              </w:rPr>
            </w:pPr>
            <w:r>
              <w:rPr>
                <w:sz w:val="20"/>
              </w:rPr>
              <w:t>Entre</w:t>
              <w:tab/>
              <w:t>12</w:t>
            </w:r>
          </w:p>
          <w:p>
            <w:pPr>
              <w:pStyle w:val="TableParagraph"/>
              <w:ind w:right="105"/>
              <w:rPr>
                <w:sz w:val="20"/>
              </w:rPr>
            </w:pPr>
            <w:r>
              <w:rPr>
                <w:sz w:val="20"/>
              </w:rPr>
              <w:t>meses</w:t>
            </w:r>
          </w:p>
        </w:tc>
        <w:tc>
          <w:tcPr>
            <w:tcW w:w="1109" w:type="dxa"/>
          </w:tcPr>
          <w:p>
            <w:pPr>
              <w:pStyle w:val="TableParagraph"/>
              <w:ind w:left="100" w:right="108"/>
              <w:jc w:val="both"/>
              <w:rPr>
                <w:sz w:val="20"/>
              </w:rPr>
            </w:pPr>
            <w:r>
              <w:rPr>
                <w:w w:val="95"/>
                <w:sz w:val="20"/>
              </w:rPr>
              <w:t>21,854.48 </w:t>
            </w:r>
            <w:r>
              <w:rPr>
                <w:sz w:val="20"/>
              </w:rPr>
              <w:t>($2,043.3 9 USD)</w:t>
            </w:r>
          </w:p>
        </w:tc>
        <w:tc>
          <w:tcPr>
            <w:tcW w:w="1160" w:type="dxa"/>
          </w:tcPr>
          <w:p>
            <w:pPr>
              <w:pStyle w:val="TableParagraph"/>
              <w:spacing w:line="227" w:lineRule="exact"/>
              <w:ind w:right="104"/>
              <w:rPr>
                <w:sz w:val="20"/>
              </w:rPr>
            </w:pPr>
            <w:r>
              <w:rPr>
                <w:sz w:val="20"/>
              </w:rPr>
              <w:t>Ninguna</w:t>
            </w:r>
          </w:p>
        </w:tc>
        <w:tc>
          <w:tcPr>
            <w:tcW w:w="991" w:type="dxa"/>
          </w:tcPr>
          <w:p>
            <w:pPr>
              <w:pStyle w:val="TableParagraph"/>
              <w:spacing w:line="227" w:lineRule="exact"/>
              <w:ind w:left="100" w:right="96"/>
              <w:rPr>
                <w:sz w:val="20"/>
              </w:rPr>
            </w:pPr>
            <w:r>
              <w:rPr>
                <w:sz w:val="20"/>
              </w:rPr>
              <w:t>Ninguna</w:t>
            </w:r>
          </w:p>
        </w:tc>
        <w:tc>
          <w:tcPr>
            <w:tcW w:w="1702" w:type="dxa"/>
          </w:tcPr>
          <w:p>
            <w:pPr>
              <w:pStyle w:val="TableParagraph"/>
              <w:rPr>
                <w:sz w:val="20"/>
              </w:rPr>
            </w:pPr>
            <w:r>
              <w:rPr>
                <w:sz w:val="20"/>
              </w:rPr>
              <w:t>$3,881.00 ($362.87 USD)</w:t>
            </w:r>
          </w:p>
        </w:tc>
        <w:tc>
          <w:tcPr>
            <w:tcW w:w="1702" w:type="dxa"/>
          </w:tcPr>
          <w:p>
            <w:pPr>
              <w:pStyle w:val="TableParagraph"/>
              <w:rPr>
                <w:sz w:val="20"/>
              </w:rPr>
            </w:pPr>
            <w:r>
              <w:rPr>
                <w:sz w:val="20"/>
              </w:rPr>
              <w:t>$2,862.00 ($267.59 USD)</w:t>
            </w:r>
          </w:p>
        </w:tc>
        <w:tc>
          <w:tcPr>
            <w:tcW w:w="1009" w:type="dxa"/>
          </w:tcPr>
          <w:p>
            <w:pPr>
              <w:pStyle w:val="TableParagraph"/>
              <w:spacing w:line="227" w:lineRule="exact"/>
              <w:ind w:left="101"/>
              <w:rPr>
                <w:sz w:val="20"/>
              </w:rPr>
            </w:pPr>
            <w:r>
              <w:rPr>
                <w:sz w:val="20"/>
              </w:rPr>
              <w:t>Ninguna</w:t>
            </w:r>
          </w:p>
        </w:tc>
      </w:tr>
      <w:tr>
        <w:trPr>
          <w:trHeight w:val="1159" w:hRule="exact"/>
        </w:trPr>
        <w:tc>
          <w:tcPr>
            <w:tcW w:w="1385" w:type="dxa"/>
          </w:tcPr>
          <w:p>
            <w:pPr>
              <w:pStyle w:val="TableParagraph"/>
              <w:ind w:right="105"/>
              <w:rPr>
                <w:sz w:val="20"/>
              </w:rPr>
            </w:pPr>
            <w:r>
              <w:rPr>
                <w:w w:val="95"/>
                <w:sz w:val="20"/>
              </w:rPr>
              <w:t>Ministración </w:t>
            </w:r>
            <w:r>
              <w:rPr>
                <w:sz w:val="20"/>
              </w:rPr>
              <w:t>mensual</w:t>
            </w:r>
          </w:p>
        </w:tc>
        <w:tc>
          <w:tcPr>
            <w:tcW w:w="1109" w:type="dxa"/>
          </w:tcPr>
          <w:p>
            <w:pPr>
              <w:pStyle w:val="TableParagraph"/>
              <w:spacing w:line="227" w:lineRule="exact"/>
              <w:ind w:left="100"/>
              <w:rPr>
                <w:sz w:val="20"/>
              </w:rPr>
            </w:pPr>
            <w:r>
              <w:rPr>
                <w:sz w:val="20"/>
              </w:rPr>
              <w:t>3,736,991</w:t>
            </w:r>
          </w:p>
          <w:p>
            <w:pPr>
              <w:pStyle w:val="TableParagraph"/>
              <w:ind w:left="100" w:right="89"/>
              <w:rPr>
                <w:sz w:val="20"/>
              </w:rPr>
            </w:pPr>
            <w:r>
              <w:rPr>
                <w:sz w:val="20"/>
              </w:rPr>
              <w:t>.14 </w:t>
            </w:r>
            <w:r>
              <w:rPr>
                <w:w w:val="95"/>
                <w:sz w:val="20"/>
              </w:rPr>
              <w:t>($349,40 </w:t>
            </w:r>
            <w:r>
              <w:rPr>
                <w:sz w:val="20"/>
              </w:rPr>
              <w:t>8.67</w:t>
            </w:r>
          </w:p>
          <w:p>
            <w:pPr>
              <w:pStyle w:val="TableParagraph"/>
              <w:ind w:left="100" w:right="89"/>
              <w:rPr>
                <w:sz w:val="20"/>
              </w:rPr>
            </w:pPr>
            <w:r>
              <w:rPr>
                <w:sz w:val="20"/>
              </w:rPr>
              <w:t>USD)</w:t>
            </w:r>
          </w:p>
        </w:tc>
        <w:tc>
          <w:tcPr>
            <w:tcW w:w="1160" w:type="dxa"/>
          </w:tcPr>
          <w:p>
            <w:pPr>
              <w:pStyle w:val="TableParagraph"/>
              <w:spacing w:line="227" w:lineRule="exact"/>
              <w:ind w:right="104"/>
              <w:rPr>
                <w:sz w:val="20"/>
              </w:rPr>
            </w:pPr>
            <w:r>
              <w:rPr>
                <w:sz w:val="20"/>
              </w:rPr>
              <w:t>3,723,431</w:t>
            </w:r>
          </w:p>
          <w:p>
            <w:pPr>
              <w:pStyle w:val="TableParagraph"/>
              <w:ind w:right="104"/>
              <w:rPr>
                <w:sz w:val="20"/>
              </w:rPr>
            </w:pPr>
            <w:r>
              <w:rPr>
                <w:sz w:val="20"/>
              </w:rPr>
              <w:t>.08 </w:t>
            </w:r>
            <w:r>
              <w:rPr>
                <w:w w:val="95"/>
                <w:sz w:val="20"/>
              </w:rPr>
              <w:t>($348,140</w:t>
            </w:r>
          </w:p>
          <w:p>
            <w:pPr>
              <w:pStyle w:val="TableParagraph"/>
              <w:spacing w:line="228" w:lineRule="exact"/>
              <w:ind w:right="104"/>
              <w:rPr>
                <w:sz w:val="20"/>
              </w:rPr>
            </w:pPr>
            <w:r>
              <w:rPr>
                <w:sz w:val="20"/>
              </w:rPr>
              <w:t>.80 USD)</w:t>
            </w:r>
          </w:p>
        </w:tc>
        <w:tc>
          <w:tcPr>
            <w:tcW w:w="991" w:type="dxa"/>
          </w:tcPr>
          <w:p>
            <w:pPr>
              <w:pStyle w:val="TableParagraph"/>
              <w:spacing w:line="227" w:lineRule="exact"/>
              <w:ind w:left="100" w:right="98"/>
              <w:rPr>
                <w:sz w:val="20"/>
              </w:rPr>
            </w:pPr>
            <w:r>
              <w:rPr>
                <w:sz w:val="20"/>
              </w:rPr>
              <w:t>1,074,3</w:t>
            </w:r>
          </w:p>
          <w:p>
            <w:pPr>
              <w:pStyle w:val="TableParagraph"/>
              <w:ind w:left="100" w:right="98"/>
              <w:rPr>
                <w:sz w:val="20"/>
              </w:rPr>
            </w:pPr>
            <w:r>
              <w:rPr>
                <w:sz w:val="20"/>
              </w:rPr>
              <w:t>83.94 </w:t>
            </w:r>
            <w:r>
              <w:rPr>
                <w:w w:val="95"/>
                <w:sz w:val="20"/>
              </w:rPr>
              <w:t>($100,4 </w:t>
            </w:r>
            <w:r>
              <w:rPr>
                <w:sz w:val="20"/>
              </w:rPr>
              <w:t>54.89</w:t>
            </w:r>
          </w:p>
          <w:p>
            <w:pPr>
              <w:pStyle w:val="TableParagraph"/>
              <w:ind w:left="100" w:right="98"/>
              <w:rPr>
                <w:sz w:val="20"/>
              </w:rPr>
            </w:pPr>
            <w:r>
              <w:rPr>
                <w:sz w:val="20"/>
              </w:rPr>
              <w:t>USD)</w:t>
            </w:r>
          </w:p>
        </w:tc>
        <w:tc>
          <w:tcPr>
            <w:tcW w:w="1702" w:type="dxa"/>
          </w:tcPr>
          <w:p>
            <w:pPr>
              <w:pStyle w:val="TableParagraph"/>
              <w:ind w:right="401"/>
              <w:rPr>
                <w:sz w:val="20"/>
              </w:rPr>
            </w:pPr>
            <w:r>
              <w:rPr>
                <w:sz w:val="20"/>
              </w:rPr>
              <w:t>3,152,162.49 </w:t>
            </w:r>
            <w:r>
              <w:rPr>
                <w:w w:val="95"/>
                <w:sz w:val="20"/>
              </w:rPr>
              <w:t>($294,727.19</w:t>
            </w:r>
          </w:p>
          <w:p>
            <w:pPr>
              <w:pStyle w:val="TableParagraph"/>
              <w:rPr>
                <w:sz w:val="20"/>
              </w:rPr>
            </w:pPr>
            <w:r>
              <w:rPr>
                <w:sz w:val="20"/>
              </w:rPr>
              <w:t>USD)</w:t>
            </w:r>
          </w:p>
        </w:tc>
        <w:tc>
          <w:tcPr>
            <w:tcW w:w="1702" w:type="dxa"/>
          </w:tcPr>
          <w:p>
            <w:pPr>
              <w:pStyle w:val="TableParagraph"/>
              <w:rPr>
                <w:sz w:val="20"/>
              </w:rPr>
            </w:pPr>
            <w:r>
              <w:rPr>
                <w:sz w:val="20"/>
              </w:rPr>
              <w:t>833,527.93 </w:t>
            </w:r>
            <w:r>
              <w:rPr>
                <w:w w:val="95"/>
                <w:sz w:val="20"/>
              </w:rPr>
              <w:t>($77,934.86</w:t>
            </w:r>
          </w:p>
          <w:p>
            <w:pPr>
              <w:pStyle w:val="TableParagraph"/>
              <w:rPr>
                <w:sz w:val="20"/>
              </w:rPr>
            </w:pPr>
            <w:r>
              <w:rPr>
                <w:sz w:val="20"/>
              </w:rPr>
              <w:t>USD)</w:t>
            </w:r>
          </w:p>
        </w:tc>
        <w:tc>
          <w:tcPr>
            <w:tcW w:w="1009" w:type="dxa"/>
          </w:tcPr>
          <w:p>
            <w:pPr>
              <w:pStyle w:val="TableParagraph"/>
              <w:spacing w:line="227" w:lineRule="exact"/>
              <w:ind w:left="101"/>
              <w:rPr>
                <w:sz w:val="20"/>
              </w:rPr>
            </w:pPr>
            <w:r>
              <w:rPr>
                <w:sz w:val="20"/>
              </w:rPr>
              <w:t>653,055.</w:t>
            </w:r>
          </w:p>
          <w:p>
            <w:pPr>
              <w:pStyle w:val="TableParagraph"/>
              <w:ind w:left="101"/>
              <w:rPr>
                <w:sz w:val="20"/>
              </w:rPr>
            </w:pPr>
            <w:r>
              <w:rPr>
                <w:sz w:val="20"/>
              </w:rPr>
              <w:t>04 </w:t>
            </w:r>
            <w:r>
              <w:rPr>
                <w:w w:val="95"/>
                <w:sz w:val="20"/>
              </w:rPr>
              <w:t>($61,060</w:t>
            </w:r>
          </w:p>
          <w:p>
            <w:pPr>
              <w:pStyle w:val="TableParagraph"/>
              <w:spacing w:line="228" w:lineRule="exact"/>
              <w:ind w:left="101"/>
              <w:rPr>
                <w:sz w:val="20"/>
              </w:rPr>
            </w:pPr>
            <w:r>
              <w:rPr>
                <w:sz w:val="20"/>
              </w:rPr>
              <w:t>.64</w:t>
            </w:r>
          </w:p>
          <w:p>
            <w:pPr>
              <w:pStyle w:val="TableParagraph"/>
              <w:ind w:left="101"/>
              <w:rPr>
                <w:sz w:val="20"/>
              </w:rPr>
            </w:pPr>
            <w:r>
              <w:rPr>
                <w:sz w:val="20"/>
              </w:rPr>
              <w:t>USD)</w:t>
            </w:r>
          </w:p>
        </w:tc>
      </w:tr>
      <w:tr>
        <w:trPr>
          <w:trHeight w:val="240" w:hRule="exact"/>
        </w:trPr>
        <w:tc>
          <w:tcPr>
            <w:tcW w:w="1385" w:type="dxa"/>
          </w:tcPr>
          <w:p>
            <w:pPr>
              <w:pStyle w:val="TableParagraph"/>
              <w:tabs>
                <w:tab w:pos="587" w:val="left" w:leader="none"/>
                <w:tab w:pos="1115" w:val="left" w:leader="none"/>
              </w:tabs>
              <w:spacing w:line="227" w:lineRule="exact"/>
              <w:rPr>
                <w:sz w:val="20"/>
              </w:rPr>
            </w:pPr>
            <w:r>
              <w:rPr>
                <w:sz w:val="20"/>
              </w:rPr>
              <w:t>%</w:t>
              <w:tab/>
              <w:t>de</w:t>
              <w:tab/>
              <w:t>la</w:t>
            </w:r>
          </w:p>
        </w:tc>
        <w:tc>
          <w:tcPr>
            <w:tcW w:w="1109" w:type="dxa"/>
          </w:tcPr>
          <w:p>
            <w:pPr>
              <w:pStyle w:val="TableParagraph"/>
              <w:spacing w:line="227" w:lineRule="exact"/>
              <w:ind w:left="100" w:right="89"/>
              <w:rPr>
                <w:sz w:val="20"/>
              </w:rPr>
            </w:pPr>
            <w:r>
              <w:rPr>
                <w:sz w:val="20"/>
              </w:rPr>
              <w:t>0.58%</w:t>
            </w:r>
          </w:p>
        </w:tc>
        <w:tc>
          <w:tcPr>
            <w:tcW w:w="1160" w:type="dxa"/>
          </w:tcPr>
          <w:p>
            <w:pPr>
              <w:pStyle w:val="TableParagraph"/>
              <w:spacing w:line="227" w:lineRule="exact"/>
              <w:ind w:right="104"/>
              <w:rPr>
                <w:sz w:val="20"/>
              </w:rPr>
            </w:pPr>
            <w:r>
              <w:rPr>
                <w:sz w:val="20"/>
              </w:rPr>
              <w:t>0%</w:t>
            </w:r>
          </w:p>
        </w:tc>
        <w:tc>
          <w:tcPr>
            <w:tcW w:w="991" w:type="dxa"/>
          </w:tcPr>
          <w:p>
            <w:pPr>
              <w:pStyle w:val="TableParagraph"/>
              <w:spacing w:line="227" w:lineRule="exact"/>
              <w:ind w:left="100" w:right="98"/>
              <w:rPr>
                <w:sz w:val="20"/>
              </w:rPr>
            </w:pPr>
            <w:r>
              <w:rPr>
                <w:sz w:val="20"/>
              </w:rPr>
              <w:t>0%</w:t>
            </w:r>
          </w:p>
        </w:tc>
        <w:tc>
          <w:tcPr>
            <w:tcW w:w="1702" w:type="dxa"/>
          </w:tcPr>
          <w:p>
            <w:pPr>
              <w:pStyle w:val="TableParagraph"/>
              <w:spacing w:line="227" w:lineRule="exact"/>
              <w:rPr>
                <w:sz w:val="20"/>
              </w:rPr>
            </w:pPr>
            <w:r>
              <w:rPr>
                <w:sz w:val="20"/>
              </w:rPr>
              <w:t>0.12%</w:t>
            </w:r>
          </w:p>
        </w:tc>
        <w:tc>
          <w:tcPr>
            <w:tcW w:w="1702" w:type="dxa"/>
          </w:tcPr>
          <w:p>
            <w:pPr>
              <w:pStyle w:val="TableParagraph"/>
              <w:spacing w:line="227" w:lineRule="exact"/>
              <w:rPr>
                <w:sz w:val="20"/>
              </w:rPr>
            </w:pPr>
            <w:r>
              <w:rPr>
                <w:sz w:val="20"/>
              </w:rPr>
              <w:t>0.34%</w:t>
            </w:r>
          </w:p>
        </w:tc>
        <w:tc>
          <w:tcPr>
            <w:tcW w:w="1009" w:type="dxa"/>
          </w:tcPr>
          <w:p>
            <w:pPr>
              <w:pStyle w:val="TableParagraph"/>
              <w:spacing w:line="227" w:lineRule="exact"/>
              <w:ind w:left="101"/>
              <w:rPr>
                <w:sz w:val="20"/>
              </w:rPr>
            </w:pPr>
            <w:r>
              <w:rPr>
                <w:sz w:val="20"/>
              </w:rPr>
              <w:t>0%</w:t>
            </w:r>
          </w:p>
        </w:tc>
      </w:tr>
    </w:tbl>
    <w:p>
      <w:pPr>
        <w:spacing w:after="0" w:line="227" w:lineRule="exact"/>
        <w:rPr>
          <w:sz w:val="20"/>
        </w:rPr>
        <w:sectPr>
          <w:pgSz w:w="12240" w:h="15840"/>
          <w:pgMar w:header="749" w:footer="1003" w:top="960" w:bottom="1200" w:left="1480" w:right="1460"/>
        </w:sectPr>
      </w:pPr>
    </w:p>
    <w:p>
      <w:pPr>
        <w:pStyle w:val="BodyText"/>
        <w:rPr>
          <w:b/>
          <w:sz w:val="20"/>
        </w:rPr>
      </w:pPr>
    </w:p>
    <w:p>
      <w:pPr>
        <w:pStyle w:val="BodyText"/>
        <w:spacing w:before="9"/>
        <w:rPr>
          <w:b/>
          <w:sz w:val="18"/>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109"/>
        <w:gridCol w:w="1160"/>
        <w:gridCol w:w="991"/>
        <w:gridCol w:w="1702"/>
        <w:gridCol w:w="1702"/>
        <w:gridCol w:w="1009"/>
      </w:tblGrid>
      <w:tr>
        <w:trPr>
          <w:trHeight w:val="471" w:hRule="exact"/>
        </w:trPr>
        <w:tc>
          <w:tcPr>
            <w:tcW w:w="1385" w:type="dxa"/>
          </w:tcPr>
          <w:p>
            <w:pPr>
              <w:pStyle w:val="TableParagraph"/>
              <w:ind w:right="105"/>
              <w:rPr>
                <w:sz w:val="20"/>
              </w:rPr>
            </w:pPr>
            <w:r>
              <w:rPr>
                <w:w w:val="95"/>
                <w:sz w:val="20"/>
              </w:rPr>
              <w:t>ministración </w:t>
            </w:r>
            <w:r>
              <w:rPr>
                <w:sz w:val="20"/>
              </w:rPr>
              <w:t>mensual</w:t>
            </w:r>
          </w:p>
        </w:tc>
        <w:tc>
          <w:tcPr>
            <w:tcW w:w="1109" w:type="dxa"/>
          </w:tcPr>
          <w:p>
            <w:pPr/>
          </w:p>
        </w:tc>
        <w:tc>
          <w:tcPr>
            <w:tcW w:w="1160" w:type="dxa"/>
          </w:tcPr>
          <w:p>
            <w:pPr/>
          </w:p>
        </w:tc>
        <w:tc>
          <w:tcPr>
            <w:tcW w:w="991" w:type="dxa"/>
          </w:tcPr>
          <w:p>
            <w:pPr/>
          </w:p>
        </w:tc>
        <w:tc>
          <w:tcPr>
            <w:tcW w:w="1702" w:type="dxa"/>
          </w:tcPr>
          <w:p>
            <w:pPr/>
          </w:p>
        </w:tc>
        <w:tc>
          <w:tcPr>
            <w:tcW w:w="1702" w:type="dxa"/>
          </w:tcPr>
          <w:p>
            <w:pPr/>
          </w:p>
        </w:tc>
        <w:tc>
          <w:tcPr>
            <w:tcW w:w="1009" w:type="dxa"/>
          </w:tcPr>
          <w:p>
            <w:pPr/>
          </w:p>
        </w:tc>
      </w:tr>
      <w:tr>
        <w:trPr>
          <w:trHeight w:val="516" w:hRule="exact"/>
        </w:trPr>
        <w:tc>
          <w:tcPr>
            <w:tcW w:w="1385" w:type="dxa"/>
          </w:tcPr>
          <w:p>
            <w:pPr>
              <w:pStyle w:val="TableParagraph"/>
              <w:spacing w:line="242" w:lineRule="auto"/>
              <w:ind w:right="90"/>
              <w:rPr>
                <w:b/>
                <w:sz w:val="22"/>
              </w:rPr>
            </w:pPr>
            <w:r>
              <w:rPr>
                <w:b/>
                <w:sz w:val="22"/>
              </w:rPr>
              <w:t>Evaluación general</w:t>
            </w:r>
          </w:p>
        </w:tc>
        <w:tc>
          <w:tcPr>
            <w:tcW w:w="7672" w:type="dxa"/>
            <w:gridSpan w:val="6"/>
          </w:tcPr>
          <w:p>
            <w:pPr>
              <w:pStyle w:val="TableParagraph"/>
              <w:tabs>
                <w:tab w:pos="3329" w:val="left" w:leader="none"/>
              </w:tabs>
              <w:spacing w:line="242" w:lineRule="auto"/>
              <w:ind w:left="100" w:right="103"/>
              <w:rPr>
                <w:b/>
                <w:sz w:val="22"/>
              </w:rPr>
            </w:pPr>
            <w:r>
              <w:rPr>
                <w:b/>
                <w:sz w:val="22"/>
              </w:rPr>
              <w:t>1.04%   entre   6</w:t>
            </w:r>
            <w:r>
              <w:rPr>
                <w:b/>
                <w:spacing w:val="40"/>
                <w:sz w:val="22"/>
              </w:rPr>
              <w:t> </w:t>
            </w:r>
            <w:r>
              <w:rPr>
                <w:b/>
                <w:sz w:val="22"/>
              </w:rPr>
              <w:t>partidos </w:t>
            </w:r>
            <w:r>
              <w:rPr>
                <w:b/>
                <w:spacing w:val="33"/>
                <w:sz w:val="22"/>
              </w:rPr>
              <w:t> </w:t>
            </w:r>
            <w:r>
              <w:rPr>
                <w:b/>
                <w:sz w:val="22"/>
              </w:rPr>
              <w:t>=</w:t>
              <w:tab/>
              <w:t>0.17%   (3.0)   altamente   apegados</w:t>
            </w:r>
            <w:r>
              <w:rPr>
                <w:b/>
                <w:spacing w:val="15"/>
                <w:sz w:val="22"/>
              </w:rPr>
              <w:t> </w:t>
            </w:r>
            <w:r>
              <w:rPr>
                <w:b/>
                <w:sz w:val="22"/>
              </w:rPr>
              <w:t>a </w:t>
            </w:r>
            <w:r>
              <w:rPr>
                <w:b/>
                <w:spacing w:val="32"/>
                <w:sz w:val="22"/>
              </w:rPr>
              <w:t> </w:t>
            </w:r>
            <w:r>
              <w:rPr>
                <w:b/>
                <w:sz w:val="22"/>
              </w:rPr>
              <w:t>la</w:t>
            </w:r>
            <w:r>
              <w:rPr>
                <w:b/>
                <w:w w:val="100"/>
                <w:sz w:val="22"/>
              </w:rPr>
              <w:t> </w:t>
            </w:r>
            <w:r>
              <w:rPr>
                <w:b/>
                <w:sz w:val="22"/>
              </w:rPr>
              <w:t>legalidad)</w:t>
            </w:r>
          </w:p>
        </w:tc>
      </w:tr>
    </w:tbl>
    <w:p>
      <w:pPr>
        <w:spacing w:line="240" w:lineRule="auto" w:before="0"/>
        <w:ind w:left="222" w:right="239" w:firstLine="0"/>
        <w:jc w:val="left"/>
        <w:rPr>
          <w:sz w:val="20"/>
        </w:rPr>
      </w:pPr>
      <w:r>
        <w:rPr>
          <w:sz w:val="20"/>
        </w:rPr>
        <w:t>Fuente: elaboración propia con base en los acuerdos 288/2006 (CGIEEM, 2006a), 304/2006 (CGIEEM, 2006b) y 8/2007 (CGIEEM, 2007).</w:t>
      </w:r>
    </w:p>
    <w:p>
      <w:pPr>
        <w:spacing w:before="0" w:after="27"/>
        <w:ind w:left="222" w:right="239" w:firstLine="0"/>
        <w:jc w:val="left"/>
        <w:rPr>
          <w:sz w:val="20"/>
        </w:rPr>
      </w:pPr>
      <w:r>
        <w:rPr/>
        <w:pict>
          <v:group style="position:absolute;margin-left:79.704002pt;margin-top:11.659859pt;width:26.65pt;height:46pt;mso-position-horizontal-relative:page;mso-position-vertical-relative:paragraph;z-index:-329968" coordorigin="1594,233" coordsize="533,920">
            <v:shape style="position:absolute;left:1594;top:233;width:533;height:231" coordorigin="1594,233" coordsize="533,231" path="m2127,233l2019,233,1702,233,1594,233,1594,464,1702,464,2019,464,2127,464,2127,233e" filled="true" fillcolor="#f1f1f1" stroked="false">
              <v:path arrowok="t"/>
              <v:fill type="solid"/>
            </v:shape>
            <v:shape style="position:absolute;left:1594;top:464;width:108;height:230" type="#_x0000_t75" stroked="false">
              <v:imagedata r:id="rId537" o:title=""/>
            </v:shape>
            <v:shape style="position:absolute;left:2019;top:464;width:108;height:230" type="#_x0000_t75" stroked="false">
              <v:imagedata r:id="rId537" o:title=""/>
            </v:shape>
            <v:shape style="position:absolute;left:1702;top:464;width:317;height:230" type="#_x0000_t75" stroked="false">
              <v:imagedata r:id="rId538" o:title=""/>
            </v:shape>
            <v:shape style="position:absolute;left:1594;top:694;width:108;height:228" type="#_x0000_t75" stroked="false">
              <v:imagedata r:id="rId539" o:title=""/>
            </v:shape>
            <v:shape style="position:absolute;left:2019;top:694;width:108;height:228" type="#_x0000_t75" stroked="false">
              <v:imagedata r:id="rId540" o:title=""/>
            </v:shape>
            <v:shape style="position:absolute;left:1702;top:694;width:317;height:228" type="#_x0000_t75" stroked="false">
              <v:imagedata r:id="rId541" o:title=""/>
            </v:shape>
            <v:shape style="position:absolute;left:1594;top:922;width:108;height:230" type="#_x0000_t75" stroked="false">
              <v:imagedata r:id="rId542" o:title=""/>
            </v:shape>
            <v:shape style="position:absolute;left:2019;top:922;width:108;height:230" type="#_x0000_t75" stroked="false">
              <v:imagedata r:id="rId543" o:title=""/>
            </v:shape>
            <v:shape style="position:absolute;left:1702;top:922;width:317;height:230" type="#_x0000_t75" stroked="false">
              <v:imagedata r:id="rId544" o:title=""/>
            </v:shape>
            <w10:wrap type="none"/>
          </v:group>
        </w:pict>
      </w:r>
      <w:r>
        <w:rPr>
          <w:sz w:val="20"/>
        </w:rPr>
        <w:t>Notas:</w:t>
      </w:r>
    </w:p>
    <w:tbl>
      <w:tblPr>
        <w:tblW w:w="0" w:type="auto"/>
        <w:jc w:val="left"/>
        <w:tblInd w:w="55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546"/>
      </w:tblGrid>
      <w:tr>
        <w:trPr>
          <w:trHeight w:val="215" w:hRule="exact"/>
        </w:trPr>
        <w:tc>
          <w:tcPr>
            <w:tcW w:w="4546" w:type="dxa"/>
          </w:tcPr>
          <w:p>
            <w:pPr>
              <w:pStyle w:val="TableParagraph"/>
              <w:spacing w:line="204" w:lineRule="exact"/>
              <w:ind w:left="200"/>
              <w:rPr>
                <w:sz w:val="20"/>
              </w:rPr>
            </w:pPr>
            <w:r>
              <w:rPr>
                <w:sz w:val="20"/>
              </w:rPr>
              <w:t>Incisos sin modificaciones.</w:t>
            </w:r>
          </w:p>
        </w:tc>
      </w:tr>
      <w:tr>
        <w:trPr>
          <w:trHeight w:val="230" w:hRule="exact"/>
        </w:trPr>
        <w:tc>
          <w:tcPr>
            <w:tcW w:w="4546" w:type="dxa"/>
          </w:tcPr>
          <w:p>
            <w:pPr>
              <w:pStyle w:val="TableParagraph"/>
              <w:spacing w:line="219" w:lineRule="exact"/>
              <w:ind w:left="200"/>
              <w:rPr>
                <w:sz w:val="20"/>
              </w:rPr>
            </w:pPr>
            <w:r>
              <w:rPr>
                <w:sz w:val="20"/>
              </w:rPr>
              <w:t>Incisos anexados mediante acuerdo 8/2007.</w:t>
            </w:r>
          </w:p>
        </w:tc>
      </w:tr>
      <w:tr>
        <w:trPr>
          <w:trHeight w:val="229" w:hRule="exact"/>
        </w:trPr>
        <w:tc>
          <w:tcPr>
            <w:tcW w:w="4546" w:type="dxa"/>
          </w:tcPr>
          <w:p>
            <w:pPr>
              <w:pStyle w:val="TableParagraph"/>
              <w:spacing w:line="219" w:lineRule="exact"/>
              <w:ind w:left="-441" w:right="198"/>
              <w:jc w:val="right"/>
              <w:rPr>
                <w:sz w:val="20"/>
              </w:rPr>
            </w:pPr>
            <w:r>
              <w:rPr>
                <w:sz w:val="20"/>
              </w:rPr>
              <w:t>Incisos anexados mediante acuerdo 288/2006.</w:t>
            </w:r>
          </w:p>
        </w:tc>
      </w:tr>
      <w:tr>
        <w:trPr>
          <w:trHeight w:val="214" w:hRule="exact"/>
        </w:trPr>
        <w:tc>
          <w:tcPr>
            <w:tcW w:w="4546" w:type="dxa"/>
          </w:tcPr>
          <w:p>
            <w:pPr>
              <w:pStyle w:val="TableParagraph"/>
              <w:tabs>
                <w:tab w:pos="141" w:val="left" w:leader="none"/>
              </w:tabs>
              <w:spacing w:line="218" w:lineRule="exact"/>
              <w:ind w:left="-441" w:right="198"/>
              <w:jc w:val="right"/>
              <w:rPr>
                <w:sz w:val="20"/>
              </w:rPr>
            </w:pPr>
            <w:r>
              <w:rPr>
                <w:w w:val="99"/>
                <w:sz w:val="20"/>
                <w:u w:val="single"/>
              </w:rPr>
              <w:t> </w:t>
            </w:r>
            <w:r>
              <w:rPr>
                <w:sz w:val="20"/>
                <w:u w:val="single"/>
              </w:rPr>
              <w:tab/>
            </w:r>
            <w:r>
              <w:rPr>
                <w:spacing w:val="2"/>
                <w:sz w:val="20"/>
              </w:rPr>
              <w:t> </w:t>
            </w:r>
            <w:r>
              <w:rPr>
                <w:sz w:val="20"/>
              </w:rPr>
              <w:t>Incisos anexados mediante acuerdo</w:t>
            </w:r>
            <w:r>
              <w:rPr>
                <w:spacing w:val="-10"/>
                <w:sz w:val="20"/>
              </w:rPr>
              <w:t> </w:t>
            </w:r>
            <w:r>
              <w:rPr>
                <w:sz w:val="20"/>
              </w:rPr>
              <w:t>304/2006.</w:t>
            </w:r>
          </w:p>
        </w:tc>
      </w:tr>
    </w:tbl>
    <w:p>
      <w:pPr>
        <w:pStyle w:val="BodyText"/>
        <w:spacing w:before="10"/>
        <w:rPr>
          <w:sz w:val="18"/>
        </w:rPr>
      </w:pPr>
    </w:p>
    <w:p>
      <w:pPr>
        <w:pStyle w:val="BodyText"/>
        <w:spacing w:line="360" w:lineRule="auto" w:before="69"/>
        <w:ind w:left="222" w:right="235" w:firstLine="707"/>
        <w:jc w:val="both"/>
      </w:pPr>
      <w:r>
        <w:rPr/>
        <w:t>Durante el proceso electoral 2005-2006 de acuerdo con las sentencias de los tribunales (TEEM y del TEPJF) así como con los acuerdos del CGIEEM se cometieron diversas irregularidades por parte de los partidos políticos, mismas que dieron lugar a siete sanciones: cuatro multas, una reducción y dos recomendaciones. Dicho resultado a primera vista está por encima de la media nacional que es de 3.43 sanciones en promedio por estado, pero si tomamos en cuenta que de acuerdo con datos del II Conteo de Población y Vivienda 2005, realizado por el Instituto Nacional de Estadística, Geografía e Informática (INEGI, 2005) el Estado de México contaba en ese año con más de 14 millones de habitantes lo cual correspondía al 13.6% del total de la población de la República Mexicana y en promedio los estados tenían 3.12% de la población nacional, entonces tenemos que el Estado de México es cuatro veces más grande en población que la media nacional de acuerdo con datos consultados en Vector Económico (Márquez, 2006).</w:t>
      </w:r>
    </w:p>
    <w:p>
      <w:pPr>
        <w:pStyle w:val="BodyText"/>
        <w:spacing w:line="360" w:lineRule="auto" w:before="5"/>
        <w:ind w:left="222" w:right="236" w:firstLine="707"/>
        <w:jc w:val="both"/>
      </w:pPr>
      <w:r>
        <w:rPr/>
        <w:t>De acuerdo con los datos anteriores al multiplicar la media nacional de 3.43 sanciones por cuatro nos da como resultado 13.72 sanciones, número de sanciones para evaluar al Estado de México. Si comparamos las siete sanciones que tiene la entidad objeto de estudio con las 13.72 sanciones que podría llegar a tener por ser el Estado más poblado de la República Mexicana resulta que se ubica por debajo de la media</w:t>
      </w:r>
      <w:r>
        <w:rPr>
          <w:spacing w:val="-13"/>
        </w:rPr>
        <w:t> </w:t>
      </w:r>
      <w:r>
        <w:rPr/>
        <w:t>nacional.</w:t>
      </w:r>
    </w:p>
    <w:p>
      <w:pPr>
        <w:pStyle w:val="BodyText"/>
        <w:spacing w:line="360" w:lineRule="auto" w:before="5"/>
        <w:ind w:left="222" w:right="238" w:firstLine="707"/>
        <w:jc w:val="both"/>
      </w:pPr>
      <w:r>
        <w:rPr/>
        <w:t>En conclusión, el cuadro 3.7 señala que el promedio de reducciones en las ministraciones mensuales por concepto de actividades ordinarias por partido es de 0.17%, el partido que obtuvo el porcentaje de reducción más alto es el PAN (0.58%), por su parte los partidos PRI, PVEM y C no obtuvieron reducciones. De</w:t>
      </w:r>
    </w:p>
    <w:p>
      <w:pPr>
        <w:spacing w:after="0" w:line="360" w:lineRule="auto"/>
        <w:jc w:val="both"/>
        <w:sectPr>
          <w:pgSz w:w="12240" w:h="15840"/>
          <w:pgMar w:header="749" w:footer="1003" w:top="960" w:bottom="1200" w:left="1480" w:right="1460"/>
        </w:sectPr>
      </w:pPr>
    </w:p>
    <w:p>
      <w:pPr>
        <w:pStyle w:val="BodyText"/>
        <w:rPr>
          <w:sz w:val="20"/>
        </w:rPr>
      </w:pPr>
    </w:p>
    <w:p>
      <w:pPr>
        <w:pStyle w:val="BodyText"/>
        <w:spacing w:line="362" w:lineRule="auto" w:before="214"/>
        <w:ind w:left="102" w:right="116"/>
        <w:jc w:val="both"/>
      </w:pPr>
      <w:r>
        <w:rPr/>
        <w:t>acuerdo con lo anterior los partidos locales recibieron una elevada evaluación (3.0) ubicándose como altamente apegados a la legalidad.</w:t>
      </w:r>
    </w:p>
    <w:p>
      <w:pPr>
        <w:pStyle w:val="BodyText"/>
        <w:spacing w:before="10"/>
        <w:rPr>
          <w:sz w:val="35"/>
        </w:rPr>
      </w:pPr>
    </w:p>
    <w:p>
      <w:pPr>
        <w:pStyle w:val="ListParagraph"/>
        <w:numPr>
          <w:ilvl w:val="0"/>
          <w:numId w:val="32"/>
        </w:numPr>
        <w:tabs>
          <w:tab w:pos="1513" w:val="left" w:leader="none"/>
          <w:tab w:pos="1514" w:val="left" w:leader="none"/>
        </w:tabs>
        <w:spacing w:line="240" w:lineRule="auto" w:before="0" w:after="0"/>
        <w:ind w:left="1513" w:right="0" w:hanging="706"/>
        <w:jc w:val="left"/>
        <w:rPr>
          <w:i/>
          <w:sz w:val="24"/>
        </w:rPr>
      </w:pPr>
      <w:r>
        <w:rPr>
          <w:i/>
          <w:sz w:val="24"/>
        </w:rPr>
        <w:t>Rebase de</w:t>
      </w:r>
      <w:r>
        <w:rPr>
          <w:i/>
          <w:spacing w:val="-4"/>
          <w:sz w:val="24"/>
        </w:rPr>
        <w:t> </w:t>
      </w:r>
      <w:r>
        <w:rPr>
          <w:i/>
          <w:sz w:val="24"/>
        </w:rPr>
        <w:t>topes</w:t>
      </w:r>
    </w:p>
    <w:p>
      <w:pPr>
        <w:pStyle w:val="BodyText"/>
        <w:rPr>
          <w:i/>
        </w:rPr>
      </w:pPr>
    </w:p>
    <w:p>
      <w:pPr>
        <w:pStyle w:val="BodyText"/>
        <w:spacing w:before="2"/>
        <w:rPr>
          <w:i/>
        </w:rPr>
      </w:pPr>
    </w:p>
    <w:p>
      <w:pPr>
        <w:pStyle w:val="BodyText"/>
        <w:spacing w:line="360" w:lineRule="auto"/>
        <w:ind w:left="102" w:right="116"/>
        <w:jc w:val="both"/>
      </w:pPr>
      <w:r>
        <w:rPr/>
        <w:t>En cuanto a los topes de gastos de campaña de la elección de diputados locales como en la de ayuntamientos se obtuvo una alta evaluación (3.0), ya que ninguno de los partidos que participaron en la elección de diputados locales y ayuntamientos en el Estado de México rebasó los montos establecidos, lo que ubicó a los partidos políticos registrados por el IEEM como altamente apegados a la normatividad en cuanto al respeto de los topes de gastos de campaña. Cabe señalar que para el presente estudió sólo tome los resultados obtenidos en cuanto a la elección de ayuntamientos, pues la figura de diputados locales no existe en Costa Rica y por lo tanto no es objeto de estudio.</w:t>
      </w:r>
    </w:p>
    <w:p>
      <w:pPr>
        <w:pStyle w:val="BodyText"/>
        <w:spacing w:line="360" w:lineRule="auto" w:before="2"/>
        <w:ind w:left="102" w:right="115" w:firstLine="707"/>
        <w:jc w:val="both"/>
      </w:pPr>
      <w:r>
        <w:rPr/>
        <w:t>Los topes de gastos de campaña se establecieron mediante el decreto número 64 de la LIII Legislatura del Estado de México el cual reformó el artículo 12 de la Constitución Política del Estado Libre y Soberano de México en su último párrafo y estableció que: la ley fijará los criterios para determinar los límites a las erogaciones de los Partidos Políticos en sus campañas electorales (LEM LIII, 1998), por su parte el Código Electoral del Estado de México (CEEM) en su artículo 95 fracción XXI, estableció como atribución del Consejo General la de calcular el tope de los gastos de campaña que puedan efectuar los partidos políticos en la elección de Gobernador del Estado y en las elecciones de diputados y ayuntamientos (IEEM,</w:t>
      </w:r>
      <w:r>
        <w:rPr>
          <w:spacing w:val="-10"/>
        </w:rPr>
        <w:t> </w:t>
      </w:r>
      <w:r>
        <w:rPr/>
        <w:t>2005).</w:t>
      </w:r>
    </w:p>
    <w:p>
      <w:pPr>
        <w:pStyle w:val="BodyText"/>
        <w:spacing w:line="360" w:lineRule="auto" w:before="2"/>
        <w:ind w:left="102" w:right="116" w:firstLine="707"/>
        <w:jc w:val="both"/>
      </w:pPr>
      <w:r>
        <w:rPr/>
        <w:t>De acuerdo con lo anterior el CEEM en su artículo 160 señaló que el tope de gastos de campaña que determinaría el Consejo General para cada partido político y Coalición, sería la cantidad que resulte de multiplicar el 55% del salario mínimo general vigente en la capital del Estado, por el número de ciudadanos inscritos en el padrón electoral del Estado, distrito o municipio de que se trate, con corte al último mes previo al inicio del proceso electoral. Así mismo establece que los</w:t>
      </w:r>
      <w:r>
        <w:rPr>
          <w:spacing w:val="27"/>
        </w:rPr>
        <w:t> </w:t>
      </w:r>
      <w:r>
        <w:rPr/>
        <w:t>gastos</w:t>
      </w:r>
      <w:r>
        <w:rPr>
          <w:spacing w:val="27"/>
        </w:rPr>
        <w:t> </w:t>
      </w:r>
      <w:r>
        <w:rPr/>
        <w:t>que</w:t>
      </w:r>
      <w:r>
        <w:rPr>
          <w:spacing w:val="27"/>
        </w:rPr>
        <w:t> </w:t>
      </w:r>
      <w:r>
        <w:rPr/>
        <w:t>realicen</w:t>
      </w:r>
      <w:r>
        <w:rPr>
          <w:spacing w:val="27"/>
        </w:rPr>
        <w:t> </w:t>
      </w:r>
      <w:r>
        <w:rPr/>
        <w:t>los</w:t>
      </w:r>
      <w:r>
        <w:rPr>
          <w:spacing w:val="27"/>
        </w:rPr>
        <w:t> </w:t>
      </w:r>
      <w:r>
        <w:rPr/>
        <w:t>partidos</w:t>
      </w:r>
      <w:r>
        <w:rPr>
          <w:spacing w:val="27"/>
        </w:rPr>
        <w:t> </w:t>
      </w:r>
      <w:r>
        <w:rPr/>
        <w:t>políticos</w:t>
      </w:r>
      <w:r>
        <w:rPr>
          <w:spacing w:val="27"/>
        </w:rPr>
        <w:t> </w:t>
      </w:r>
      <w:r>
        <w:rPr/>
        <w:t>o</w:t>
      </w:r>
      <w:r>
        <w:rPr>
          <w:spacing w:val="31"/>
        </w:rPr>
        <w:t> </w:t>
      </w:r>
      <w:r>
        <w:rPr/>
        <w:t>las</w:t>
      </w:r>
      <w:r>
        <w:rPr>
          <w:spacing w:val="27"/>
        </w:rPr>
        <w:t> </w:t>
      </w:r>
      <w:r>
        <w:rPr/>
        <w:t>coaliciones</w:t>
      </w:r>
      <w:r>
        <w:rPr>
          <w:spacing w:val="27"/>
        </w:rPr>
        <w:t> </w:t>
      </w:r>
      <w:r>
        <w:rPr/>
        <w:t>en</w:t>
      </w:r>
      <w:r>
        <w:rPr>
          <w:spacing w:val="25"/>
        </w:rPr>
        <w:t> </w:t>
      </w:r>
      <w:r>
        <w:rPr/>
        <w:t>la</w:t>
      </w:r>
      <w:r>
        <w:rPr>
          <w:spacing w:val="27"/>
        </w:rPr>
        <w:t> </w:t>
      </w:r>
      <w:r>
        <w:rPr/>
        <w:t>actividad</w:t>
      </w:r>
      <w:r>
        <w:rPr>
          <w:spacing w:val="27"/>
        </w:rPr>
        <w:t> </w:t>
      </w:r>
      <w:r>
        <w:rPr/>
        <w:t>de</w:t>
      </w:r>
    </w:p>
    <w:p>
      <w:pPr>
        <w:spacing w:after="0" w:line="360" w:lineRule="auto"/>
        <w:jc w:val="both"/>
        <w:sectPr>
          <w:pgSz w:w="12240" w:h="15840"/>
          <w:pgMar w:header="749" w:footer="1003" w:top="960" w:bottom="1200" w:left="1600" w:right="1580"/>
        </w:sectPr>
      </w:pPr>
    </w:p>
    <w:p>
      <w:pPr>
        <w:pStyle w:val="BodyText"/>
        <w:rPr>
          <w:sz w:val="20"/>
        </w:rPr>
      </w:pPr>
    </w:p>
    <w:p>
      <w:pPr>
        <w:pStyle w:val="BodyText"/>
        <w:spacing w:line="362" w:lineRule="auto" w:before="214"/>
        <w:ind w:left="102" w:right="127"/>
        <w:jc w:val="both"/>
      </w:pPr>
      <w:r>
        <w:rPr/>
        <w:t>campaña, no podrán rebasar ese tope en cada una de las elecciones de  Diputados y miembros de los Ayuntamientos, respectivamente (IEEM,</w:t>
      </w:r>
      <w:r>
        <w:rPr>
          <w:spacing w:val="-26"/>
        </w:rPr>
        <w:t> </w:t>
      </w:r>
      <w:r>
        <w:rPr/>
        <w:t>2005).</w:t>
      </w:r>
    </w:p>
    <w:p>
      <w:pPr>
        <w:pStyle w:val="BodyText"/>
        <w:spacing w:line="360" w:lineRule="auto"/>
        <w:ind w:left="102" w:right="119" w:firstLine="707"/>
        <w:jc w:val="both"/>
      </w:pPr>
      <w:r>
        <w:rPr/>
        <w:t>Cabe señalar que los gastos que realicen los partidos políticos para el sostenimiento de sus órganos directivos y sus organizaciones no serán contabilizados para los efectos de la determinación de los topes de campaña. El artículo 161 del CEEM determina que quedarán comprendidos dentro de los topes de gastos de campaña los que se realicen por concepto de gastos de propaganda; gastos operativos de campaña y gastos de propaganda en prensa, radio y televisión (IEEM, 2005).</w:t>
      </w:r>
    </w:p>
    <w:p>
      <w:pPr>
        <w:pStyle w:val="BodyText"/>
        <w:spacing w:line="360" w:lineRule="auto" w:before="5"/>
        <w:ind w:left="102" w:right="118" w:firstLine="707"/>
        <w:jc w:val="both"/>
      </w:pPr>
      <w:r>
        <w:rPr/>
        <w:t>Por su parte la Comisión Nacional de Salarios Mínimos, publicó en el Diario Oficial de la Federación el 22 de diciembre del año 2004, la resolución mediante la cual fijó los salarios mínimos generales y profesionales vigentes a partir del 1° de enero del  año  2005,  determinando  para el área  geográfica  “C”, la  cantidad  de</w:t>
      </w:r>
    </w:p>
    <w:p>
      <w:pPr>
        <w:pStyle w:val="BodyText"/>
        <w:spacing w:line="360" w:lineRule="auto" w:before="5"/>
        <w:ind w:left="102" w:right="116"/>
        <w:jc w:val="both"/>
      </w:pPr>
      <w:r>
        <w:rPr/>
        <w:t>$44.05 (cuarenta y cuatro pesos 05/100 M.N.) ($4.11 USD), misma cantidad para la capital del Estado de México, por encontrarse ubicada dentro del área geográfica de referencia (CNSM,</w:t>
      </w:r>
      <w:r>
        <w:rPr>
          <w:spacing w:val="-14"/>
        </w:rPr>
        <w:t> </w:t>
      </w:r>
      <w:r>
        <w:rPr/>
        <w:t>2004).</w:t>
      </w:r>
    </w:p>
    <w:p>
      <w:pPr>
        <w:pStyle w:val="BodyText"/>
        <w:spacing w:line="360" w:lineRule="auto" w:before="2"/>
        <w:ind w:left="102" w:right="116" w:firstLine="707"/>
        <w:jc w:val="both"/>
      </w:pPr>
      <w:r>
        <w:rPr/>
        <w:t>De acuerdo con lo anterior el 55% del salario mínimo general vigente en la capital del Estado de México son $24.22 pesos (veinticuatro pesos 22/100 M.N.) ($2.26 USD), siendo esta cifra el factor que debe multiplicarse por el número de ciudadanos inscritos en el padrón electoral del Estado con corte al último mes previo al inicio del Proceso Electoral, esto es, al 31 de agosto del 2005, referencia que el Consejo General tomó como base y que resulta del informe remitido por el Registro Federal de Electores, con lo cual se determinó el tope de gastos de campaña por distrito y por municipio para los Procesos Electorales 2005-2006.</w:t>
      </w:r>
    </w:p>
    <w:p>
      <w:pPr>
        <w:pStyle w:val="BodyText"/>
        <w:spacing w:line="360" w:lineRule="auto" w:before="2"/>
        <w:ind w:left="102" w:right="115" w:firstLine="707"/>
        <w:jc w:val="both"/>
      </w:pPr>
      <w:r>
        <w:rPr/>
        <w:t>El Consejo General, con base en los referentes anteriores, realizó la multiplicación correspondiente, asentando en los anexos uno y dos de su acuerdo 122/2005 las cantidades que resultan de la operación matemática que establece el artículo 160 del CEEM y que fueron las que se fijaron a los partidos políticos o coaliciones como topes de gastos de campaña, por distrito y municipio (CGIEEM, 2005a).</w:t>
      </w:r>
    </w:p>
    <w:p>
      <w:pPr>
        <w:spacing w:after="0" w:line="360" w:lineRule="auto"/>
        <w:jc w:val="both"/>
        <w:sectPr>
          <w:pgSz w:w="12240" w:h="15840"/>
          <w:pgMar w:header="749" w:footer="1003" w:top="960" w:bottom="1200" w:left="1600" w:right="1580"/>
        </w:sectPr>
      </w:pPr>
    </w:p>
    <w:p>
      <w:pPr>
        <w:pStyle w:val="BodyText"/>
        <w:rPr>
          <w:sz w:val="20"/>
        </w:rPr>
      </w:pPr>
    </w:p>
    <w:p>
      <w:pPr>
        <w:pStyle w:val="BodyText"/>
        <w:spacing w:line="360" w:lineRule="auto" w:before="214"/>
        <w:ind w:left="102" w:right="116" w:firstLine="707"/>
        <w:jc w:val="both"/>
      </w:pPr>
      <w:r>
        <w:rPr/>
        <w:t>Posteriormente y una vez que se tuvieron los resultados del cómputo tanto distrital como municipal se impugnaron varias casillas en distintos municipios y distritos, sin embargo, de esas impugnaciones sólo dos (ambas de ámbito municipal) hicieron referencia a un supuesto rebase de topes de gastos de campaña: una relativa al Municipio de Metepec y otra a Naucalpan de Juárez; lo anterior quedó asentado en los juicios SUP-JRC-93/2006 y SUP-JRC-104/2006 (este último con su acumulado SUP-JRC-105/2006). Cabe señalar que durante el análisis de los referidos medios de impugnación primero se hace  referencia al juicio SUP-JRC-104/2006 (con su acumulado SUP-JRC-105/2006) y posteriormente al SUP-JRC-93/2006 pues aun cuando el juicio SUP-JRC-93/2006 fue interpuesto primero (como se observó en el número asignado), se verificó que el CGIEEM acordó primero lo relativo a la sentencia del juicio marcado con el número 104 y posteriormente al 93 mediante los acuerdos 288/2006 y 304/2006 respectivamente.</w:t>
      </w:r>
    </w:p>
    <w:p>
      <w:pPr>
        <w:pStyle w:val="BodyText"/>
      </w:pPr>
    </w:p>
    <w:p>
      <w:pPr>
        <w:spacing w:before="139"/>
        <w:ind w:left="821" w:right="120" w:firstLine="0"/>
        <w:jc w:val="left"/>
        <w:rPr>
          <w:i/>
          <w:sz w:val="24"/>
        </w:rPr>
      </w:pPr>
      <w:r>
        <w:rPr>
          <w:i/>
          <w:sz w:val="24"/>
        </w:rPr>
        <w:t>a)  SUP-JRC-104/2006 y acumulado SUP-JRC-105/2006</w:t>
      </w:r>
    </w:p>
    <w:p>
      <w:pPr>
        <w:pStyle w:val="BodyText"/>
        <w:rPr>
          <w:i/>
        </w:rPr>
      </w:pPr>
    </w:p>
    <w:p>
      <w:pPr>
        <w:pStyle w:val="BodyText"/>
        <w:spacing w:before="2"/>
        <w:rPr>
          <w:i/>
        </w:rPr>
      </w:pPr>
    </w:p>
    <w:p>
      <w:pPr>
        <w:pStyle w:val="BodyText"/>
        <w:spacing w:line="360" w:lineRule="auto" w:before="1"/>
        <w:ind w:left="102" w:right="116"/>
        <w:jc w:val="both"/>
      </w:pPr>
      <w:r>
        <w:rPr/>
        <w:t>El veintiuno de marzo de dos mil seis, los representantes de </w:t>
      </w:r>
      <w:r>
        <w:rPr>
          <w:spacing w:val="2"/>
        </w:rPr>
        <w:t>los </w:t>
      </w:r>
      <w:r>
        <w:rPr/>
        <w:t>partidos Alternativa Socialdemócrata y Campesina; de la Revolución Democrática; y de la Coalición “Alianza por México”, interpusieron un juicio de inconformidad ante el Tribunal Electoral del Estado de México, el primero de ellos impugnó los resultados consignados en las actas de escrutinio y cómputo de diversas casillas, el segundo y tercero de los mencionados impugnaron la declaración de validez de la elección y el otorgamiento de la constancia de mayoría en la elección del ayuntamiento de Naucalpan de Juárez. Así mismo, señalaban un posible rebase del tope de gastos de campaña del Partido Acción Nacional en la elección de miembros del Ayuntamiento de Naucalpan de</w:t>
      </w:r>
      <w:r>
        <w:rPr>
          <w:spacing w:val="-16"/>
        </w:rPr>
        <w:t> </w:t>
      </w:r>
      <w:r>
        <w:rPr/>
        <w:t>Juárez.</w:t>
      </w:r>
    </w:p>
    <w:p>
      <w:pPr>
        <w:pStyle w:val="BodyText"/>
        <w:spacing w:line="360" w:lineRule="auto" w:before="5"/>
        <w:ind w:left="102" w:right="115" w:firstLine="707"/>
        <w:jc w:val="both"/>
      </w:pPr>
      <w:r>
        <w:rPr/>
        <w:t>En consecuencia, el Pleno del Tribunal Electoral del Estado de México, resolvió los juicios de inconformidad que determinó acumular, en razón de tratarse del mismo asunto, por lo que fueron identificados con las claves JI/95/2006, JI/99/2006 y JI/100/2006, desechando por improcedente el juicio de inconformidad</w:t>
      </w:r>
    </w:p>
    <w:p>
      <w:pPr>
        <w:spacing w:after="0" w:line="360" w:lineRule="auto"/>
        <w:jc w:val="both"/>
        <w:sectPr>
          <w:pgSz w:w="12240" w:h="15840"/>
          <w:pgMar w:header="749" w:footer="1003" w:top="960" w:bottom="1200" w:left="1600" w:right="1580"/>
        </w:sectPr>
      </w:pPr>
    </w:p>
    <w:p>
      <w:pPr>
        <w:pStyle w:val="BodyText"/>
        <w:rPr>
          <w:sz w:val="20"/>
        </w:rPr>
      </w:pPr>
    </w:p>
    <w:p>
      <w:pPr>
        <w:pStyle w:val="BodyText"/>
        <w:spacing w:line="360" w:lineRule="auto" w:before="214"/>
        <w:ind w:left="102" w:right="118"/>
        <w:jc w:val="both"/>
      </w:pPr>
      <w:r>
        <w:rPr/>
        <w:t>promovido por el Partido Político Alternativa Socialdemócrata y Campesina, y por lo demás declarando la nulidad de la votación acogida en trece casillas, y en consecuencia modificó el resultado consignado en el acta de cómputo municipal; y se confirmó la validez de la elección y el otorgamiento de las constancias de mayoría en el municipio de Naucalpan de Juárez.</w:t>
      </w:r>
    </w:p>
    <w:p>
      <w:pPr>
        <w:pStyle w:val="BodyText"/>
        <w:spacing w:line="360" w:lineRule="auto" w:before="5"/>
        <w:ind w:left="102" w:right="116" w:firstLine="707"/>
        <w:jc w:val="both"/>
      </w:pPr>
      <w:r>
        <w:rPr/>
        <w:t>Posteriormente el nueve de mayo del año en curso, la Coalición “Alianza  por México” y el Partido de la Revolución Democrática interpusieron por separado juicios de revisión constitucional electoral para impugnar, en ambos casos, la resolución del primero de mayo del año dos mil seis, dictada por el Pleno del Tribunal Electoral del Estado de México en los expedientes JI-95/2006 y sus acumulados. Dichas impugnaciones recayeron en el expediente identificado con la clave SUP-JRC-104/2006 y acumulado</w:t>
      </w:r>
      <w:r>
        <w:rPr>
          <w:spacing w:val="-17"/>
        </w:rPr>
        <w:t> </w:t>
      </w:r>
      <w:r>
        <w:rPr/>
        <w:t>SUP-JRC-105/2006.</w:t>
      </w:r>
    </w:p>
    <w:p>
      <w:pPr>
        <w:pStyle w:val="BodyText"/>
        <w:spacing w:line="360" w:lineRule="auto" w:before="2"/>
        <w:ind w:left="102" w:right="115" w:firstLine="707"/>
        <w:jc w:val="both"/>
      </w:pPr>
      <w:r>
        <w:rPr/>
        <w:t>En mérito de lo anterior, el día dieciséis de junio del presente año, la Sala Superior del Tribunal Electoral del Poder Judicial de la Federación resolvió el juicio de revisión constitucional electoral, identificado con la clave SUP-JRC-104/2006 y su acumulado SUP-JRC-105/2006, resolución en la que ordenó al Consejo General del Instituto instruyera a la Comisión de Fiscalización para que resolviera en un término de diez días, sobre el posible rebase del tope de gastos de  campaña del PAN en la elección de miembros del Ayuntamiento de Naucalpan</w:t>
      </w:r>
      <w:r>
        <w:rPr>
          <w:spacing w:val="-25"/>
        </w:rPr>
        <w:t> </w:t>
      </w:r>
      <w:r>
        <w:rPr/>
        <w:t>.</w:t>
      </w:r>
    </w:p>
    <w:p>
      <w:pPr>
        <w:pStyle w:val="BodyText"/>
        <w:spacing w:line="360" w:lineRule="auto" w:before="5"/>
        <w:ind w:left="102" w:right="117" w:firstLine="707"/>
        <w:jc w:val="both"/>
      </w:pPr>
      <w:r>
        <w:rPr/>
        <w:t>Así fue como la Comisión de Fiscalización, después de realizar el análisis de los argumentos de hecho y de derecho, así como de los medios de prueba que se ofrecieron y aportaron en las solicitudes de investigación, llegó a la conclusión de la materia del dictamen en la sesión realizada el veintisiete de junio del 2006, y estando dentro del término que le fue concedido por la resolución dictada por la Sala Superior del Tribunal Electoral del Poder Judicial de la Federación en el expediente SUP-JRC-104/2006 y acumulado, analizó y aprobó el proyecto de dictamen relativo al supuesto rebase del tope de gastos de campaña por el Partido Acción Nacional, en la elección del Ayuntamiento de Naucalpan de Juárez, Estado de México, correspondiente al proceso electoral 2005-2006 acordando remitirlo a la consideración del Consejo General, para su aprobación definitiva, en su</w:t>
      </w:r>
      <w:r>
        <w:rPr>
          <w:spacing w:val="-28"/>
        </w:rPr>
        <w:t> </w:t>
      </w:r>
      <w:r>
        <w:rPr/>
        <w:t>caso.</w:t>
      </w:r>
    </w:p>
    <w:p>
      <w:pPr>
        <w:spacing w:after="0" w:line="360" w:lineRule="auto"/>
        <w:jc w:val="both"/>
        <w:sectPr>
          <w:footerReference w:type="default" r:id="rId545"/>
          <w:pgSz w:w="12240" w:h="15840"/>
          <w:pgMar w:footer="1003" w:header="749" w:top="960" w:bottom="1200" w:left="1600" w:right="1580"/>
          <w:pgNumType w:start="170"/>
        </w:sectPr>
      </w:pPr>
    </w:p>
    <w:p>
      <w:pPr>
        <w:pStyle w:val="BodyText"/>
        <w:rPr>
          <w:sz w:val="20"/>
        </w:rPr>
      </w:pPr>
    </w:p>
    <w:p>
      <w:pPr>
        <w:pStyle w:val="BodyText"/>
        <w:spacing w:line="360" w:lineRule="auto" w:before="214"/>
        <w:ind w:left="102" w:right="98" w:firstLine="707"/>
        <w:jc w:val="both"/>
      </w:pPr>
      <w:r>
        <w:rPr/>
        <w:t>A su vez el consejo general señaló que la Comisión de Fiscalización, se abocó al estudio, análisis y valoración tanto de las pruebas presentadas en las solicitudes de investigación de la Coalición “Alianza por México”, el Partido Revolucionario Institucional y el Partido de la Revolución Democrática” así como de los resultados de los respectivos monitoreos llevados a cabo a medios electrónicos, impresos y alternos y del informe rendido por el despacho “Suárez del Real y Galván Flores, S.C.”, respecto de la revisión al informe de campaña 2005-2006 del Partido Acción Nacional referente al origen y aplicación de los recursos en la elección del Ayuntamiento de Naucalpan de Juárez, con lo cual se concluye que la Comisión de Fiscalización cumplió en el desarrollo de sus actividades de verificación y dictaminación del asunto en</w:t>
      </w:r>
      <w:r>
        <w:rPr>
          <w:spacing w:val="-20"/>
        </w:rPr>
        <w:t> </w:t>
      </w:r>
      <w:r>
        <w:rPr/>
        <w:t>cuestión.</w:t>
      </w:r>
    </w:p>
    <w:p>
      <w:pPr>
        <w:pStyle w:val="BodyText"/>
        <w:spacing w:line="360" w:lineRule="auto" w:before="5"/>
        <w:ind w:left="102" w:right="98" w:firstLine="707"/>
        <w:jc w:val="both"/>
      </w:pPr>
      <w:r>
        <w:rPr/>
        <w:t>Acto seguido el Consejo General concluyó mediante el acuerdo número 288/2006 (CGIEEM, 2006a) que: no existió rebase en los topes de gastos de campaña del Partido Acción Nacional en la elección 2005-2006, para miembros  del Ayuntamiento del Municipio de Naucalpan de Juárez, Estado de</w:t>
      </w:r>
      <w:r>
        <w:rPr>
          <w:spacing w:val="-28"/>
        </w:rPr>
        <w:t> </w:t>
      </w:r>
      <w:r>
        <w:rPr/>
        <w:t>México.</w:t>
      </w:r>
    </w:p>
    <w:p>
      <w:pPr>
        <w:pStyle w:val="BodyText"/>
      </w:pPr>
    </w:p>
    <w:p>
      <w:pPr>
        <w:spacing w:before="139"/>
        <w:ind w:left="821" w:right="0" w:firstLine="0"/>
        <w:jc w:val="left"/>
        <w:rPr>
          <w:i/>
          <w:sz w:val="24"/>
        </w:rPr>
      </w:pPr>
      <w:r>
        <w:rPr>
          <w:i/>
          <w:sz w:val="24"/>
        </w:rPr>
        <w:t>b) SUP-JRC-93/2006</w:t>
      </w:r>
    </w:p>
    <w:p>
      <w:pPr>
        <w:pStyle w:val="BodyText"/>
        <w:rPr>
          <w:i/>
        </w:rPr>
      </w:pPr>
    </w:p>
    <w:p>
      <w:pPr>
        <w:pStyle w:val="BodyText"/>
        <w:spacing w:before="2"/>
        <w:rPr>
          <w:i/>
        </w:rPr>
      </w:pPr>
    </w:p>
    <w:p>
      <w:pPr>
        <w:pStyle w:val="BodyText"/>
        <w:spacing w:line="360" w:lineRule="auto" w:before="1"/>
        <w:ind w:left="102" w:right="98"/>
        <w:jc w:val="both"/>
      </w:pPr>
      <w:r>
        <w:rPr/>
        <w:t>El veinte de marzo de dos mil seis, los representantes de los partidos Acción Nacional; del Trabajo y de la Revolución Democrática así como la coalición “Alianza por México”; interpusieron cuatro juicios de inconformidad ante el Tribunal Electoral del Estado de México, en contra de los resultados consignados en el acta de cómputo municipal de la elección de integrantes del Ayuntamiento de Metepec, la declaración de validez de la elección y la entrega de constancias de mayoría; efectuados por el Consejo Municipal Electoral número 55 con sede en Metepec, Estado de México, así mismo el PAN y la coalición “Alianza por México” señalaron el rebase de topes de gastos de campaña por parte de los partidos PRD y PT.</w:t>
      </w:r>
    </w:p>
    <w:p>
      <w:pPr>
        <w:pStyle w:val="BodyText"/>
        <w:spacing w:line="360" w:lineRule="auto" w:before="5"/>
        <w:ind w:left="102" w:right="103" w:firstLine="707"/>
        <w:jc w:val="both"/>
      </w:pPr>
      <w:r>
        <w:rPr/>
        <w:t>En consecuencia, el Tribunal Electoral del Estado de México, admitió a trámite los juicios de inconformidad radicados bajo los expedientes JI/66/2006, JI/71/2006, JI/72/2006 y JI/120/2006, previa su acumulación al expediente JI/61/2006, resolviendo el pleno el dos de mayo de dos mil seis y destacando en</w:t>
      </w:r>
    </w:p>
    <w:p>
      <w:pPr>
        <w:spacing w:after="0" w:line="360" w:lineRule="auto"/>
        <w:jc w:val="both"/>
        <w:sectPr>
          <w:pgSz w:w="12240" w:h="15840"/>
          <w:pgMar w:header="749" w:footer="1003" w:top="960" w:bottom="1200" w:left="1600" w:right="1600"/>
        </w:sectPr>
      </w:pPr>
    </w:p>
    <w:p>
      <w:pPr>
        <w:pStyle w:val="BodyText"/>
        <w:rPr>
          <w:sz w:val="20"/>
        </w:rPr>
      </w:pPr>
    </w:p>
    <w:p>
      <w:pPr>
        <w:pStyle w:val="BodyText"/>
        <w:spacing w:line="360" w:lineRule="auto" w:before="214"/>
        <w:ind w:left="122" w:right="242"/>
        <w:jc w:val="both"/>
      </w:pPr>
      <w:r>
        <w:rPr/>
        <w:t>su parte resolutiva: “se confirma la validez de la elección y el otorgamiento de las constancias de mayoría expedidas, con excepción de la indicada en el resolutivo cuarto de la presente resolución.”</w:t>
      </w:r>
    </w:p>
    <w:p>
      <w:pPr>
        <w:pStyle w:val="BodyText"/>
        <w:spacing w:line="360" w:lineRule="auto" w:before="5"/>
        <w:ind w:left="122" w:right="237" w:firstLine="707"/>
        <w:jc w:val="both"/>
      </w:pPr>
      <w:r>
        <w:rPr/>
        <w:t>Posteriormente el siete de mayo de 2006, el Partido Acción Nacional interpuso un juicio de revisión constitucional electoral para impugnar la resolución del dos de mayo del año dos mil seis, dictada por el Pleno del Tribunal Electoral del Estado de México en los expedientes JI/61/2006 y sus acumulados. Dicha impugnación recayó en el expediente identificado con la clave SUP-JRC-93/2006 cuya sentencia señaló que no se rebasaron los topes de gastos de campaña en el municipio de Metepec, lo que originó que el CGIEEM acordara lo conducente en el acuerdo 304/2006 (CGIEEM,</w:t>
      </w:r>
      <w:r>
        <w:rPr>
          <w:spacing w:val="-17"/>
        </w:rPr>
        <w:t> </w:t>
      </w:r>
      <w:r>
        <w:rPr/>
        <w:t>2006b).</w:t>
      </w:r>
    </w:p>
    <w:p>
      <w:pPr>
        <w:pStyle w:val="BodyText"/>
        <w:spacing w:line="360" w:lineRule="auto" w:before="5"/>
        <w:ind w:left="122" w:right="238" w:firstLine="707"/>
        <w:jc w:val="both"/>
      </w:pPr>
      <w:r>
        <w:rPr/>
        <w:t>Una vez resueltos los juicios anteriores el CGIEEM mediante el acuerdo número 323/2006 emitió el </w:t>
      </w:r>
      <w:r>
        <w:rPr>
          <w:b/>
        </w:rPr>
        <w:t>“</w:t>
      </w:r>
      <w:r>
        <w:rPr/>
        <w:t>Dictamen sobre los informes de gastos de campaña de los partidos políticos y coaliciones correspondiente a los procesos electorales 2005-2006” (CGIEEM, 2006c), realizado por la Comisión de Fiscalización del IEEM, el cual señaló que ningún partido o coalición rebasó los topes de gastos de campaña en las elecciones de ayuntamientos y diputados locales durante el proceso electoral 2005-2006. Lo anterior se resumió en el siguiente</w:t>
      </w:r>
      <w:r>
        <w:rPr>
          <w:spacing w:val="-21"/>
        </w:rPr>
        <w:t> </w:t>
      </w:r>
      <w:r>
        <w:rPr/>
        <w:t>cuadro:</w:t>
      </w:r>
    </w:p>
    <w:p>
      <w:pPr>
        <w:pStyle w:val="BodyText"/>
      </w:pPr>
    </w:p>
    <w:p>
      <w:pPr>
        <w:pStyle w:val="Heading2"/>
        <w:ind w:left="1888" w:right="2005"/>
      </w:pPr>
      <w:r>
        <w:rPr/>
        <w:t>Cuadro 3.8</w:t>
      </w:r>
    </w:p>
    <w:p>
      <w:pPr>
        <w:spacing w:before="137"/>
        <w:ind w:left="1541" w:right="1655" w:firstLine="0"/>
        <w:jc w:val="center"/>
        <w:rPr>
          <w:b/>
          <w:sz w:val="24"/>
        </w:rPr>
      </w:pPr>
      <w:r>
        <w:rPr>
          <w:b/>
          <w:sz w:val="24"/>
        </w:rPr>
        <w:t>Rebase de topes de gastos de campaña (IEEM 2006)</w:t>
      </w:r>
    </w:p>
    <w:p>
      <w:pPr>
        <w:pStyle w:val="BodyText"/>
        <w:rPr>
          <w:b/>
          <w:sz w:val="20"/>
        </w:rPr>
      </w:pPr>
    </w:p>
    <w:p>
      <w:pPr>
        <w:pStyle w:val="BodyText"/>
        <w:spacing w:before="2"/>
        <w:rPr>
          <w:b/>
          <w:sz w:val="28"/>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77"/>
        <w:gridCol w:w="1558"/>
        <w:gridCol w:w="569"/>
        <w:gridCol w:w="1274"/>
        <w:gridCol w:w="4271"/>
      </w:tblGrid>
      <w:tr>
        <w:trPr>
          <w:trHeight w:val="355" w:hRule="exact"/>
        </w:trPr>
        <w:tc>
          <w:tcPr>
            <w:tcW w:w="1277" w:type="dxa"/>
            <w:shd w:val="clear" w:color="auto" w:fill="D9D9D9"/>
          </w:tcPr>
          <w:p>
            <w:pPr>
              <w:pStyle w:val="TableParagraph"/>
              <w:spacing w:line="225" w:lineRule="exact"/>
              <w:ind w:left="237" w:right="190"/>
              <w:rPr>
                <w:b/>
                <w:sz w:val="20"/>
              </w:rPr>
            </w:pPr>
            <w:r>
              <w:rPr>
                <w:b/>
                <w:sz w:val="20"/>
              </w:rPr>
              <w:t>Instituto</w:t>
            </w:r>
          </w:p>
        </w:tc>
        <w:tc>
          <w:tcPr>
            <w:tcW w:w="1558" w:type="dxa"/>
            <w:shd w:val="clear" w:color="auto" w:fill="D9D9D9"/>
          </w:tcPr>
          <w:p>
            <w:pPr>
              <w:pStyle w:val="TableParagraph"/>
              <w:spacing w:line="225" w:lineRule="exact"/>
              <w:ind w:left="359" w:right="101"/>
              <w:rPr>
                <w:b/>
                <w:sz w:val="20"/>
              </w:rPr>
            </w:pPr>
            <w:r>
              <w:rPr>
                <w:b/>
                <w:sz w:val="20"/>
              </w:rPr>
              <w:t>Elección</w:t>
            </w:r>
          </w:p>
        </w:tc>
        <w:tc>
          <w:tcPr>
            <w:tcW w:w="569" w:type="dxa"/>
            <w:shd w:val="clear" w:color="auto" w:fill="D9D9D9"/>
          </w:tcPr>
          <w:p>
            <w:pPr>
              <w:pStyle w:val="TableParagraph"/>
              <w:spacing w:line="225" w:lineRule="exact"/>
              <w:rPr>
                <w:b/>
                <w:sz w:val="20"/>
              </w:rPr>
            </w:pPr>
            <w:r>
              <w:rPr>
                <w:b/>
                <w:w w:val="99"/>
                <w:sz w:val="20"/>
              </w:rPr>
              <w:t>%</w:t>
            </w:r>
          </w:p>
        </w:tc>
        <w:tc>
          <w:tcPr>
            <w:tcW w:w="1274" w:type="dxa"/>
            <w:shd w:val="clear" w:color="auto" w:fill="D9D9D9"/>
          </w:tcPr>
          <w:p>
            <w:pPr>
              <w:pStyle w:val="TableParagraph"/>
              <w:spacing w:line="225" w:lineRule="exact"/>
              <w:ind w:left="80" w:right="88"/>
              <w:jc w:val="center"/>
              <w:rPr>
                <w:b/>
                <w:sz w:val="20"/>
              </w:rPr>
            </w:pPr>
            <w:r>
              <w:rPr>
                <w:b/>
                <w:sz w:val="20"/>
              </w:rPr>
              <w:t>Evaluación</w:t>
            </w:r>
          </w:p>
        </w:tc>
        <w:tc>
          <w:tcPr>
            <w:tcW w:w="4271" w:type="dxa"/>
            <w:shd w:val="clear" w:color="auto" w:fill="D9D9D9"/>
          </w:tcPr>
          <w:p>
            <w:pPr>
              <w:pStyle w:val="TableParagraph"/>
              <w:spacing w:line="225" w:lineRule="exact"/>
              <w:rPr>
                <w:b/>
                <w:sz w:val="20"/>
              </w:rPr>
            </w:pPr>
            <w:r>
              <w:rPr>
                <w:b/>
                <w:sz w:val="20"/>
              </w:rPr>
              <w:t>Observaciones</w:t>
            </w:r>
          </w:p>
        </w:tc>
      </w:tr>
      <w:tr>
        <w:trPr>
          <w:trHeight w:val="1044" w:hRule="exact"/>
        </w:trPr>
        <w:tc>
          <w:tcPr>
            <w:tcW w:w="1277" w:type="dxa"/>
            <w:vMerge w:val="restart"/>
          </w:tcPr>
          <w:p>
            <w:pPr>
              <w:pStyle w:val="TableParagraph"/>
              <w:spacing w:line="206" w:lineRule="exact"/>
              <w:ind w:right="190"/>
              <w:rPr>
                <w:sz w:val="18"/>
              </w:rPr>
            </w:pPr>
            <w:r>
              <w:rPr>
                <w:sz w:val="18"/>
              </w:rPr>
              <w:t>IEEM</w:t>
            </w:r>
          </w:p>
        </w:tc>
        <w:tc>
          <w:tcPr>
            <w:tcW w:w="1558" w:type="dxa"/>
          </w:tcPr>
          <w:p>
            <w:pPr>
              <w:pStyle w:val="TableParagraph"/>
              <w:tabs>
                <w:tab w:pos="1244" w:val="left" w:leader="none"/>
              </w:tabs>
              <w:ind w:left="100" w:right="101"/>
              <w:rPr>
                <w:sz w:val="18"/>
              </w:rPr>
            </w:pPr>
            <w:r>
              <w:rPr>
                <w:sz w:val="18"/>
              </w:rPr>
              <w:t>Elección</w:t>
              <w:tab/>
              <w:t>de ayuntamientos 2006</w:t>
            </w:r>
          </w:p>
        </w:tc>
        <w:tc>
          <w:tcPr>
            <w:tcW w:w="569" w:type="dxa"/>
          </w:tcPr>
          <w:p>
            <w:pPr>
              <w:pStyle w:val="TableParagraph"/>
              <w:spacing w:line="206" w:lineRule="exact"/>
              <w:rPr>
                <w:sz w:val="18"/>
              </w:rPr>
            </w:pPr>
            <w:r>
              <w:rPr>
                <w:w w:val="99"/>
                <w:sz w:val="18"/>
              </w:rPr>
              <w:t>0</w:t>
            </w:r>
          </w:p>
        </w:tc>
        <w:tc>
          <w:tcPr>
            <w:tcW w:w="1274" w:type="dxa"/>
          </w:tcPr>
          <w:p>
            <w:pPr>
              <w:pStyle w:val="TableParagraph"/>
              <w:spacing w:line="206" w:lineRule="exact"/>
              <w:ind w:left="199" w:right="200"/>
              <w:jc w:val="center"/>
              <w:rPr>
                <w:sz w:val="18"/>
              </w:rPr>
            </w:pPr>
            <w:r>
              <w:rPr>
                <w:sz w:val="18"/>
              </w:rPr>
              <w:t>3.0</w:t>
            </w:r>
          </w:p>
        </w:tc>
        <w:tc>
          <w:tcPr>
            <w:tcW w:w="4271" w:type="dxa"/>
          </w:tcPr>
          <w:p>
            <w:pPr>
              <w:pStyle w:val="TableParagraph"/>
              <w:ind w:right="107"/>
              <w:jc w:val="both"/>
              <w:rPr>
                <w:sz w:val="18"/>
              </w:rPr>
            </w:pPr>
            <w:r>
              <w:rPr>
                <w:sz w:val="18"/>
              </w:rPr>
              <w:t>Ningún partido rebasó los topes de gastos de campaña en los 125 municipios. Se impugnaron los municipios de Metepec y Naucalpan por supuestos rebases de topes, sin embargo, el tribunal señaló que no hubo rebases.</w:t>
            </w:r>
          </w:p>
        </w:tc>
      </w:tr>
      <w:tr>
        <w:trPr>
          <w:trHeight w:val="1047" w:hRule="exact"/>
        </w:trPr>
        <w:tc>
          <w:tcPr>
            <w:tcW w:w="1277" w:type="dxa"/>
            <w:vMerge/>
          </w:tcPr>
          <w:p>
            <w:pPr/>
          </w:p>
        </w:tc>
        <w:tc>
          <w:tcPr>
            <w:tcW w:w="1558" w:type="dxa"/>
          </w:tcPr>
          <w:p>
            <w:pPr>
              <w:pStyle w:val="TableParagraph"/>
              <w:tabs>
                <w:tab w:pos="462" w:val="left" w:leader="none"/>
                <w:tab w:pos="1244" w:val="left" w:leader="none"/>
              </w:tabs>
              <w:spacing w:before="1"/>
              <w:ind w:left="100" w:right="101"/>
              <w:rPr>
                <w:sz w:val="18"/>
              </w:rPr>
            </w:pPr>
            <w:r>
              <w:rPr>
                <w:sz w:val="18"/>
              </w:rPr>
              <w:t>Elección</w:t>
              <w:tab/>
              <w:t>de diputados locales 2006 (en el</w:t>
              <w:tab/>
              <w:t>Estado</w:t>
              <w:tab/>
              <w:t>de México)*</w:t>
            </w:r>
          </w:p>
        </w:tc>
        <w:tc>
          <w:tcPr>
            <w:tcW w:w="569" w:type="dxa"/>
          </w:tcPr>
          <w:p>
            <w:pPr>
              <w:pStyle w:val="TableParagraph"/>
              <w:spacing w:before="1"/>
              <w:rPr>
                <w:sz w:val="18"/>
              </w:rPr>
            </w:pPr>
            <w:r>
              <w:rPr>
                <w:w w:val="99"/>
                <w:sz w:val="18"/>
              </w:rPr>
              <w:t>0</w:t>
            </w:r>
          </w:p>
        </w:tc>
        <w:tc>
          <w:tcPr>
            <w:tcW w:w="1274" w:type="dxa"/>
          </w:tcPr>
          <w:p>
            <w:pPr>
              <w:pStyle w:val="TableParagraph"/>
              <w:spacing w:before="1"/>
              <w:ind w:left="199" w:right="200"/>
              <w:jc w:val="center"/>
              <w:rPr>
                <w:sz w:val="18"/>
              </w:rPr>
            </w:pPr>
            <w:r>
              <w:rPr>
                <w:sz w:val="18"/>
              </w:rPr>
              <w:t>3.0</w:t>
            </w:r>
          </w:p>
        </w:tc>
        <w:tc>
          <w:tcPr>
            <w:tcW w:w="4271" w:type="dxa"/>
          </w:tcPr>
          <w:p>
            <w:pPr>
              <w:pStyle w:val="TableParagraph"/>
              <w:spacing w:before="1"/>
              <w:ind w:right="106"/>
              <w:jc w:val="both"/>
              <w:rPr>
                <w:sz w:val="18"/>
              </w:rPr>
            </w:pPr>
            <w:r>
              <w:rPr>
                <w:sz w:val="18"/>
              </w:rPr>
              <w:t>En ninguno de los 45 distritos locales con que cuenta el Estado de México se rebasaron los topes de gastos de campaña. No hubo impugnaciones por rebases de topes en ninguno de los</w:t>
            </w:r>
            <w:r>
              <w:rPr>
                <w:spacing w:val="-5"/>
                <w:sz w:val="18"/>
              </w:rPr>
              <w:t> </w:t>
            </w:r>
            <w:r>
              <w:rPr>
                <w:sz w:val="18"/>
              </w:rPr>
              <w:t>distritos.</w:t>
            </w:r>
          </w:p>
        </w:tc>
      </w:tr>
      <w:tr>
        <w:trPr>
          <w:trHeight w:val="348" w:hRule="exact"/>
        </w:trPr>
        <w:tc>
          <w:tcPr>
            <w:tcW w:w="2835" w:type="dxa"/>
            <w:gridSpan w:val="2"/>
          </w:tcPr>
          <w:p>
            <w:pPr>
              <w:pStyle w:val="TableParagraph"/>
              <w:spacing w:line="227" w:lineRule="exact"/>
              <w:rPr>
                <w:sz w:val="20"/>
              </w:rPr>
            </w:pPr>
            <w:r>
              <w:rPr>
                <w:sz w:val="20"/>
              </w:rPr>
              <w:t>Evaluación general IEEM</w:t>
            </w:r>
          </w:p>
        </w:tc>
        <w:tc>
          <w:tcPr>
            <w:tcW w:w="6114" w:type="dxa"/>
            <w:gridSpan w:val="3"/>
          </w:tcPr>
          <w:p>
            <w:pPr>
              <w:pStyle w:val="TableParagraph"/>
              <w:spacing w:line="225" w:lineRule="exact"/>
              <w:rPr>
                <w:b/>
                <w:sz w:val="20"/>
              </w:rPr>
            </w:pPr>
            <w:r>
              <w:rPr>
                <w:b/>
                <w:sz w:val="20"/>
              </w:rPr>
              <w:t>(3.0) altamente apegados a la legalidad</w:t>
            </w:r>
          </w:p>
        </w:tc>
      </w:tr>
    </w:tbl>
    <w:p>
      <w:pPr>
        <w:spacing w:line="240" w:lineRule="auto" w:before="0"/>
        <w:ind w:left="122" w:right="240" w:firstLine="0"/>
        <w:jc w:val="both"/>
        <w:rPr>
          <w:sz w:val="20"/>
        </w:rPr>
      </w:pPr>
      <w:r>
        <w:rPr>
          <w:sz w:val="20"/>
        </w:rPr>
        <w:t>Fuente: elaboración propia con base en los acuerdos 288/2006 (CGIEEM, 2006a), 304/2006 (CGIEEM, 2006b) y 323/2006 (CGIEEM, 2006c). Notas: % = porcentaje de rebase del tope establecido para la elección de ayuntamientos; % = porcentaje de distritos que rebasaron los topes de gastos de campaña en la elección de diputados.</w:t>
      </w:r>
    </w:p>
    <w:p>
      <w:pPr>
        <w:spacing w:after="0" w:line="240" w:lineRule="auto"/>
        <w:jc w:val="both"/>
        <w:rPr>
          <w:sz w:val="20"/>
        </w:rPr>
        <w:sectPr>
          <w:pgSz w:w="12240" w:h="15840"/>
          <w:pgMar w:header="749" w:footer="1003" w:top="960" w:bottom="1200" w:left="1580" w:right="1460"/>
        </w:sectPr>
      </w:pPr>
    </w:p>
    <w:p>
      <w:pPr>
        <w:pStyle w:val="BodyText"/>
        <w:rPr>
          <w:sz w:val="20"/>
        </w:rPr>
      </w:pPr>
    </w:p>
    <w:p>
      <w:pPr>
        <w:pStyle w:val="BodyText"/>
        <w:rPr>
          <w:sz w:val="20"/>
        </w:rPr>
      </w:pPr>
    </w:p>
    <w:p>
      <w:pPr>
        <w:pStyle w:val="BodyText"/>
        <w:spacing w:line="360" w:lineRule="auto" w:before="215"/>
        <w:ind w:left="102" w:right="117" w:firstLine="707"/>
        <w:jc w:val="both"/>
      </w:pPr>
      <w:r>
        <w:rPr/>
        <w:t>En este caso el porcentaje es 0 para ambas elecciones ya que ningún partido rebasó los topes de gastos para las elecciones de ayuntamientos y diputados locales. De acuerdo con lo anterior, los partidos políticos que participaron en las elecciones municipales se ubicaron como altamente apegados a la legalidad y obtuvieron una elevada evaluación (3.0) al no rebasar los topes de gatos de campaña estipulados en la</w:t>
      </w:r>
      <w:r>
        <w:rPr>
          <w:spacing w:val="-14"/>
        </w:rPr>
        <w:t> </w:t>
      </w:r>
      <w:r>
        <w:rPr/>
        <w:t>normatividad.</w:t>
      </w:r>
    </w:p>
    <w:p>
      <w:pPr>
        <w:pStyle w:val="BodyText"/>
      </w:pPr>
    </w:p>
    <w:p>
      <w:pPr>
        <w:pStyle w:val="Heading2"/>
        <w:numPr>
          <w:ilvl w:val="0"/>
          <w:numId w:val="27"/>
        </w:numPr>
        <w:tabs>
          <w:tab w:pos="1170" w:val="left" w:leader="none"/>
        </w:tabs>
        <w:spacing w:line="240" w:lineRule="auto" w:before="142" w:after="0"/>
        <w:ind w:left="1170" w:right="0" w:hanging="360"/>
        <w:jc w:val="left"/>
      </w:pPr>
      <w:r>
        <w:rPr/>
        <w:t>Costa</w:t>
      </w:r>
      <w:r>
        <w:rPr>
          <w:spacing w:val="-1"/>
        </w:rPr>
        <w:t> </w:t>
      </w:r>
      <w:r>
        <w:rPr/>
        <w:t>Rica</w:t>
      </w:r>
    </w:p>
    <w:p>
      <w:pPr>
        <w:pStyle w:val="BodyText"/>
        <w:rPr>
          <w:b/>
        </w:rPr>
      </w:pPr>
    </w:p>
    <w:p>
      <w:pPr>
        <w:pStyle w:val="BodyText"/>
        <w:rPr>
          <w:b/>
        </w:rPr>
      </w:pPr>
    </w:p>
    <w:p>
      <w:pPr>
        <w:pStyle w:val="BodyText"/>
        <w:spacing w:line="360" w:lineRule="auto"/>
        <w:ind w:left="102" w:right="117"/>
        <w:jc w:val="both"/>
      </w:pPr>
      <w:r>
        <w:rPr/>
        <w:t>De acuerdo con el Magistrado Presidente del TSE, Luis Antonio Sobrado, Costa Rica fue el segundo país de América Latina en introducir el financiamiento público a los partidos políticos en 1956 (Uruguay lo había hecho en 1928) con la reforma al artículo 96 constitucional dispuesta por ley N° 2036 del 18 de julio; momento a partir del cual se previó que el Estado reembolsaría, luego de celebrados los respectivos comicios, “los gastos en que incurran los Partidos Políticos para elegir los miembros de los Poderes Ejecutivo y Legislativo” (Sobrado, 2010:</w:t>
      </w:r>
      <w:r>
        <w:rPr>
          <w:spacing w:val="-21"/>
        </w:rPr>
        <w:t> </w:t>
      </w:r>
      <w:r>
        <w:rPr/>
        <w:t>178).</w:t>
      </w:r>
    </w:p>
    <w:p>
      <w:pPr>
        <w:pStyle w:val="BodyText"/>
        <w:spacing w:line="360" w:lineRule="auto" w:before="2"/>
        <w:ind w:left="102" w:right="114" w:firstLine="707"/>
        <w:jc w:val="both"/>
      </w:pPr>
      <w:r>
        <w:rPr/>
        <w:t>Para las elecciones de febrero y diciembre de 2010 se dieron varias reformas en materia de financiamiento aplicable a los partidos políticos, por ejemplo: el Código Electoral costarricense permitía el pago de los gastos de todo el ciclo electoral, a partir de la declaratoria de las elecciones anteriores, con lo que los partidos políticos debían trabajar casi cuatro años autofinanciándose a la espera de lograr el acceso a la contribución estatal para saldar lo gastado. Los diputados consideraron que esto atentaba contra la existencia de los partidos, por la dificultad de encontrar mecanismos de financiamiento permanente y la incertidumbre de tener derecho efectivo a la contribución. Ante ello, a partir de las elecciones de febrero 2010 la contribución estatal a la que se hayan hecho acreedores los partidos políticos cubre los gastos de esa campaña electoral, y el periodo no electoral (INCEP,</w:t>
      </w:r>
      <w:r>
        <w:rPr>
          <w:spacing w:val="-11"/>
        </w:rPr>
        <w:t> </w:t>
      </w:r>
      <w:r>
        <w:rPr/>
        <w:t>2012).</w:t>
      </w:r>
    </w:p>
    <w:p>
      <w:pPr>
        <w:pStyle w:val="BodyText"/>
        <w:spacing w:line="360" w:lineRule="auto" w:before="5"/>
        <w:ind w:left="102" w:right="116" w:firstLine="707"/>
        <w:jc w:val="both"/>
      </w:pPr>
      <w:r>
        <w:rPr/>
        <w:t>En cuanto a las liquidaciones, en el pasado se aplicaba un sistema de liquidaciones mensuales que no fue exitoso, razón por la cual se pasó a una liquidación única, posterior a la debida comprobación de los gastos. Otro cambio</w:t>
      </w:r>
    </w:p>
    <w:p>
      <w:pPr>
        <w:spacing w:after="0" w:line="360" w:lineRule="auto"/>
        <w:jc w:val="both"/>
        <w:sectPr>
          <w:pgSz w:w="12240" w:h="15840"/>
          <w:pgMar w:header="749" w:footer="1003" w:top="960" w:bottom="1200" w:left="1600" w:right="1580"/>
        </w:sectPr>
      </w:pPr>
    </w:p>
    <w:p>
      <w:pPr>
        <w:pStyle w:val="BodyText"/>
        <w:rPr>
          <w:sz w:val="20"/>
        </w:rPr>
      </w:pPr>
    </w:p>
    <w:p>
      <w:pPr>
        <w:pStyle w:val="BodyText"/>
        <w:spacing w:line="360" w:lineRule="auto" w:before="214"/>
        <w:ind w:left="122" w:right="117"/>
        <w:jc w:val="both"/>
      </w:pPr>
      <w:r>
        <w:rPr/>
        <w:t>fue que el financiamiento estatal debía cubrir no sólo las elecciones presidenciales y de diputados, sino que también todos los procesos electorales. El  Tribunal señaló que no es incompatible constitucionalmente el cubrir los procesos de elección municipales con el aporte estatal, siempre y cuando éstos no se contemplen dentro de los gastos electorales de los partidos a nivel nacional, o de la capacitación y organización política permanente de los mismos (INCEP,</w:t>
      </w:r>
      <w:r>
        <w:rPr>
          <w:spacing w:val="-23"/>
        </w:rPr>
        <w:t> </w:t>
      </w:r>
      <w:r>
        <w:rPr/>
        <w:t>2012).</w:t>
      </w:r>
    </w:p>
    <w:p>
      <w:pPr>
        <w:pStyle w:val="BodyText"/>
      </w:pPr>
    </w:p>
    <w:p>
      <w:pPr>
        <w:pStyle w:val="ListParagraph"/>
        <w:numPr>
          <w:ilvl w:val="0"/>
          <w:numId w:val="33"/>
        </w:numPr>
        <w:tabs>
          <w:tab w:pos="1190" w:val="left" w:leader="none"/>
        </w:tabs>
        <w:spacing w:line="240" w:lineRule="auto" w:before="139" w:after="0"/>
        <w:ind w:left="1190" w:right="0" w:hanging="360"/>
        <w:jc w:val="left"/>
        <w:rPr>
          <w:i/>
          <w:sz w:val="24"/>
        </w:rPr>
      </w:pPr>
      <w:r>
        <w:rPr>
          <w:i/>
          <w:sz w:val="24"/>
        </w:rPr>
        <w:t>Costo de los partidos para el erario</w:t>
      </w:r>
      <w:r>
        <w:rPr>
          <w:i/>
          <w:spacing w:val="-15"/>
          <w:sz w:val="24"/>
        </w:rPr>
        <w:t> </w:t>
      </w:r>
      <w:r>
        <w:rPr>
          <w:i/>
          <w:sz w:val="24"/>
        </w:rPr>
        <w:t>público</w:t>
      </w:r>
    </w:p>
    <w:p>
      <w:pPr>
        <w:pStyle w:val="BodyText"/>
        <w:rPr>
          <w:i/>
        </w:rPr>
      </w:pPr>
    </w:p>
    <w:p>
      <w:pPr>
        <w:pStyle w:val="BodyText"/>
        <w:spacing w:before="3"/>
        <w:rPr>
          <w:i/>
        </w:rPr>
      </w:pPr>
    </w:p>
    <w:p>
      <w:pPr>
        <w:pStyle w:val="BodyText"/>
        <w:ind w:left="122"/>
        <w:jc w:val="both"/>
      </w:pPr>
      <w:r>
        <w:rPr/>
        <w:t>El   presupuesto   de   egresos   de   Costa   Rica   destinado   para   2010   fue</w:t>
      </w:r>
      <w:r>
        <w:rPr>
          <w:spacing w:val="57"/>
        </w:rPr>
        <w:t> </w:t>
      </w:r>
      <w:r>
        <w:rPr/>
        <w:t>de</w:t>
      </w:r>
    </w:p>
    <w:p>
      <w:pPr>
        <w:pStyle w:val="BodyText"/>
        <w:spacing w:line="360" w:lineRule="auto" w:before="137"/>
        <w:ind w:left="122" w:right="115"/>
        <w:jc w:val="both"/>
      </w:pPr>
      <w:r>
        <w:rPr/>
        <w:t>¢4.719.573.000.000,00 colones ($ 8,531,404,555.31 USD), pero después de 26 decretos ejecutivos y dos decretos extraordinarios se modificó para quedar con un monto de ¢4.926.553.000.000,00 colones ($ 8,905,554,953.00 USD); de los cuales se destinaron al TSE ¢ 29.582.000.000,00 colones ($53,474,331.16 USD); por su parte el órgano electoral entrego ¢17.174.926.340,00 (diecisiete mil ciento setenta y cuatro millones novecientos veintiséis mil trescientos cuarenta colones con 00/100) ($31,046,504.59 USD) a los partidos políticos, lo que representó el 0.34% del presupuesto nacional; dicho financiamiento fue dividido en dos partes: la primera consistente en ¢12.490.855.520,00 colones ($22,579,276.06 USD) que se destinaron a las elecciones nacionales lo que representó más del 0.25% del presupuesto nacional; la segunda consistente en ¢4.684.070.820,00 (cuatro mil seiscientos ochenta y cuatro millones setenta mil ochocientos veinte colones con 00/100) ($8,467,228.52 USD) que fueron para las elecciones municipales lo que</w:t>
      </w:r>
    </w:p>
    <w:p>
      <w:pPr>
        <w:pStyle w:val="BodyText"/>
        <w:spacing w:line="281" w:lineRule="exact"/>
        <w:ind w:left="122"/>
        <w:jc w:val="both"/>
      </w:pPr>
      <w:r>
        <w:rPr/>
        <w:t>representó el 0.09% del presupuesto nacional.</w:t>
      </w:r>
      <w:r>
        <w:rPr>
          <w:position w:val="11"/>
          <w:sz w:val="16"/>
        </w:rPr>
        <w:t>31</w:t>
      </w:r>
      <w:r>
        <w:rPr/>
        <w:t>.</w:t>
      </w:r>
    </w:p>
    <w:p>
      <w:pPr>
        <w:pStyle w:val="BodyText"/>
        <w:spacing w:line="360" w:lineRule="auto" w:before="137"/>
        <w:ind w:left="122" w:right="116" w:firstLine="707"/>
        <w:jc w:val="both"/>
      </w:pPr>
      <w:r>
        <w:rPr/>
        <w:t>Los montos de la contribución estatal que fijó el TSE a los partidos políticos para las elecciones de febrero y diciembre de 2010, así como el anticipo para las elecciones de febrero de 2010 se plasmaron en el acta número 4129-E8-2009. Dicha acta señaló que la contribución estatal a los partidos políticos correspondiente   a   las   elecciones   de   febrero   del   año   2010   sería         de</w:t>
      </w:r>
    </w:p>
    <w:p>
      <w:pPr>
        <w:pStyle w:val="BodyText"/>
        <w:rPr>
          <w:sz w:val="20"/>
        </w:rPr>
      </w:pPr>
    </w:p>
    <w:p>
      <w:pPr>
        <w:pStyle w:val="BodyText"/>
        <w:rPr>
          <w:sz w:val="20"/>
        </w:rPr>
      </w:pPr>
    </w:p>
    <w:p>
      <w:pPr>
        <w:pStyle w:val="BodyText"/>
        <w:spacing w:before="11"/>
        <w:rPr>
          <w:sz w:val="13"/>
        </w:rPr>
      </w:pPr>
      <w:r>
        <w:rPr/>
        <w:pict>
          <v:line style="position:absolute;mso-position-horizontal-relative:page;mso-position-vertical-relative:paragraph;z-index:2464;mso-wrap-distance-left:0;mso-wrap-distance-right:0" from="85.103996pt,10.351841pt" to="229.123996pt,10.351841pt" stroked="true" strokeweight=".72003pt" strokecolor="#000000">
            <w10:wrap type="topAndBottom"/>
          </v:line>
        </w:pict>
      </w:r>
    </w:p>
    <w:p>
      <w:pPr>
        <w:spacing w:before="36"/>
        <w:ind w:left="122" w:right="178" w:firstLine="0"/>
        <w:jc w:val="left"/>
        <w:rPr>
          <w:sz w:val="20"/>
        </w:rPr>
      </w:pPr>
      <w:r>
        <w:rPr>
          <w:position w:val="10"/>
          <w:sz w:val="13"/>
        </w:rPr>
        <w:t>31 </w:t>
      </w:r>
      <w:r>
        <w:rPr>
          <w:sz w:val="20"/>
        </w:rPr>
        <w:t>El tipo de cambio fue de 553.20 colones por dólar.</w:t>
      </w:r>
    </w:p>
    <w:p>
      <w:pPr>
        <w:spacing w:after="0"/>
        <w:jc w:val="left"/>
        <w:rPr>
          <w:sz w:val="20"/>
        </w:rPr>
        <w:sectPr>
          <w:pgSz w:w="12240" w:h="15840"/>
          <w:pgMar w:header="749" w:footer="1003" w:top="960" w:bottom="1200" w:left="1580" w:right="1580"/>
        </w:sectPr>
      </w:pPr>
    </w:p>
    <w:p>
      <w:pPr>
        <w:pStyle w:val="BodyText"/>
        <w:spacing w:before="6"/>
        <w:rPr>
          <w:sz w:val="28"/>
        </w:rPr>
      </w:pPr>
    </w:p>
    <w:p>
      <w:pPr>
        <w:pStyle w:val="BodyText"/>
        <w:spacing w:line="360" w:lineRule="auto" w:before="81"/>
        <w:ind w:left="122" w:right="123"/>
        <w:jc w:val="both"/>
      </w:pPr>
      <w:r>
        <w:rPr/>
        <w:t>¢17.174.926.340,00</w:t>
      </w:r>
      <w:r>
        <w:rPr>
          <w:position w:val="11"/>
          <w:sz w:val="16"/>
        </w:rPr>
        <w:t>32 </w:t>
      </w:r>
      <w:r>
        <w:rPr/>
        <w:t>(diecisiete mil ciento setenta y cuatro millones novecientos veintiséis mil trescientos cuarenta colones con 00/100) ($31,046,504.5 USD), de ese  monto  se  entregó </w:t>
      </w:r>
      <w:r>
        <w:rPr>
          <w:spacing w:val="51"/>
        </w:rPr>
        <w:t> </w:t>
      </w:r>
      <w:r>
        <w:rPr/>
        <w:t>a </w:t>
      </w:r>
      <w:r>
        <w:rPr>
          <w:spacing w:val="51"/>
        </w:rPr>
        <w:t> </w:t>
      </w:r>
      <w:r>
        <w:rPr/>
        <w:t>título  de  financiamiento  anticipado,  la </w:t>
      </w:r>
      <w:r>
        <w:rPr>
          <w:spacing w:val="51"/>
        </w:rPr>
        <w:t> </w:t>
      </w:r>
      <w:r>
        <w:rPr/>
        <w:t>suma </w:t>
      </w:r>
      <w:r>
        <w:rPr>
          <w:spacing w:val="51"/>
        </w:rPr>
        <w:t> </w:t>
      </w:r>
      <w:r>
        <w:rPr/>
        <w:t>de</w:t>
      </w:r>
    </w:p>
    <w:p>
      <w:pPr>
        <w:pStyle w:val="BodyText"/>
        <w:spacing w:line="345" w:lineRule="auto" w:before="5"/>
        <w:ind w:left="122" w:right="118"/>
        <w:jc w:val="both"/>
      </w:pPr>
      <w:r>
        <w:rPr/>
        <w:t>¢2.576.238.951,00 (dos mil quinientos setenta y seis millones doscientos treinta y ocho mil novecientos cincuenta y un colones con 00/100)</w:t>
      </w:r>
      <w:r>
        <w:rPr>
          <w:position w:val="11"/>
          <w:sz w:val="16"/>
        </w:rPr>
        <w:t>33 </w:t>
      </w:r>
      <w:r>
        <w:rPr/>
        <w:t>($4,656,975.68 USD). (TSE, 2009).</w:t>
      </w:r>
    </w:p>
    <w:p>
      <w:pPr>
        <w:pStyle w:val="BodyText"/>
        <w:spacing w:line="360" w:lineRule="auto" w:before="19"/>
        <w:ind w:left="122" w:right="120" w:firstLine="707"/>
        <w:jc w:val="both"/>
      </w:pPr>
      <w:r>
        <w:rPr/>
        <w:t>Lo anterior de conformidad con el transitorio número VII del Código  Electoral vigente, así mismo se ordenó al Ministerio de Hacienda depositar el dinero correspondiente al financiamiento anticipado en una cuenta única de la Tesorería Nacional, en efectivo, el cual se ingresó el 02 de septiembre de 2009, a efecto de que se aplicará el financiamiento anticipado para las elecciones del 2010 (ALRCR,</w:t>
      </w:r>
      <w:r>
        <w:rPr>
          <w:spacing w:val="-3"/>
        </w:rPr>
        <w:t> </w:t>
      </w:r>
      <w:r>
        <w:rPr/>
        <w:t>2009).</w:t>
      </w:r>
    </w:p>
    <w:p>
      <w:pPr>
        <w:pStyle w:val="BodyText"/>
        <w:spacing w:line="360" w:lineRule="auto" w:before="2"/>
        <w:ind w:left="122" w:right="116" w:firstLine="707"/>
        <w:jc w:val="both"/>
      </w:pPr>
      <w:r>
        <w:rPr/>
        <w:t>Para el proceso electoral presidencial celebrado en febrero de 2010, nueve partidos políticos (de un total de dieciocho participantes) lograron superar los umbrales de votación u obtener un diputado para optar por financiamiento del Estado (ver cuadro 3.9), el cual les fue reconocido </w:t>
      </w:r>
      <w:r>
        <w:rPr>
          <w:i/>
        </w:rPr>
        <w:t>a posteriori</w:t>
      </w:r>
      <w:r>
        <w:rPr/>
        <w:t>, previa comprobación de sus gastos ante el TSE. Conviene mencionar que los montos </w:t>
      </w:r>
      <w:r>
        <w:rPr>
          <w:spacing w:val="4"/>
        </w:rPr>
        <w:t>de </w:t>
      </w:r>
      <w:r>
        <w:rPr/>
        <w:t>la contribución estatal no fueron depositados directamente por la Tesorería Nacional en las cuentas de los partidos políticos, puesto que en Costa Rica opera una figura denominada Certificado de Cesión del Derecho Eventual a la Contribución Estatal, la cual funciona como un título valor emitido a favor del partido político. En este contexto, la Tesorería debía resguardar el dinero hasta que los tenedores de los certificados se apersonaran a canjearlos por bonos del Estado.</w:t>
      </w:r>
    </w:p>
    <w:p>
      <w:pPr>
        <w:pStyle w:val="BodyText"/>
        <w:spacing w:line="360" w:lineRule="auto" w:before="2"/>
        <w:ind w:left="122" w:right="115" w:firstLine="707"/>
        <w:jc w:val="both"/>
      </w:pPr>
      <w:r>
        <w:rPr/>
        <w:pict>
          <v:line style="position:absolute;mso-position-horizontal-relative:page;mso-position-vertical-relative:paragraph;z-index:2488;mso-wrap-distance-left:0;mso-wrap-distance-right:0" from="85.103996pt,44.745872pt" to="229.123996pt,44.745872pt" stroked="true" strokeweight=".71997pt" strokecolor="#000000">
            <w10:wrap type="topAndBottom"/>
          </v:line>
        </w:pict>
      </w:r>
      <w:r>
        <w:rPr/>
        <w:t>Para los procesos electorales de febrero de 2010 el estado reservo montos de  la  contribución estatal para  sufragar los  gastos de campaña de  cada  partido</w:t>
      </w:r>
    </w:p>
    <w:p>
      <w:pPr>
        <w:spacing w:before="36"/>
        <w:ind w:left="122" w:right="119" w:firstLine="0"/>
        <w:jc w:val="both"/>
        <w:rPr>
          <w:sz w:val="20"/>
        </w:rPr>
      </w:pPr>
      <w:r>
        <w:rPr>
          <w:position w:val="10"/>
          <w:sz w:val="13"/>
        </w:rPr>
        <w:t>32 </w:t>
      </w:r>
      <w:r>
        <w:rPr>
          <w:sz w:val="20"/>
        </w:rPr>
        <w:t>En Costa Rica se utiliza la coma (,) como separador decimal para diferenciar enteros de fracciones; a diferencia de México donde la coma (,) indica los enteros. Ambos usos son permitidos por el Sistema Internacional de Unidades (SIU) o Sistema Internacional de Medidas.</w:t>
      </w:r>
    </w:p>
    <w:p>
      <w:pPr>
        <w:spacing w:line="228" w:lineRule="exact" w:before="5"/>
        <w:ind w:left="122" w:right="119" w:firstLine="0"/>
        <w:jc w:val="both"/>
        <w:rPr>
          <w:sz w:val="20"/>
        </w:rPr>
      </w:pPr>
      <w:r>
        <w:rPr>
          <w:position w:val="10"/>
          <w:sz w:val="13"/>
        </w:rPr>
        <w:t>33 </w:t>
      </w:r>
      <w:r>
        <w:rPr>
          <w:sz w:val="20"/>
        </w:rPr>
        <w:t>El tipo de cambio para todo lo relativo al costo de los partidos costarricenses que participaron en las elecciones nacionales se realizó tomando como base el punto medio (entre compra y venta) de</w:t>
      </w:r>
    </w:p>
    <w:p>
      <w:pPr>
        <w:spacing w:line="240" w:lineRule="auto" w:before="0"/>
        <w:ind w:left="122" w:right="121" w:firstLine="0"/>
        <w:jc w:val="both"/>
        <w:rPr>
          <w:sz w:val="20"/>
        </w:rPr>
      </w:pPr>
      <w:r>
        <w:rPr>
          <w:sz w:val="20"/>
        </w:rPr>
        <w:t>cambio histórico que tuvo el colón frente al dólar el 7 </w:t>
      </w:r>
      <w:r>
        <w:rPr>
          <w:spacing w:val="3"/>
          <w:sz w:val="20"/>
        </w:rPr>
        <w:t>de </w:t>
      </w:r>
      <w:r>
        <w:rPr>
          <w:sz w:val="20"/>
        </w:rPr>
        <w:t>febrero de 2010, día de la jornada electoral, siendo éste de ¢553,20 colones por dólar. Para el costo de los partidos que participaron en las elecciones cantonales el 5 de diciembre del mismo año el tipo de cambio del colon se situó en ¢500,55 colones por dólar (OANDA,</w:t>
      </w:r>
      <w:r>
        <w:rPr>
          <w:spacing w:val="-17"/>
          <w:sz w:val="20"/>
        </w:rPr>
        <w:t> </w:t>
      </w:r>
      <w:r>
        <w:rPr>
          <w:sz w:val="20"/>
        </w:rPr>
        <w:t>2013).</w:t>
      </w:r>
    </w:p>
    <w:p>
      <w:pPr>
        <w:spacing w:after="0" w:line="240" w:lineRule="auto"/>
        <w:jc w:val="both"/>
        <w:rPr>
          <w:sz w:val="20"/>
        </w:rPr>
        <w:sectPr>
          <w:pgSz w:w="12240" w:h="15840"/>
          <w:pgMar w:header="749" w:footer="1003" w:top="960" w:bottom="1200" w:left="1580" w:right="1580"/>
        </w:sectPr>
      </w:pPr>
    </w:p>
    <w:p>
      <w:pPr>
        <w:pStyle w:val="BodyText"/>
        <w:rPr>
          <w:sz w:val="20"/>
        </w:rPr>
      </w:pPr>
    </w:p>
    <w:p>
      <w:pPr>
        <w:pStyle w:val="BodyText"/>
        <w:spacing w:line="360" w:lineRule="auto" w:before="214"/>
        <w:ind w:left="102" w:right="116"/>
        <w:jc w:val="both"/>
      </w:pPr>
      <w:r>
        <w:rPr/>
        <w:t>político. Los partidos se hicieron acreedores a ellos de acuerdo con el caudal electoral obtenido en dichos comicios. El siguiente cuadro resume el caudal electoral o monto máximo a que tuvo derecho cada partido:</w:t>
      </w:r>
    </w:p>
    <w:p>
      <w:pPr>
        <w:pStyle w:val="BodyText"/>
      </w:pPr>
    </w:p>
    <w:p>
      <w:pPr>
        <w:pStyle w:val="Heading2"/>
        <w:ind w:right="731"/>
      </w:pPr>
      <w:r>
        <w:rPr/>
        <w:t>Cuadro 3.9</w:t>
      </w:r>
    </w:p>
    <w:p>
      <w:pPr>
        <w:spacing w:before="137"/>
        <w:ind w:left="711" w:right="732" w:firstLine="0"/>
        <w:jc w:val="center"/>
        <w:rPr>
          <w:b/>
          <w:sz w:val="24"/>
        </w:rPr>
      </w:pPr>
      <w:r>
        <w:rPr>
          <w:b/>
          <w:sz w:val="24"/>
        </w:rPr>
        <w:t>Montos máximos autorizados por partido político costarricense (Elecciones nacionales 2010)</w:t>
      </w:r>
    </w:p>
    <w:p>
      <w:pPr>
        <w:pStyle w:val="BodyText"/>
        <w:spacing w:before="1"/>
        <w:rPr>
          <w:b/>
          <w:sz w:val="25"/>
        </w:rPr>
      </w:pPr>
    </w:p>
    <w:tbl>
      <w:tblPr>
        <w:tblW w:w="0" w:type="auto"/>
        <w:jc w:val="left"/>
        <w:tblInd w:w="183" w:type="dxa"/>
        <w:tblBorders>
          <w:top w:val="double" w:sz="3" w:space="0" w:color="000000"/>
          <w:left w:val="double" w:sz="3" w:space="0" w:color="000000"/>
          <w:bottom w:val="double" w:sz="3" w:space="0" w:color="000000"/>
          <w:right w:val="double" w:sz="3" w:space="0" w:color="000000"/>
          <w:insideH w:val="double" w:sz="3" w:space="0" w:color="000000"/>
          <w:insideV w:val="double" w:sz="3" w:space="0" w:color="000000"/>
        </w:tblBorders>
        <w:tblLayout w:type="fixed"/>
        <w:tblCellMar>
          <w:top w:w="0" w:type="dxa"/>
          <w:left w:w="0" w:type="dxa"/>
          <w:bottom w:w="0" w:type="dxa"/>
          <w:right w:w="0" w:type="dxa"/>
        </w:tblCellMar>
        <w:tblLook w:val="01E0"/>
      </w:tblPr>
      <w:tblGrid>
        <w:gridCol w:w="3707"/>
        <w:gridCol w:w="2837"/>
        <w:gridCol w:w="2123"/>
      </w:tblGrid>
      <w:tr>
        <w:trPr>
          <w:trHeight w:val="535" w:hRule="exact"/>
        </w:trPr>
        <w:tc>
          <w:tcPr>
            <w:tcW w:w="3707" w:type="dxa"/>
            <w:tcBorders>
              <w:left w:val="single" w:sz="4" w:space="0" w:color="000000"/>
              <w:bottom w:val="single" w:sz="8" w:space="0" w:color="000000"/>
            </w:tcBorders>
            <w:shd w:val="clear" w:color="auto" w:fill="D9D9D9"/>
          </w:tcPr>
          <w:p>
            <w:pPr>
              <w:pStyle w:val="TableParagraph"/>
              <w:spacing w:before="128"/>
              <w:ind w:left="1034"/>
              <w:rPr>
                <w:b/>
                <w:sz w:val="22"/>
              </w:rPr>
            </w:pPr>
            <w:r>
              <w:rPr>
                <w:b/>
                <w:sz w:val="22"/>
              </w:rPr>
              <w:t>Partido Político</w:t>
            </w:r>
          </w:p>
        </w:tc>
        <w:tc>
          <w:tcPr>
            <w:tcW w:w="2837" w:type="dxa"/>
            <w:tcBorders>
              <w:bottom w:val="single" w:sz="8" w:space="0" w:color="000000"/>
            </w:tcBorders>
            <w:shd w:val="clear" w:color="auto" w:fill="D9D9D9"/>
          </w:tcPr>
          <w:p>
            <w:pPr>
              <w:pStyle w:val="TableParagraph"/>
              <w:spacing w:before="1"/>
              <w:ind w:left="971" w:right="38" w:hanging="927"/>
              <w:rPr>
                <w:b/>
                <w:sz w:val="22"/>
              </w:rPr>
            </w:pPr>
            <w:r>
              <w:rPr>
                <w:b/>
                <w:sz w:val="22"/>
              </w:rPr>
              <w:t>Monto máximo a que tuvo derecho</w:t>
            </w:r>
          </w:p>
        </w:tc>
        <w:tc>
          <w:tcPr>
            <w:tcW w:w="2123" w:type="dxa"/>
            <w:tcBorders>
              <w:bottom w:val="single" w:sz="8" w:space="0" w:color="000000"/>
              <w:right w:val="single" w:sz="4" w:space="0" w:color="000000"/>
            </w:tcBorders>
            <w:shd w:val="clear" w:color="auto" w:fill="D9D9D9"/>
          </w:tcPr>
          <w:p>
            <w:pPr>
              <w:pStyle w:val="TableParagraph"/>
              <w:spacing w:before="1"/>
              <w:ind w:left="292"/>
              <w:rPr>
                <w:b/>
                <w:sz w:val="22"/>
              </w:rPr>
            </w:pPr>
            <w:r>
              <w:rPr>
                <w:b/>
                <w:sz w:val="22"/>
              </w:rPr>
              <w:t>Monto en USD</w:t>
            </w:r>
          </w:p>
        </w:tc>
      </w:tr>
      <w:tr>
        <w:trPr>
          <w:trHeight w:val="329" w:hRule="exact"/>
        </w:trPr>
        <w:tc>
          <w:tcPr>
            <w:tcW w:w="3707" w:type="dxa"/>
            <w:tcBorders>
              <w:top w:val="single" w:sz="6" w:space="0" w:color="D9D9D9"/>
              <w:left w:val="single" w:sz="4" w:space="0" w:color="000000"/>
              <w:bottom w:val="single" w:sz="8" w:space="0" w:color="000000"/>
            </w:tcBorders>
          </w:tcPr>
          <w:p>
            <w:pPr>
              <w:pStyle w:val="TableParagraph"/>
              <w:spacing w:before="36"/>
              <w:ind w:left="11"/>
              <w:rPr>
                <w:sz w:val="22"/>
              </w:rPr>
            </w:pPr>
            <w:r>
              <w:rPr>
                <w:sz w:val="22"/>
              </w:rPr>
              <w:t>Partido Accesibilidad sin Exclusión</w:t>
            </w:r>
          </w:p>
        </w:tc>
        <w:tc>
          <w:tcPr>
            <w:tcW w:w="2837" w:type="dxa"/>
            <w:tcBorders>
              <w:top w:val="single" w:sz="6" w:space="0" w:color="D9D9D9"/>
              <w:bottom w:val="single" w:sz="8" w:space="0" w:color="000000"/>
            </w:tcBorders>
          </w:tcPr>
          <w:p>
            <w:pPr>
              <w:pStyle w:val="TableParagraph"/>
              <w:spacing w:before="26"/>
              <w:ind w:left="0" w:right="17"/>
              <w:jc w:val="right"/>
              <w:rPr>
                <w:sz w:val="22"/>
              </w:rPr>
            </w:pPr>
            <w:r>
              <w:rPr>
                <w:sz w:val="22"/>
              </w:rPr>
              <w:t>¢ 956.349.243,48</w:t>
            </w:r>
          </w:p>
        </w:tc>
        <w:tc>
          <w:tcPr>
            <w:tcW w:w="2123" w:type="dxa"/>
            <w:tcBorders>
              <w:top w:val="single" w:sz="6" w:space="0" w:color="D9D9D9"/>
              <w:bottom w:val="single" w:sz="8" w:space="0" w:color="000000"/>
              <w:right w:val="single" w:sz="4" w:space="0" w:color="000000"/>
            </w:tcBorders>
          </w:tcPr>
          <w:p>
            <w:pPr>
              <w:pStyle w:val="TableParagraph"/>
              <w:spacing w:before="26"/>
              <w:ind w:left="0" w:right="19"/>
              <w:jc w:val="right"/>
              <w:rPr>
                <w:sz w:val="22"/>
              </w:rPr>
            </w:pPr>
            <w:r>
              <w:rPr>
                <w:sz w:val="22"/>
              </w:rPr>
              <w:t>$1,728,758.57</w:t>
            </w:r>
          </w:p>
        </w:tc>
      </w:tr>
      <w:tr>
        <w:trPr>
          <w:trHeight w:val="322" w:hRule="exact"/>
        </w:trPr>
        <w:tc>
          <w:tcPr>
            <w:tcW w:w="3707" w:type="dxa"/>
            <w:tcBorders>
              <w:top w:val="single" w:sz="8" w:space="0" w:color="000000"/>
              <w:left w:val="single" w:sz="4" w:space="0" w:color="000000"/>
              <w:bottom w:val="single" w:sz="4" w:space="0" w:color="000000"/>
            </w:tcBorders>
          </w:tcPr>
          <w:p>
            <w:pPr>
              <w:pStyle w:val="TableParagraph"/>
              <w:spacing w:before="24"/>
              <w:ind w:left="11"/>
              <w:rPr>
                <w:sz w:val="22"/>
              </w:rPr>
            </w:pPr>
            <w:r>
              <w:rPr>
                <w:sz w:val="22"/>
              </w:rPr>
              <w:t>Partido Acción Ciudadana</w:t>
            </w:r>
          </w:p>
        </w:tc>
        <w:tc>
          <w:tcPr>
            <w:tcW w:w="2837" w:type="dxa"/>
            <w:tcBorders>
              <w:top w:val="single" w:sz="8" w:space="0" w:color="000000"/>
              <w:bottom w:val="single" w:sz="4" w:space="0" w:color="000000"/>
            </w:tcBorders>
          </w:tcPr>
          <w:p>
            <w:pPr>
              <w:pStyle w:val="TableParagraph"/>
              <w:spacing w:before="16"/>
              <w:ind w:left="0" w:right="17"/>
              <w:jc w:val="right"/>
              <w:rPr>
                <w:sz w:val="22"/>
              </w:rPr>
            </w:pPr>
            <w:r>
              <w:rPr>
                <w:sz w:val="22"/>
              </w:rPr>
              <w:t>¢ 3.741.080.303,65</w:t>
            </w:r>
          </w:p>
        </w:tc>
        <w:tc>
          <w:tcPr>
            <w:tcW w:w="2123" w:type="dxa"/>
            <w:tcBorders>
              <w:top w:val="single" w:sz="8" w:space="0" w:color="000000"/>
              <w:bottom w:val="single" w:sz="4" w:space="0" w:color="000000"/>
              <w:right w:val="single" w:sz="4" w:space="0" w:color="000000"/>
            </w:tcBorders>
          </w:tcPr>
          <w:p>
            <w:pPr>
              <w:pStyle w:val="TableParagraph"/>
              <w:spacing w:before="16"/>
              <w:ind w:left="0" w:right="19"/>
              <w:jc w:val="right"/>
              <w:rPr>
                <w:sz w:val="22"/>
              </w:rPr>
            </w:pPr>
            <w:r>
              <w:rPr>
                <w:sz w:val="22"/>
              </w:rPr>
              <w:t>$6,762,618.04</w:t>
            </w:r>
          </w:p>
        </w:tc>
      </w:tr>
      <w:tr>
        <w:trPr>
          <w:trHeight w:val="319" w:hRule="exact"/>
        </w:trPr>
        <w:tc>
          <w:tcPr>
            <w:tcW w:w="3707" w:type="dxa"/>
            <w:tcBorders>
              <w:top w:val="single" w:sz="4" w:space="0" w:color="000000"/>
              <w:left w:val="single" w:sz="4" w:space="0" w:color="000000"/>
              <w:bottom w:val="single" w:sz="4" w:space="0" w:color="000000"/>
            </w:tcBorders>
          </w:tcPr>
          <w:p>
            <w:pPr>
              <w:pStyle w:val="TableParagraph"/>
              <w:spacing w:before="28"/>
              <w:ind w:left="11"/>
              <w:rPr>
                <w:sz w:val="22"/>
              </w:rPr>
            </w:pPr>
            <w:r>
              <w:rPr>
                <w:sz w:val="22"/>
              </w:rPr>
              <w:t>Partido Frente Amplio</w:t>
            </w:r>
          </w:p>
        </w:tc>
        <w:tc>
          <w:tcPr>
            <w:tcW w:w="2837" w:type="dxa"/>
            <w:tcBorders>
              <w:top w:val="single" w:sz="4" w:space="0" w:color="000000"/>
              <w:bottom w:val="single" w:sz="4" w:space="0" w:color="000000"/>
            </w:tcBorders>
          </w:tcPr>
          <w:p>
            <w:pPr>
              <w:pStyle w:val="TableParagraph"/>
              <w:spacing w:before="19"/>
              <w:ind w:left="0" w:right="17"/>
              <w:jc w:val="right"/>
              <w:rPr>
                <w:sz w:val="22"/>
              </w:rPr>
            </w:pPr>
            <w:r>
              <w:rPr>
                <w:sz w:val="22"/>
              </w:rPr>
              <w:t>¢ 348.436.857,83</w:t>
            </w:r>
          </w:p>
        </w:tc>
        <w:tc>
          <w:tcPr>
            <w:tcW w:w="2123" w:type="dxa"/>
            <w:tcBorders>
              <w:top w:val="single" w:sz="4" w:space="0" w:color="000000"/>
              <w:bottom w:val="single" w:sz="4" w:space="0" w:color="000000"/>
              <w:right w:val="single" w:sz="4" w:space="0" w:color="000000"/>
            </w:tcBorders>
          </w:tcPr>
          <w:p>
            <w:pPr>
              <w:pStyle w:val="TableParagraph"/>
              <w:spacing w:before="19"/>
              <w:ind w:left="0" w:right="20"/>
              <w:jc w:val="right"/>
              <w:rPr>
                <w:sz w:val="22"/>
              </w:rPr>
            </w:pPr>
            <w:r>
              <w:rPr>
                <w:sz w:val="22"/>
              </w:rPr>
              <w:t>$629,856.93</w:t>
            </w:r>
          </w:p>
        </w:tc>
      </w:tr>
      <w:tr>
        <w:trPr>
          <w:trHeight w:val="319" w:hRule="exact"/>
        </w:trPr>
        <w:tc>
          <w:tcPr>
            <w:tcW w:w="3707" w:type="dxa"/>
            <w:tcBorders>
              <w:top w:val="single" w:sz="4" w:space="0" w:color="000000"/>
              <w:left w:val="single" w:sz="4" w:space="0" w:color="000000"/>
              <w:bottom w:val="single" w:sz="8" w:space="0" w:color="000000"/>
            </w:tcBorders>
          </w:tcPr>
          <w:p>
            <w:pPr>
              <w:pStyle w:val="TableParagraph"/>
              <w:spacing w:before="28"/>
              <w:ind w:left="11"/>
              <w:rPr>
                <w:sz w:val="22"/>
              </w:rPr>
            </w:pPr>
            <w:r>
              <w:rPr>
                <w:sz w:val="22"/>
              </w:rPr>
              <w:t>Partido Liberación Nacional</w:t>
            </w:r>
          </w:p>
        </w:tc>
        <w:tc>
          <w:tcPr>
            <w:tcW w:w="2837" w:type="dxa"/>
            <w:tcBorders>
              <w:top w:val="single" w:sz="4" w:space="0" w:color="000000"/>
              <w:bottom w:val="single" w:sz="8" w:space="0" w:color="000000"/>
            </w:tcBorders>
          </w:tcPr>
          <w:p>
            <w:pPr>
              <w:pStyle w:val="TableParagraph"/>
              <w:spacing w:before="19"/>
              <w:ind w:left="0" w:right="17"/>
              <w:jc w:val="right"/>
              <w:rPr>
                <w:sz w:val="22"/>
              </w:rPr>
            </w:pPr>
            <w:r>
              <w:rPr>
                <w:sz w:val="22"/>
              </w:rPr>
              <w:t>¢ 7.378.842.220,04</w:t>
            </w:r>
          </w:p>
        </w:tc>
        <w:tc>
          <w:tcPr>
            <w:tcW w:w="2123" w:type="dxa"/>
            <w:tcBorders>
              <w:top w:val="single" w:sz="4" w:space="0" w:color="000000"/>
              <w:bottom w:val="single" w:sz="8" w:space="0" w:color="000000"/>
              <w:right w:val="single" w:sz="4" w:space="0" w:color="000000"/>
            </w:tcBorders>
          </w:tcPr>
          <w:p>
            <w:pPr>
              <w:pStyle w:val="TableParagraph"/>
              <w:spacing w:before="19"/>
              <w:ind w:left="0" w:right="19"/>
              <w:jc w:val="right"/>
              <w:rPr>
                <w:sz w:val="22"/>
              </w:rPr>
            </w:pPr>
            <w:r>
              <w:rPr>
                <w:sz w:val="22"/>
              </w:rPr>
              <w:t>$13,338,471.11</w:t>
            </w:r>
          </w:p>
        </w:tc>
      </w:tr>
      <w:tr>
        <w:trPr>
          <w:trHeight w:val="322" w:hRule="exact"/>
        </w:trPr>
        <w:tc>
          <w:tcPr>
            <w:tcW w:w="3707" w:type="dxa"/>
            <w:tcBorders>
              <w:top w:val="single" w:sz="8" w:space="0" w:color="000000"/>
              <w:left w:val="single" w:sz="4" w:space="0" w:color="000000"/>
              <w:bottom w:val="single" w:sz="4" w:space="0" w:color="000000"/>
            </w:tcBorders>
          </w:tcPr>
          <w:p>
            <w:pPr>
              <w:pStyle w:val="TableParagraph"/>
              <w:spacing w:before="24"/>
              <w:ind w:left="11"/>
              <w:rPr>
                <w:sz w:val="22"/>
              </w:rPr>
            </w:pPr>
            <w:r>
              <w:rPr>
                <w:sz w:val="22"/>
              </w:rPr>
              <w:t>Partido Movimiento Libertario</w:t>
            </w:r>
          </w:p>
        </w:tc>
        <w:tc>
          <w:tcPr>
            <w:tcW w:w="2837" w:type="dxa"/>
            <w:tcBorders>
              <w:top w:val="single" w:sz="8" w:space="0" w:color="000000"/>
              <w:bottom w:val="single" w:sz="4" w:space="0" w:color="000000"/>
            </w:tcBorders>
          </w:tcPr>
          <w:p>
            <w:pPr>
              <w:pStyle w:val="TableParagraph"/>
              <w:spacing w:before="16"/>
              <w:ind w:left="0" w:right="17"/>
              <w:jc w:val="right"/>
              <w:rPr>
                <w:sz w:val="22"/>
              </w:rPr>
            </w:pPr>
            <w:r>
              <w:rPr>
                <w:sz w:val="22"/>
              </w:rPr>
              <w:t>¢ 3.105.511.498,33</w:t>
            </w:r>
          </w:p>
        </w:tc>
        <w:tc>
          <w:tcPr>
            <w:tcW w:w="2123" w:type="dxa"/>
            <w:tcBorders>
              <w:top w:val="single" w:sz="8" w:space="0" w:color="000000"/>
              <w:bottom w:val="single" w:sz="4" w:space="0" w:color="000000"/>
              <w:right w:val="single" w:sz="4" w:space="0" w:color="000000"/>
            </w:tcBorders>
          </w:tcPr>
          <w:p>
            <w:pPr>
              <w:pStyle w:val="TableParagraph"/>
              <w:spacing w:before="16"/>
              <w:ind w:left="0" w:right="19"/>
              <w:jc w:val="right"/>
              <w:rPr>
                <w:sz w:val="22"/>
              </w:rPr>
            </w:pPr>
            <w:r>
              <w:rPr>
                <w:sz w:val="22"/>
              </w:rPr>
              <w:t>$5,613,722.88</w:t>
            </w:r>
          </w:p>
        </w:tc>
      </w:tr>
      <w:tr>
        <w:trPr>
          <w:trHeight w:val="319" w:hRule="exact"/>
        </w:trPr>
        <w:tc>
          <w:tcPr>
            <w:tcW w:w="3707" w:type="dxa"/>
            <w:tcBorders>
              <w:top w:val="single" w:sz="4" w:space="0" w:color="000000"/>
              <w:left w:val="single" w:sz="4" w:space="0" w:color="000000"/>
              <w:bottom w:val="single" w:sz="4" w:space="0" w:color="000000"/>
            </w:tcBorders>
          </w:tcPr>
          <w:p>
            <w:pPr>
              <w:pStyle w:val="TableParagraph"/>
              <w:spacing w:before="28"/>
              <w:ind w:left="11"/>
              <w:rPr>
                <w:sz w:val="22"/>
              </w:rPr>
            </w:pPr>
            <w:r>
              <w:rPr>
                <w:sz w:val="22"/>
              </w:rPr>
              <w:t>Partido Renovación Costarricense</w:t>
            </w:r>
          </w:p>
        </w:tc>
        <w:tc>
          <w:tcPr>
            <w:tcW w:w="2837" w:type="dxa"/>
            <w:tcBorders>
              <w:top w:val="single" w:sz="4" w:space="0" w:color="000000"/>
              <w:bottom w:val="single" w:sz="4" w:space="0" w:color="000000"/>
            </w:tcBorders>
          </w:tcPr>
          <w:p>
            <w:pPr>
              <w:pStyle w:val="TableParagraph"/>
              <w:spacing w:before="19"/>
              <w:ind w:left="0" w:right="17"/>
              <w:jc w:val="right"/>
              <w:rPr>
                <w:sz w:val="22"/>
              </w:rPr>
            </w:pPr>
            <w:r>
              <w:rPr>
                <w:sz w:val="22"/>
              </w:rPr>
              <w:t>¢ 400.521.428,73</w:t>
            </w:r>
          </w:p>
        </w:tc>
        <w:tc>
          <w:tcPr>
            <w:tcW w:w="2123" w:type="dxa"/>
            <w:tcBorders>
              <w:top w:val="single" w:sz="4" w:space="0" w:color="000000"/>
              <w:bottom w:val="single" w:sz="4" w:space="0" w:color="000000"/>
              <w:right w:val="single" w:sz="4" w:space="0" w:color="000000"/>
            </w:tcBorders>
          </w:tcPr>
          <w:p>
            <w:pPr>
              <w:pStyle w:val="TableParagraph"/>
              <w:spacing w:before="19"/>
              <w:ind w:left="0" w:right="20"/>
              <w:jc w:val="right"/>
              <w:rPr>
                <w:sz w:val="22"/>
              </w:rPr>
            </w:pPr>
            <w:r>
              <w:rPr>
                <w:sz w:val="22"/>
              </w:rPr>
              <w:t>$724,008.36</w:t>
            </w:r>
          </w:p>
        </w:tc>
      </w:tr>
      <w:tr>
        <w:trPr>
          <w:trHeight w:val="319" w:hRule="exact"/>
        </w:trPr>
        <w:tc>
          <w:tcPr>
            <w:tcW w:w="3707" w:type="dxa"/>
            <w:tcBorders>
              <w:top w:val="single" w:sz="4" w:space="0" w:color="000000"/>
              <w:left w:val="single" w:sz="4" w:space="0" w:color="000000"/>
              <w:bottom w:val="single" w:sz="8" w:space="0" w:color="000000"/>
            </w:tcBorders>
          </w:tcPr>
          <w:p>
            <w:pPr>
              <w:pStyle w:val="TableParagraph"/>
              <w:spacing w:before="28"/>
              <w:ind w:left="11"/>
              <w:rPr>
                <w:sz w:val="22"/>
              </w:rPr>
            </w:pPr>
            <w:r>
              <w:rPr>
                <w:sz w:val="22"/>
              </w:rPr>
              <w:t>Partido Unidad Social Cristiana</w:t>
            </w:r>
          </w:p>
        </w:tc>
        <w:tc>
          <w:tcPr>
            <w:tcW w:w="2837" w:type="dxa"/>
            <w:tcBorders>
              <w:top w:val="single" w:sz="4" w:space="0" w:color="000000"/>
              <w:bottom w:val="single" w:sz="8" w:space="0" w:color="000000"/>
            </w:tcBorders>
          </w:tcPr>
          <w:p>
            <w:pPr>
              <w:pStyle w:val="TableParagraph"/>
              <w:spacing w:before="19"/>
              <w:ind w:left="0" w:right="17"/>
              <w:jc w:val="right"/>
              <w:rPr>
                <w:sz w:val="22"/>
              </w:rPr>
            </w:pPr>
            <w:r>
              <w:rPr>
                <w:sz w:val="22"/>
              </w:rPr>
              <w:t>¢ 1.053.836.513,33</w:t>
            </w:r>
          </w:p>
        </w:tc>
        <w:tc>
          <w:tcPr>
            <w:tcW w:w="2123" w:type="dxa"/>
            <w:tcBorders>
              <w:top w:val="single" w:sz="4" w:space="0" w:color="000000"/>
              <w:bottom w:val="single" w:sz="8" w:space="0" w:color="000000"/>
              <w:right w:val="single" w:sz="4" w:space="0" w:color="000000"/>
            </w:tcBorders>
          </w:tcPr>
          <w:p>
            <w:pPr>
              <w:pStyle w:val="TableParagraph"/>
              <w:spacing w:before="19"/>
              <w:ind w:left="0" w:right="19"/>
              <w:jc w:val="right"/>
              <w:rPr>
                <w:sz w:val="22"/>
              </w:rPr>
            </w:pPr>
            <w:r>
              <w:rPr>
                <w:sz w:val="22"/>
              </w:rPr>
              <w:t>$1,904,982.85</w:t>
            </w:r>
          </w:p>
        </w:tc>
      </w:tr>
      <w:tr>
        <w:trPr>
          <w:trHeight w:val="322" w:hRule="exact"/>
        </w:trPr>
        <w:tc>
          <w:tcPr>
            <w:tcW w:w="3707" w:type="dxa"/>
            <w:tcBorders>
              <w:top w:val="single" w:sz="8" w:space="0" w:color="000000"/>
              <w:left w:val="single" w:sz="4" w:space="0" w:color="000000"/>
              <w:bottom w:val="single" w:sz="4" w:space="0" w:color="000000"/>
            </w:tcBorders>
          </w:tcPr>
          <w:p>
            <w:pPr>
              <w:pStyle w:val="TableParagraph"/>
              <w:spacing w:before="24"/>
              <w:ind w:left="11"/>
              <w:rPr>
                <w:sz w:val="22"/>
              </w:rPr>
            </w:pPr>
            <w:r>
              <w:rPr>
                <w:sz w:val="22"/>
              </w:rPr>
              <w:t>Partido Restauración Nacional</w:t>
            </w:r>
          </w:p>
        </w:tc>
        <w:tc>
          <w:tcPr>
            <w:tcW w:w="2837" w:type="dxa"/>
            <w:tcBorders>
              <w:top w:val="single" w:sz="8" w:space="0" w:color="000000"/>
              <w:bottom w:val="single" w:sz="4" w:space="0" w:color="000000"/>
            </w:tcBorders>
          </w:tcPr>
          <w:p>
            <w:pPr>
              <w:pStyle w:val="TableParagraph"/>
              <w:spacing w:before="16"/>
              <w:ind w:left="0" w:right="17"/>
              <w:jc w:val="right"/>
              <w:rPr>
                <w:sz w:val="22"/>
              </w:rPr>
            </w:pPr>
            <w:r>
              <w:rPr>
                <w:sz w:val="22"/>
              </w:rPr>
              <w:t>¢ 135.798.814,98</w:t>
            </w:r>
          </w:p>
        </w:tc>
        <w:tc>
          <w:tcPr>
            <w:tcW w:w="2123" w:type="dxa"/>
            <w:tcBorders>
              <w:top w:val="single" w:sz="8" w:space="0" w:color="000000"/>
              <w:bottom w:val="single" w:sz="4" w:space="0" w:color="000000"/>
              <w:right w:val="single" w:sz="4" w:space="0" w:color="000000"/>
            </w:tcBorders>
          </w:tcPr>
          <w:p>
            <w:pPr>
              <w:pStyle w:val="TableParagraph"/>
              <w:spacing w:before="16"/>
              <w:ind w:left="0" w:right="20"/>
              <w:jc w:val="right"/>
              <w:rPr>
                <w:sz w:val="22"/>
              </w:rPr>
            </w:pPr>
            <w:r>
              <w:rPr>
                <w:sz w:val="22"/>
              </w:rPr>
              <w:t>$245,478.69</w:t>
            </w:r>
          </w:p>
        </w:tc>
      </w:tr>
      <w:tr>
        <w:trPr>
          <w:trHeight w:val="319" w:hRule="exact"/>
        </w:trPr>
        <w:tc>
          <w:tcPr>
            <w:tcW w:w="3707" w:type="dxa"/>
            <w:tcBorders>
              <w:top w:val="single" w:sz="4" w:space="0" w:color="000000"/>
              <w:left w:val="single" w:sz="4" w:space="0" w:color="000000"/>
              <w:bottom w:val="single" w:sz="4" w:space="0" w:color="000000"/>
            </w:tcBorders>
          </w:tcPr>
          <w:p>
            <w:pPr>
              <w:pStyle w:val="TableParagraph"/>
              <w:spacing w:before="28"/>
              <w:ind w:left="11"/>
              <w:rPr>
                <w:sz w:val="22"/>
              </w:rPr>
            </w:pPr>
            <w:r>
              <w:rPr>
                <w:sz w:val="22"/>
              </w:rPr>
              <w:t>Partido Unión Agrícola Cartaginés</w:t>
            </w:r>
          </w:p>
        </w:tc>
        <w:tc>
          <w:tcPr>
            <w:tcW w:w="2837" w:type="dxa"/>
            <w:tcBorders>
              <w:top w:val="single" w:sz="4" w:space="0" w:color="000000"/>
              <w:bottom w:val="single" w:sz="4" w:space="0" w:color="000000"/>
            </w:tcBorders>
          </w:tcPr>
          <w:p>
            <w:pPr>
              <w:pStyle w:val="TableParagraph"/>
              <w:spacing w:before="19"/>
              <w:ind w:left="0" w:right="17"/>
              <w:jc w:val="right"/>
              <w:rPr>
                <w:sz w:val="22"/>
              </w:rPr>
            </w:pPr>
            <w:r>
              <w:rPr>
                <w:sz w:val="22"/>
              </w:rPr>
              <w:t>¢ 54.549.459,64</w:t>
            </w:r>
          </w:p>
        </w:tc>
        <w:tc>
          <w:tcPr>
            <w:tcW w:w="2123" w:type="dxa"/>
            <w:tcBorders>
              <w:top w:val="single" w:sz="4" w:space="0" w:color="000000"/>
              <w:bottom w:val="single" w:sz="4" w:space="0" w:color="000000"/>
              <w:right w:val="single" w:sz="4" w:space="0" w:color="000000"/>
            </w:tcBorders>
          </w:tcPr>
          <w:p>
            <w:pPr>
              <w:pStyle w:val="TableParagraph"/>
              <w:spacing w:before="19"/>
              <w:ind w:left="0" w:right="19"/>
              <w:jc w:val="right"/>
              <w:rPr>
                <w:sz w:val="22"/>
              </w:rPr>
            </w:pPr>
            <w:r>
              <w:rPr>
                <w:sz w:val="22"/>
              </w:rPr>
              <w:t>$98,607.12</w:t>
            </w:r>
          </w:p>
        </w:tc>
      </w:tr>
      <w:tr>
        <w:trPr>
          <w:trHeight w:val="320" w:hRule="exact"/>
        </w:trPr>
        <w:tc>
          <w:tcPr>
            <w:tcW w:w="3707" w:type="dxa"/>
            <w:tcBorders>
              <w:top w:val="single" w:sz="4" w:space="0" w:color="000000"/>
              <w:left w:val="single" w:sz="4" w:space="0" w:color="000000"/>
            </w:tcBorders>
          </w:tcPr>
          <w:p>
            <w:pPr>
              <w:pStyle w:val="TableParagraph"/>
              <w:spacing w:before="28"/>
              <w:ind w:left="11"/>
              <w:rPr>
                <w:sz w:val="22"/>
              </w:rPr>
            </w:pPr>
            <w:r>
              <w:rPr>
                <w:sz w:val="22"/>
              </w:rPr>
              <w:t>Total</w:t>
            </w:r>
          </w:p>
        </w:tc>
        <w:tc>
          <w:tcPr>
            <w:tcW w:w="2837" w:type="dxa"/>
            <w:tcBorders>
              <w:top w:val="single" w:sz="4" w:space="0" w:color="000000"/>
            </w:tcBorders>
          </w:tcPr>
          <w:p>
            <w:pPr>
              <w:pStyle w:val="TableParagraph"/>
              <w:spacing w:before="19"/>
              <w:ind w:left="0" w:right="17"/>
              <w:jc w:val="right"/>
              <w:rPr>
                <w:sz w:val="22"/>
              </w:rPr>
            </w:pPr>
            <w:r>
              <w:rPr>
                <w:sz w:val="22"/>
              </w:rPr>
              <w:t>¢ 17.174.926.340,01</w:t>
            </w:r>
          </w:p>
        </w:tc>
        <w:tc>
          <w:tcPr>
            <w:tcW w:w="2123" w:type="dxa"/>
            <w:tcBorders>
              <w:top w:val="single" w:sz="4" w:space="0" w:color="000000"/>
              <w:right w:val="single" w:sz="4" w:space="0" w:color="000000"/>
            </w:tcBorders>
          </w:tcPr>
          <w:p>
            <w:pPr>
              <w:pStyle w:val="TableParagraph"/>
              <w:spacing w:before="19"/>
              <w:ind w:left="0" w:right="19"/>
              <w:jc w:val="right"/>
              <w:rPr>
                <w:sz w:val="22"/>
              </w:rPr>
            </w:pPr>
            <w:r>
              <w:rPr>
                <w:sz w:val="22"/>
              </w:rPr>
              <w:t>$31,046,504.59</w:t>
            </w:r>
          </w:p>
        </w:tc>
      </w:tr>
    </w:tbl>
    <w:p>
      <w:pPr>
        <w:spacing w:before="0"/>
        <w:ind w:left="711" w:right="732" w:firstLine="0"/>
        <w:jc w:val="center"/>
        <w:rPr>
          <w:sz w:val="22"/>
        </w:rPr>
      </w:pPr>
      <w:r>
        <w:rPr>
          <w:sz w:val="22"/>
        </w:rPr>
        <w:t>Fuente: respuesta a la solicitud de información requerida al TSE (TSE, 2013).</w:t>
      </w:r>
    </w:p>
    <w:p>
      <w:pPr>
        <w:pStyle w:val="BodyText"/>
        <w:rPr>
          <w:sz w:val="22"/>
        </w:rPr>
      </w:pPr>
    </w:p>
    <w:p>
      <w:pPr>
        <w:pStyle w:val="BodyText"/>
        <w:spacing w:before="10"/>
      </w:pPr>
    </w:p>
    <w:p>
      <w:pPr>
        <w:pStyle w:val="BodyText"/>
        <w:spacing w:line="360" w:lineRule="auto" w:before="1"/>
        <w:ind w:left="102" w:right="115" w:firstLine="707"/>
        <w:jc w:val="both"/>
      </w:pPr>
      <w:r>
        <w:rPr/>
        <w:t>El aporte estatal, de acuerdo con el modelo de financiamiento de los partidos políticos que rige en Costa Rica, se entregó a manera de reembolso, una vez que comprobaron sus gastos ante el organismo electoral. Del monto al que tienen derecho los partidos políticos (descrito en el cuadro 3.9) se reservó una porción (definida por los partidos políticos en sus propios estatutos) para sufragar los gastos comprendidos en periodo no electoral (desde marzo-abril de 2010 y hasta octubre de 2013). El monto que finalmente el TSE reconoció a cada partido político luego del proceso de revisión de liquidaciones se describe en el siguiente cuadro (ver cuadro 3.10):</w:t>
      </w:r>
    </w:p>
    <w:p>
      <w:pPr>
        <w:spacing w:after="0" w:line="360" w:lineRule="auto"/>
        <w:jc w:val="both"/>
        <w:sectPr>
          <w:pgSz w:w="12240" w:h="15840"/>
          <w:pgMar w:header="749" w:footer="1003" w:top="960" w:bottom="1200" w:left="1600" w:right="1580"/>
        </w:sectPr>
      </w:pPr>
    </w:p>
    <w:p>
      <w:pPr>
        <w:pStyle w:val="BodyText"/>
        <w:rPr>
          <w:sz w:val="20"/>
        </w:rPr>
      </w:pPr>
    </w:p>
    <w:p>
      <w:pPr>
        <w:pStyle w:val="Heading2"/>
        <w:spacing w:before="214"/>
        <w:ind w:left="3393" w:right="3290"/>
      </w:pPr>
      <w:r>
        <w:rPr/>
        <w:t>Cuadro 3.10</w:t>
      </w:r>
    </w:p>
    <w:p>
      <w:pPr>
        <w:spacing w:before="137"/>
        <w:ind w:left="1446" w:right="1346" w:firstLine="0"/>
        <w:jc w:val="center"/>
        <w:rPr>
          <w:b/>
          <w:sz w:val="24"/>
        </w:rPr>
      </w:pPr>
      <w:r>
        <w:rPr>
          <w:b/>
          <w:sz w:val="24"/>
        </w:rPr>
        <w:t>Montos comprobados por partido político costarricense (Elecciones nacionales 2010)</w:t>
      </w:r>
    </w:p>
    <w:p>
      <w:pPr>
        <w:pStyle w:val="BodyText"/>
        <w:spacing w:before="4"/>
        <w:rPr>
          <w:b/>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68"/>
        <w:gridCol w:w="3332"/>
        <w:gridCol w:w="2429"/>
      </w:tblGrid>
      <w:tr>
        <w:trPr>
          <w:trHeight w:val="262" w:hRule="exact"/>
        </w:trPr>
        <w:tc>
          <w:tcPr>
            <w:tcW w:w="3068" w:type="dxa"/>
            <w:shd w:val="clear" w:color="auto" w:fill="D9D9D9"/>
          </w:tcPr>
          <w:p>
            <w:pPr>
              <w:pStyle w:val="TableParagraph"/>
              <w:spacing w:line="248" w:lineRule="exact"/>
              <w:ind w:left="727"/>
              <w:rPr>
                <w:b/>
                <w:sz w:val="22"/>
              </w:rPr>
            </w:pPr>
            <w:r>
              <w:rPr>
                <w:b/>
                <w:sz w:val="22"/>
              </w:rPr>
              <w:t>Partido político</w:t>
            </w:r>
          </w:p>
        </w:tc>
        <w:tc>
          <w:tcPr>
            <w:tcW w:w="3332" w:type="dxa"/>
            <w:shd w:val="clear" w:color="auto" w:fill="D9D9D9"/>
          </w:tcPr>
          <w:p>
            <w:pPr>
              <w:pStyle w:val="TableParagraph"/>
              <w:spacing w:line="248" w:lineRule="exact"/>
              <w:ind w:left="734"/>
              <w:rPr>
                <w:b/>
                <w:sz w:val="22"/>
              </w:rPr>
            </w:pPr>
            <w:r>
              <w:rPr>
                <w:b/>
                <w:sz w:val="22"/>
              </w:rPr>
              <w:t>Cantidad recibida</w:t>
            </w:r>
          </w:p>
        </w:tc>
        <w:tc>
          <w:tcPr>
            <w:tcW w:w="2429" w:type="dxa"/>
            <w:shd w:val="clear" w:color="auto" w:fill="D9D9D9"/>
          </w:tcPr>
          <w:p>
            <w:pPr>
              <w:pStyle w:val="TableParagraph"/>
              <w:spacing w:line="248" w:lineRule="exact"/>
              <w:ind w:left="316"/>
              <w:rPr>
                <w:b/>
                <w:sz w:val="22"/>
              </w:rPr>
            </w:pPr>
            <w:r>
              <w:rPr>
                <w:b/>
                <w:sz w:val="22"/>
              </w:rPr>
              <w:t>Cantidad en USD</w:t>
            </w:r>
          </w:p>
        </w:tc>
      </w:tr>
      <w:tr>
        <w:trPr>
          <w:trHeight w:val="264" w:hRule="exact"/>
        </w:trPr>
        <w:tc>
          <w:tcPr>
            <w:tcW w:w="3068" w:type="dxa"/>
          </w:tcPr>
          <w:p>
            <w:pPr>
              <w:pStyle w:val="TableParagraph"/>
              <w:rPr>
                <w:sz w:val="22"/>
              </w:rPr>
            </w:pPr>
            <w:r>
              <w:rPr>
                <w:sz w:val="22"/>
              </w:rPr>
              <w:t>Accesibilidad sin Exclusión</w:t>
            </w:r>
          </w:p>
        </w:tc>
        <w:tc>
          <w:tcPr>
            <w:tcW w:w="3332" w:type="dxa"/>
          </w:tcPr>
          <w:p>
            <w:pPr>
              <w:pStyle w:val="TableParagraph"/>
              <w:ind w:left="0" w:right="101"/>
              <w:jc w:val="right"/>
              <w:rPr>
                <w:sz w:val="22"/>
              </w:rPr>
            </w:pPr>
            <w:r>
              <w:rPr>
                <w:sz w:val="22"/>
              </w:rPr>
              <w:t>¢ 598.816.911,86</w:t>
            </w:r>
          </w:p>
        </w:tc>
        <w:tc>
          <w:tcPr>
            <w:tcW w:w="2429" w:type="dxa"/>
          </w:tcPr>
          <w:p>
            <w:pPr>
              <w:pStyle w:val="TableParagraph"/>
              <w:ind w:left="0" w:right="98"/>
              <w:jc w:val="right"/>
              <w:rPr>
                <w:sz w:val="22"/>
              </w:rPr>
            </w:pPr>
            <w:r>
              <w:rPr>
                <w:sz w:val="22"/>
              </w:rPr>
              <w:t>$1,082,460.07</w:t>
            </w:r>
          </w:p>
        </w:tc>
      </w:tr>
      <w:tr>
        <w:trPr>
          <w:trHeight w:val="264" w:hRule="exact"/>
        </w:trPr>
        <w:tc>
          <w:tcPr>
            <w:tcW w:w="3068" w:type="dxa"/>
          </w:tcPr>
          <w:p>
            <w:pPr>
              <w:pStyle w:val="TableParagraph"/>
              <w:spacing w:line="251" w:lineRule="exact"/>
              <w:rPr>
                <w:sz w:val="22"/>
              </w:rPr>
            </w:pPr>
            <w:r>
              <w:rPr>
                <w:sz w:val="22"/>
              </w:rPr>
              <w:t>Acción Ciudadana</w:t>
            </w:r>
          </w:p>
        </w:tc>
        <w:tc>
          <w:tcPr>
            <w:tcW w:w="3332" w:type="dxa"/>
          </w:tcPr>
          <w:p>
            <w:pPr>
              <w:pStyle w:val="TableParagraph"/>
              <w:spacing w:line="251" w:lineRule="exact"/>
              <w:ind w:left="0" w:right="103"/>
              <w:jc w:val="right"/>
              <w:rPr>
                <w:sz w:val="22"/>
              </w:rPr>
            </w:pPr>
            <w:r>
              <w:rPr>
                <w:sz w:val="22"/>
              </w:rPr>
              <w:t>¢ 2.961.477.158,48</w:t>
            </w:r>
          </w:p>
        </w:tc>
        <w:tc>
          <w:tcPr>
            <w:tcW w:w="2429" w:type="dxa"/>
          </w:tcPr>
          <w:p>
            <w:pPr>
              <w:pStyle w:val="TableParagraph"/>
              <w:spacing w:line="251" w:lineRule="exact"/>
              <w:ind w:left="0" w:right="98"/>
              <w:jc w:val="right"/>
              <w:rPr>
                <w:sz w:val="22"/>
              </w:rPr>
            </w:pPr>
            <w:r>
              <w:rPr>
                <w:sz w:val="22"/>
              </w:rPr>
              <w:t>$5,353,357.11</w:t>
            </w:r>
          </w:p>
        </w:tc>
      </w:tr>
      <w:tr>
        <w:trPr>
          <w:trHeight w:val="262" w:hRule="exact"/>
        </w:trPr>
        <w:tc>
          <w:tcPr>
            <w:tcW w:w="3068" w:type="dxa"/>
          </w:tcPr>
          <w:p>
            <w:pPr>
              <w:pStyle w:val="TableParagraph"/>
              <w:spacing w:line="251" w:lineRule="exact"/>
              <w:rPr>
                <w:sz w:val="22"/>
              </w:rPr>
            </w:pPr>
            <w:r>
              <w:rPr>
                <w:sz w:val="22"/>
              </w:rPr>
              <w:t>Frente Amplio</w:t>
            </w:r>
          </w:p>
        </w:tc>
        <w:tc>
          <w:tcPr>
            <w:tcW w:w="3332" w:type="dxa"/>
          </w:tcPr>
          <w:p>
            <w:pPr>
              <w:pStyle w:val="TableParagraph"/>
              <w:spacing w:line="251" w:lineRule="exact"/>
              <w:ind w:left="0" w:right="101"/>
              <w:jc w:val="right"/>
              <w:rPr>
                <w:sz w:val="22"/>
              </w:rPr>
            </w:pPr>
            <w:r>
              <w:rPr>
                <w:sz w:val="22"/>
              </w:rPr>
              <w:t>¢ 296.361.209,16</w:t>
            </w:r>
          </w:p>
        </w:tc>
        <w:tc>
          <w:tcPr>
            <w:tcW w:w="2429" w:type="dxa"/>
          </w:tcPr>
          <w:p>
            <w:pPr>
              <w:pStyle w:val="TableParagraph"/>
              <w:spacing w:line="251" w:lineRule="exact"/>
              <w:ind w:left="0" w:right="99"/>
              <w:jc w:val="right"/>
              <w:rPr>
                <w:sz w:val="22"/>
              </w:rPr>
            </w:pPr>
            <w:r>
              <w:rPr>
                <w:sz w:val="22"/>
              </w:rPr>
              <w:t>$535,721.63</w:t>
            </w:r>
          </w:p>
        </w:tc>
      </w:tr>
      <w:tr>
        <w:trPr>
          <w:trHeight w:val="264" w:hRule="exact"/>
        </w:trPr>
        <w:tc>
          <w:tcPr>
            <w:tcW w:w="3068" w:type="dxa"/>
          </w:tcPr>
          <w:p>
            <w:pPr>
              <w:pStyle w:val="TableParagraph"/>
              <w:spacing w:line="251" w:lineRule="exact"/>
              <w:rPr>
                <w:sz w:val="22"/>
              </w:rPr>
            </w:pPr>
            <w:r>
              <w:rPr>
                <w:sz w:val="22"/>
              </w:rPr>
              <w:t>Liberación Nacional</w:t>
            </w:r>
          </w:p>
        </w:tc>
        <w:tc>
          <w:tcPr>
            <w:tcW w:w="3332" w:type="dxa"/>
          </w:tcPr>
          <w:p>
            <w:pPr>
              <w:pStyle w:val="TableParagraph"/>
              <w:spacing w:line="251" w:lineRule="exact"/>
              <w:ind w:left="0" w:right="103"/>
              <w:jc w:val="right"/>
              <w:rPr>
                <w:sz w:val="22"/>
              </w:rPr>
            </w:pPr>
            <w:r>
              <w:rPr>
                <w:sz w:val="22"/>
              </w:rPr>
              <w:t>¢ 6.801.717.905,60</w:t>
            </w:r>
          </w:p>
        </w:tc>
        <w:tc>
          <w:tcPr>
            <w:tcW w:w="2429" w:type="dxa"/>
          </w:tcPr>
          <w:p>
            <w:pPr>
              <w:pStyle w:val="TableParagraph"/>
              <w:spacing w:line="251" w:lineRule="exact"/>
              <w:ind w:left="0" w:right="98"/>
              <w:jc w:val="right"/>
              <w:rPr>
                <w:sz w:val="22"/>
              </w:rPr>
            </w:pPr>
            <w:r>
              <w:rPr>
                <w:sz w:val="22"/>
              </w:rPr>
              <w:t>$12,295,223.97</w:t>
            </w:r>
          </w:p>
        </w:tc>
      </w:tr>
      <w:tr>
        <w:trPr>
          <w:trHeight w:val="262" w:hRule="exact"/>
        </w:trPr>
        <w:tc>
          <w:tcPr>
            <w:tcW w:w="3068" w:type="dxa"/>
          </w:tcPr>
          <w:p>
            <w:pPr>
              <w:pStyle w:val="TableParagraph"/>
              <w:spacing w:line="251" w:lineRule="exact"/>
              <w:rPr>
                <w:sz w:val="22"/>
              </w:rPr>
            </w:pPr>
            <w:r>
              <w:rPr>
                <w:sz w:val="22"/>
              </w:rPr>
              <w:t>Movimiento Libertario</w:t>
            </w:r>
          </w:p>
        </w:tc>
        <w:tc>
          <w:tcPr>
            <w:tcW w:w="3332" w:type="dxa"/>
          </w:tcPr>
          <w:p>
            <w:pPr>
              <w:pStyle w:val="TableParagraph"/>
              <w:spacing w:line="251" w:lineRule="exact"/>
              <w:ind w:left="0" w:right="103"/>
              <w:jc w:val="right"/>
              <w:rPr>
                <w:sz w:val="22"/>
              </w:rPr>
            </w:pPr>
            <w:r>
              <w:rPr>
                <w:sz w:val="22"/>
              </w:rPr>
              <w:t>¢ 2.445.881.263,95</w:t>
            </w:r>
          </w:p>
        </w:tc>
        <w:tc>
          <w:tcPr>
            <w:tcW w:w="2429" w:type="dxa"/>
          </w:tcPr>
          <w:p>
            <w:pPr>
              <w:pStyle w:val="TableParagraph"/>
              <w:spacing w:line="251" w:lineRule="exact"/>
              <w:ind w:left="0" w:right="98"/>
              <w:jc w:val="right"/>
              <w:rPr>
                <w:sz w:val="22"/>
              </w:rPr>
            </w:pPr>
            <w:r>
              <w:rPr>
                <w:sz w:val="22"/>
              </w:rPr>
              <w:t>$4,421,332.72</w:t>
            </w:r>
          </w:p>
        </w:tc>
      </w:tr>
      <w:tr>
        <w:trPr>
          <w:trHeight w:val="264" w:hRule="exact"/>
        </w:trPr>
        <w:tc>
          <w:tcPr>
            <w:tcW w:w="3068" w:type="dxa"/>
          </w:tcPr>
          <w:p>
            <w:pPr>
              <w:pStyle w:val="TableParagraph"/>
              <w:spacing w:line="251" w:lineRule="exact"/>
              <w:rPr>
                <w:sz w:val="22"/>
              </w:rPr>
            </w:pPr>
            <w:r>
              <w:rPr>
                <w:sz w:val="22"/>
              </w:rPr>
              <w:t>Renovación Costarricense</w:t>
            </w:r>
          </w:p>
        </w:tc>
        <w:tc>
          <w:tcPr>
            <w:tcW w:w="3332" w:type="dxa"/>
          </w:tcPr>
          <w:p>
            <w:pPr>
              <w:pStyle w:val="TableParagraph"/>
              <w:spacing w:line="251" w:lineRule="exact"/>
              <w:ind w:left="0" w:right="101"/>
              <w:jc w:val="right"/>
              <w:rPr>
                <w:sz w:val="22"/>
              </w:rPr>
            </w:pPr>
            <w:r>
              <w:rPr>
                <w:sz w:val="22"/>
              </w:rPr>
              <w:t>¢ 6.012.341,75</w:t>
            </w:r>
          </w:p>
        </w:tc>
        <w:tc>
          <w:tcPr>
            <w:tcW w:w="2429" w:type="dxa"/>
          </w:tcPr>
          <w:p>
            <w:pPr>
              <w:pStyle w:val="TableParagraph"/>
              <w:spacing w:line="251" w:lineRule="exact"/>
              <w:ind w:left="0" w:right="99"/>
              <w:jc w:val="right"/>
              <w:rPr>
                <w:sz w:val="22"/>
              </w:rPr>
            </w:pPr>
            <w:r>
              <w:rPr>
                <w:sz w:val="22"/>
              </w:rPr>
              <w:t>$10,868.29</w:t>
            </w:r>
          </w:p>
        </w:tc>
      </w:tr>
      <w:tr>
        <w:trPr>
          <w:trHeight w:val="262" w:hRule="exact"/>
        </w:trPr>
        <w:tc>
          <w:tcPr>
            <w:tcW w:w="3068" w:type="dxa"/>
          </w:tcPr>
          <w:p>
            <w:pPr>
              <w:pStyle w:val="TableParagraph"/>
              <w:spacing w:line="251" w:lineRule="exact"/>
              <w:rPr>
                <w:sz w:val="22"/>
              </w:rPr>
            </w:pPr>
            <w:r>
              <w:rPr>
                <w:sz w:val="22"/>
              </w:rPr>
              <w:t>Unidad Social Cristiana</w:t>
            </w:r>
          </w:p>
        </w:tc>
        <w:tc>
          <w:tcPr>
            <w:tcW w:w="3332" w:type="dxa"/>
          </w:tcPr>
          <w:p>
            <w:pPr>
              <w:pStyle w:val="TableParagraph"/>
              <w:spacing w:line="251" w:lineRule="exact"/>
              <w:ind w:left="0" w:right="101"/>
              <w:jc w:val="right"/>
              <w:rPr>
                <w:sz w:val="22"/>
              </w:rPr>
            </w:pPr>
            <w:r>
              <w:rPr>
                <w:sz w:val="22"/>
              </w:rPr>
              <w:t>¢ 856.633.692,10</w:t>
            </w:r>
          </w:p>
        </w:tc>
        <w:tc>
          <w:tcPr>
            <w:tcW w:w="2429" w:type="dxa"/>
          </w:tcPr>
          <w:p>
            <w:pPr>
              <w:pStyle w:val="TableParagraph"/>
              <w:spacing w:line="251" w:lineRule="exact"/>
              <w:ind w:left="0" w:right="98"/>
              <w:jc w:val="right"/>
              <w:rPr>
                <w:sz w:val="22"/>
              </w:rPr>
            </w:pPr>
            <w:r>
              <w:rPr>
                <w:sz w:val="22"/>
              </w:rPr>
              <w:t>$1,548,506.31</w:t>
            </w:r>
          </w:p>
        </w:tc>
      </w:tr>
      <w:tr>
        <w:trPr>
          <w:trHeight w:val="264" w:hRule="exact"/>
        </w:trPr>
        <w:tc>
          <w:tcPr>
            <w:tcW w:w="3068" w:type="dxa"/>
          </w:tcPr>
          <w:p>
            <w:pPr>
              <w:pStyle w:val="TableParagraph"/>
              <w:rPr>
                <w:sz w:val="22"/>
              </w:rPr>
            </w:pPr>
            <w:r>
              <w:rPr>
                <w:sz w:val="22"/>
              </w:rPr>
              <w:t>Restauración Nacional</w:t>
            </w:r>
          </w:p>
        </w:tc>
        <w:tc>
          <w:tcPr>
            <w:tcW w:w="3332" w:type="dxa"/>
          </w:tcPr>
          <w:p>
            <w:pPr>
              <w:pStyle w:val="TableParagraph"/>
              <w:ind w:left="0" w:right="101"/>
              <w:jc w:val="right"/>
              <w:rPr>
                <w:sz w:val="22"/>
              </w:rPr>
            </w:pPr>
            <w:r>
              <w:rPr>
                <w:sz w:val="22"/>
              </w:rPr>
              <w:t>¢ 129.008.874,23</w:t>
            </w:r>
          </w:p>
        </w:tc>
        <w:tc>
          <w:tcPr>
            <w:tcW w:w="2429" w:type="dxa"/>
          </w:tcPr>
          <w:p>
            <w:pPr>
              <w:pStyle w:val="TableParagraph"/>
              <w:ind w:left="0" w:right="99"/>
              <w:jc w:val="right"/>
              <w:rPr>
                <w:sz w:val="22"/>
              </w:rPr>
            </w:pPr>
            <w:r>
              <w:rPr>
                <w:sz w:val="22"/>
              </w:rPr>
              <w:t>$233,204.76</w:t>
            </w:r>
          </w:p>
        </w:tc>
      </w:tr>
      <w:tr>
        <w:trPr>
          <w:trHeight w:val="265" w:hRule="exact"/>
        </w:trPr>
        <w:tc>
          <w:tcPr>
            <w:tcW w:w="3068" w:type="dxa"/>
          </w:tcPr>
          <w:p>
            <w:pPr>
              <w:pStyle w:val="TableParagraph"/>
              <w:spacing w:line="251" w:lineRule="exact"/>
              <w:rPr>
                <w:sz w:val="22"/>
              </w:rPr>
            </w:pPr>
            <w:r>
              <w:rPr>
                <w:sz w:val="22"/>
              </w:rPr>
              <w:t>Unión Agrícola Cartaginés</w:t>
            </w:r>
          </w:p>
        </w:tc>
        <w:tc>
          <w:tcPr>
            <w:tcW w:w="3332" w:type="dxa"/>
          </w:tcPr>
          <w:p>
            <w:pPr>
              <w:pStyle w:val="TableParagraph"/>
              <w:spacing w:line="251" w:lineRule="exact"/>
              <w:ind w:left="0" w:right="100"/>
              <w:jc w:val="right"/>
              <w:rPr>
                <w:sz w:val="22"/>
              </w:rPr>
            </w:pPr>
            <w:r>
              <w:rPr>
                <w:sz w:val="22"/>
              </w:rPr>
              <w:t>¢ 0,00</w:t>
            </w:r>
          </w:p>
        </w:tc>
        <w:tc>
          <w:tcPr>
            <w:tcW w:w="2429" w:type="dxa"/>
          </w:tcPr>
          <w:p>
            <w:pPr>
              <w:pStyle w:val="TableParagraph"/>
              <w:spacing w:line="251" w:lineRule="exact"/>
              <w:ind w:left="0" w:right="98"/>
              <w:jc w:val="right"/>
              <w:rPr>
                <w:sz w:val="22"/>
              </w:rPr>
            </w:pPr>
            <w:r>
              <w:rPr>
                <w:sz w:val="22"/>
              </w:rPr>
              <w:t>$0.00</w:t>
            </w:r>
          </w:p>
        </w:tc>
      </w:tr>
      <w:tr>
        <w:trPr>
          <w:trHeight w:val="262" w:hRule="exact"/>
        </w:trPr>
        <w:tc>
          <w:tcPr>
            <w:tcW w:w="3068" w:type="dxa"/>
          </w:tcPr>
          <w:p>
            <w:pPr>
              <w:pStyle w:val="TableParagraph"/>
              <w:spacing w:line="251" w:lineRule="exact"/>
              <w:rPr>
                <w:sz w:val="22"/>
              </w:rPr>
            </w:pPr>
            <w:r>
              <w:rPr>
                <w:sz w:val="22"/>
              </w:rPr>
              <w:t>Total</w:t>
            </w:r>
          </w:p>
        </w:tc>
        <w:tc>
          <w:tcPr>
            <w:tcW w:w="3332" w:type="dxa"/>
          </w:tcPr>
          <w:p>
            <w:pPr>
              <w:pStyle w:val="TableParagraph"/>
              <w:spacing w:line="251" w:lineRule="exact"/>
              <w:ind w:left="0" w:right="103"/>
              <w:jc w:val="right"/>
              <w:rPr>
                <w:sz w:val="22"/>
              </w:rPr>
            </w:pPr>
            <w:r>
              <w:rPr>
                <w:sz w:val="22"/>
              </w:rPr>
              <w:t>¢ 14.095.909.357,13</w:t>
            </w:r>
          </w:p>
        </w:tc>
        <w:tc>
          <w:tcPr>
            <w:tcW w:w="2429" w:type="dxa"/>
          </w:tcPr>
          <w:p>
            <w:pPr>
              <w:pStyle w:val="TableParagraph"/>
              <w:spacing w:line="251" w:lineRule="exact"/>
              <w:ind w:left="0" w:right="99"/>
              <w:jc w:val="right"/>
              <w:rPr>
                <w:sz w:val="22"/>
              </w:rPr>
            </w:pPr>
            <w:r>
              <w:rPr>
                <w:sz w:val="22"/>
              </w:rPr>
              <w:t>$25,480,674.9</w:t>
            </w:r>
          </w:p>
        </w:tc>
      </w:tr>
    </w:tbl>
    <w:p>
      <w:pPr>
        <w:spacing w:line="227" w:lineRule="exact" w:before="0"/>
        <w:ind w:left="222" w:right="0" w:firstLine="0"/>
        <w:jc w:val="both"/>
        <w:rPr>
          <w:sz w:val="20"/>
        </w:rPr>
      </w:pPr>
      <w:r>
        <w:rPr>
          <w:sz w:val="20"/>
        </w:rPr>
        <w:t>Fuente: respuesta a la solicitud de información requerida al TSE (TSE, 2013).</w:t>
      </w:r>
    </w:p>
    <w:p>
      <w:pPr>
        <w:pStyle w:val="BodyText"/>
        <w:rPr>
          <w:sz w:val="20"/>
        </w:rPr>
      </w:pPr>
    </w:p>
    <w:p>
      <w:pPr>
        <w:pStyle w:val="BodyText"/>
        <w:spacing w:before="2"/>
        <w:rPr>
          <w:sz w:val="26"/>
        </w:rPr>
      </w:pPr>
    </w:p>
    <w:p>
      <w:pPr>
        <w:pStyle w:val="BodyText"/>
        <w:spacing w:line="360" w:lineRule="auto"/>
        <w:ind w:left="222" w:right="115" w:firstLine="707"/>
        <w:jc w:val="both"/>
      </w:pPr>
      <w:r>
        <w:rPr/>
        <w:t>En síntesis, el financiamiento público estatal distribuido entre los partidos políticos para las elecciones de 2010 ascendió a ¢17.174.926.340.00 colones ($34,312,109.35 USD) lo que equivale a 0.11% del PIB. De este monto el 15%,</w:t>
      </w:r>
    </w:p>
    <w:p>
      <w:pPr>
        <w:pStyle w:val="BodyText"/>
        <w:spacing w:line="360" w:lineRule="auto" w:before="2"/>
        <w:ind w:left="222" w:right="115"/>
        <w:jc w:val="both"/>
      </w:pPr>
      <w:r>
        <w:rPr/>
        <w:t>¢2.576.238.951 colones ($5,146,816.40 USD), se destinó al financiamiento anticipado; el 85%, ¢14.598.687.389 colones ($29,165,292.95 USD), se pagó con posterioridad a las elecciones. Cabe señalar que el 80%, ¢2.060.991.160 colones ($4,117.45 USD), se distribuyó en partes iguales entre partidos nacionales y se pagó después de las elecciones, mediante bonos, en proporción a los votos y según comprobaciones de gastos; el 20% restante, ¢ 515.247.790 colones ($1,029,980.58 USD), se distribuyó en partes iguales, entre partidos provinciales.</w:t>
      </w:r>
    </w:p>
    <w:p>
      <w:pPr>
        <w:pStyle w:val="BodyText"/>
        <w:spacing w:line="360" w:lineRule="auto" w:before="2"/>
        <w:ind w:left="222" w:right="125" w:firstLine="707"/>
        <w:jc w:val="both"/>
      </w:pPr>
      <w:r>
        <w:rPr/>
        <w:t>El financiamiento público a que fueron acreedores los partidos políticos costarricenses se fundamentó en el artículo 96 de la Constitución Política (ANC, 1949), así mismo en los artículos 87, 115, 120 y 132 del Código Electoral (ALRCR, 2009). En conclusión los partidos registrados para las elecciones nacionales se ubicaron como medianamente costosos (2.0).</w:t>
      </w:r>
    </w:p>
    <w:p>
      <w:pPr>
        <w:spacing w:after="0" w:line="360" w:lineRule="auto"/>
        <w:jc w:val="both"/>
        <w:sectPr>
          <w:pgSz w:w="12240" w:h="15840"/>
          <w:pgMar w:header="749" w:footer="1003" w:top="960" w:bottom="1200" w:left="1480" w:right="1580"/>
        </w:sectPr>
      </w:pPr>
    </w:p>
    <w:p>
      <w:pPr>
        <w:pStyle w:val="BodyText"/>
        <w:rPr>
          <w:sz w:val="20"/>
        </w:rPr>
      </w:pPr>
    </w:p>
    <w:p>
      <w:pPr>
        <w:pStyle w:val="ListParagraph"/>
        <w:numPr>
          <w:ilvl w:val="0"/>
          <w:numId w:val="33"/>
        </w:numPr>
        <w:tabs>
          <w:tab w:pos="1290" w:val="left" w:leader="none"/>
        </w:tabs>
        <w:spacing w:line="240" w:lineRule="auto" w:before="212" w:after="0"/>
        <w:ind w:left="1290" w:right="0" w:hanging="360"/>
        <w:jc w:val="left"/>
        <w:rPr>
          <w:i/>
          <w:sz w:val="24"/>
        </w:rPr>
      </w:pPr>
      <w:r>
        <w:rPr>
          <w:i/>
          <w:sz w:val="24"/>
        </w:rPr>
        <w:t>Irregularidades en la aplicación del financiamiento</w:t>
      </w:r>
      <w:r>
        <w:rPr>
          <w:i/>
          <w:spacing w:val="-19"/>
          <w:sz w:val="24"/>
        </w:rPr>
        <w:t> </w:t>
      </w:r>
      <w:r>
        <w:rPr>
          <w:i/>
          <w:sz w:val="24"/>
        </w:rPr>
        <w:t>público</w:t>
      </w:r>
    </w:p>
    <w:p>
      <w:pPr>
        <w:pStyle w:val="BodyText"/>
        <w:rPr>
          <w:i/>
        </w:rPr>
      </w:pPr>
    </w:p>
    <w:p>
      <w:pPr>
        <w:pStyle w:val="BodyText"/>
        <w:spacing w:before="2"/>
        <w:rPr>
          <w:i/>
        </w:rPr>
      </w:pPr>
    </w:p>
    <w:p>
      <w:pPr>
        <w:pStyle w:val="BodyText"/>
        <w:spacing w:line="360" w:lineRule="auto" w:before="1"/>
        <w:ind w:left="222" w:right="224"/>
        <w:jc w:val="both"/>
      </w:pPr>
      <w:r>
        <w:rPr/>
        <w:t>Los partidos políticos nacionales que participaron en las elecciones de febrero de 2010 se hicieron acreedores a los siguientes porcentajes de reducción en sus reembolsos:</w:t>
      </w:r>
    </w:p>
    <w:p>
      <w:pPr>
        <w:pStyle w:val="BodyText"/>
      </w:pPr>
    </w:p>
    <w:p>
      <w:pPr>
        <w:pStyle w:val="Heading2"/>
        <w:ind w:left="2111" w:right="2108"/>
      </w:pPr>
      <w:r>
        <w:rPr/>
        <w:t>Cuadro 3.11</w:t>
      </w:r>
    </w:p>
    <w:p>
      <w:pPr>
        <w:spacing w:before="137"/>
        <w:ind w:left="224" w:right="219" w:firstLine="0"/>
        <w:jc w:val="center"/>
        <w:rPr>
          <w:b/>
          <w:sz w:val="24"/>
        </w:rPr>
      </w:pPr>
      <w:r>
        <w:rPr>
          <w:b/>
          <w:sz w:val="24"/>
        </w:rPr>
        <w:t>Porcentaje de reducciones al financiamiento público de los partidos políticos costarricenses (Elecciones nacionales 2010)</w:t>
      </w:r>
    </w:p>
    <w:p>
      <w:pPr>
        <w:pStyle w:val="BodyText"/>
        <w:spacing w:before="1"/>
        <w:rPr>
          <w:b/>
          <w:sz w:val="25"/>
        </w:rPr>
      </w:pPr>
    </w:p>
    <w:tbl>
      <w:tblPr>
        <w:tblW w:w="0" w:type="auto"/>
        <w:jc w:val="left"/>
        <w:tblInd w:w="115" w:type="dxa"/>
        <w:tblBorders>
          <w:top w:val="double" w:sz="3" w:space="0" w:color="000000"/>
          <w:left w:val="double" w:sz="3" w:space="0" w:color="000000"/>
          <w:bottom w:val="double" w:sz="3" w:space="0" w:color="000000"/>
          <w:right w:val="double" w:sz="3" w:space="0" w:color="000000"/>
          <w:insideH w:val="double" w:sz="3" w:space="0" w:color="000000"/>
          <w:insideV w:val="double" w:sz="3" w:space="0" w:color="000000"/>
        </w:tblBorders>
        <w:tblLayout w:type="fixed"/>
        <w:tblCellMar>
          <w:top w:w="0" w:type="dxa"/>
          <w:left w:w="0" w:type="dxa"/>
          <w:bottom w:w="0" w:type="dxa"/>
          <w:right w:w="0" w:type="dxa"/>
        </w:tblCellMar>
        <w:tblLook w:val="01E0"/>
      </w:tblPr>
      <w:tblGrid>
        <w:gridCol w:w="1378"/>
        <w:gridCol w:w="2127"/>
        <w:gridCol w:w="1985"/>
        <w:gridCol w:w="1843"/>
        <w:gridCol w:w="850"/>
        <w:gridCol w:w="860"/>
      </w:tblGrid>
      <w:tr>
        <w:trPr>
          <w:trHeight w:val="790" w:hRule="exact"/>
        </w:trPr>
        <w:tc>
          <w:tcPr>
            <w:tcW w:w="1378" w:type="dxa"/>
            <w:tcBorders>
              <w:left w:val="single" w:sz="4" w:space="0" w:color="000000"/>
              <w:bottom w:val="single" w:sz="4" w:space="0" w:color="000000"/>
            </w:tcBorders>
            <w:shd w:val="clear" w:color="auto" w:fill="D9D9D9"/>
          </w:tcPr>
          <w:p>
            <w:pPr>
              <w:pStyle w:val="TableParagraph"/>
              <w:spacing w:before="126"/>
              <w:ind w:left="279" w:right="268" w:firstLine="16"/>
              <w:rPr>
                <w:b/>
                <w:sz w:val="22"/>
              </w:rPr>
            </w:pPr>
            <w:r>
              <w:rPr>
                <w:b/>
                <w:sz w:val="22"/>
              </w:rPr>
              <w:t>Partido Político</w:t>
            </w:r>
          </w:p>
        </w:tc>
        <w:tc>
          <w:tcPr>
            <w:tcW w:w="2127" w:type="dxa"/>
            <w:tcBorders>
              <w:bottom w:val="single" w:sz="4" w:space="0" w:color="000000"/>
            </w:tcBorders>
            <w:shd w:val="clear" w:color="auto" w:fill="D9D9D9"/>
          </w:tcPr>
          <w:p>
            <w:pPr>
              <w:pStyle w:val="TableParagraph"/>
              <w:spacing w:before="126"/>
              <w:ind w:left="129" w:right="122" w:firstLine="48"/>
              <w:rPr>
                <w:b/>
                <w:sz w:val="22"/>
              </w:rPr>
            </w:pPr>
            <w:r>
              <w:rPr>
                <w:b/>
                <w:sz w:val="22"/>
              </w:rPr>
              <w:t>Monto máximo a que tuvo derecho</w:t>
            </w:r>
          </w:p>
        </w:tc>
        <w:tc>
          <w:tcPr>
            <w:tcW w:w="1985" w:type="dxa"/>
            <w:tcBorders>
              <w:bottom w:val="single" w:sz="4" w:space="0" w:color="000000"/>
            </w:tcBorders>
            <w:shd w:val="clear" w:color="auto" w:fill="D9D9D9"/>
          </w:tcPr>
          <w:p>
            <w:pPr>
              <w:pStyle w:val="TableParagraph"/>
              <w:spacing w:before="126"/>
              <w:ind w:left="266" w:right="106" w:hanging="152"/>
              <w:rPr>
                <w:b/>
                <w:sz w:val="22"/>
              </w:rPr>
            </w:pPr>
            <w:r>
              <w:rPr>
                <w:b/>
                <w:sz w:val="22"/>
              </w:rPr>
              <w:t>Monto aprobado por el TSE (a)</w:t>
            </w:r>
          </w:p>
        </w:tc>
        <w:tc>
          <w:tcPr>
            <w:tcW w:w="1843" w:type="dxa"/>
            <w:tcBorders>
              <w:bottom w:val="single" w:sz="4" w:space="0" w:color="000000"/>
            </w:tcBorders>
            <w:shd w:val="clear" w:color="auto" w:fill="D9D9D9"/>
          </w:tcPr>
          <w:p>
            <w:pPr>
              <w:pStyle w:val="TableParagraph"/>
              <w:ind w:left="201" w:right="209"/>
              <w:jc w:val="center"/>
              <w:rPr>
                <w:b/>
                <w:sz w:val="22"/>
              </w:rPr>
            </w:pPr>
            <w:r>
              <w:rPr>
                <w:b/>
                <w:sz w:val="22"/>
              </w:rPr>
              <w:t>Monto no comprobado por el partido</w:t>
            </w:r>
          </w:p>
        </w:tc>
        <w:tc>
          <w:tcPr>
            <w:tcW w:w="850" w:type="dxa"/>
            <w:tcBorders>
              <w:bottom w:val="single" w:sz="4" w:space="0" w:color="000000"/>
            </w:tcBorders>
            <w:shd w:val="clear" w:color="auto" w:fill="D9D9D9"/>
          </w:tcPr>
          <w:p>
            <w:pPr>
              <w:pStyle w:val="TableParagraph"/>
              <w:spacing w:line="252" w:lineRule="exact" w:before="126"/>
              <w:ind w:left="94" w:right="95"/>
              <w:jc w:val="center"/>
              <w:rPr>
                <w:b/>
                <w:sz w:val="22"/>
              </w:rPr>
            </w:pPr>
            <w:r>
              <w:rPr>
                <w:b/>
                <w:sz w:val="22"/>
              </w:rPr>
              <w:t>% MA</w:t>
            </w:r>
          </w:p>
          <w:p>
            <w:pPr>
              <w:pStyle w:val="TableParagraph"/>
              <w:spacing w:line="252" w:lineRule="exact"/>
              <w:ind w:left="89" w:right="95"/>
              <w:jc w:val="center"/>
              <w:rPr>
                <w:b/>
                <w:sz w:val="22"/>
              </w:rPr>
            </w:pPr>
            <w:r>
              <w:rPr>
                <w:b/>
                <w:sz w:val="22"/>
              </w:rPr>
              <w:t>(b)</w:t>
            </w:r>
          </w:p>
        </w:tc>
        <w:tc>
          <w:tcPr>
            <w:tcW w:w="860" w:type="dxa"/>
            <w:tcBorders>
              <w:bottom w:val="single" w:sz="4" w:space="0" w:color="000000"/>
              <w:right w:val="single" w:sz="4" w:space="0" w:color="000000"/>
            </w:tcBorders>
            <w:shd w:val="clear" w:color="auto" w:fill="D9D9D9"/>
          </w:tcPr>
          <w:p>
            <w:pPr>
              <w:pStyle w:val="TableParagraph"/>
              <w:spacing w:line="252" w:lineRule="exact" w:before="126"/>
              <w:ind w:left="18" w:right="29"/>
              <w:jc w:val="center"/>
              <w:rPr>
                <w:b/>
                <w:sz w:val="22"/>
              </w:rPr>
            </w:pPr>
            <w:r>
              <w:rPr>
                <w:b/>
                <w:sz w:val="22"/>
              </w:rPr>
              <w:t>% MNC</w:t>
            </w:r>
          </w:p>
          <w:p>
            <w:pPr>
              <w:pStyle w:val="TableParagraph"/>
              <w:spacing w:line="252" w:lineRule="exact"/>
              <w:ind w:left="18" w:right="28"/>
              <w:jc w:val="center"/>
              <w:rPr>
                <w:b/>
                <w:sz w:val="22"/>
              </w:rPr>
            </w:pPr>
            <w:r>
              <w:rPr>
                <w:b/>
                <w:sz w:val="22"/>
              </w:rPr>
              <w:t>(c)</w:t>
            </w:r>
          </w:p>
        </w:tc>
      </w:tr>
      <w:tr>
        <w:trPr>
          <w:trHeight w:val="682" w:hRule="exact"/>
        </w:trPr>
        <w:tc>
          <w:tcPr>
            <w:tcW w:w="1378" w:type="dxa"/>
            <w:tcBorders>
              <w:top w:val="single" w:sz="4" w:space="0" w:color="000000"/>
              <w:left w:val="single" w:sz="4" w:space="0" w:color="000000"/>
              <w:bottom w:val="single" w:sz="4" w:space="0" w:color="000000"/>
            </w:tcBorders>
          </w:tcPr>
          <w:p>
            <w:pPr>
              <w:pStyle w:val="TableParagraph"/>
              <w:spacing w:before="28"/>
              <w:ind w:left="10" w:right="1"/>
              <w:rPr>
                <w:sz w:val="18"/>
              </w:rPr>
            </w:pPr>
            <w:r>
              <w:rPr>
                <w:sz w:val="18"/>
              </w:rPr>
              <w:t>Partido Accesibilidad sin Exclusión</w:t>
            </w:r>
          </w:p>
        </w:tc>
        <w:tc>
          <w:tcPr>
            <w:tcW w:w="2127" w:type="dxa"/>
            <w:tcBorders>
              <w:top w:val="single" w:sz="4" w:space="0" w:color="000000"/>
              <w:bottom w:val="single" w:sz="4" w:space="0" w:color="000000"/>
            </w:tcBorders>
          </w:tcPr>
          <w:p>
            <w:pPr>
              <w:pStyle w:val="TableParagraph"/>
              <w:spacing w:before="28"/>
              <w:ind w:left="0" w:right="17"/>
              <w:jc w:val="right"/>
              <w:rPr>
                <w:sz w:val="18"/>
              </w:rPr>
            </w:pPr>
            <w:r>
              <w:rPr>
                <w:sz w:val="18"/>
              </w:rPr>
              <w:t>¢ 956.349.243,48</w:t>
            </w:r>
          </w:p>
        </w:tc>
        <w:tc>
          <w:tcPr>
            <w:tcW w:w="1985" w:type="dxa"/>
            <w:tcBorders>
              <w:top w:val="single" w:sz="13" w:space="0" w:color="D9D9D9"/>
              <w:bottom w:val="single" w:sz="4" w:space="0" w:color="000000"/>
            </w:tcBorders>
          </w:tcPr>
          <w:p>
            <w:pPr>
              <w:pStyle w:val="TableParagraph"/>
              <w:spacing w:before="16"/>
              <w:ind w:left="0" w:right="20"/>
              <w:jc w:val="right"/>
              <w:rPr>
                <w:sz w:val="18"/>
              </w:rPr>
            </w:pPr>
            <w:r>
              <w:rPr>
                <w:sz w:val="18"/>
              </w:rPr>
              <w:t>¢ 598.816.911,86</w:t>
            </w:r>
          </w:p>
        </w:tc>
        <w:tc>
          <w:tcPr>
            <w:tcW w:w="1843" w:type="dxa"/>
            <w:tcBorders>
              <w:top w:val="single" w:sz="13" w:space="0" w:color="D9D9D9"/>
              <w:bottom w:val="single" w:sz="4" w:space="0" w:color="000000"/>
            </w:tcBorders>
          </w:tcPr>
          <w:p>
            <w:pPr>
              <w:pStyle w:val="TableParagraph"/>
              <w:spacing w:before="16"/>
              <w:ind w:left="0" w:right="14"/>
              <w:jc w:val="right"/>
              <w:rPr>
                <w:sz w:val="18"/>
              </w:rPr>
            </w:pPr>
            <w:r>
              <w:rPr>
                <w:sz w:val="18"/>
              </w:rPr>
              <w:t>¢357.532.331,62</w:t>
            </w:r>
          </w:p>
        </w:tc>
        <w:tc>
          <w:tcPr>
            <w:tcW w:w="850" w:type="dxa"/>
            <w:tcBorders>
              <w:top w:val="single" w:sz="4" w:space="0" w:color="000000"/>
              <w:bottom w:val="single" w:sz="4" w:space="0" w:color="000000"/>
            </w:tcBorders>
          </w:tcPr>
          <w:p>
            <w:pPr>
              <w:pStyle w:val="TableParagraph"/>
              <w:spacing w:before="28"/>
              <w:ind w:left="0" w:right="16"/>
              <w:jc w:val="right"/>
              <w:rPr>
                <w:sz w:val="18"/>
              </w:rPr>
            </w:pPr>
            <w:r>
              <w:rPr>
                <w:w w:val="95"/>
                <w:sz w:val="18"/>
              </w:rPr>
              <w:t>55.2</w:t>
            </w:r>
          </w:p>
        </w:tc>
        <w:tc>
          <w:tcPr>
            <w:tcW w:w="860" w:type="dxa"/>
            <w:tcBorders>
              <w:top w:val="single" w:sz="13" w:space="0" w:color="D9D9D9"/>
              <w:bottom w:val="single" w:sz="4" w:space="0" w:color="000000"/>
              <w:right w:val="single" w:sz="4" w:space="0" w:color="000000"/>
            </w:tcBorders>
          </w:tcPr>
          <w:p>
            <w:pPr>
              <w:pStyle w:val="TableParagraph"/>
              <w:spacing w:before="16"/>
              <w:ind w:left="0" w:right="18"/>
              <w:jc w:val="right"/>
              <w:rPr>
                <w:sz w:val="18"/>
              </w:rPr>
            </w:pPr>
            <w:r>
              <w:rPr>
                <w:w w:val="95"/>
                <w:sz w:val="18"/>
              </w:rPr>
              <w:t>44.8</w:t>
            </w:r>
          </w:p>
        </w:tc>
      </w:tr>
      <w:tr>
        <w:trPr>
          <w:trHeight w:val="463" w:hRule="exact"/>
        </w:trPr>
        <w:tc>
          <w:tcPr>
            <w:tcW w:w="1378" w:type="dxa"/>
            <w:tcBorders>
              <w:top w:val="single" w:sz="4" w:space="0" w:color="000000"/>
              <w:left w:val="single" w:sz="4" w:space="0" w:color="000000"/>
              <w:bottom w:val="single" w:sz="4" w:space="0" w:color="000000"/>
            </w:tcBorders>
          </w:tcPr>
          <w:p>
            <w:pPr>
              <w:pStyle w:val="TableParagraph"/>
              <w:tabs>
                <w:tab w:pos="802" w:val="left" w:leader="none"/>
              </w:tabs>
              <w:spacing w:before="18"/>
              <w:ind w:left="10" w:right="16"/>
              <w:rPr>
                <w:sz w:val="18"/>
              </w:rPr>
            </w:pPr>
            <w:r>
              <w:rPr>
                <w:sz w:val="18"/>
              </w:rPr>
              <w:t>Partido</w:t>
              <w:tab/>
              <w:t>Acción Ciudadana</w:t>
            </w:r>
          </w:p>
        </w:tc>
        <w:tc>
          <w:tcPr>
            <w:tcW w:w="2127" w:type="dxa"/>
            <w:tcBorders>
              <w:top w:val="single" w:sz="4" w:space="0" w:color="000000"/>
              <w:bottom w:val="single" w:sz="4" w:space="0" w:color="000000"/>
            </w:tcBorders>
          </w:tcPr>
          <w:p>
            <w:pPr>
              <w:pStyle w:val="TableParagraph"/>
              <w:spacing w:before="18"/>
              <w:ind w:left="0" w:right="17"/>
              <w:jc w:val="right"/>
              <w:rPr>
                <w:sz w:val="18"/>
              </w:rPr>
            </w:pPr>
            <w:r>
              <w:rPr>
                <w:sz w:val="18"/>
              </w:rPr>
              <w:t>¢ 3.741.080.303,65</w:t>
            </w:r>
          </w:p>
        </w:tc>
        <w:tc>
          <w:tcPr>
            <w:tcW w:w="1985" w:type="dxa"/>
            <w:tcBorders>
              <w:top w:val="single" w:sz="4" w:space="0" w:color="000000"/>
              <w:bottom w:val="single" w:sz="4" w:space="0" w:color="000000"/>
            </w:tcBorders>
          </w:tcPr>
          <w:p>
            <w:pPr>
              <w:pStyle w:val="TableParagraph"/>
              <w:spacing w:before="18"/>
              <w:ind w:left="0" w:right="17"/>
              <w:jc w:val="right"/>
              <w:rPr>
                <w:sz w:val="18"/>
              </w:rPr>
            </w:pPr>
            <w:r>
              <w:rPr>
                <w:sz w:val="18"/>
              </w:rPr>
              <w:t>¢ 2.961.477.158,48</w:t>
            </w:r>
          </w:p>
        </w:tc>
        <w:tc>
          <w:tcPr>
            <w:tcW w:w="1843" w:type="dxa"/>
            <w:tcBorders>
              <w:top w:val="single" w:sz="4" w:space="0" w:color="000000"/>
              <w:bottom w:val="single" w:sz="4" w:space="0" w:color="000000"/>
            </w:tcBorders>
          </w:tcPr>
          <w:p>
            <w:pPr>
              <w:pStyle w:val="TableParagraph"/>
              <w:spacing w:before="18"/>
              <w:ind w:left="0" w:right="17"/>
              <w:jc w:val="right"/>
              <w:rPr>
                <w:sz w:val="18"/>
              </w:rPr>
            </w:pPr>
            <w:r>
              <w:rPr>
                <w:sz w:val="18"/>
              </w:rPr>
              <w:t>¢779.603.145,17</w:t>
            </w:r>
          </w:p>
        </w:tc>
        <w:tc>
          <w:tcPr>
            <w:tcW w:w="850" w:type="dxa"/>
            <w:tcBorders>
              <w:top w:val="single" w:sz="4" w:space="0" w:color="000000"/>
              <w:bottom w:val="single" w:sz="4" w:space="0" w:color="000000"/>
            </w:tcBorders>
          </w:tcPr>
          <w:p>
            <w:pPr>
              <w:pStyle w:val="TableParagraph"/>
              <w:spacing w:before="18"/>
              <w:ind w:left="0" w:right="16"/>
              <w:jc w:val="right"/>
              <w:rPr>
                <w:sz w:val="18"/>
              </w:rPr>
            </w:pPr>
            <w:r>
              <w:rPr>
                <w:w w:val="95"/>
                <w:sz w:val="18"/>
              </w:rPr>
              <w:t>79.1</w:t>
            </w:r>
          </w:p>
        </w:tc>
        <w:tc>
          <w:tcPr>
            <w:tcW w:w="860" w:type="dxa"/>
            <w:tcBorders>
              <w:top w:val="single" w:sz="4" w:space="0" w:color="000000"/>
              <w:bottom w:val="single" w:sz="4" w:space="0" w:color="000000"/>
              <w:right w:val="single" w:sz="4" w:space="0" w:color="000000"/>
            </w:tcBorders>
          </w:tcPr>
          <w:p>
            <w:pPr>
              <w:pStyle w:val="TableParagraph"/>
              <w:spacing w:before="18"/>
              <w:ind w:left="0" w:right="18"/>
              <w:jc w:val="right"/>
              <w:rPr>
                <w:sz w:val="18"/>
              </w:rPr>
            </w:pPr>
            <w:r>
              <w:rPr>
                <w:w w:val="95"/>
                <w:sz w:val="18"/>
              </w:rPr>
              <w:t>20.9</w:t>
            </w:r>
          </w:p>
        </w:tc>
      </w:tr>
      <w:tr>
        <w:trPr>
          <w:trHeight w:val="463" w:hRule="exact"/>
        </w:trPr>
        <w:tc>
          <w:tcPr>
            <w:tcW w:w="1378" w:type="dxa"/>
            <w:tcBorders>
              <w:top w:val="single" w:sz="4" w:space="0" w:color="000000"/>
              <w:left w:val="single" w:sz="4" w:space="0" w:color="000000"/>
              <w:bottom w:val="single" w:sz="4" w:space="0" w:color="000000"/>
            </w:tcBorders>
          </w:tcPr>
          <w:p>
            <w:pPr>
              <w:pStyle w:val="TableParagraph"/>
              <w:tabs>
                <w:tab w:pos="823" w:val="left" w:leader="none"/>
              </w:tabs>
              <w:spacing w:before="18"/>
              <w:ind w:left="10" w:right="17"/>
              <w:rPr>
                <w:sz w:val="18"/>
              </w:rPr>
            </w:pPr>
            <w:r>
              <w:rPr>
                <w:sz w:val="18"/>
              </w:rPr>
              <w:t>Partido</w:t>
              <w:tab/>
              <w:t>Frente</w:t>
            </w:r>
            <w:r>
              <w:rPr>
                <w:w w:val="100"/>
                <w:sz w:val="18"/>
              </w:rPr>
              <w:t> </w:t>
            </w:r>
            <w:r>
              <w:rPr>
                <w:sz w:val="18"/>
              </w:rPr>
              <w:t>Amplio</w:t>
            </w:r>
          </w:p>
        </w:tc>
        <w:tc>
          <w:tcPr>
            <w:tcW w:w="2127" w:type="dxa"/>
            <w:tcBorders>
              <w:top w:val="single" w:sz="4" w:space="0" w:color="000000"/>
              <w:bottom w:val="single" w:sz="4" w:space="0" w:color="000000"/>
            </w:tcBorders>
          </w:tcPr>
          <w:p>
            <w:pPr>
              <w:pStyle w:val="TableParagraph"/>
              <w:spacing w:before="18"/>
              <w:ind w:left="0" w:right="17"/>
              <w:jc w:val="right"/>
              <w:rPr>
                <w:sz w:val="18"/>
              </w:rPr>
            </w:pPr>
            <w:r>
              <w:rPr>
                <w:sz w:val="18"/>
              </w:rPr>
              <w:t>¢ 348.436.857,83</w:t>
            </w:r>
          </w:p>
        </w:tc>
        <w:tc>
          <w:tcPr>
            <w:tcW w:w="1985" w:type="dxa"/>
            <w:tcBorders>
              <w:top w:val="single" w:sz="4" w:space="0" w:color="000000"/>
              <w:bottom w:val="single" w:sz="4" w:space="0" w:color="000000"/>
            </w:tcBorders>
          </w:tcPr>
          <w:p>
            <w:pPr>
              <w:pStyle w:val="TableParagraph"/>
              <w:spacing w:before="18"/>
              <w:ind w:left="0" w:right="20"/>
              <w:jc w:val="right"/>
              <w:rPr>
                <w:sz w:val="18"/>
              </w:rPr>
            </w:pPr>
            <w:r>
              <w:rPr>
                <w:sz w:val="18"/>
              </w:rPr>
              <w:t>¢ 296.361.209,16</w:t>
            </w:r>
          </w:p>
        </w:tc>
        <w:tc>
          <w:tcPr>
            <w:tcW w:w="1843" w:type="dxa"/>
            <w:tcBorders>
              <w:top w:val="single" w:sz="4" w:space="0" w:color="000000"/>
              <w:bottom w:val="single" w:sz="4" w:space="0" w:color="000000"/>
            </w:tcBorders>
          </w:tcPr>
          <w:p>
            <w:pPr>
              <w:pStyle w:val="TableParagraph"/>
              <w:spacing w:before="18"/>
              <w:ind w:left="0" w:right="16"/>
              <w:jc w:val="right"/>
              <w:rPr>
                <w:sz w:val="18"/>
              </w:rPr>
            </w:pPr>
            <w:r>
              <w:rPr>
                <w:sz w:val="18"/>
              </w:rPr>
              <w:t>¢52.075.648,67</w:t>
            </w:r>
          </w:p>
        </w:tc>
        <w:tc>
          <w:tcPr>
            <w:tcW w:w="850" w:type="dxa"/>
            <w:tcBorders>
              <w:top w:val="single" w:sz="4" w:space="0" w:color="000000"/>
              <w:bottom w:val="single" w:sz="4" w:space="0" w:color="000000"/>
            </w:tcBorders>
          </w:tcPr>
          <w:p>
            <w:pPr>
              <w:pStyle w:val="TableParagraph"/>
              <w:spacing w:before="18"/>
              <w:ind w:left="0" w:right="15"/>
              <w:jc w:val="right"/>
              <w:rPr>
                <w:sz w:val="18"/>
              </w:rPr>
            </w:pPr>
            <w:r>
              <w:rPr>
                <w:sz w:val="18"/>
              </w:rPr>
              <w:t>85</w:t>
            </w:r>
          </w:p>
        </w:tc>
        <w:tc>
          <w:tcPr>
            <w:tcW w:w="860" w:type="dxa"/>
            <w:tcBorders>
              <w:top w:val="single" w:sz="4" w:space="0" w:color="000000"/>
              <w:bottom w:val="single" w:sz="4" w:space="0" w:color="000000"/>
              <w:right w:val="single" w:sz="4" w:space="0" w:color="000000"/>
            </w:tcBorders>
          </w:tcPr>
          <w:p>
            <w:pPr>
              <w:pStyle w:val="TableParagraph"/>
              <w:spacing w:before="18"/>
              <w:ind w:left="0" w:right="17"/>
              <w:jc w:val="right"/>
              <w:rPr>
                <w:sz w:val="18"/>
              </w:rPr>
            </w:pPr>
            <w:r>
              <w:rPr>
                <w:sz w:val="18"/>
              </w:rPr>
              <w:t>15</w:t>
            </w:r>
          </w:p>
        </w:tc>
      </w:tr>
      <w:tr>
        <w:trPr>
          <w:trHeight w:val="672" w:hRule="exact"/>
        </w:trPr>
        <w:tc>
          <w:tcPr>
            <w:tcW w:w="1378" w:type="dxa"/>
            <w:tcBorders>
              <w:top w:val="single" w:sz="4" w:space="0" w:color="000000"/>
              <w:left w:val="single" w:sz="4" w:space="0" w:color="000000"/>
              <w:bottom w:val="single" w:sz="8" w:space="0" w:color="000000"/>
            </w:tcBorders>
          </w:tcPr>
          <w:p>
            <w:pPr>
              <w:pStyle w:val="TableParagraph"/>
              <w:spacing w:before="20"/>
              <w:ind w:left="10" w:right="501"/>
              <w:rPr>
                <w:sz w:val="18"/>
              </w:rPr>
            </w:pPr>
            <w:r>
              <w:rPr>
                <w:sz w:val="18"/>
              </w:rPr>
              <w:t>Partido Liberación Nacional</w:t>
            </w:r>
          </w:p>
        </w:tc>
        <w:tc>
          <w:tcPr>
            <w:tcW w:w="2127" w:type="dxa"/>
            <w:tcBorders>
              <w:top w:val="single" w:sz="4" w:space="0" w:color="000000"/>
              <w:bottom w:val="single" w:sz="8" w:space="0" w:color="000000"/>
            </w:tcBorders>
          </w:tcPr>
          <w:p>
            <w:pPr>
              <w:pStyle w:val="TableParagraph"/>
              <w:spacing w:before="20"/>
              <w:ind w:left="0" w:right="17"/>
              <w:jc w:val="right"/>
              <w:rPr>
                <w:sz w:val="18"/>
              </w:rPr>
            </w:pPr>
            <w:r>
              <w:rPr>
                <w:sz w:val="18"/>
              </w:rPr>
              <w:t>¢ 7.378.842.220,04</w:t>
            </w:r>
          </w:p>
        </w:tc>
        <w:tc>
          <w:tcPr>
            <w:tcW w:w="1985" w:type="dxa"/>
            <w:tcBorders>
              <w:top w:val="single" w:sz="4" w:space="0" w:color="000000"/>
              <w:bottom w:val="single" w:sz="8" w:space="0" w:color="000000"/>
            </w:tcBorders>
          </w:tcPr>
          <w:p>
            <w:pPr>
              <w:pStyle w:val="TableParagraph"/>
              <w:spacing w:before="20"/>
              <w:ind w:left="0" w:right="19"/>
              <w:jc w:val="right"/>
              <w:rPr>
                <w:sz w:val="18"/>
              </w:rPr>
            </w:pPr>
            <w:r>
              <w:rPr>
                <w:sz w:val="18"/>
              </w:rPr>
              <w:t>¢ 6.801.717.905,60</w:t>
            </w:r>
          </w:p>
        </w:tc>
        <w:tc>
          <w:tcPr>
            <w:tcW w:w="1843" w:type="dxa"/>
            <w:tcBorders>
              <w:top w:val="single" w:sz="4" w:space="0" w:color="000000"/>
              <w:bottom w:val="single" w:sz="8" w:space="0" w:color="000000"/>
            </w:tcBorders>
          </w:tcPr>
          <w:p>
            <w:pPr>
              <w:pStyle w:val="TableParagraph"/>
              <w:spacing w:before="20"/>
              <w:ind w:left="0" w:right="17"/>
              <w:jc w:val="right"/>
              <w:rPr>
                <w:sz w:val="18"/>
              </w:rPr>
            </w:pPr>
            <w:r>
              <w:rPr>
                <w:sz w:val="18"/>
              </w:rPr>
              <w:t>¢577.124.314,44</w:t>
            </w:r>
          </w:p>
        </w:tc>
        <w:tc>
          <w:tcPr>
            <w:tcW w:w="850" w:type="dxa"/>
            <w:tcBorders>
              <w:top w:val="single" w:sz="4" w:space="0" w:color="000000"/>
              <w:bottom w:val="single" w:sz="8" w:space="0" w:color="000000"/>
            </w:tcBorders>
          </w:tcPr>
          <w:p>
            <w:pPr>
              <w:pStyle w:val="TableParagraph"/>
              <w:spacing w:before="20"/>
              <w:ind w:left="0" w:right="15"/>
              <w:jc w:val="right"/>
              <w:rPr>
                <w:sz w:val="18"/>
              </w:rPr>
            </w:pPr>
            <w:r>
              <w:rPr>
                <w:sz w:val="18"/>
              </w:rPr>
              <w:t>92</w:t>
            </w:r>
          </w:p>
        </w:tc>
        <w:tc>
          <w:tcPr>
            <w:tcW w:w="860" w:type="dxa"/>
            <w:tcBorders>
              <w:top w:val="single" w:sz="4" w:space="0" w:color="000000"/>
              <w:bottom w:val="single" w:sz="8" w:space="0" w:color="000000"/>
              <w:right w:val="single" w:sz="4" w:space="0" w:color="000000"/>
            </w:tcBorders>
          </w:tcPr>
          <w:p>
            <w:pPr>
              <w:pStyle w:val="TableParagraph"/>
              <w:spacing w:before="20"/>
              <w:ind w:left="0" w:right="20"/>
              <w:jc w:val="right"/>
              <w:rPr>
                <w:sz w:val="18"/>
              </w:rPr>
            </w:pPr>
            <w:r>
              <w:rPr>
                <w:w w:val="99"/>
                <w:sz w:val="18"/>
              </w:rPr>
              <w:t>8</w:t>
            </w:r>
          </w:p>
        </w:tc>
      </w:tr>
      <w:tr>
        <w:trPr>
          <w:trHeight w:val="670" w:hRule="exact"/>
        </w:trPr>
        <w:tc>
          <w:tcPr>
            <w:tcW w:w="1378" w:type="dxa"/>
            <w:tcBorders>
              <w:top w:val="single" w:sz="8" w:space="0" w:color="000000"/>
              <w:left w:val="single" w:sz="4" w:space="0" w:color="000000"/>
              <w:bottom w:val="single" w:sz="4" w:space="0" w:color="000000"/>
            </w:tcBorders>
          </w:tcPr>
          <w:p>
            <w:pPr>
              <w:pStyle w:val="TableParagraph"/>
              <w:spacing w:before="13"/>
              <w:ind w:left="10" w:right="411"/>
              <w:rPr>
                <w:sz w:val="18"/>
              </w:rPr>
            </w:pPr>
            <w:r>
              <w:rPr>
                <w:sz w:val="18"/>
              </w:rPr>
              <w:t>Partido Movimiento Libertario</w:t>
            </w:r>
          </w:p>
        </w:tc>
        <w:tc>
          <w:tcPr>
            <w:tcW w:w="2127" w:type="dxa"/>
            <w:tcBorders>
              <w:top w:val="single" w:sz="8" w:space="0" w:color="000000"/>
              <w:bottom w:val="single" w:sz="4" w:space="0" w:color="000000"/>
            </w:tcBorders>
          </w:tcPr>
          <w:p>
            <w:pPr>
              <w:pStyle w:val="TableParagraph"/>
              <w:spacing w:before="13"/>
              <w:ind w:left="0" w:right="17"/>
              <w:jc w:val="right"/>
              <w:rPr>
                <w:sz w:val="18"/>
              </w:rPr>
            </w:pPr>
            <w:r>
              <w:rPr>
                <w:sz w:val="18"/>
              </w:rPr>
              <w:t>¢ 3.105.511.498,33</w:t>
            </w:r>
          </w:p>
        </w:tc>
        <w:tc>
          <w:tcPr>
            <w:tcW w:w="1985" w:type="dxa"/>
            <w:tcBorders>
              <w:top w:val="single" w:sz="8" w:space="0" w:color="000000"/>
              <w:bottom w:val="single" w:sz="4" w:space="0" w:color="000000"/>
            </w:tcBorders>
          </w:tcPr>
          <w:p>
            <w:pPr>
              <w:pStyle w:val="TableParagraph"/>
              <w:spacing w:before="13"/>
              <w:ind w:left="0" w:right="19"/>
              <w:jc w:val="right"/>
              <w:rPr>
                <w:sz w:val="18"/>
              </w:rPr>
            </w:pPr>
            <w:r>
              <w:rPr>
                <w:sz w:val="18"/>
              </w:rPr>
              <w:t>¢ 2.445.881.263,95</w:t>
            </w:r>
          </w:p>
        </w:tc>
        <w:tc>
          <w:tcPr>
            <w:tcW w:w="1843" w:type="dxa"/>
            <w:tcBorders>
              <w:top w:val="single" w:sz="8" w:space="0" w:color="000000"/>
              <w:bottom w:val="single" w:sz="4" w:space="0" w:color="000000"/>
            </w:tcBorders>
          </w:tcPr>
          <w:p>
            <w:pPr>
              <w:pStyle w:val="TableParagraph"/>
              <w:spacing w:before="13"/>
              <w:ind w:left="0" w:right="17"/>
              <w:jc w:val="right"/>
              <w:rPr>
                <w:sz w:val="18"/>
              </w:rPr>
            </w:pPr>
            <w:r>
              <w:rPr>
                <w:sz w:val="18"/>
              </w:rPr>
              <w:t>¢659.630.234,38</w:t>
            </w:r>
          </w:p>
        </w:tc>
        <w:tc>
          <w:tcPr>
            <w:tcW w:w="850" w:type="dxa"/>
            <w:tcBorders>
              <w:top w:val="single" w:sz="8" w:space="0" w:color="000000"/>
              <w:bottom w:val="single" w:sz="4" w:space="0" w:color="000000"/>
            </w:tcBorders>
          </w:tcPr>
          <w:p>
            <w:pPr>
              <w:pStyle w:val="TableParagraph"/>
              <w:spacing w:before="13"/>
              <w:ind w:left="0" w:right="16"/>
              <w:jc w:val="right"/>
              <w:rPr>
                <w:sz w:val="18"/>
              </w:rPr>
            </w:pPr>
            <w:r>
              <w:rPr>
                <w:w w:val="95"/>
                <w:sz w:val="18"/>
              </w:rPr>
              <w:t>86.1</w:t>
            </w:r>
          </w:p>
        </w:tc>
        <w:tc>
          <w:tcPr>
            <w:tcW w:w="860" w:type="dxa"/>
            <w:tcBorders>
              <w:top w:val="single" w:sz="8" w:space="0" w:color="000000"/>
              <w:bottom w:val="single" w:sz="4" w:space="0" w:color="000000"/>
              <w:right w:val="single" w:sz="4" w:space="0" w:color="000000"/>
            </w:tcBorders>
          </w:tcPr>
          <w:p>
            <w:pPr>
              <w:pStyle w:val="TableParagraph"/>
              <w:spacing w:before="13"/>
              <w:ind w:left="0" w:right="18"/>
              <w:jc w:val="right"/>
              <w:rPr>
                <w:sz w:val="18"/>
              </w:rPr>
            </w:pPr>
            <w:r>
              <w:rPr>
                <w:w w:val="95"/>
                <w:sz w:val="18"/>
              </w:rPr>
              <w:t>13.9</w:t>
            </w:r>
          </w:p>
        </w:tc>
      </w:tr>
      <w:tr>
        <w:trPr>
          <w:trHeight w:val="672" w:hRule="exact"/>
        </w:trPr>
        <w:tc>
          <w:tcPr>
            <w:tcW w:w="1378" w:type="dxa"/>
            <w:tcBorders>
              <w:top w:val="single" w:sz="4" w:space="0" w:color="000000"/>
              <w:left w:val="single" w:sz="4" w:space="0" w:color="000000"/>
              <w:bottom w:val="single" w:sz="8" w:space="0" w:color="000000"/>
            </w:tcBorders>
          </w:tcPr>
          <w:p>
            <w:pPr>
              <w:pStyle w:val="TableParagraph"/>
              <w:spacing w:before="20"/>
              <w:ind w:left="10" w:right="221"/>
              <w:rPr>
                <w:sz w:val="18"/>
              </w:rPr>
            </w:pPr>
            <w:r>
              <w:rPr>
                <w:sz w:val="18"/>
              </w:rPr>
              <w:t>Partido Renovación Costarricense</w:t>
            </w:r>
          </w:p>
        </w:tc>
        <w:tc>
          <w:tcPr>
            <w:tcW w:w="2127" w:type="dxa"/>
            <w:tcBorders>
              <w:top w:val="single" w:sz="4" w:space="0" w:color="000000"/>
              <w:bottom w:val="single" w:sz="8" w:space="0" w:color="000000"/>
            </w:tcBorders>
          </w:tcPr>
          <w:p>
            <w:pPr>
              <w:pStyle w:val="TableParagraph"/>
              <w:spacing w:before="20"/>
              <w:ind w:left="0" w:right="17"/>
              <w:jc w:val="right"/>
              <w:rPr>
                <w:sz w:val="18"/>
              </w:rPr>
            </w:pPr>
            <w:r>
              <w:rPr>
                <w:sz w:val="18"/>
              </w:rPr>
              <w:t>¢ 400.521.428,73</w:t>
            </w:r>
          </w:p>
        </w:tc>
        <w:tc>
          <w:tcPr>
            <w:tcW w:w="1985" w:type="dxa"/>
            <w:tcBorders>
              <w:top w:val="single" w:sz="4" w:space="0" w:color="000000"/>
              <w:bottom w:val="single" w:sz="8" w:space="0" w:color="000000"/>
            </w:tcBorders>
          </w:tcPr>
          <w:p>
            <w:pPr>
              <w:pStyle w:val="TableParagraph"/>
              <w:spacing w:before="20"/>
              <w:ind w:left="0" w:right="17"/>
              <w:jc w:val="right"/>
              <w:rPr>
                <w:sz w:val="18"/>
              </w:rPr>
            </w:pPr>
            <w:r>
              <w:rPr>
                <w:sz w:val="18"/>
              </w:rPr>
              <w:t>¢ 6.012.341,75</w:t>
            </w:r>
          </w:p>
        </w:tc>
        <w:tc>
          <w:tcPr>
            <w:tcW w:w="1843" w:type="dxa"/>
            <w:tcBorders>
              <w:top w:val="single" w:sz="4" w:space="0" w:color="000000"/>
              <w:bottom w:val="single" w:sz="8" w:space="0" w:color="000000"/>
            </w:tcBorders>
          </w:tcPr>
          <w:p>
            <w:pPr>
              <w:pStyle w:val="TableParagraph"/>
              <w:spacing w:before="20"/>
              <w:ind w:left="0" w:right="17"/>
              <w:jc w:val="right"/>
              <w:rPr>
                <w:sz w:val="18"/>
              </w:rPr>
            </w:pPr>
            <w:r>
              <w:rPr>
                <w:sz w:val="18"/>
              </w:rPr>
              <w:t>¢394.509.086,98</w:t>
            </w:r>
          </w:p>
        </w:tc>
        <w:tc>
          <w:tcPr>
            <w:tcW w:w="850" w:type="dxa"/>
            <w:tcBorders>
              <w:top w:val="single" w:sz="4" w:space="0" w:color="000000"/>
              <w:bottom w:val="single" w:sz="8" w:space="0" w:color="000000"/>
            </w:tcBorders>
          </w:tcPr>
          <w:p>
            <w:pPr>
              <w:pStyle w:val="TableParagraph"/>
              <w:spacing w:before="20"/>
              <w:ind w:left="0" w:right="16"/>
              <w:jc w:val="right"/>
              <w:rPr>
                <w:sz w:val="18"/>
              </w:rPr>
            </w:pPr>
            <w:r>
              <w:rPr>
                <w:w w:val="95"/>
                <w:sz w:val="18"/>
              </w:rPr>
              <w:t>1.5</w:t>
            </w:r>
          </w:p>
        </w:tc>
        <w:tc>
          <w:tcPr>
            <w:tcW w:w="860" w:type="dxa"/>
            <w:tcBorders>
              <w:top w:val="single" w:sz="4" w:space="0" w:color="000000"/>
              <w:bottom w:val="single" w:sz="8" w:space="0" w:color="000000"/>
              <w:right w:val="single" w:sz="4" w:space="0" w:color="000000"/>
            </w:tcBorders>
          </w:tcPr>
          <w:p>
            <w:pPr>
              <w:pStyle w:val="TableParagraph"/>
              <w:spacing w:before="20"/>
              <w:ind w:left="0" w:right="18"/>
              <w:jc w:val="right"/>
              <w:rPr>
                <w:sz w:val="18"/>
              </w:rPr>
            </w:pPr>
            <w:r>
              <w:rPr>
                <w:w w:val="95"/>
                <w:sz w:val="18"/>
              </w:rPr>
              <w:t>98.5</w:t>
            </w:r>
          </w:p>
        </w:tc>
      </w:tr>
      <w:tr>
        <w:trPr>
          <w:trHeight w:val="463" w:hRule="exact"/>
        </w:trPr>
        <w:tc>
          <w:tcPr>
            <w:tcW w:w="1378" w:type="dxa"/>
            <w:tcBorders>
              <w:top w:val="single" w:sz="8" w:space="0" w:color="000000"/>
              <w:left w:val="single" w:sz="4" w:space="0" w:color="000000"/>
              <w:bottom w:val="single" w:sz="8" w:space="0" w:color="000000"/>
            </w:tcBorders>
          </w:tcPr>
          <w:p>
            <w:pPr>
              <w:pStyle w:val="TableParagraph"/>
              <w:spacing w:before="13"/>
              <w:ind w:left="10" w:right="1"/>
              <w:rPr>
                <w:sz w:val="18"/>
              </w:rPr>
            </w:pPr>
            <w:r>
              <w:rPr>
                <w:sz w:val="18"/>
              </w:rPr>
              <w:t>Partido Unidad Social Cristiana</w:t>
            </w:r>
          </w:p>
        </w:tc>
        <w:tc>
          <w:tcPr>
            <w:tcW w:w="2127" w:type="dxa"/>
            <w:tcBorders>
              <w:top w:val="single" w:sz="8" w:space="0" w:color="000000"/>
              <w:bottom w:val="single" w:sz="8" w:space="0" w:color="000000"/>
            </w:tcBorders>
          </w:tcPr>
          <w:p>
            <w:pPr>
              <w:pStyle w:val="TableParagraph"/>
              <w:spacing w:before="13"/>
              <w:ind w:left="0" w:right="17"/>
              <w:jc w:val="right"/>
              <w:rPr>
                <w:sz w:val="18"/>
              </w:rPr>
            </w:pPr>
            <w:r>
              <w:rPr>
                <w:sz w:val="18"/>
              </w:rPr>
              <w:t>¢ 1.053.836.513,33</w:t>
            </w:r>
          </w:p>
        </w:tc>
        <w:tc>
          <w:tcPr>
            <w:tcW w:w="1985" w:type="dxa"/>
            <w:tcBorders>
              <w:top w:val="single" w:sz="8" w:space="0" w:color="000000"/>
              <w:bottom w:val="single" w:sz="8" w:space="0" w:color="000000"/>
            </w:tcBorders>
          </w:tcPr>
          <w:p>
            <w:pPr>
              <w:pStyle w:val="TableParagraph"/>
              <w:spacing w:before="13"/>
              <w:ind w:left="0" w:right="20"/>
              <w:jc w:val="right"/>
              <w:rPr>
                <w:sz w:val="18"/>
              </w:rPr>
            </w:pPr>
            <w:r>
              <w:rPr>
                <w:sz w:val="18"/>
              </w:rPr>
              <w:t>¢ 856.633.692,10</w:t>
            </w:r>
          </w:p>
        </w:tc>
        <w:tc>
          <w:tcPr>
            <w:tcW w:w="1843" w:type="dxa"/>
            <w:tcBorders>
              <w:top w:val="single" w:sz="8" w:space="0" w:color="000000"/>
              <w:bottom w:val="single" w:sz="8" w:space="0" w:color="000000"/>
            </w:tcBorders>
          </w:tcPr>
          <w:p>
            <w:pPr>
              <w:pStyle w:val="TableParagraph"/>
              <w:spacing w:before="13"/>
              <w:ind w:left="0" w:right="17"/>
              <w:jc w:val="right"/>
              <w:rPr>
                <w:sz w:val="18"/>
              </w:rPr>
            </w:pPr>
            <w:r>
              <w:rPr>
                <w:sz w:val="18"/>
              </w:rPr>
              <w:t>¢197.202.821,23</w:t>
            </w:r>
          </w:p>
        </w:tc>
        <w:tc>
          <w:tcPr>
            <w:tcW w:w="850" w:type="dxa"/>
            <w:tcBorders>
              <w:top w:val="single" w:sz="8" w:space="0" w:color="000000"/>
              <w:bottom w:val="single" w:sz="8" w:space="0" w:color="000000"/>
            </w:tcBorders>
          </w:tcPr>
          <w:p>
            <w:pPr>
              <w:pStyle w:val="TableParagraph"/>
              <w:spacing w:before="13"/>
              <w:ind w:left="0" w:right="16"/>
              <w:jc w:val="right"/>
              <w:rPr>
                <w:sz w:val="18"/>
              </w:rPr>
            </w:pPr>
            <w:r>
              <w:rPr>
                <w:w w:val="95"/>
                <w:sz w:val="18"/>
              </w:rPr>
              <w:t>81.2</w:t>
            </w:r>
          </w:p>
        </w:tc>
        <w:tc>
          <w:tcPr>
            <w:tcW w:w="860" w:type="dxa"/>
            <w:tcBorders>
              <w:top w:val="single" w:sz="8" w:space="0" w:color="000000"/>
              <w:bottom w:val="single" w:sz="8" w:space="0" w:color="000000"/>
              <w:right w:val="single" w:sz="4" w:space="0" w:color="000000"/>
            </w:tcBorders>
          </w:tcPr>
          <w:p>
            <w:pPr>
              <w:pStyle w:val="TableParagraph"/>
              <w:spacing w:before="13"/>
              <w:ind w:left="0" w:right="18"/>
              <w:jc w:val="right"/>
              <w:rPr>
                <w:sz w:val="18"/>
              </w:rPr>
            </w:pPr>
            <w:r>
              <w:rPr>
                <w:w w:val="95"/>
                <w:sz w:val="18"/>
              </w:rPr>
              <w:t>18.8</w:t>
            </w:r>
          </w:p>
        </w:tc>
      </w:tr>
      <w:tr>
        <w:trPr>
          <w:trHeight w:val="672" w:hRule="exact"/>
        </w:trPr>
        <w:tc>
          <w:tcPr>
            <w:tcW w:w="1378" w:type="dxa"/>
            <w:tcBorders>
              <w:top w:val="single" w:sz="8" w:space="0" w:color="000000"/>
              <w:left w:val="single" w:sz="4" w:space="0" w:color="000000"/>
              <w:bottom w:val="single" w:sz="8" w:space="0" w:color="000000"/>
            </w:tcBorders>
          </w:tcPr>
          <w:p>
            <w:pPr>
              <w:pStyle w:val="TableParagraph"/>
              <w:spacing w:before="16"/>
              <w:ind w:left="10" w:right="271"/>
              <w:rPr>
                <w:sz w:val="18"/>
              </w:rPr>
            </w:pPr>
            <w:r>
              <w:rPr>
                <w:sz w:val="18"/>
              </w:rPr>
              <w:t>Partido Restauración Nacional</w:t>
            </w:r>
          </w:p>
        </w:tc>
        <w:tc>
          <w:tcPr>
            <w:tcW w:w="2127" w:type="dxa"/>
            <w:tcBorders>
              <w:top w:val="single" w:sz="8" w:space="0" w:color="000000"/>
              <w:bottom w:val="single" w:sz="8" w:space="0" w:color="000000"/>
            </w:tcBorders>
          </w:tcPr>
          <w:p>
            <w:pPr>
              <w:pStyle w:val="TableParagraph"/>
              <w:spacing w:before="16"/>
              <w:ind w:left="0" w:right="17"/>
              <w:jc w:val="right"/>
              <w:rPr>
                <w:sz w:val="18"/>
              </w:rPr>
            </w:pPr>
            <w:r>
              <w:rPr>
                <w:sz w:val="18"/>
              </w:rPr>
              <w:t>¢ 135.798.814,98</w:t>
            </w:r>
          </w:p>
        </w:tc>
        <w:tc>
          <w:tcPr>
            <w:tcW w:w="1985" w:type="dxa"/>
            <w:tcBorders>
              <w:top w:val="single" w:sz="8" w:space="0" w:color="000000"/>
              <w:bottom w:val="single" w:sz="8" w:space="0" w:color="000000"/>
            </w:tcBorders>
          </w:tcPr>
          <w:p>
            <w:pPr>
              <w:pStyle w:val="TableParagraph"/>
              <w:spacing w:before="16"/>
              <w:ind w:left="0" w:right="20"/>
              <w:jc w:val="right"/>
              <w:rPr>
                <w:sz w:val="18"/>
              </w:rPr>
            </w:pPr>
            <w:r>
              <w:rPr>
                <w:sz w:val="18"/>
              </w:rPr>
              <w:t>¢ 129.008.874,23</w:t>
            </w:r>
          </w:p>
        </w:tc>
        <w:tc>
          <w:tcPr>
            <w:tcW w:w="1843" w:type="dxa"/>
            <w:tcBorders>
              <w:top w:val="single" w:sz="8" w:space="0" w:color="000000"/>
              <w:bottom w:val="single" w:sz="8" w:space="0" w:color="000000"/>
            </w:tcBorders>
          </w:tcPr>
          <w:p>
            <w:pPr>
              <w:pStyle w:val="TableParagraph"/>
              <w:spacing w:before="16"/>
              <w:ind w:left="0" w:right="16"/>
              <w:jc w:val="right"/>
              <w:rPr>
                <w:sz w:val="18"/>
              </w:rPr>
            </w:pPr>
            <w:r>
              <w:rPr>
                <w:sz w:val="18"/>
              </w:rPr>
              <w:t>¢6.789.940,75</w:t>
            </w:r>
          </w:p>
        </w:tc>
        <w:tc>
          <w:tcPr>
            <w:tcW w:w="850" w:type="dxa"/>
            <w:tcBorders>
              <w:top w:val="single" w:sz="8" w:space="0" w:color="000000"/>
              <w:bottom w:val="single" w:sz="8" w:space="0" w:color="000000"/>
            </w:tcBorders>
          </w:tcPr>
          <w:p>
            <w:pPr>
              <w:pStyle w:val="TableParagraph"/>
              <w:spacing w:before="16"/>
              <w:ind w:left="0" w:right="15"/>
              <w:jc w:val="right"/>
              <w:rPr>
                <w:sz w:val="18"/>
              </w:rPr>
            </w:pPr>
            <w:r>
              <w:rPr>
                <w:sz w:val="18"/>
              </w:rPr>
              <w:t>95</w:t>
            </w:r>
          </w:p>
        </w:tc>
        <w:tc>
          <w:tcPr>
            <w:tcW w:w="860" w:type="dxa"/>
            <w:tcBorders>
              <w:top w:val="single" w:sz="8" w:space="0" w:color="000000"/>
              <w:bottom w:val="single" w:sz="8" w:space="0" w:color="000000"/>
              <w:right w:val="single" w:sz="4" w:space="0" w:color="000000"/>
            </w:tcBorders>
          </w:tcPr>
          <w:p>
            <w:pPr>
              <w:pStyle w:val="TableParagraph"/>
              <w:spacing w:before="16"/>
              <w:ind w:left="0" w:right="20"/>
              <w:jc w:val="right"/>
              <w:rPr>
                <w:sz w:val="18"/>
              </w:rPr>
            </w:pPr>
            <w:r>
              <w:rPr>
                <w:w w:val="99"/>
                <w:sz w:val="18"/>
              </w:rPr>
              <w:t>5</w:t>
            </w:r>
          </w:p>
        </w:tc>
      </w:tr>
      <w:tr>
        <w:trPr>
          <w:trHeight w:val="674" w:hRule="exact"/>
        </w:trPr>
        <w:tc>
          <w:tcPr>
            <w:tcW w:w="1378" w:type="dxa"/>
            <w:tcBorders>
              <w:top w:val="single" w:sz="8" w:space="0" w:color="000000"/>
              <w:left w:val="single" w:sz="4" w:space="0" w:color="000000"/>
              <w:bottom w:val="single" w:sz="8" w:space="0" w:color="000000"/>
            </w:tcBorders>
          </w:tcPr>
          <w:p>
            <w:pPr>
              <w:pStyle w:val="TableParagraph"/>
              <w:tabs>
                <w:tab w:pos="873" w:val="left" w:leader="none"/>
              </w:tabs>
              <w:spacing w:before="13"/>
              <w:ind w:left="10" w:right="16"/>
              <w:rPr>
                <w:sz w:val="18"/>
              </w:rPr>
            </w:pPr>
            <w:r>
              <w:rPr>
                <w:sz w:val="18"/>
              </w:rPr>
              <w:t>Partido</w:t>
              <w:tab/>
              <w:t>Unión Agrícola Cartaginés</w:t>
            </w:r>
          </w:p>
        </w:tc>
        <w:tc>
          <w:tcPr>
            <w:tcW w:w="2127" w:type="dxa"/>
            <w:tcBorders>
              <w:top w:val="single" w:sz="8" w:space="0" w:color="000000"/>
              <w:bottom w:val="single" w:sz="8" w:space="0" w:color="000000"/>
            </w:tcBorders>
          </w:tcPr>
          <w:p>
            <w:pPr>
              <w:pStyle w:val="TableParagraph"/>
              <w:spacing w:before="13"/>
              <w:ind w:left="0" w:right="17"/>
              <w:jc w:val="right"/>
              <w:rPr>
                <w:sz w:val="18"/>
              </w:rPr>
            </w:pPr>
            <w:r>
              <w:rPr>
                <w:sz w:val="18"/>
              </w:rPr>
              <w:t>¢ 54.549.459,64</w:t>
            </w:r>
          </w:p>
        </w:tc>
        <w:tc>
          <w:tcPr>
            <w:tcW w:w="1985" w:type="dxa"/>
            <w:tcBorders>
              <w:top w:val="single" w:sz="8" w:space="0" w:color="000000"/>
              <w:bottom w:val="single" w:sz="8" w:space="0" w:color="000000"/>
            </w:tcBorders>
          </w:tcPr>
          <w:p>
            <w:pPr>
              <w:pStyle w:val="TableParagraph"/>
              <w:spacing w:before="13"/>
              <w:ind w:left="0" w:right="16"/>
              <w:jc w:val="right"/>
              <w:rPr>
                <w:sz w:val="18"/>
              </w:rPr>
            </w:pPr>
            <w:r>
              <w:rPr>
                <w:sz w:val="18"/>
              </w:rPr>
              <w:t>¢ 0,00</w:t>
            </w:r>
          </w:p>
        </w:tc>
        <w:tc>
          <w:tcPr>
            <w:tcW w:w="1843" w:type="dxa"/>
            <w:tcBorders>
              <w:top w:val="single" w:sz="8" w:space="0" w:color="000000"/>
              <w:bottom w:val="single" w:sz="8" w:space="0" w:color="000000"/>
            </w:tcBorders>
          </w:tcPr>
          <w:p>
            <w:pPr>
              <w:pStyle w:val="TableParagraph"/>
              <w:spacing w:before="13"/>
              <w:ind w:left="0" w:right="15"/>
              <w:jc w:val="right"/>
              <w:rPr>
                <w:sz w:val="18"/>
              </w:rPr>
            </w:pPr>
            <w:r>
              <w:rPr>
                <w:w w:val="95"/>
                <w:sz w:val="18"/>
              </w:rPr>
              <w:t>¢0.00</w:t>
            </w:r>
          </w:p>
        </w:tc>
        <w:tc>
          <w:tcPr>
            <w:tcW w:w="850" w:type="dxa"/>
            <w:tcBorders>
              <w:top w:val="single" w:sz="8" w:space="0" w:color="000000"/>
              <w:bottom w:val="single" w:sz="8" w:space="0" w:color="000000"/>
            </w:tcBorders>
          </w:tcPr>
          <w:p>
            <w:pPr>
              <w:pStyle w:val="TableParagraph"/>
              <w:spacing w:before="13"/>
              <w:ind w:left="0" w:right="18"/>
              <w:jc w:val="right"/>
              <w:rPr>
                <w:sz w:val="18"/>
              </w:rPr>
            </w:pPr>
            <w:r>
              <w:rPr>
                <w:w w:val="99"/>
                <w:sz w:val="18"/>
              </w:rPr>
              <w:t>0</w:t>
            </w:r>
          </w:p>
        </w:tc>
        <w:tc>
          <w:tcPr>
            <w:tcW w:w="860" w:type="dxa"/>
            <w:tcBorders>
              <w:top w:val="single" w:sz="8" w:space="0" w:color="000000"/>
              <w:bottom w:val="single" w:sz="8" w:space="0" w:color="000000"/>
              <w:right w:val="single" w:sz="4" w:space="0" w:color="000000"/>
            </w:tcBorders>
          </w:tcPr>
          <w:p>
            <w:pPr>
              <w:pStyle w:val="TableParagraph"/>
              <w:spacing w:before="13"/>
              <w:ind w:left="0" w:right="19"/>
              <w:jc w:val="right"/>
              <w:rPr>
                <w:sz w:val="18"/>
              </w:rPr>
            </w:pPr>
            <w:r>
              <w:rPr>
                <w:w w:val="95"/>
                <w:sz w:val="18"/>
              </w:rPr>
              <w:t>100**</w:t>
            </w:r>
          </w:p>
        </w:tc>
      </w:tr>
      <w:tr>
        <w:trPr>
          <w:trHeight w:val="460" w:hRule="exact"/>
        </w:trPr>
        <w:tc>
          <w:tcPr>
            <w:tcW w:w="1378" w:type="dxa"/>
            <w:tcBorders>
              <w:top w:val="single" w:sz="8" w:space="0" w:color="000000"/>
              <w:left w:val="single" w:sz="4" w:space="0" w:color="000000"/>
            </w:tcBorders>
          </w:tcPr>
          <w:p>
            <w:pPr>
              <w:pStyle w:val="TableParagraph"/>
              <w:spacing w:before="11"/>
              <w:ind w:left="10" w:right="451"/>
              <w:rPr>
                <w:sz w:val="18"/>
              </w:rPr>
            </w:pPr>
            <w:r>
              <w:rPr>
                <w:sz w:val="18"/>
              </w:rPr>
              <w:t>Evaluación general</w:t>
            </w:r>
          </w:p>
        </w:tc>
        <w:tc>
          <w:tcPr>
            <w:tcW w:w="7666" w:type="dxa"/>
            <w:gridSpan w:val="5"/>
            <w:tcBorders>
              <w:top w:val="single" w:sz="8" w:space="0" w:color="000000"/>
              <w:right w:val="single" w:sz="4" w:space="0" w:color="000000"/>
            </w:tcBorders>
          </w:tcPr>
          <w:p>
            <w:pPr>
              <w:pStyle w:val="TableParagraph"/>
              <w:spacing w:before="6"/>
              <w:ind w:left="9"/>
              <w:rPr>
                <w:b/>
                <w:sz w:val="18"/>
              </w:rPr>
            </w:pPr>
            <w:r>
              <w:rPr>
                <w:sz w:val="18"/>
              </w:rPr>
              <w:t>Suma de porcentajes (c) = 324.9% entre 9 partidos = 36.1 % entre 12 = </w:t>
            </w:r>
            <w:r>
              <w:rPr>
                <w:b/>
                <w:sz w:val="18"/>
              </w:rPr>
              <w:t>3% </w:t>
            </w:r>
            <w:r>
              <w:rPr>
                <w:sz w:val="18"/>
              </w:rPr>
              <w:t>* </w:t>
            </w:r>
            <w:r>
              <w:rPr>
                <w:b/>
                <w:sz w:val="18"/>
              </w:rPr>
              <w:t>(3.0) altamente apegados a la legalidad)</w:t>
            </w:r>
          </w:p>
        </w:tc>
      </w:tr>
    </w:tbl>
    <w:p>
      <w:pPr>
        <w:spacing w:line="252" w:lineRule="exact" w:before="2"/>
        <w:ind w:left="222" w:right="219" w:firstLine="0"/>
        <w:jc w:val="both"/>
        <w:rPr>
          <w:sz w:val="22"/>
        </w:rPr>
      </w:pPr>
      <w:r>
        <w:rPr>
          <w:sz w:val="22"/>
        </w:rPr>
        <w:t>Notas: * para hacer equitativos los casos mexicano y costarricense fue necesario dividir el resultado del reembolso costarricense, que es anual, en 12 ministraciones mensuales;  (c)</w:t>
      </w:r>
    </w:p>
    <w:p>
      <w:pPr>
        <w:spacing w:line="240" w:lineRule="auto" w:before="0"/>
        <w:ind w:left="222" w:right="219" w:firstLine="0"/>
        <w:jc w:val="both"/>
        <w:rPr>
          <w:sz w:val="22"/>
        </w:rPr>
      </w:pPr>
      <w:r>
        <w:rPr>
          <w:sz w:val="22"/>
        </w:rPr>
        <w:t>% no reconocido por el TSE; ** no podrá liquidar nada por no haber cumplido con los requisitos de la liquidación (Sequeira, 2010). MA=Monto aprobado, MNC=Monto no comprobado. Fuente: elaboración propia con datos tomados del cuadro 3.10 (a) y de Oviedo (b) (2010).</w:t>
      </w:r>
    </w:p>
    <w:p>
      <w:pPr>
        <w:spacing w:after="0" w:line="240" w:lineRule="auto"/>
        <w:jc w:val="both"/>
        <w:rPr>
          <w:sz w:val="22"/>
        </w:rPr>
        <w:sectPr>
          <w:pgSz w:w="12240" w:h="15840"/>
          <w:pgMar w:header="749" w:footer="1003" w:top="960" w:bottom="1200" w:left="1480" w:right="1480"/>
        </w:sectPr>
      </w:pPr>
    </w:p>
    <w:p>
      <w:pPr>
        <w:pStyle w:val="BodyText"/>
        <w:rPr>
          <w:sz w:val="20"/>
        </w:rPr>
      </w:pPr>
    </w:p>
    <w:p>
      <w:pPr>
        <w:pStyle w:val="BodyText"/>
        <w:spacing w:line="360" w:lineRule="auto" w:before="214"/>
        <w:ind w:left="102" w:right="116" w:firstLine="707"/>
        <w:jc w:val="both"/>
      </w:pPr>
      <w:r>
        <w:rPr/>
        <w:t>El financiamiento sobrante (no liquidado por el partido o no reconocido por el TSE) se destinó para los gastos de organización y capacitación de los partidos políticos nacionales durante el período no electoral, con el objetivo de hacerlos instituciones permanentes; lo cual es importante para fortalecer el sistema de partidos, pues de acuerdo con Gutiérrez y Zovatto “los niveles de institucionalización de los partidos políticos en la región son sumamente bajos,  aun en democracias muy consolidadas como Costa Rica, Uruguay o Chile (2011: 26).</w:t>
      </w:r>
    </w:p>
    <w:p>
      <w:pPr>
        <w:pStyle w:val="BodyText"/>
        <w:spacing w:line="360" w:lineRule="auto" w:before="2"/>
        <w:ind w:left="102" w:right="116" w:firstLine="707"/>
        <w:jc w:val="both"/>
      </w:pPr>
      <w:r>
        <w:rPr/>
        <w:t>Como resultado del análisis (cuadro 3.11) el porcentaje de reducción mensual del monto del reembolso por partido político es de 3%, lo que le dio una alta evaluación a los partidos nacionales (3.0), ubicándolos como altamente apegados a la legalidad.</w:t>
      </w:r>
    </w:p>
    <w:p>
      <w:pPr>
        <w:pStyle w:val="BodyText"/>
      </w:pPr>
    </w:p>
    <w:p>
      <w:pPr>
        <w:pStyle w:val="ListParagraph"/>
        <w:numPr>
          <w:ilvl w:val="0"/>
          <w:numId w:val="33"/>
        </w:numPr>
        <w:tabs>
          <w:tab w:pos="1439" w:val="left" w:leader="none"/>
        </w:tabs>
        <w:spacing w:line="240" w:lineRule="auto" w:before="139" w:after="0"/>
        <w:ind w:left="1438" w:right="0" w:hanging="268"/>
        <w:jc w:val="left"/>
        <w:rPr>
          <w:i/>
          <w:sz w:val="24"/>
        </w:rPr>
      </w:pPr>
      <w:r>
        <w:rPr>
          <w:i/>
          <w:sz w:val="24"/>
        </w:rPr>
        <w:t>Rebase de montos máximos en gastos de</w:t>
      </w:r>
      <w:r>
        <w:rPr>
          <w:i/>
          <w:spacing w:val="-22"/>
          <w:sz w:val="24"/>
        </w:rPr>
        <w:t> </w:t>
      </w:r>
      <w:r>
        <w:rPr>
          <w:i/>
          <w:sz w:val="24"/>
        </w:rPr>
        <w:t>campaña</w:t>
      </w:r>
    </w:p>
    <w:p>
      <w:pPr>
        <w:pStyle w:val="BodyText"/>
        <w:rPr>
          <w:i/>
        </w:rPr>
      </w:pPr>
    </w:p>
    <w:p>
      <w:pPr>
        <w:pStyle w:val="BodyText"/>
        <w:spacing w:before="2"/>
        <w:rPr>
          <w:i/>
        </w:rPr>
      </w:pPr>
    </w:p>
    <w:p>
      <w:pPr>
        <w:pStyle w:val="BodyText"/>
        <w:spacing w:line="360" w:lineRule="auto"/>
        <w:ind w:left="102" w:right="120"/>
        <w:jc w:val="both"/>
      </w:pPr>
      <w:r>
        <w:rPr/>
        <w:t>En Costa Rica no existen topes a los gastos de campaña (Sobrado, 2010:179) las ministraciones públicas se entregan al partido una vez que se comprobó el gasto y éste no exceda de lo acordado por el TSE.</w:t>
      </w:r>
    </w:p>
    <w:p>
      <w:pPr>
        <w:pStyle w:val="BodyText"/>
        <w:spacing w:line="360" w:lineRule="auto" w:before="2"/>
        <w:ind w:left="102" w:right="125" w:firstLine="707"/>
        <w:jc w:val="both"/>
      </w:pPr>
      <w:r>
        <w:rPr/>
        <w:t>De acuerdo con lo anterior para efectos del presente trabajo se tomaron los rebases a los montos máximos establecidos por el TSE como rebases de topes sólo para evaluar el apego a la legalidad en cuanto al respeto que tuvieron los partidos políticos a lo acordado por el TSE.</w:t>
      </w:r>
    </w:p>
    <w:p>
      <w:pPr>
        <w:pStyle w:val="BodyText"/>
        <w:spacing w:line="360" w:lineRule="auto" w:before="2"/>
        <w:ind w:left="102" w:right="123" w:firstLine="707"/>
        <w:jc w:val="both"/>
      </w:pPr>
      <w:r>
        <w:rPr/>
        <w:t>En las elecciones de febrero de 2010 no existen datos que señalen </w:t>
      </w:r>
      <w:r>
        <w:rPr>
          <w:spacing w:val="-2"/>
        </w:rPr>
        <w:t>que </w:t>
      </w:r>
      <w:r>
        <w:rPr/>
        <w:t>hubo rebase de montos máximos por parte de los partidos políticos que participaron, por lo tanto obtuvieron una alta evaluación (3.0) en cuanto al respeto a lo estipulado en la normatividad. Lo cual puede deberse al estricto apego que tienen los partidos políticos a la normatividad en cuanto a los gastos de campaña pues saben que de no acreditarlos a satisfacción del TSE, no se les reembolsara lo</w:t>
      </w:r>
      <w:r>
        <w:rPr>
          <w:spacing w:val="-4"/>
        </w:rPr>
        <w:t> </w:t>
      </w:r>
      <w:r>
        <w:rPr/>
        <w:t>gastado.</w:t>
      </w:r>
    </w:p>
    <w:p>
      <w:pPr>
        <w:spacing w:after="0" w:line="360" w:lineRule="auto"/>
        <w:jc w:val="both"/>
        <w:sectPr>
          <w:pgSz w:w="12240" w:h="15840"/>
          <w:pgMar w:header="749" w:footer="1003" w:top="960" w:bottom="1200" w:left="1600" w:right="1580"/>
        </w:sectPr>
      </w:pPr>
    </w:p>
    <w:p>
      <w:pPr>
        <w:pStyle w:val="BodyText"/>
        <w:rPr>
          <w:sz w:val="20"/>
        </w:rPr>
      </w:pPr>
    </w:p>
    <w:p>
      <w:pPr>
        <w:pStyle w:val="Heading2"/>
        <w:numPr>
          <w:ilvl w:val="0"/>
          <w:numId w:val="27"/>
        </w:numPr>
        <w:tabs>
          <w:tab w:pos="1170" w:val="left" w:leader="none"/>
        </w:tabs>
        <w:spacing w:line="240" w:lineRule="auto" w:before="214" w:after="0"/>
        <w:ind w:left="1170" w:right="0" w:hanging="360"/>
        <w:jc w:val="left"/>
      </w:pPr>
      <w:r>
        <w:rPr/>
        <w:t>Provincia de San</w:t>
      </w:r>
      <w:r>
        <w:rPr>
          <w:spacing w:val="-7"/>
        </w:rPr>
        <w:t> </w:t>
      </w:r>
      <w:r>
        <w:rPr/>
        <w:t>José</w:t>
      </w:r>
    </w:p>
    <w:p>
      <w:pPr>
        <w:pStyle w:val="BodyText"/>
        <w:rPr>
          <w:b/>
        </w:rPr>
      </w:pPr>
    </w:p>
    <w:p>
      <w:pPr>
        <w:pStyle w:val="BodyText"/>
        <w:rPr>
          <w:b/>
        </w:rPr>
      </w:pPr>
    </w:p>
    <w:p>
      <w:pPr>
        <w:pStyle w:val="BodyText"/>
        <w:spacing w:line="360" w:lineRule="auto"/>
        <w:ind w:left="102" w:right="117"/>
        <w:jc w:val="both"/>
      </w:pPr>
      <w:r>
        <w:rPr/>
        <w:t>Las elecciones cantonales son de reciente creación en Costa Rica, así como su financiamiento, el cual es considerablemente menor al otorgado para las elecciones nacionales. Para las elecciones cantonales se destinó el 0.03% del Producto Interno Bruto (PIB), y para las nacionales el 0.19% del PIB aun cuando ambos comicios se realizaron en todo el territorio nacional.</w:t>
      </w:r>
    </w:p>
    <w:p>
      <w:pPr>
        <w:pStyle w:val="BodyText"/>
      </w:pPr>
    </w:p>
    <w:p>
      <w:pPr>
        <w:spacing w:before="139"/>
        <w:ind w:left="810" w:right="120" w:firstLine="0"/>
        <w:jc w:val="left"/>
        <w:rPr>
          <w:i/>
          <w:sz w:val="24"/>
        </w:rPr>
      </w:pPr>
      <w:r>
        <w:rPr>
          <w:i/>
          <w:sz w:val="24"/>
        </w:rPr>
        <w:t>1.  Costo de los partidos para el erario público</w:t>
      </w:r>
    </w:p>
    <w:p>
      <w:pPr>
        <w:pStyle w:val="BodyText"/>
        <w:rPr>
          <w:i/>
        </w:rPr>
      </w:pPr>
    </w:p>
    <w:p>
      <w:pPr>
        <w:pStyle w:val="BodyText"/>
        <w:spacing w:before="3"/>
        <w:rPr>
          <w:i/>
        </w:rPr>
      </w:pPr>
    </w:p>
    <w:p>
      <w:pPr>
        <w:pStyle w:val="BodyText"/>
        <w:spacing w:line="360" w:lineRule="auto"/>
        <w:ind w:left="102" w:right="116"/>
        <w:jc w:val="both"/>
      </w:pPr>
      <w:r>
        <w:rPr/>
        <w:t>El presupuesto otorgado a los partidos políticos cantonales en general equivalió al 0.09% del presupuesto nacional, pero al dividirlo entre las siete provincias costarricenses cada una de ellas tuvo un total de 0.012%; siendo este el porcentaje destinado a los partidos que participaron en las elecciones cantonales en la Provincia de San José. Lo cual ubica a los partidos que contendieron en las elecciones cantonales en la Provincia de San José como poco costosos (3.0) en relación con el presupuesto</w:t>
      </w:r>
      <w:r>
        <w:rPr>
          <w:spacing w:val="-7"/>
        </w:rPr>
        <w:t> </w:t>
      </w:r>
      <w:r>
        <w:rPr/>
        <w:t>estatal.</w:t>
      </w:r>
    </w:p>
    <w:p>
      <w:pPr>
        <w:pStyle w:val="BodyText"/>
      </w:pPr>
    </w:p>
    <w:p>
      <w:pPr>
        <w:pStyle w:val="ListParagraph"/>
        <w:numPr>
          <w:ilvl w:val="0"/>
          <w:numId w:val="34"/>
        </w:numPr>
        <w:tabs>
          <w:tab w:pos="1517" w:val="left" w:leader="none"/>
          <w:tab w:pos="1518" w:val="left" w:leader="none"/>
        </w:tabs>
        <w:spacing w:line="240" w:lineRule="auto" w:before="140" w:after="0"/>
        <w:ind w:left="1518" w:right="0" w:hanging="708"/>
        <w:jc w:val="left"/>
        <w:rPr>
          <w:i/>
          <w:sz w:val="24"/>
        </w:rPr>
      </w:pPr>
      <w:r>
        <w:rPr>
          <w:i/>
          <w:sz w:val="24"/>
        </w:rPr>
        <w:t>Irregularidades en la aplicación del</w:t>
      </w:r>
      <w:r>
        <w:rPr>
          <w:i/>
          <w:spacing w:val="-17"/>
          <w:sz w:val="24"/>
        </w:rPr>
        <w:t> </w:t>
      </w:r>
      <w:r>
        <w:rPr>
          <w:i/>
          <w:sz w:val="24"/>
        </w:rPr>
        <w:t>financiamiento</w:t>
      </w:r>
    </w:p>
    <w:p>
      <w:pPr>
        <w:pStyle w:val="BodyText"/>
        <w:rPr>
          <w:i/>
        </w:rPr>
      </w:pPr>
    </w:p>
    <w:p>
      <w:pPr>
        <w:pStyle w:val="BodyText"/>
        <w:spacing w:before="2"/>
        <w:rPr>
          <w:i/>
        </w:rPr>
      </w:pPr>
    </w:p>
    <w:p>
      <w:pPr>
        <w:pStyle w:val="BodyText"/>
        <w:spacing w:line="360" w:lineRule="auto"/>
        <w:ind w:left="102" w:right="116"/>
        <w:jc w:val="both"/>
      </w:pPr>
      <w:r>
        <w:rPr/>
        <w:t>En cuanto a los comicios cantonales el TSE determinó, mediante acta número 1092-E10-2011 del veintitrés de febrero de dos mil once, el monto máximo de la contribución del Estado a los partidos políticos con derecho a recibirla (TSE,  2011). Lo anterior sujeto al resultado de las elecciones municipales pues como se mencionó el rembolso es posterior a la jornada electoral. Así los montos máximos establecidos para cada partido</w:t>
      </w:r>
      <w:r>
        <w:rPr>
          <w:spacing w:val="-13"/>
        </w:rPr>
        <w:t> </w:t>
      </w:r>
      <w:r>
        <w:rPr/>
        <w:t>fueron:</w:t>
      </w:r>
    </w:p>
    <w:p>
      <w:pPr>
        <w:spacing w:after="0" w:line="360" w:lineRule="auto"/>
        <w:jc w:val="both"/>
        <w:sectPr>
          <w:footerReference w:type="default" r:id="rId546"/>
          <w:pgSz w:w="12240" w:h="15840"/>
          <w:pgMar w:footer="1003" w:header="749" w:top="960" w:bottom="1200" w:left="1600" w:right="1580"/>
          <w:pgNumType w:start="180"/>
        </w:sectPr>
      </w:pPr>
    </w:p>
    <w:p>
      <w:pPr>
        <w:pStyle w:val="BodyText"/>
        <w:rPr>
          <w:sz w:val="20"/>
        </w:rPr>
      </w:pPr>
    </w:p>
    <w:p>
      <w:pPr>
        <w:pStyle w:val="Heading2"/>
        <w:spacing w:before="214"/>
        <w:ind w:left="1031" w:right="868"/>
      </w:pPr>
      <w:r>
        <w:rPr/>
        <w:t>Cuadro 3.12</w:t>
      </w:r>
    </w:p>
    <w:p>
      <w:pPr>
        <w:spacing w:before="137"/>
        <w:ind w:left="1031" w:right="872" w:firstLine="0"/>
        <w:jc w:val="center"/>
        <w:rPr>
          <w:b/>
          <w:sz w:val="24"/>
        </w:rPr>
      </w:pPr>
      <w:r>
        <w:rPr>
          <w:b/>
          <w:sz w:val="24"/>
        </w:rPr>
        <w:t>Montos máximos autorizados por partido político costarricense (Elecciones cantonales 2010)</w:t>
      </w:r>
    </w:p>
    <w:p>
      <w:pPr>
        <w:pStyle w:val="BodyText"/>
        <w:spacing w:before="4"/>
        <w:rPr>
          <w:b/>
        </w:rPr>
      </w:pPr>
    </w:p>
    <w:tbl>
      <w:tblPr>
        <w:tblW w:w="0" w:type="auto"/>
        <w:jc w:val="left"/>
        <w:tblInd w:w="102" w:type="dxa"/>
        <w:tblBorders>
          <w:top w:val="double" w:sz="3" w:space="0" w:color="000000"/>
          <w:left w:val="double" w:sz="3" w:space="0" w:color="000000"/>
          <w:bottom w:val="double" w:sz="3" w:space="0" w:color="000000"/>
          <w:right w:val="double" w:sz="3" w:space="0" w:color="000000"/>
          <w:insideH w:val="double" w:sz="3" w:space="0" w:color="000000"/>
          <w:insideV w:val="double" w:sz="3" w:space="0" w:color="000000"/>
        </w:tblBorders>
        <w:tblLayout w:type="fixed"/>
        <w:tblCellMar>
          <w:top w:w="0" w:type="dxa"/>
          <w:left w:w="0" w:type="dxa"/>
          <w:bottom w:w="0" w:type="dxa"/>
          <w:right w:w="0" w:type="dxa"/>
        </w:tblCellMar>
        <w:tblLook w:val="01E0"/>
      </w:tblPr>
      <w:tblGrid>
        <w:gridCol w:w="4485"/>
        <w:gridCol w:w="2328"/>
        <w:gridCol w:w="2123"/>
      </w:tblGrid>
      <w:tr>
        <w:trPr>
          <w:trHeight w:val="844" w:hRule="exact"/>
        </w:trPr>
        <w:tc>
          <w:tcPr>
            <w:tcW w:w="4485" w:type="dxa"/>
            <w:tcBorders>
              <w:left w:val="single" w:sz="4" w:space="0" w:color="000000"/>
              <w:bottom w:val="single" w:sz="4" w:space="0" w:color="000000"/>
            </w:tcBorders>
            <w:shd w:val="clear" w:color="auto" w:fill="D9D9D9"/>
          </w:tcPr>
          <w:p>
            <w:pPr>
              <w:pStyle w:val="TableParagraph"/>
              <w:spacing w:before="2"/>
              <w:ind w:left="0"/>
              <w:rPr>
                <w:b/>
                <w:sz w:val="24"/>
              </w:rPr>
            </w:pPr>
          </w:p>
          <w:p>
            <w:pPr>
              <w:pStyle w:val="TableParagraph"/>
              <w:ind w:left="1423"/>
              <w:rPr>
                <w:b/>
                <w:sz w:val="22"/>
              </w:rPr>
            </w:pPr>
            <w:r>
              <w:rPr>
                <w:b/>
                <w:sz w:val="22"/>
              </w:rPr>
              <w:t>Partido Político</w:t>
            </w:r>
          </w:p>
        </w:tc>
        <w:tc>
          <w:tcPr>
            <w:tcW w:w="2328" w:type="dxa"/>
            <w:tcBorders>
              <w:bottom w:val="single" w:sz="4" w:space="0" w:color="000000"/>
            </w:tcBorders>
            <w:shd w:val="clear" w:color="auto" w:fill="D9D9D9"/>
          </w:tcPr>
          <w:p>
            <w:pPr>
              <w:pStyle w:val="TableParagraph"/>
              <w:spacing w:before="153"/>
              <w:ind w:left="453" w:right="49" w:hanging="404"/>
              <w:rPr>
                <w:b/>
                <w:sz w:val="22"/>
              </w:rPr>
            </w:pPr>
            <w:r>
              <w:rPr>
                <w:b/>
                <w:sz w:val="22"/>
              </w:rPr>
              <w:t>Monto máximo a que tuvo derecho</w:t>
            </w:r>
          </w:p>
        </w:tc>
        <w:tc>
          <w:tcPr>
            <w:tcW w:w="2123" w:type="dxa"/>
            <w:tcBorders>
              <w:bottom w:val="single" w:sz="4" w:space="0" w:color="000000"/>
              <w:right w:val="single" w:sz="4" w:space="0" w:color="000000"/>
            </w:tcBorders>
            <w:shd w:val="clear" w:color="auto" w:fill="D9D9D9"/>
          </w:tcPr>
          <w:p>
            <w:pPr>
              <w:pStyle w:val="TableParagraph"/>
              <w:spacing w:before="2"/>
              <w:ind w:left="0"/>
              <w:rPr>
                <w:b/>
                <w:sz w:val="24"/>
              </w:rPr>
            </w:pPr>
          </w:p>
          <w:p>
            <w:pPr>
              <w:pStyle w:val="TableParagraph"/>
              <w:ind w:left="249"/>
              <w:rPr>
                <w:b/>
                <w:sz w:val="22"/>
              </w:rPr>
            </w:pPr>
            <w:r>
              <w:rPr>
                <w:b/>
                <w:sz w:val="22"/>
              </w:rPr>
              <w:t>Monto en USD*</w:t>
            </w:r>
          </w:p>
        </w:tc>
      </w:tr>
      <w:tr>
        <w:trPr>
          <w:trHeight w:val="430" w:hRule="exact"/>
        </w:trPr>
        <w:tc>
          <w:tcPr>
            <w:tcW w:w="4485" w:type="dxa"/>
            <w:tcBorders>
              <w:top w:val="single" w:sz="4" w:space="0" w:color="000000"/>
              <w:left w:val="single" w:sz="4" w:space="0" w:color="000000"/>
              <w:bottom w:val="single" w:sz="8" w:space="0" w:color="000000"/>
            </w:tcBorders>
          </w:tcPr>
          <w:p>
            <w:pPr>
              <w:pStyle w:val="TableParagraph"/>
              <w:spacing w:before="19"/>
              <w:ind w:left="11"/>
              <w:rPr>
                <w:sz w:val="22"/>
              </w:rPr>
            </w:pPr>
            <w:r>
              <w:rPr>
                <w:sz w:val="22"/>
              </w:rPr>
              <w:t>Accesibilidad sin Exclusión</w:t>
            </w:r>
          </w:p>
        </w:tc>
        <w:tc>
          <w:tcPr>
            <w:tcW w:w="2328" w:type="dxa"/>
            <w:tcBorders>
              <w:top w:val="single" w:sz="4" w:space="0" w:color="000000"/>
              <w:bottom w:val="single" w:sz="8" w:space="0" w:color="000000"/>
            </w:tcBorders>
          </w:tcPr>
          <w:p>
            <w:pPr>
              <w:pStyle w:val="TableParagraph"/>
              <w:spacing w:before="19"/>
              <w:ind w:left="0" w:right="17"/>
              <w:jc w:val="right"/>
              <w:rPr>
                <w:sz w:val="22"/>
              </w:rPr>
            </w:pPr>
            <w:r>
              <w:rPr>
                <w:sz w:val="22"/>
              </w:rPr>
              <w:t>¢ 157.664.089,45</w:t>
            </w:r>
          </w:p>
        </w:tc>
        <w:tc>
          <w:tcPr>
            <w:tcW w:w="2123" w:type="dxa"/>
            <w:tcBorders>
              <w:top w:val="single" w:sz="13" w:space="0" w:color="D9D9D9"/>
              <w:bottom w:val="single" w:sz="8" w:space="0" w:color="000000"/>
              <w:right w:val="single" w:sz="4" w:space="0" w:color="000000"/>
            </w:tcBorders>
          </w:tcPr>
          <w:p>
            <w:pPr>
              <w:pStyle w:val="TableParagraph"/>
              <w:spacing w:before="7"/>
              <w:ind w:left="0" w:right="20"/>
              <w:jc w:val="right"/>
              <w:rPr>
                <w:sz w:val="22"/>
              </w:rPr>
            </w:pPr>
            <w:r>
              <w:rPr>
                <w:sz w:val="22"/>
              </w:rPr>
              <w:t>$313.447,49</w:t>
            </w:r>
          </w:p>
        </w:tc>
      </w:tr>
      <w:tr>
        <w:trPr>
          <w:trHeight w:val="430" w:hRule="exact"/>
        </w:trPr>
        <w:tc>
          <w:tcPr>
            <w:tcW w:w="4485" w:type="dxa"/>
            <w:tcBorders>
              <w:top w:val="single" w:sz="8" w:space="0" w:color="000000"/>
              <w:left w:val="single" w:sz="4" w:space="0" w:color="000000"/>
              <w:bottom w:val="single" w:sz="8" w:space="0" w:color="000000"/>
            </w:tcBorders>
          </w:tcPr>
          <w:p>
            <w:pPr>
              <w:pStyle w:val="TableParagraph"/>
              <w:spacing w:before="12"/>
              <w:ind w:left="11"/>
              <w:rPr>
                <w:sz w:val="22"/>
              </w:rPr>
            </w:pPr>
            <w:r>
              <w:rPr>
                <w:sz w:val="22"/>
              </w:rPr>
              <w:t>Acción Cantonal Siquirres Independiente</w:t>
            </w:r>
          </w:p>
        </w:tc>
        <w:tc>
          <w:tcPr>
            <w:tcW w:w="2328" w:type="dxa"/>
            <w:tcBorders>
              <w:top w:val="single" w:sz="8" w:space="0" w:color="000000"/>
              <w:bottom w:val="single" w:sz="8" w:space="0" w:color="000000"/>
            </w:tcBorders>
          </w:tcPr>
          <w:p>
            <w:pPr>
              <w:pStyle w:val="TableParagraph"/>
              <w:spacing w:before="12"/>
              <w:ind w:left="0" w:right="17"/>
              <w:jc w:val="right"/>
              <w:rPr>
                <w:sz w:val="22"/>
              </w:rPr>
            </w:pPr>
            <w:r>
              <w:rPr>
                <w:sz w:val="22"/>
              </w:rPr>
              <w:t>¢ 4.867.990,53</w:t>
            </w:r>
          </w:p>
        </w:tc>
        <w:tc>
          <w:tcPr>
            <w:tcW w:w="2123" w:type="dxa"/>
            <w:tcBorders>
              <w:top w:val="single" w:sz="8" w:space="0" w:color="000000"/>
              <w:bottom w:val="single" w:sz="8" w:space="0" w:color="000000"/>
              <w:right w:val="single" w:sz="4" w:space="0" w:color="000000"/>
            </w:tcBorders>
          </w:tcPr>
          <w:p>
            <w:pPr>
              <w:pStyle w:val="TableParagraph"/>
              <w:spacing w:before="12"/>
              <w:ind w:left="0" w:right="20"/>
              <w:jc w:val="right"/>
              <w:rPr>
                <w:sz w:val="22"/>
              </w:rPr>
            </w:pPr>
            <w:r>
              <w:rPr>
                <w:sz w:val="22"/>
              </w:rPr>
              <w:t>$9.677,91</w:t>
            </w:r>
          </w:p>
        </w:tc>
      </w:tr>
      <w:tr>
        <w:trPr>
          <w:trHeight w:val="430" w:hRule="exact"/>
        </w:trPr>
        <w:tc>
          <w:tcPr>
            <w:tcW w:w="4485" w:type="dxa"/>
            <w:tcBorders>
              <w:top w:val="single" w:sz="8" w:space="0" w:color="000000"/>
              <w:left w:val="single" w:sz="4" w:space="0" w:color="000000"/>
              <w:bottom w:val="single" w:sz="4" w:space="0" w:color="000000"/>
            </w:tcBorders>
          </w:tcPr>
          <w:p>
            <w:pPr>
              <w:pStyle w:val="TableParagraph"/>
              <w:spacing w:before="12"/>
              <w:ind w:left="11"/>
              <w:rPr>
                <w:sz w:val="22"/>
              </w:rPr>
            </w:pPr>
            <w:r>
              <w:rPr>
                <w:sz w:val="22"/>
              </w:rPr>
              <w:t>Acción Ciudadana</w:t>
            </w:r>
          </w:p>
        </w:tc>
        <w:tc>
          <w:tcPr>
            <w:tcW w:w="2328" w:type="dxa"/>
            <w:tcBorders>
              <w:top w:val="single" w:sz="8" w:space="0" w:color="000000"/>
              <w:bottom w:val="single" w:sz="4" w:space="0" w:color="000000"/>
            </w:tcBorders>
          </w:tcPr>
          <w:p>
            <w:pPr>
              <w:pStyle w:val="TableParagraph"/>
              <w:spacing w:before="12"/>
              <w:ind w:left="0" w:right="17"/>
              <w:jc w:val="right"/>
              <w:rPr>
                <w:sz w:val="22"/>
              </w:rPr>
            </w:pPr>
            <w:r>
              <w:rPr>
                <w:sz w:val="22"/>
              </w:rPr>
              <w:t>¢ 595.798.393,20</w:t>
            </w:r>
          </w:p>
        </w:tc>
        <w:tc>
          <w:tcPr>
            <w:tcW w:w="2123" w:type="dxa"/>
            <w:tcBorders>
              <w:top w:val="single" w:sz="8" w:space="0" w:color="000000"/>
              <w:bottom w:val="single" w:sz="4" w:space="0" w:color="000000"/>
              <w:right w:val="single" w:sz="4" w:space="0" w:color="000000"/>
            </w:tcBorders>
          </w:tcPr>
          <w:p>
            <w:pPr>
              <w:pStyle w:val="TableParagraph"/>
              <w:spacing w:before="12"/>
              <w:ind w:left="0" w:right="19"/>
              <w:jc w:val="right"/>
              <w:rPr>
                <w:sz w:val="22"/>
              </w:rPr>
            </w:pPr>
            <w:r>
              <w:rPr>
                <w:sz w:val="22"/>
              </w:rPr>
              <w:t>$1.184.489,85</w:t>
            </w:r>
          </w:p>
        </w:tc>
      </w:tr>
      <w:tr>
        <w:trPr>
          <w:trHeight w:val="430" w:hRule="exact"/>
        </w:trPr>
        <w:tc>
          <w:tcPr>
            <w:tcW w:w="4485" w:type="dxa"/>
            <w:tcBorders>
              <w:top w:val="single" w:sz="4" w:space="0" w:color="000000"/>
              <w:left w:val="single" w:sz="4" w:space="0" w:color="000000"/>
              <w:bottom w:val="single" w:sz="8" w:space="0" w:color="000000"/>
            </w:tcBorders>
          </w:tcPr>
          <w:p>
            <w:pPr>
              <w:pStyle w:val="TableParagraph"/>
              <w:spacing w:before="17"/>
              <w:ind w:left="11"/>
              <w:rPr>
                <w:sz w:val="22"/>
              </w:rPr>
            </w:pPr>
            <w:r>
              <w:rPr>
                <w:sz w:val="22"/>
              </w:rPr>
              <w:t>Acción Naranjeña</w:t>
            </w:r>
          </w:p>
        </w:tc>
        <w:tc>
          <w:tcPr>
            <w:tcW w:w="2328" w:type="dxa"/>
            <w:tcBorders>
              <w:top w:val="single" w:sz="4" w:space="0" w:color="000000"/>
              <w:bottom w:val="single" w:sz="8" w:space="0" w:color="000000"/>
            </w:tcBorders>
          </w:tcPr>
          <w:p>
            <w:pPr>
              <w:pStyle w:val="TableParagraph"/>
              <w:spacing w:before="17"/>
              <w:ind w:left="0" w:right="17"/>
              <w:jc w:val="right"/>
              <w:rPr>
                <w:sz w:val="22"/>
              </w:rPr>
            </w:pPr>
            <w:r>
              <w:rPr>
                <w:sz w:val="22"/>
              </w:rPr>
              <w:t>¢ 5.889.480,45</w:t>
            </w:r>
          </w:p>
        </w:tc>
        <w:tc>
          <w:tcPr>
            <w:tcW w:w="2123" w:type="dxa"/>
            <w:tcBorders>
              <w:top w:val="single" w:sz="4" w:space="0" w:color="000000"/>
              <w:bottom w:val="single" w:sz="8" w:space="0" w:color="000000"/>
              <w:right w:val="single" w:sz="4" w:space="0" w:color="000000"/>
            </w:tcBorders>
          </w:tcPr>
          <w:p>
            <w:pPr>
              <w:pStyle w:val="TableParagraph"/>
              <w:spacing w:before="17"/>
              <w:ind w:left="0" w:right="19"/>
              <w:jc w:val="right"/>
              <w:rPr>
                <w:sz w:val="22"/>
              </w:rPr>
            </w:pPr>
            <w:r>
              <w:rPr>
                <w:sz w:val="22"/>
              </w:rPr>
              <w:t>$11.708,71</w:t>
            </w:r>
          </w:p>
        </w:tc>
      </w:tr>
      <w:tr>
        <w:trPr>
          <w:trHeight w:val="430" w:hRule="exact"/>
        </w:trPr>
        <w:tc>
          <w:tcPr>
            <w:tcW w:w="4485" w:type="dxa"/>
            <w:tcBorders>
              <w:top w:val="single" w:sz="8" w:space="0" w:color="000000"/>
              <w:left w:val="single" w:sz="4" w:space="0" w:color="000000"/>
              <w:bottom w:val="single" w:sz="4" w:space="0" w:color="000000"/>
            </w:tcBorders>
          </w:tcPr>
          <w:p>
            <w:pPr>
              <w:pStyle w:val="TableParagraph"/>
              <w:spacing w:before="12"/>
              <w:ind w:left="11"/>
              <w:rPr>
                <w:sz w:val="22"/>
              </w:rPr>
            </w:pPr>
            <w:r>
              <w:rPr>
                <w:sz w:val="22"/>
              </w:rPr>
              <w:t>Acción Quepeña</w:t>
            </w:r>
          </w:p>
        </w:tc>
        <w:tc>
          <w:tcPr>
            <w:tcW w:w="2328" w:type="dxa"/>
            <w:tcBorders>
              <w:top w:val="single" w:sz="8" w:space="0" w:color="000000"/>
              <w:bottom w:val="single" w:sz="4" w:space="0" w:color="000000"/>
            </w:tcBorders>
          </w:tcPr>
          <w:p>
            <w:pPr>
              <w:pStyle w:val="TableParagraph"/>
              <w:spacing w:before="12"/>
              <w:ind w:left="0" w:right="17"/>
              <w:jc w:val="right"/>
              <w:rPr>
                <w:sz w:val="22"/>
              </w:rPr>
            </w:pPr>
            <w:r>
              <w:rPr>
                <w:sz w:val="22"/>
              </w:rPr>
              <w:t>¢ 1.848.987,69</w:t>
            </w:r>
          </w:p>
        </w:tc>
        <w:tc>
          <w:tcPr>
            <w:tcW w:w="2123" w:type="dxa"/>
            <w:tcBorders>
              <w:top w:val="single" w:sz="8" w:space="0" w:color="000000"/>
              <w:bottom w:val="single" w:sz="4" w:space="0" w:color="000000"/>
              <w:right w:val="single" w:sz="4" w:space="0" w:color="000000"/>
            </w:tcBorders>
          </w:tcPr>
          <w:p>
            <w:pPr>
              <w:pStyle w:val="TableParagraph"/>
              <w:spacing w:before="12"/>
              <w:ind w:left="0" w:right="20"/>
              <w:jc w:val="right"/>
              <w:rPr>
                <w:sz w:val="22"/>
              </w:rPr>
            </w:pPr>
            <w:r>
              <w:rPr>
                <w:sz w:val="22"/>
              </w:rPr>
              <w:t>$3.675,92</w:t>
            </w:r>
          </w:p>
        </w:tc>
      </w:tr>
      <w:tr>
        <w:trPr>
          <w:trHeight w:val="430" w:hRule="exact"/>
        </w:trPr>
        <w:tc>
          <w:tcPr>
            <w:tcW w:w="4485" w:type="dxa"/>
            <w:tcBorders>
              <w:top w:val="single" w:sz="4" w:space="0" w:color="000000"/>
              <w:left w:val="single" w:sz="4" w:space="0" w:color="000000"/>
              <w:bottom w:val="single" w:sz="4" w:space="0" w:color="000000"/>
            </w:tcBorders>
          </w:tcPr>
          <w:p>
            <w:pPr>
              <w:pStyle w:val="TableParagraph"/>
              <w:spacing w:before="17"/>
              <w:ind w:left="11"/>
              <w:rPr>
                <w:sz w:val="22"/>
              </w:rPr>
            </w:pPr>
            <w:r>
              <w:rPr>
                <w:sz w:val="22"/>
              </w:rPr>
              <w:t>Acuerdo Cantonal Desamparadeño</w:t>
            </w:r>
          </w:p>
        </w:tc>
        <w:tc>
          <w:tcPr>
            <w:tcW w:w="2328" w:type="dxa"/>
            <w:tcBorders>
              <w:top w:val="single" w:sz="4" w:space="0" w:color="000000"/>
              <w:bottom w:val="single" w:sz="4" w:space="0" w:color="000000"/>
            </w:tcBorders>
          </w:tcPr>
          <w:p>
            <w:pPr>
              <w:pStyle w:val="TableParagraph"/>
              <w:spacing w:before="17"/>
              <w:ind w:left="0" w:right="17"/>
              <w:jc w:val="right"/>
              <w:rPr>
                <w:sz w:val="22"/>
              </w:rPr>
            </w:pPr>
            <w:r>
              <w:rPr>
                <w:sz w:val="22"/>
              </w:rPr>
              <w:t>¢ 11.024.210,20</w:t>
            </w:r>
          </w:p>
        </w:tc>
        <w:tc>
          <w:tcPr>
            <w:tcW w:w="2123" w:type="dxa"/>
            <w:tcBorders>
              <w:top w:val="single" w:sz="4" w:space="0" w:color="000000"/>
              <w:bottom w:val="single" w:sz="4" w:space="0" w:color="000000"/>
              <w:right w:val="single" w:sz="4" w:space="0" w:color="000000"/>
            </w:tcBorders>
          </w:tcPr>
          <w:p>
            <w:pPr>
              <w:pStyle w:val="TableParagraph"/>
              <w:spacing w:before="17"/>
              <w:ind w:left="0" w:right="19"/>
              <w:jc w:val="right"/>
              <w:rPr>
                <w:sz w:val="22"/>
              </w:rPr>
            </w:pPr>
            <w:r>
              <w:rPr>
                <w:sz w:val="22"/>
              </w:rPr>
              <w:t>$21.916,92</w:t>
            </w:r>
          </w:p>
        </w:tc>
      </w:tr>
      <w:tr>
        <w:trPr>
          <w:trHeight w:val="430" w:hRule="exact"/>
        </w:trPr>
        <w:tc>
          <w:tcPr>
            <w:tcW w:w="4485" w:type="dxa"/>
            <w:tcBorders>
              <w:top w:val="single" w:sz="4" w:space="0" w:color="000000"/>
              <w:left w:val="single" w:sz="4" w:space="0" w:color="000000"/>
              <w:bottom w:val="single" w:sz="8" w:space="0" w:color="000000"/>
            </w:tcBorders>
          </w:tcPr>
          <w:p>
            <w:pPr>
              <w:pStyle w:val="TableParagraph"/>
              <w:spacing w:before="17"/>
              <w:ind w:left="11"/>
              <w:rPr>
                <w:sz w:val="22"/>
              </w:rPr>
            </w:pPr>
            <w:r>
              <w:rPr>
                <w:sz w:val="22"/>
              </w:rPr>
              <w:t>Alianza Patriótica</w:t>
            </w:r>
          </w:p>
        </w:tc>
        <w:tc>
          <w:tcPr>
            <w:tcW w:w="2328" w:type="dxa"/>
            <w:tcBorders>
              <w:top w:val="single" w:sz="4" w:space="0" w:color="000000"/>
              <w:bottom w:val="single" w:sz="8" w:space="0" w:color="000000"/>
            </w:tcBorders>
          </w:tcPr>
          <w:p>
            <w:pPr>
              <w:pStyle w:val="TableParagraph"/>
              <w:spacing w:before="17"/>
              <w:ind w:left="0" w:right="17"/>
              <w:jc w:val="right"/>
              <w:rPr>
                <w:sz w:val="22"/>
              </w:rPr>
            </w:pPr>
            <w:r>
              <w:rPr>
                <w:sz w:val="22"/>
              </w:rPr>
              <w:t>¢ 12.858.042,25</w:t>
            </w:r>
          </w:p>
        </w:tc>
        <w:tc>
          <w:tcPr>
            <w:tcW w:w="2123" w:type="dxa"/>
            <w:tcBorders>
              <w:top w:val="single" w:sz="4" w:space="0" w:color="000000"/>
              <w:bottom w:val="single" w:sz="8" w:space="0" w:color="000000"/>
              <w:right w:val="single" w:sz="4" w:space="0" w:color="000000"/>
            </w:tcBorders>
          </w:tcPr>
          <w:p>
            <w:pPr>
              <w:pStyle w:val="TableParagraph"/>
              <w:spacing w:before="17"/>
              <w:ind w:left="0" w:right="19"/>
              <w:jc w:val="right"/>
              <w:rPr>
                <w:sz w:val="22"/>
              </w:rPr>
            </w:pPr>
            <w:r>
              <w:rPr>
                <w:sz w:val="22"/>
              </w:rPr>
              <w:t>$25.562,71</w:t>
            </w:r>
          </w:p>
        </w:tc>
      </w:tr>
      <w:tr>
        <w:trPr>
          <w:trHeight w:val="430" w:hRule="exact"/>
        </w:trPr>
        <w:tc>
          <w:tcPr>
            <w:tcW w:w="4485" w:type="dxa"/>
            <w:tcBorders>
              <w:top w:val="single" w:sz="8" w:space="0" w:color="000000"/>
              <w:left w:val="single" w:sz="4" w:space="0" w:color="000000"/>
              <w:bottom w:val="single" w:sz="4" w:space="0" w:color="000000"/>
            </w:tcBorders>
          </w:tcPr>
          <w:p>
            <w:pPr>
              <w:pStyle w:val="TableParagraph"/>
              <w:spacing w:before="12"/>
              <w:ind w:left="11"/>
              <w:rPr>
                <w:sz w:val="22"/>
              </w:rPr>
            </w:pPr>
            <w:r>
              <w:rPr>
                <w:sz w:val="22"/>
              </w:rPr>
              <w:t>Autónomo Oromontano</w:t>
            </w:r>
          </w:p>
        </w:tc>
        <w:tc>
          <w:tcPr>
            <w:tcW w:w="2328" w:type="dxa"/>
            <w:tcBorders>
              <w:top w:val="single" w:sz="8" w:space="0" w:color="000000"/>
              <w:bottom w:val="single" w:sz="4" w:space="0" w:color="000000"/>
            </w:tcBorders>
          </w:tcPr>
          <w:p>
            <w:pPr>
              <w:pStyle w:val="TableParagraph"/>
              <w:spacing w:before="12"/>
              <w:ind w:left="0" w:right="17"/>
              <w:jc w:val="right"/>
              <w:rPr>
                <w:sz w:val="22"/>
              </w:rPr>
            </w:pPr>
            <w:r>
              <w:rPr>
                <w:sz w:val="22"/>
              </w:rPr>
              <w:t>¢ 5.183.227,78</w:t>
            </w:r>
          </w:p>
        </w:tc>
        <w:tc>
          <w:tcPr>
            <w:tcW w:w="2123" w:type="dxa"/>
            <w:tcBorders>
              <w:top w:val="single" w:sz="8" w:space="0" w:color="000000"/>
              <w:bottom w:val="single" w:sz="4" w:space="0" w:color="000000"/>
              <w:right w:val="single" w:sz="4" w:space="0" w:color="000000"/>
            </w:tcBorders>
          </w:tcPr>
          <w:p>
            <w:pPr>
              <w:pStyle w:val="TableParagraph"/>
              <w:spacing w:before="12"/>
              <w:ind w:left="0" w:right="19"/>
              <w:jc w:val="right"/>
              <w:rPr>
                <w:sz w:val="22"/>
              </w:rPr>
            </w:pPr>
            <w:r>
              <w:rPr>
                <w:sz w:val="22"/>
              </w:rPr>
              <w:t>$10.304,63</w:t>
            </w:r>
          </w:p>
        </w:tc>
      </w:tr>
      <w:tr>
        <w:trPr>
          <w:trHeight w:val="430" w:hRule="exact"/>
        </w:trPr>
        <w:tc>
          <w:tcPr>
            <w:tcW w:w="4485" w:type="dxa"/>
            <w:tcBorders>
              <w:top w:val="single" w:sz="4" w:space="0" w:color="000000"/>
              <w:left w:val="single" w:sz="4" w:space="0" w:color="000000"/>
              <w:bottom w:val="single" w:sz="4" w:space="0" w:color="000000"/>
            </w:tcBorders>
          </w:tcPr>
          <w:p>
            <w:pPr>
              <w:pStyle w:val="TableParagraph"/>
              <w:spacing w:before="17"/>
              <w:ind w:left="11"/>
              <w:rPr>
                <w:sz w:val="22"/>
              </w:rPr>
            </w:pPr>
            <w:r>
              <w:rPr>
                <w:sz w:val="22"/>
              </w:rPr>
              <w:t>Cívico de Tibás Fuenteovejuna</w:t>
            </w:r>
          </w:p>
        </w:tc>
        <w:tc>
          <w:tcPr>
            <w:tcW w:w="2328" w:type="dxa"/>
            <w:tcBorders>
              <w:top w:val="single" w:sz="4" w:space="0" w:color="000000"/>
              <w:bottom w:val="single" w:sz="4" w:space="0" w:color="000000"/>
            </w:tcBorders>
          </w:tcPr>
          <w:p>
            <w:pPr>
              <w:pStyle w:val="TableParagraph"/>
              <w:spacing w:before="17"/>
              <w:ind w:left="0" w:right="17"/>
              <w:jc w:val="right"/>
              <w:rPr>
                <w:sz w:val="22"/>
              </w:rPr>
            </w:pPr>
            <w:r>
              <w:rPr>
                <w:sz w:val="22"/>
              </w:rPr>
              <w:t>¢ 13.058.096,65</w:t>
            </w:r>
          </w:p>
        </w:tc>
        <w:tc>
          <w:tcPr>
            <w:tcW w:w="2123" w:type="dxa"/>
            <w:tcBorders>
              <w:top w:val="single" w:sz="4" w:space="0" w:color="000000"/>
              <w:bottom w:val="single" w:sz="4" w:space="0" w:color="000000"/>
              <w:right w:val="single" w:sz="4" w:space="0" w:color="000000"/>
            </w:tcBorders>
          </w:tcPr>
          <w:p>
            <w:pPr>
              <w:pStyle w:val="TableParagraph"/>
              <w:spacing w:before="17"/>
              <w:ind w:left="0" w:right="19"/>
              <w:jc w:val="right"/>
              <w:rPr>
                <w:sz w:val="22"/>
              </w:rPr>
            </w:pPr>
            <w:r>
              <w:rPr>
                <w:sz w:val="22"/>
              </w:rPr>
              <w:t>$25.960,43</w:t>
            </w:r>
          </w:p>
        </w:tc>
      </w:tr>
      <w:tr>
        <w:trPr>
          <w:trHeight w:val="430" w:hRule="exact"/>
        </w:trPr>
        <w:tc>
          <w:tcPr>
            <w:tcW w:w="4485" w:type="dxa"/>
            <w:tcBorders>
              <w:top w:val="single" w:sz="4" w:space="0" w:color="000000"/>
              <w:left w:val="single" w:sz="4" w:space="0" w:color="000000"/>
              <w:bottom w:val="single" w:sz="8" w:space="0" w:color="000000"/>
            </w:tcBorders>
          </w:tcPr>
          <w:p>
            <w:pPr>
              <w:pStyle w:val="TableParagraph"/>
              <w:spacing w:before="17"/>
              <w:ind w:left="11"/>
              <w:rPr>
                <w:sz w:val="22"/>
              </w:rPr>
            </w:pPr>
            <w:r>
              <w:rPr>
                <w:sz w:val="22"/>
              </w:rPr>
              <w:t>Coalición Barva Unida</w:t>
            </w:r>
          </w:p>
        </w:tc>
        <w:tc>
          <w:tcPr>
            <w:tcW w:w="2328" w:type="dxa"/>
            <w:tcBorders>
              <w:top w:val="single" w:sz="4" w:space="0" w:color="000000"/>
              <w:bottom w:val="single" w:sz="8" w:space="0" w:color="000000"/>
            </w:tcBorders>
          </w:tcPr>
          <w:p>
            <w:pPr>
              <w:pStyle w:val="TableParagraph"/>
              <w:spacing w:before="17"/>
              <w:ind w:left="0" w:right="17"/>
              <w:jc w:val="right"/>
              <w:rPr>
                <w:sz w:val="22"/>
              </w:rPr>
            </w:pPr>
            <w:r>
              <w:rPr>
                <w:sz w:val="22"/>
              </w:rPr>
              <w:t>¢ 5.343.877,53</w:t>
            </w:r>
          </w:p>
        </w:tc>
        <w:tc>
          <w:tcPr>
            <w:tcW w:w="2123" w:type="dxa"/>
            <w:tcBorders>
              <w:top w:val="single" w:sz="4" w:space="0" w:color="000000"/>
              <w:bottom w:val="single" w:sz="8" w:space="0" w:color="000000"/>
              <w:right w:val="single" w:sz="4" w:space="0" w:color="000000"/>
            </w:tcBorders>
          </w:tcPr>
          <w:p>
            <w:pPr>
              <w:pStyle w:val="TableParagraph"/>
              <w:spacing w:before="17"/>
              <w:ind w:left="0" w:right="19"/>
              <w:jc w:val="right"/>
              <w:rPr>
                <w:sz w:val="22"/>
              </w:rPr>
            </w:pPr>
            <w:r>
              <w:rPr>
                <w:sz w:val="22"/>
              </w:rPr>
              <w:t>$10.624,01</w:t>
            </w:r>
          </w:p>
        </w:tc>
      </w:tr>
      <w:tr>
        <w:trPr>
          <w:trHeight w:val="430" w:hRule="exact"/>
        </w:trPr>
        <w:tc>
          <w:tcPr>
            <w:tcW w:w="4485" w:type="dxa"/>
            <w:tcBorders>
              <w:top w:val="single" w:sz="8" w:space="0" w:color="000000"/>
              <w:left w:val="single" w:sz="4" w:space="0" w:color="000000"/>
              <w:bottom w:val="single" w:sz="4" w:space="0" w:color="000000"/>
            </w:tcBorders>
          </w:tcPr>
          <w:p>
            <w:pPr>
              <w:pStyle w:val="TableParagraph"/>
              <w:spacing w:before="12"/>
              <w:ind w:left="11"/>
              <w:rPr>
                <w:sz w:val="22"/>
              </w:rPr>
            </w:pPr>
            <w:r>
              <w:rPr>
                <w:sz w:val="22"/>
              </w:rPr>
              <w:t>Coalición Cartago Unido</w:t>
            </w:r>
          </w:p>
        </w:tc>
        <w:tc>
          <w:tcPr>
            <w:tcW w:w="2328" w:type="dxa"/>
            <w:tcBorders>
              <w:top w:val="single" w:sz="8" w:space="0" w:color="000000"/>
              <w:bottom w:val="single" w:sz="4" w:space="0" w:color="000000"/>
            </w:tcBorders>
          </w:tcPr>
          <w:p>
            <w:pPr>
              <w:pStyle w:val="TableParagraph"/>
              <w:spacing w:before="12"/>
              <w:ind w:left="0" w:right="17"/>
              <w:jc w:val="right"/>
              <w:rPr>
                <w:sz w:val="22"/>
              </w:rPr>
            </w:pPr>
            <w:r>
              <w:rPr>
                <w:sz w:val="22"/>
              </w:rPr>
              <w:t>¢ 68.815.684,38</w:t>
            </w:r>
          </w:p>
        </w:tc>
        <w:tc>
          <w:tcPr>
            <w:tcW w:w="2123" w:type="dxa"/>
            <w:tcBorders>
              <w:top w:val="single" w:sz="8" w:space="0" w:color="000000"/>
              <w:bottom w:val="single" w:sz="4" w:space="0" w:color="000000"/>
              <w:right w:val="single" w:sz="4" w:space="0" w:color="000000"/>
            </w:tcBorders>
          </w:tcPr>
          <w:p>
            <w:pPr>
              <w:pStyle w:val="TableParagraph"/>
              <w:spacing w:before="12"/>
              <w:ind w:left="0" w:right="20"/>
              <w:jc w:val="right"/>
              <w:rPr>
                <w:sz w:val="22"/>
              </w:rPr>
            </w:pPr>
            <w:r>
              <w:rPr>
                <w:sz w:val="22"/>
              </w:rPr>
              <w:t>$136.810,51</w:t>
            </w:r>
          </w:p>
        </w:tc>
      </w:tr>
      <w:tr>
        <w:trPr>
          <w:trHeight w:val="428" w:hRule="exact"/>
        </w:trPr>
        <w:tc>
          <w:tcPr>
            <w:tcW w:w="4485" w:type="dxa"/>
            <w:tcBorders>
              <w:top w:val="single" w:sz="4" w:space="0" w:color="000000"/>
              <w:left w:val="single" w:sz="4" w:space="0" w:color="000000"/>
              <w:bottom w:val="single" w:sz="4" w:space="0" w:color="000000"/>
            </w:tcBorders>
          </w:tcPr>
          <w:p>
            <w:pPr>
              <w:pStyle w:val="TableParagraph"/>
              <w:spacing w:before="17"/>
              <w:ind w:left="11"/>
              <w:rPr>
                <w:sz w:val="22"/>
              </w:rPr>
            </w:pPr>
            <w:r>
              <w:rPr>
                <w:sz w:val="22"/>
              </w:rPr>
              <w:t>Coalición Montes de Oca Unida</w:t>
            </w:r>
          </w:p>
        </w:tc>
        <w:tc>
          <w:tcPr>
            <w:tcW w:w="2328" w:type="dxa"/>
            <w:tcBorders>
              <w:top w:val="single" w:sz="4" w:space="0" w:color="000000"/>
              <w:bottom w:val="single" w:sz="4" w:space="0" w:color="000000"/>
            </w:tcBorders>
          </w:tcPr>
          <w:p>
            <w:pPr>
              <w:pStyle w:val="TableParagraph"/>
              <w:spacing w:before="17"/>
              <w:ind w:left="0" w:right="17"/>
              <w:jc w:val="right"/>
              <w:rPr>
                <w:sz w:val="22"/>
              </w:rPr>
            </w:pPr>
            <w:r>
              <w:rPr>
                <w:sz w:val="22"/>
              </w:rPr>
              <w:t>¢ 7.750.592,65</w:t>
            </w:r>
          </w:p>
        </w:tc>
        <w:tc>
          <w:tcPr>
            <w:tcW w:w="2123" w:type="dxa"/>
            <w:tcBorders>
              <w:top w:val="single" w:sz="4" w:space="0" w:color="000000"/>
              <w:bottom w:val="single" w:sz="4" w:space="0" w:color="000000"/>
              <w:right w:val="single" w:sz="4" w:space="0" w:color="000000"/>
            </w:tcBorders>
          </w:tcPr>
          <w:p>
            <w:pPr>
              <w:pStyle w:val="TableParagraph"/>
              <w:spacing w:before="17"/>
              <w:ind w:left="0" w:right="19"/>
              <w:jc w:val="right"/>
              <w:rPr>
                <w:sz w:val="22"/>
              </w:rPr>
            </w:pPr>
            <w:r>
              <w:rPr>
                <w:sz w:val="22"/>
              </w:rPr>
              <w:t>$15.408,73</w:t>
            </w:r>
          </w:p>
        </w:tc>
      </w:tr>
      <w:tr>
        <w:trPr>
          <w:trHeight w:val="430" w:hRule="exact"/>
        </w:trPr>
        <w:tc>
          <w:tcPr>
            <w:tcW w:w="4485" w:type="dxa"/>
            <w:tcBorders>
              <w:top w:val="single" w:sz="4" w:space="0" w:color="000000"/>
              <w:left w:val="single" w:sz="4" w:space="0" w:color="000000"/>
              <w:bottom w:val="single" w:sz="8" w:space="0" w:color="000000"/>
            </w:tcBorders>
          </w:tcPr>
          <w:p>
            <w:pPr>
              <w:pStyle w:val="TableParagraph"/>
              <w:spacing w:before="19"/>
              <w:ind w:left="11"/>
              <w:rPr>
                <w:sz w:val="22"/>
              </w:rPr>
            </w:pPr>
            <w:r>
              <w:rPr>
                <w:sz w:val="22"/>
              </w:rPr>
              <w:t>Coalición Partido Alianza Zarcereña</w:t>
            </w:r>
          </w:p>
        </w:tc>
        <w:tc>
          <w:tcPr>
            <w:tcW w:w="2328" w:type="dxa"/>
            <w:tcBorders>
              <w:top w:val="single" w:sz="4" w:space="0" w:color="000000"/>
              <w:bottom w:val="single" w:sz="8" w:space="0" w:color="000000"/>
            </w:tcBorders>
          </w:tcPr>
          <w:p>
            <w:pPr>
              <w:pStyle w:val="TableParagraph"/>
              <w:spacing w:before="19"/>
              <w:ind w:left="0" w:right="17"/>
              <w:jc w:val="right"/>
              <w:rPr>
                <w:sz w:val="22"/>
              </w:rPr>
            </w:pPr>
            <w:r>
              <w:rPr>
                <w:sz w:val="22"/>
              </w:rPr>
              <w:t>¢ 3.840.438,36</w:t>
            </w:r>
          </w:p>
        </w:tc>
        <w:tc>
          <w:tcPr>
            <w:tcW w:w="2123" w:type="dxa"/>
            <w:tcBorders>
              <w:top w:val="single" w:sz="4" w:space="0" w:color="000000"/>
              <w:bottom w:val="single" w:sz="8" w:space="0" w:color="000000"/>
              <w:right w:val="single" w:sz="4" w:space="0" w:color="000000"/>
            </w:tcBorders>
          </w:tcPr>
          <w:p>
            <w:pPr>
              <w:pStyle w:val="TableParagraph"/>
              <w:spacing w:before="19"/>
              <w:ind w:left="0" w:right="20"/>
              <w:jc w:val="right"/>
              <w:rPr>
                <w:sz w:val="22"/>
              </w:rPr>
            </w:pPr>
            <w:r>
              <w:rPr>
                <w:sz w:val="22"/>
              </w:rPr>
              <w:t>$7.635,07</w:t>
            </w:r>
          </w:p>
        </w:tc>
      </w:tr>
      <w:tr>
        <w:trPr>
          <w:trHeight w:val="430" w:hRule="exact"/>
        </w:trPr>
        <w:tc>
          <w:tcPr>
            <w:tcW w:w="4485" w:type="dxa"/>
            <w:tcBorders>
              <w:top w:val="single" w:sz="8" w:space="0" w:color="000000"/>
              <w:left w:val="single" w:sz="4" w:space="0" w:color="000000"/>
              <w:bottom w:val="single" w:sz="4" w:space="0" w:color="000000"/>
            </w:tcBorders>
          </w:tcPr>
          <w:p>
            <w:pPr>
              <w:pStyle w:val="TableParagraph"/>
              <w:spacing w:before="14"/>
              <w:ind w:left="11"/>
              <w:rPr>
                <w:sz w:val="22"/>
              </w:rPr>
            </w:pPr>
            <w:r>
              <w:rPr>
                <w:sz w:val="22"/>
              </w:rPr>
              <w:t>Coalición Ramonense</w:t>
            </w:r>
          </w:p>
        </w:tc>
        <w:tc>
          <w:tcPr>
            <w:tcW w:w="2328" w:type="dxa"/>
            <w:tcBorders>
              <w:top w:val="single" w:sz="8" w:space="0" w:color="000000"/>
              <w:bottom w:val="single" w:sz="4" w:space="0" w:color="000000"/>
            </w:tcBorders>
          </w:tcPr>
          <w:p>
            <w:pPr>
              <w:pStyle w:val="TableParagraph"/>
              <w:spacing w:before="14"/>
              <w:ind w:left="0" w:right="17"/>
              <w:jc w:val="right"/>
              <w:rPr>
                <w:sz w:val="22"/>
              </w:rPr>
            </w:pPr>
            <w:r>
              <w:rPr>
                <w:sz w:val="22"/>
              </w:rPr>
              <w:t>¢ 28.031.865,79</w:t>
            </w:r>
          </w:p>
        </w:tc>
        <w:tc>
          <w:tcPr>
            <w:tcW w:w="2123" w:type="dxa"/>
            <w:tcBorders>
              <w:top w:val="single" w:sz="8" w:space="0" w:color="000000"/>
              <w:bottom w:val="single" w:sz="4" w:space="0" w:color="000000"/>
              <w:right w:val="single" w:sz="4" w:space="0" w:color="000000"/>
            </w:tcBorders>
          </w:tcPr>
          <w:p>
            <w:pPr>
              <w:pStyle w:val="TableParagraph"/>
              <w:spacing w:before="14"/>
              <w:ind w:left="0" w:right="19"/>
              <w:jc w:val="right"/>
              <w:rPr>
                <w:sz w:val="22"/>
              </w:rPr>
            </w:pPr>
            <w:r>
              <w:rPr>
                <w:sz w:val="22"/>
              </w:rPr>
              <w:t>$55.729,36</w:t>
            </w:r>
          </w:p>
        </w:tc>
      </w:tr>
      <w:tr>
        <w:trPr>
          <w:trHeight w:val="430" w:hRule="exact"/>
        </w:trPr>
        <w:tc>
          <w:tcPr>
            <w:tcW w:w="4485" w:type="dxa"/>
            <w:tcBorders>
              <w:top w:val="single" w:sz="4" w:space="0" w:color="000000"/>
              <w:left w:val="single" w:sz="4" w:space="0" w:color="000000"/>
              <w:bottom w:val="single" w:sz="4" w:space="0" w:color="000000"/>
            </w:tcBorders>
          </w:tcPr>
          <w:p>
            <w:pPr>
              <w:pStyle w:val="TableParagraph"/>
              <w:spacing w:before="19"/>
              <w:ind w:left="11"/>
              <w:rPr>
                <w:sz w:val="22"/>
              </w:rPr>
            </w:pPr>
            <w:r>
              <w:rPr>
                <w:sz w:val="22"/>
              </w:rPr>
              <w:t>Coalición Unión Liberiana</w:t>
            </w:r>
          </w:p>
        </w:tc>
        <w:tc>
          <w:tcPr>
            <w:tcW w:w="2328" w:type="dxa"/>
            <w:tcBorders>
              <w:top w:val="single" w:sz="4" w:space="0" w:color="000000"/>
              <w:bottom w:val="single" w:sz="4" w:space="0" w:color="000000"/>
            </w:tcBorders>
          </w:tcPr>
          <w:p>
            <w:pPr>
              <w:pStyle w:val="TableParagraph"/>
              <w:spacing w:before="19"/>
              <w:ind w:left="0" w:right="17"/>
              <w:jc w:val="right"/>
              <w:rPr>
                <w:sz w:val="22"/>
              </w:rPr>
            </w:pPr>
            <w:r>
              <w:rPr>
                <w:sz w:val="22"/>
              </w:rPr>
              <w:t>¢ 7.747.561,52</w:t>
            </w:r>
          </w:p>
        </w:tc>
        <w:tc>
          <w:tcPr>
            <w:tcW w:w="2123" w:type="dxa"/>
            <w:tcBorders>
              <w:top w:val="single" w:sz="4" w:space="0" w:color="000000"/>
              <w:bottom w:val="single" w:sz="4" w:space="0" w:color="000000"/>
              <w:right w:val="single" w:sz="4" w:space="0" w:color="000000"/>
            </w:tcBorders>
          </w:tcPr>
          <w:p>
            <w:pPr>
              <w:pStyle w:val="TableParagraph"/>
              <w:spacing w:before="19"/>
              <w:ind w:left="0" w:right="19"/>
              <w:jc w:val="right"/>
              <w:rPr>
                <w:sz w:val="22"/>
              </w:rPr>
            </w:pPr>
            <w:r>
              <w:rPr>
                <w:sz w:val="22"/>
              </w:rPr>
              <w:t>$15.402,71</w:t>
            </w:r>
          </w:p>
        </w:tc>
      </w:tr>
      <w:tr>
        <w:trPr>
          <w:trHeight w:val="430" w:hRule="exact"/>
        </w:trPr>
        <w:tc>
          <w:tcPr>
            <w:tcW w:w="4485" w:type="dxa"/>
            <w:tcBorders>
              <w:top w:val="single" w:sz="4" w:space="0" w:color="000000"/>
              <w:left w:val="single" w:sz="4" w:space="0" w:color="000000"/>
              <w:bottom w:val="single" w:sz="8" w:space="0" w:color="000000"/>
            </w:tcBorders>
          </w:tcPr>
          <w:p>
            <w:pPr>
              <w:pStyle w:val="TableParagraph"/>
              <w:spacing w:before="19"/>
              <w:ind w:left="11"/>
              <w:rPr>
                <w:sz w:val="22"/>
              </w:rPr>
            </w:pPr>
            <w:r>
              <w:rPr>
                <w:sz w:val="22"/>
              </w:rPr>
              <w:t>Coalición Unidos por San Carlos</w:t>
            </w:r>
          </w:p>
        </w:tc>
        <w:tc>
          <w:tcPr>
            <w:tcW w:w="2328" w:type="dxa"/>
            <w:tcBorders>
              <w:top w:val="single" w:sz="4" w:space="0" w:color="000000"/>
              <w:bottom w:val="single" w:sz="8" w:space="0" w:color="000000"/>
            </w:tcBorders>
          </w:tcPr>
          <w:p>
            <w:pPr>
              <w:pStyle w:val="TableParagraph"/>
              <w:spacing w:before="19"/>
              <w:ind w:left="0" w:right="17"/>
              <w:jc w:val="right"/>
              <w:rPr>
                <w:sz w:val="22"/>
              </w:rPr>
            </w:pPr>
            <w:r>
              <w:rPr>
                <w:sz w:val="22"/>
              </w:rPr>
              <w:t>¢ 80.209.692,11</w:t>
            </w:r>
          </w:p>
        </w:tc>
        <w:tc>
          <w:tcPr>
            <w:tcW w:w="2123" w:type="dxa"/>
            <w:tcBorders>
              <w:top w:val="single" w:sz="4" w:space="0" w:color="000000"/>
              <w:bottom w:val="single" w:sz="8" w:space="0" w:color="000000"/>
              <w:right w:val="single" w:sz="4" w:space="0" w:color="000000"/>
            </w:tcBorders>
          </w:tcPr>
          <w:p>
            <w:pPr>
              <w:pStyle w:val="TableParagraph"/>
              <w:spacing w:before="19"/>
              <w:ind w:left="0" w:right="20"/>
              <w:jc w:val="right"/>
              <w:rPr>
                <w:sz w:val="22"/>
              </w:rPr>
            </w:pPr>
            <w:r>
              <w:rPr>
                <w:sz w:val="22"/>
              </w:rPr>
              <w:t>$159.462,61</w:t>
            </w:r>
          </w:p>
        </w:tc>
      </w:tr>
      <w:tr>
        <w:trPr>
          <w:trHeight w:val="430" w:hRule="exact"/>
        </w:trPr>
        <w:tc>
          <w:tcPr>
            <w:tcW w:w="4485" w:type="dxa"/>
            <w:tcBorders>
              <w:top w:val="single" w:sz="8" w:space="0" w:color="000000"/>
              <w:left w:val="single" w:sz="4" w:space="0" w:color="000000"/>
              <w:bottom w:val="single" w:sz="4" w:space="0" w:color="000000"/>
            </w:tcBorders>
          </w:tcPr>
          <w:p>
            <w:pPr>
              <w:pStyle w:val="TableParagraph"/>
              <w:spacing w:before="14"/>
              <w:ind w:left="11"/>
              <w:rPr>
                <w:sz w:val="22"/>
              </w:rPr>
            </w:pPr>
            <w:r>
              <w:rPr>
                <w:sz w:val="22"/>
              </w:rPr>
              <w:t>Curridabat Siglo XXI</w:t>
            </w:r>
          </w:p>
        </w:tc>
        <w:tc>
          <w:tcPr>
            <w:tcW w:w="2328" w:type="dxa"/>
            <w:tcBorders>
              <w:top w:val="single" w:sz="8" w:space="0" w:color="000000"/>
              <w:bottom w:val="single" w:sz="4" w:space="0" w:color="000000"/>
            </w:tcBorders>
          </w:tcPr>
          <w:p>
            <w:pPr>
              <w:pStyle w:val="TableParagraph"/>
              <w:spacing w:before="14"/>
              <w:ind w:left="0" w:right="17"/>
              <w:jc w:val="right"/>
              <w:rPr>
                <w:sz w:val="22"/>
              </w:rPr>
            </w:pPr>
            <w:r>
              <w:rPr>
                <w:sz w:val="22"/>
              </w:rPr>
              <w:t>¢ 45.063.770,41</w:t>
            </w:r>
          </w:p>
        </w:tc>
        <w:tc>
          <w:tcPr>
            <w:tcW w:w="2123" w:type="dxa"/>
            <w:tcBorders>
              <w:top w:val="single" w:sz="8" w:space="0" w:color="000000"/>
              <w:bottom w:val="single" w:sz="4" w:space="0" w:color="000000"/>
              <w:right w:val="single" w:sz="4" w:space="0" w:color="000000"/>
            </w:tcBorders>
          </w:tcPr>
          <w:p>
            <w:pPr>
              <w:pStyle w:val="TableParagraph"/>
              <w:spacing w:before="14"/>
              <w:ind w:left="0" w:right="19"/>
              <w:jc w:val="right"/>
              <w:rPr>
                <w:sz w:val="22"/>
              </w:rPr>
            </w:pPr>
            <w:r>
              <w:rPr>
                <w:sz w:val="22"/>
              </w:rPr>
              <w:t>$89.590,00</w:t>
            </w:r>
          </w:p>
        </w:tc>
      </w:tr>
      <w:tr>
        <w:trPr>
          <w:trHeight w:val="430" w:hRule="exact"/>
        </w:trPr>
        <w:tc>
          <w:tcPr>
            <w:tcW w:w="4485" w:type="dxa"/>
            <w:tcBorders>
              <w:top w:val="single" w:sz="4" w:space="0" w:color="000000"/>
              <w:left w:val="single" w:sz="4" w:space="0" w:color="000000"/>
              <w:bottom w:val="single" w:sz="8" w:space="0" w:color="000000"/>
            </w:tcBorders>
          </w:tcPr>
          <w:p>
            <w:pPr>
              <w:pStyle w:val="TableParagraph"/>
              <w:spacing w:before="19"/>
              <w:ind w:left="11"/>
              <w:rPr>
                <w:sz w:val="22"/>
              </w:rPr>
            </w:pPr>
            <w:r>
              <w:rPr>
                <w:sz w:val="22"/>
              </w:rPr>
              <w:t>Del Sol</w:t>
            </w:r>
          </w:p>
        </w:tc>
        <w:tc>
          <w:tcPr>
            <w:tcW w:w="2328" w:type="dxa"/>
            <w:tcBorders>
              <w:top w:val="single" w:sz="4" w:space="0" w:color="000000"/>
              <w:bottom w:val="single" w:sz="8" w:space="0" w:color="000000"/>
            </w:tcBorders>
          </w:tcPr>
          <w:p>
            <w:pPr>
              <w:pStyle w:val="TableParagraph"/>
              <w:spacing w:before="19"/>
              <w:ind w:left="0" w:right="17"/>
              <w:jc w:val="right"/>
              <w:rPr>
                <w:sz w:val="22"/>
              </w:rPr>
            </w:pPr>
            <w:r>
              <w:rPr>
                <w:sz w:val="22"/>
              </w:rPr>
              <w:t>¢ 15.088.951,98</w:t>
            </w:r>
          </w:p>
        </w:tc>
        <w:tc>
          <w:tcPr>
            <w:tcW w:w="2123" w:type="dxa"/>
            <w:tcBorders>
              <w:top w:val="single" w:sz="4" w:space="0" w:color="000000"/>
              <w:bottom w:val="single" w:sz="8" w:space="0" w:color="000000"/>
              <w:right w:val="single" w:sz="4" w:space="0" w:color="000000"/>
            </w:tcBorders>
          </w:tcPr>
          <w:p>
            <w:pPr>
              <w:pStyle w:val="TableParagraph"/>
              <w:spacing w:before="19"/>
              <w:ind w:left="0" w:right="19"/>
              <w:jc w:val="right"/>
              <w:rPr>
                <w:sz w:val="22"/>
              </w:rPr>
            </w:pPr>
            <w:r>
              <w:rPr>
                <w:sz w:val="22"/>
              </w:rPr>
              <w:t>$29.997,92</w:t>
            </w:r>
          </w:p>
        </w:tc>
      </w:tr>
      <w:tr>
        <w:trPr>
          <w:trHeight w:val="430" w:hRule="exact"/>
        </w:trPr>
        <w:tc>
          <w:tcPr>
            <w:tcW w:w="4485" w:type="dxa"/>
            <w:tcBorders>
              <w:top w:val="single" w:sz="8" w:space="0" w:color="000000"/>
              <w:left w:val="single" w:sz="4" w:space="0" w:color="000000"/>
              <w:bottom w:val="single" w:sz="8" w:space="0" w:color="000000"/>
            </w:tcBorders>
          </w:tcPr>
          <w:p>
            <w:pPr>
              <w:pStyle w:val="TableParagraph"/>
              <w:spacing w:before="14"/>
              <w:ind w:left="11"/>
              <w:rPr>
                <w:sz w:val="22"/>
              </w:rPr>
            </w:pPr>
            <w:r>
              <w:rPr>
                <w:sz w:val="22"/>
              </w:rPr>
              <w:t>El Puente y los Caminos de Mora</w:t>
            </w:r>
          </w:p>
        </w:tc>
        <w:tc>
          <w:tcPr>
            <w:tcW w:w="2328" w:type="dxa"/>
            <w:tcBorders>
              <w:top w:val="single" w:sz="8" w:space="0" w:color="000000"/>
              <w:bottom w:val="single" w:sz="8" w:space="0" w:color="000000"/>
            </w:tcBorders>
          </w:tcPr>
          <w:p>
            <w:pPr>
              <w:pStyle w:val="TableParagraph"/>
              <w:spacing w:before="14"/>
              <w:ind w:left="0" w:right="17"/>
              <w:jc w:val="right"/>
              <w:rPr>
                <w:sz w:val="22"/>
              </w:rPr>
            </w:pPr>
            <w:r>
              <w:rPr>
                <w:sz w:val="22"/>
              </w:rPr>
              <w:t>¢ 8.762.989,19</w:t>
            </w:r>
          </w:p>
        </w:tc>
        <w:tc>
          <w:tcPr>
            <w:tcW w:w="2123" w:type="dxa"/>
            <w:tcBorders>
              <w:top w:val="single" w:sz="8" w:space="0" w:color="000000"/>
              <w:bottom w:val="single" w:sz="8" w:space="0" w:color="000000"/>
              <w:right w:val="single" w:sz="4" w:space="0" w:color="000000"/>
            </w:tcBorders>
          </w:tcPr>
          <w:p>
            <w:pPr>
              <w:pStyle w:val="TableParagraph"/>
              <w:spacing w:before="14"/>
              <w:ind w:left="0" w:right="19"/>
              <w:jc w:val="right"/>
              <w:rPr>
                <w:sz w:val="22"/>
              </w:rPr>
            </w:pPr>
            <w:r>
              <w:rPr>
                <w:sz w:val="22"/>
              </w:rPr>
              <w:t>$17.421,45</w:t>
            </w:r>
          </w:p>
        </w:tc>
      </w:tr>
      <w:tr>
        <w:trPr>
          <w:trHeight w:val="430" w:hRule="exact"/>
        </w:trPr>
        <w:tc>
          <w:tcPr>
            <w:tcW w:w="4485" w:type="dxa"/>
            <w:tcBorders>
              <w:top w:val="single" w:sz="8" w:space="0" w:color="000000"/>
              <w:left w:val="single" w:sz="4" w:space="0" w:color="000000"/>
              <w:bottom w:val="single" w:sz="8" w:space="0" w:color="000000"/>
            </w:tcBorders>
          </w:tcPr>
          <w:p>
            <w:pPr>
              <w:pStyle w:val="TableParagraph"/>
              <w:spacing w:before="12"/>
              <w:ind w:left="11"/>
              <w:rPr>
                <w:sz w:val="22"/>
              </w:rPr>
            </w:pPr>
            <w:r>
              <w:rPr>
                <w:sz w:val="22"/>
              </w:rPr>
              <w:t>Frente Amplio</w:t>
            </w:r>
          </w:p>
        </w:tc>
        <w:tc>
          <w:tcPr>
            <w:tcW w:w="2328" w:type="dxa"/>
            <w:tcBorders>
              <w:top w:val="single" w:sz="8" w:space="0" w:color="000000"/>
              <w:bottom w:val="single" w:sz="8" w:space="0" w:color="000000"/>
            </w:tcBorders>
          </w:tcPr>
          <w:p>
            <w:pPr>
              <w:pStyle w:val="TableParagraph"/>
              <w:spacing w:before="12"/>
              <w:ind w:left="0" w:right="17"/>
              <w:jc w:val="right"/>
              <w:rPr>
                <w:sz w:val="22"/>
              </w:rPr>
            </w:pPr>
            <w:r>
              <w:rPr>
                <w:sz w:val="22"/>
              </w:rPr>
              <w:t>¢ 30.302.180,18</w:t>
            </w:r>
          </w:p>
        </w:tc>
        <w:tc>
          <w:tcPr>
            <w:tcW w:w="2123" w:type="dxa"/>
            <w:tcBorders>
              <w:top w:val="single" w:sz="8" w:space="0" w:color="000000"/>
              <w:bottom w:val="single" w:sz="8" w:space="0" w:color="000000"/>
              <w:right w:val="single" w:sz="4" w:space="0" w:color="000000"/>
            </w:tcBorders>
          </w:tcPr>
          <w:p>
            <w:pPr>
              <w:pStyle w:val="TableParagraph"/>
              <w:spacing w:before="12"/>
              <w:ind w:left="0" w:right="19"/>
              <w:jc w:val="right"/>
              <w:rPr>
                <w:sz w:val="22"/>
              </w:rPr>
            </w:pPr>
            <w:r>
              <w:rPr>
                <w:sz w:val="22"/>
              </w:rPr>
              <w:t>$60.242,90</w:t>
            </w:r>
          </w:p>
        </w:tc>
      </w:tr>
      <w:tr>
        <w:trPr>
          <w:trHeight w:val="430" w:hRule="exact"/>
        </w:trPr>
        <w:tc>
          <w:tcPr>
            <w:tcW w:w="4485" w:type="dxa"/>
            <w:tcBorders>
              <w:top w:val="single" w:sz="8" w:space="0" w:color="000000"/>
              <w:left w:val="single" w:sz="4" w:space="0" w:color="000000"/>
              <w:bottom w:val="single" w:sz="8" w:space="0" w:color="000000"/>
            </w:tcBorders>
          </w:tcPr>
          <w:p>
            <w:pPr>
              <w:pStyle w:val="TableParagraph"/>
              <w:spacing w:before="12"/>
              <w:ind w:left="11"/>
              <w:rPr>
                <w:sz w:val="22"/>
              </w:rPr>
            </w:pPr>
            <w:r>
              <w:rPr>
                <w:sz w:val="22"/>
              </w:rPr>
              <w:t>Garabito Ecológico</w:t>
            </w:r>
          </w:p>
        </w:tc>
        <w:tc>
          <w:tcPr>
            <w:tcW w:w="2328" w:type="dxa"/>
            <w:tcBorders>
              <w:top w:val="single" w:sz="8" w:space="0" w:color="000000"/>
              <w:bottom w:val="single" w:sz="8" w:space="0" w:color="000000"/>
            </w:tcBorders>
          </w:tcPr>
          <w:p>
            <w:pPr>
              <w:pStyle w:val="TableParagraph"/>
              <w:spacing w:before="12"/>
              <w:ind w:left="0" w:right="17"/>
              <w:jc w:val="right"/>
              <w:rPr>
                <w:sz w:val="22"/>
              </w:rPr>
            </w:pPr>
            <w:r>
              <w:rPr>
                <w:sz w:val="22"/>
              </w:rPr>
              <w:t>¢ 5.425.717,97</w:t>
            </w:r>
          </w:p>
        </w:tc>
        <w:tc>
          <w:tcPr>
            <w:tcW w:w="2123" w:type="dxa"/>
            <w:tcBorders>
              <w:top w:val="single" w:sz="8" w:space="0" w:color="000000"/>
              <w:bottom w:val="single" w:sz="8" w:space="0" w:color="000000"/>
              <w:right w:val="single" w:sz="4" w:space="0" w:color="000000"/>
            </w:tcBorders>
          </w:tcPr>
          <w:p>
            <w:pPr>
              <w:pStyle w:val="TableParagraph"/>
              <w:spacing w:before="12"/>
              <w:ind w:left="0" w:right="19"/>
              <w:jc w:val="right"/>
              <w:rPr>
                <w:sz w:val="22"/>
              </w:rPr>
            </w:pPr>
            <w:r>
              <w:rPr>
                <w:sz w:val="22"/>
              </w:rPr>
              <w:t>$10.786,72</w:t>
            </w:r>
          </w:p>
        </w:tc>
      </w:tr>
      <w:tr>
        <w:trPr>
          <w:trHeight w:val="430" w:hRule="exact"/>
        </w:trPr>
        <w:tc>
          <w:tcPr>
            <w:tcW w:w="4485" w:type="dxa"/>
            <w:tcBorders>
              <w:top w:val="single" w:sz="8" w:space="0" w:color="000000"/>
              <w:left w:val="single" w:sz="4" w:space="0" w:color="000000"/>
              <w:bottom w:val="single" w:sz="8" w:space="0" w:color="000000"/>
            </w:tcBorders>
          </w:tcPr>
          <w:p>
            <w:pPr>
              <w:pStyle w:val="TableParagraph"/>
              <w:spacing w:before="12"/>
              <w:ind w:left="11"/>
              <w:rPr>
                <w:sz w:val="22"/>
              </w:rPr>
            </w:pPr>
            <w:r>
              <w:rPr>
                <w:sz w:val="22"/>
              </w:rPr>
              <w:t>Goicoechea en Acción</w:t>
            </w:r>
          </w:p>
        </w:tc>
        <w:tc>
          <w:tcPr>
            <w:tcW w:w="2328" w:type="dxa"/>
            <w:tcBorders>
              <w:top w:val="single" w:sz="8" w:space="0" w:color="000000"/>
              <w:bottom w:val="single" w:sz="8" w:space="0" w:color="000000"/>
            </w:tcBorders>
          </w:tcPr>
          <w:p>
            <w:pPr>
              <w:pStyle w:val="TableParagraph"/>
              <w:spacing w:before="12"/>
              <w:ind w:left="0" w:right="17"/>
              <w:jc w:val="right"/>
              <w:rPr>
                <w:sz w:val="22"/>
              </w:rPr>
            </w:pPr>
            <w:r>
              <w:rPr>
                <w:sz w:val="22"/>
              </w:rPr>
              <w:t>¢ 13.764.349,33</w:t>
            </w:r>
          </w:p>
        </w:tc>
        <w:tc>
          <w:tcPr>
            <w:tcW w:w="2123" w:type="dxa"/>
            <w:tcBorders>
              <w:top w:val="single" w:sz="8" w:space="0" w:color="000000"/>
              <w:bottom w:val="single" w:sz="8" w:space="0" w:color="000000"/>
              <w:right w:val="single" w:sz="4" w:space="0" w:color="000000"/>
            </w:tcBorders>
          </w:tcPr>
          <w:p>
            <w:pPr>
              <w:pStyle w:val="TableParagraph"/>
              <w:spacing w:before="12"/>
              <w:ind w:left="0" w:right="19"/>
              <w:jc w:val="right"/>
              <w:rPr>
                <w:sz w:val="22"/>
              </w:rPr>
            </w:pPr>
            <w:r>
              <w:rPr>
                <w:sz w:val="22"/>
              </w:rPr>
              <w:t>$27.364,51</w:t>
            </w:r>
          </w:p>
        </w:tc>
      </w:tr>
      <w:tr>
        <w:trPr>
          <w:trHeight w:val="430" w:hRule="exact"/>
        </w:trPr>
        <w:tc>
          <w:tcPr>
            <w:tcW w:w="4485" w:type="dxa"/>
            <w:tcBorders>
              <w:top w:val="single" w:sz="8" w:space="0" w:color="000000"/>
              <w:left w:val="single" w:sz="4" w:space="0" w:color="000000"/>
              <w:bottom w:val="single" w:sz="4" w:space="0" w:color="000000"/>
            </w:tcBorders>
          </w:tcPr>
          <w:p>
            <w:pPr>
              <w:pStyle w:val="TableParagraph"/>
              <w:spacing w:before="12"/>
              <w:ind w:left="11"/>
              <w:rPr>
                <w:sz w:val="22"/>
              </w:rPr>
            </w:pPr>
            <w:r>
              <w:rPr>
                <w:sz w:val="22"/>
              </w:rPr>
              <w:t>Independiente Belemita</w:t>
            </w:r>
          </w:p>
        </w:tc>
        <w:tc>
          <w:tcPr>
            <w:tcW w:w="2328" w:type="dxa"/>
            <w:tcBorders>
              <w:top w:val="single" w:sz="8" w:space="0" w:color="000000"/>
              <w:bottom w:val="single" w:sz="4" w:space="0" w:color="000000"/>
            </w:tcBorders>
          </w:tcPr>
          <w:p>
            <w:pPr>
              <w:pStyle w:val="TableParagraph"/>
              <w:spacing w:before="12"/>
              <w:ind w:left="0" w:right="17"/>
              <w:jc w:val="right"/>
              <w:rPr>
                <w:sz w:val="22"/>
              </w:rPr>
            </w:pPr>
            <w:r>
              <w:rPr>
                <w:sz w:val="22"/>
              </w:rPr>
              <w:t>¢ 4.928.613,08</w:t>
            </w:r>
          </w:p>
        </w:tc>
        <w:tc>
          <w:tcPr>
            <w:tcW w:w="2123" w:type="dxa"/>
            <w:tcBorders>
              <w:top w:val="single" w:sz="8" w:space="0" w:color="000000"/>
              <w:bottom w:val="single" w:sz="4" w:space="0" w:color="000000"/>
              <w:right w:val="single" w:sz="4" w:space="0" w:color="000000"/>
            </w:tcBorders>
          </w:tcPr>
          <w:p>
            <w:pPr>
              <w:pStyle w:val="TableParagraph"/>
              <w:spacing w:before="12"/>
              <w:ind w:left="0" w:right="20"/>
              <w:jc w:val="right"/>
              <w:rPr>
                <w:sz w:val="22"/>
              </w:rPr>
            </w:pPr>
            <w:r>
              <w:rPr>
                <w:sz w:val="22"/>
              </w:rPr>
              <w:t>$9.798,44</w:t>
            </w:r>
          </w:p>
        </w:tc>
      </w:tr>
      <w:tr>
        <w:trPr>
          <w:trHeight w:val="430" w:hRule="exact"/>
        </w:trPr>
        <w:tc>
          <w:tcPr>
            <w:tcW w:w="4485" w:type="dxa"/>
            <w:tcBorders>
              <w:top w:val="single" w:sz="4" w:space="0" w:color="000000"/>
              <w:left w:val="single" w:sz="4" w:space="0" w:color="000000"/>
              <w:bottom w:val="single" w:sz="8" w:space="0" w:color="000000"/>
            </w:tcBorders>
          </w:tcPr>
          <w:p>
            <w:pPr>
              <w:pStyle w:val="TableParagraph"/>
              <w:spacing w:before="17"/>
              <w:ind w:left="11"/>
              <w:rPr>
                <w:sz w:val="22"/>
              </w:rPr>
            </w:pPr>
            <w:r>
              <w:rPr>
                <w:sz w:val="22"/>
              </w:rPr>
              <w:t>Integración Barbareña</w:t>
            </w:r>
          </w:p>
        </w:tc>
        <w:tc>
          <w:tcPr>
            <w:tcW w:w="2328" w:type="dxa"/>
            <w:tcBorders>
              <w:top w:val="single" w:sz="4" w:space="0" w:color="000000"/>
              <w:bottom w:val="single" w:sz="8" w:space="0" w:color="000000"/>
            </w:tcBorders>
          </w:tcPr>
          <w:p>
            <w:pPr>
              <w:pStyle w:val="TableParagraph"/>
              <w:spacing w:before="17"/>
              <w:ind w:left="0" w:right="17"/>
              <w:jc w:val="right"/>
              <w:rPr>
                <w:sz w:val="22"/>
              </w:rPr>
            </w:pPr>
            <w:r>
              <w:rPr>
                <w:sz w:val="22"/>
              </w:rPr>
              <w:t>¢ 5.274.161,60</w:t>
            </w:r>
          </w:p>
        </w:tc>
        <w:tc>
          <w:tcPr>
            <w:tcW w:w="2123" w:type="dxa"/>
            <w:tcBorders>
              <w:top w:val="single" w:sz="4" w:space="0" w:color="000000"/>
              <w:bottom w:val="single" w:sz="8" w:space="0" w:color="000000"/>
              <w:right w:val="single" w:sz="4" w:space="0" w:color="000000"/>
            </w:tcBorders>
          </w:tcPr>
          <w:p>
            <w:pPr>
              <w:pStyle w:val="TableParagraph"/>
              <w:spacing w:before="17"/>
              <w:ind w:left="0" w:right="19"/>
              <w:jc w:val="right"/>
              <w:rPr>
                <w:sz w:val="22"/>
              </w:rPr>
            </w:pPr>
            <w:r>
              <w:rPr>
                <w:sz w:val="22"/>
              </w:rPr>
              <w:t>$10.485,41</w:t>
            </w:r>
          </w:p>
        </w:tc>
      </w:tr>
      <w:tr>
        <w:trPr>
          <w:trHeight w:val="428" w:hRule="exact"/>
        </w:trPr>
        <w:tc>
          <w:tcPr>
            <w:tcW w:w="4485" w:type="dxa"/>
            <w:tcBorders>
              <w:top w:val="single" w:sz="8" w:space="0" w:color="000000"/>
              <w:left w:val="single" w:sz="4" w:space="0" w:color="000000"/>
            </w:tcBorders>
          </w:tcPr>
          <w:p>
            <w:pPr>
              <w:pStyle w:val="TableParagraph"/>
              <w:spacing w:before="12"/>
              <w:ind w:left="11"/>
              <w:rPr>
                <w:sz w:val="22"/>
              </w:rPr>
            </w:pPr>
            <w:r>
              <w:rPr>
                <w:sz w:val="22"/>
              </w:rPr>
              <w:t>Integración Nacional</w:t>
            </w:r>
          </w:p>
        </w:tc>
        <w:tc>
          <w:tcPr>
            <w:tcW w:w="2328" w:type="dxa"/>
            <w:tcBorders>
              <w:top w:val="single" w:sz="8" w:space="0" w:color="000000"/>
            </w:tcBorders>
          </w:tcPr>
          <w:p>
            <w:pPr>
              <w:pStyle w:val="TableParagraph"/>
              <w:spacing w:before="12"/>
              <w:ind w:left="0" w:right="17"/>
              <w:jc w:val="right"/>
              <w:rPr>
                <w:sz w:val="22"/>
              </w:rPr>
            </w:pPr>
            <w:r>
              <w:rPr>
                <w:sz w:val="22"/>
              </w:rPr>
              <w:t>¢ 43.102.631,01</w:t>
            </w:r>
          </w:p>
        </w:tc>
        <w:tc>
          <w:tcPr>
            <w:tcW w:w="2123" w:type="dxa"/>
            <w:tcBorders>
              <w:top w:val="single" w:sz="8" w:space="0" w:color="000000"/>
              <w:right w:val="single" w:sz="4" w:space="0" w:color="000000"/>
            </w:tcBorders>
          </w:tcPr>
          <w:p>
            <w:pPr>
              <w:pStyle w:val="TableParagraph"/>
              <w:spacing w:before="12"/>
              <w:ind w:left="0" w:right="19"/>
              <w:jc w:val="right"/>
              <w:rPr>
                <w:sz w:val="22"/>
              </w:rPr>
            </w:pPr>
            <w:r>
              <w:rPr>
                <w:sz w:val="22"/>
              </w:rPr>
              <w:t>$85.691,12</w:t>
            </w:r>
          </w:p>
        </w:tc>
      </w:tr>
    </w:tbl>
    <w:p>
      <w:pPr>
        <w:spacing w:after="0"/>
        <w:jc w:val="right"/>
        <w:rPr>
          <w:sz w:val="22"/>
        </w:rPr>
        <w:sectPr>
          <w:pgSz w:w="12240" w:h="15840"/>
          <w:pgMar w:header="749" w:footer="1003" w:top="960" w:bottom="1200" w:left="1460" w:right="1620"/>
        </w:sectPr>
      </w:pPr>
    </w:p>
    <w:p>
      <w:pPr>
        <w:pStyle w:val="BodyText"/>
        <w:rPr>
          <w:b/>
          <w:sz w:val="20"/>
        </w:rPr>
      </w:pPr>
    </w:p>
    <w:p>
      <w:pPr>
        <w:pStyle w:val="BodyText"/>
        <w:spacing w:before="9"/>
        <w:rPr>
          <w:b/>
          <w:sz w:val="18"/>
        </w:rPr>
      </w:pPr>
    </w:p>
    <w:tbl>
      <w:tblPr>
        <w:tblW w:w="0" w:type="auto"/>
        <w:jc w:val="left"/>
        <w:tblInd w:w="102" w:type="dxa"/>
        <w:tblBorders>
          <w:top w:val="double" w:sz="3" w:space="0" w:color="000000"/>
          <w:left w:val="double" w:sz="3" w:space="0" w:color="000000"/>
          <w:bottom w:val="double" w:sz="3" w:space="0" w:color="000000"/>
          <w:right w:val="double" w:sz="3" w:space="0" w:color="000000"/>
          <w:insideH w:val="double" w:sz="3" w:space="0" w:color="000000"/>
          <w:insideV w:val="double" w:sz="3" w:space="0" w:color="000000"/>
        </w:tblBorders>
        <w:tblLayout w:type="fixed"/>
        <w:tblCellMar>
          <w:top w:w="0" w:type="dxa"/>
          <w:left w:w="0" w:type="dxa"/>
          <w:bottom w:w="0" w:type="dxa"/>
          <w:right w:w="0" w:type="dxa"/>
        </w:tblCellMar>
        <w:tblLook w:val="01E0"/>
      </w:tblPr>
      <w:tblGrid>
        <w:gridCol w:w="4485"/>
        <w:gridCol w:w="2328"/>
        <w:gridCol w:w="2123"/>
      </w:tblGrid>
      <w:tr>
        <w:trPr>
          <w:trHeight w:val="431" w:hRule="exact"/>
        </w:trPr>
        <w:tc>
          <w:tcPr>
            <w:tcW w:w="4485" w:type="dxa"/>
            <w:tcBorders>
              <w:left w:val="single" w:sz="4" w:space="0" w:color="000000"/>
              <w:bottom w:val="single" w:sz="8" w:space="0" w:color="000000"/>
            </w:tcBorders>
          </w:tcPr>
          <w:p>
            <w:pPr>
              <w:pStyle w:val="TableParagraph"/>
              <w:spacing w:before="12"/>
              <w:ind w:left="11"/>
              <w:rPr>
                <w:sz w:val="22"/>
              </w:rPr>
            </w:pPr>
            <w:r>
              <w:rPr>
                <w:sz w:val="22"/>
              </w:rPr>
              <w:t>Liberación Nacional</w:t>
            </w:r>
          </w:p>
        </w:tc>
        <w:tc>
          <w:tcPr>
            <w:tcW w:w="2328" w:type="dxa"/>
            <w:tcBorders>
              <w:bottom w:val="single" w:sz="8" w:space="0" w:color="000000"/>
            </w:tcBorders>
          </w:tcPr>
          <w:p>
            <w:pPr>
              <w:pStyle w:val="TableParagraph"/>
              <w:spacing w:before="12"/>
              <w:ind w:left="0" w:right="17"/>
              <w:jc w:val="right"/>
              <w:rPr>
                <w:sz w:val="22"/>
              </w:rPr>
            </w:pPr>
            <w:r>
              <w:rPr>
                <w:sz w:val="22"/>
              </w:rPr>
              <w:t>¢ 2.074.849.111,34</w:t>
            </w:r>
          </w:p>
        </w:tc>
        <w:tc>
          <w:tcPr>
            <w:tcW w:w="2123" w:type="dxa"/>
            <w:tcBorders>
              <w:bottom w:val="single" w:sz="8" w:space="0" w:color="000000"/>
              <w:right w:val="single" w:sz="4" w:space="0" w:color="000000"/>
            </w:tcBorders>
          </w:tcPr>
          <w:p>
            <w:pPr>
              <w:pStyle w:val="TableParagraph"/>
              <w:spacing w:before="12"/>
              <w:ind w:left="0" w:right="19"/>
              <w:jc w:val="right"/>
              <w:rPr>
                <w:sz w:val="22"/>
              </w:rPr>
            </w:pPr>
            <w:r>
              <w:rPr>
                <w:sz w:val="22"/>
              </w:rPr>
              <w:t>$4.124.948,53</w:t>
            </w:r>
          </w:p>
        </w:tc>
      </w:tr>
      <w:tr>
        <w:trPr>
          <w:trHeight w:val="427" w:hRule="exact"/>
        </w:trPr>
        <w:tc>
          <w:tcPr>
            <w:tcW w:w="4485" w:type="dxa"/>
            <w:tcBorders>
              <w:top w:val="single" w:sz="8" w:space="0" w:color="000000"/>
              <w:left w:val="single" w:sz="4" w:space="0" w:color="000000"/>
              <w:bottom w:val="single" w:sz="8" w:space="0" w:color="000000"/>
            </w:tcBorders>
          </w:tcPr>
          <w:p>
            <w:pPr>
              <w:pStyle w:val="TableParagraph"/>
              <w:spacing w:before="12"/>
              <w:ind w:left="11"/>
              <w:rPr>
                <w:sz w:val="22"/>
              </w:rPr>
            </w:pPr>
            <w:r>
              <w:rPr>
                <w:sz w:val="22"/>
              </w:rPr>
              <w:t>Movimiento Avance Santo Domingo</w:t>
            </w:r>
          </w:p>
        </w:tc>
        <w:tc>
          <w:tcPr>
            <w:tcW w:w="2328" w:type="dxa"/>
            <w:tcBorders>
              <w:top w:val="single" w:sz="8" w:space="0" w:color="000000"/>
              <w:bottom w:val="single" w:sz="8" w:space="0" w:color="000000"/>
            </w:tcBorders>
          </w:tcPr>
          <w:p>
            <w:pPr>
              <w:pStyle w:val="TableParagraph"/>
              <w:spacing w:before="12"/>
              <w:ind w:left="0" w:right="17"/>
              <w:jc w:val="right"/>
              <w:rPr>
                <w:sz w:val="22"/>
              </w:rPr>
            </w:pPr>
            <w:r>
              <w:rPr>
                <w:sz w:val="22"/>
              </w:rPr>
              <w:t>¢ 13.449.112,08</w:t>
            </w:r>
          </w:p>
        </w:tc>
        <w:tc>
          <w:tcPr>
            <w:tcW w:w="2123" w:type="dxa"/>
            <w:tcBorders>
              <w:top w:val="single" w:sz="8" w:space="0" w:color="000000"/>
              <w:bottom w:val="single" w:sz="8" w:space="0" w:color="000000"/>
              <w:right w:val="single" w:sz="4" w:space="0" w:color="000000"/>
            </w:tcBorders>
          </w:tcPr>
          <w:p>
            <w:pPr>
              <w:pStyle w:val="TableParagraph"/>
              <w:spacing w:before="12"/>
              <w:ind w:left="0" w:right="19"/>
              <w:jc w:val="right"/>
              <w:rPr>
                <w:sz w:val="22"/>
              </w:rPr>
            </w:pPr>
            <w:r>
              <w:rPr>
                <w:sz w:val="22"/>
              </w:rPr>
              <w:t>$26.737,80</w:t>
            </w:r>
          </w:p>
        </w:tc>
      </w:tr>
      <w:tr>
        <w:trPr>
          <w:trHeight w:val="430" w:hRule="exact"/>
        </w:trPr>
        <w:tc>
          <w:tcPr>
            <w:tcW w:w="4485" w:type="dxa"/>
            <w:tcBorders>
              <w:top w:val="single" w:sz="8" w:space="0" w:color="000000"/>
              <w:left w:val="single" w:sz="4" w:space="0" w:color="000000"/>
              <w:bottom w:val="single" w:sz="8" w:space="0" w:color="000000"/>
            </w:tcBorders>
          </w:tcPr>
          <w:p>
            <w:pPr>
              <w:pStyle w:val="TableParagraph"/>
              <w:spacing w:before="14"/>
              <w:ind w:left="11"/>
              <w:rPr>
                <w:sz w:val="22"/>
              </w:rPr>
            </w:pPr>
            <w:r>
              <w:rPr>
                <w:sz w:val="22"/>
              </w:rPr>
              <w:t>Mov. de Trabajadores y Campesinos</w:t>
            </w:r>
          </w:p>
        </w:tc>
        <w:tc>
          <w:tcPr>
            <w:tcW w:w="2328" w:type="dxa"/>
            <w:tcBorders>
              <w:top w:val="single" w:sz="8" w:space="0" w:color="000000"/>
              <w:bottom w:val="single" w:sz="8" w:space="0" w:color="000000"/>
            </w:tcBorders>
          </w:tcPr>
          <w:p>
            <w:pPr>
              <w:pStyle w:val="TableParagraph"/>
              <w:spacing w:before="14"/>
              <w:ind w:left="0" w:right="17"/>
              <w:jc w:val="right"/>
              <w:rPr>
                <w:sz w:val="22"/>
              </w:rPr>
            </w:pPr>
            <w:r>
              <w:rPr>
                <w:sz w:val="22"/>
              </w:rPr>
              <w:t>¢ 7.644.503,19</w:t>
            </w:r>
          </w:p>
        </w:tc>
        <w:tc>
          <w:tcPr>
            <w:tcW w:w="2123" w:type="dxa"/>
            <w:tcBorders>
              <w:top w:val="single" w:sz="8" w:space="0" w:color="000000"/>
              <w:bottom w:val="single" w:sz="8" w:space="0" w:color="000000"/>
              <w:right w:val="single" w:sz="4" w:space="0" w:color="000000"/>
            </w:tcBorders>
          </w:tcPr>
          <w:p>
            <w:pPr>
              <w:pStyle w:val="TableParagraph"/>
              <w:spacing w:before="14"/>
              <w:ind w:left="0" w:right="19"/>
              <w:jc w:val="right"/>
              <w:rPr>
                <w:sz w:val="22"/>
              </w:rPr>
            </w:pPr>
            <w:r>
              <w:rPr>
                <w:sz w:val="22"/>
              </w:rPr>
              <w:t>$15.197,82</w:t>
            </w:r>
          </w:p>
        </w:tc>
      </w:tr>
      <w:tr>
        <w:trPr>
          <w:trHeight w:val="430" w:hRule="exact"/>
        </w:trPr>
        <w:tc>
          <w:tcPr>
            <w:tcW w:w="4485" w:type="dxa"/>
            <w:tcBorders>
              <w:top w:val="single" w:sz="8" w:space="0" w:color="000000"/>
              <w:left w:val="single" w:sz="4" w:space="0" w:color="000000"/>
              <w:bottom w:val="single" w:sz="8" w:space="0" w:color="000000"/>
            </w:tcBorders>
          </w:tcPr>
          <w:p>
            <w:pPr>
              <w:pStyle w:val="TableParagraph"/>
              <w:spacing w:before="14"/>
              <w:ind w:left="11"/>
              <w:rPr>
                <w:sz w:val="22"/>
              </w:rPr>
            </w:pPr>
            <w:r>
              <w:rPr>
                <w:sz w:val="22"/>
              </w:rPr>
              <w:t>Movimiento Libertario</w:t>
            </w:r>
          </w:p>
        </w:tc>
        <w:tc>
          <w:tcPr>
            <w:tcW w:w="2328" w:type="dxa"/>
            <w:tcBorders>
              <w:top w:val="single" w:sz="8" w:space="0" w:color="000000"/>
              <w:bottom w:val="single" w:sz="8" w:space="0" w:color="000000"/>
            </w:tcBorders>
          </w:tcPr>
          <w:p>
            <w:pPr>
              <w:pStyle w:val="TableParagraph"/>
              <w:spacing w:before="14"/>
              <w:ind w:left="0" w:right="17"/>
              <w:jc w:val="right"/>
              <w:rPr>
                <w:sz w:val="22"/>
              </w:rPr>
            </w:pPr>
            <w:r>
              <w:rPr>
                <w:sz w:val="22"/>
              </w:rPr>
              <w:t>¢ 430.062.411,60</w:t>
            </w:r>
          </w:p>
        </w:tc>
        <w:tc>
          <w:tcPr>
            <w:tcW w:w="2123" w:type="dxa"/>
            <w:tcBorders>
              <w:top w:val="single" w:sz="8" w:space="0" w:color="000000"/>
              <w:bottom w:val="single" w:sz="8" w:space="0" w:color="000000"/>
              <w:right w:val="single" w:sz="4" w:space="0" w:color="000000"/>
            </w:tcBorders>
          </w:tcPr>
          <w:p>
            <w:pPr>
              <w:pStyle w:val="TableParagraph"/>
              <w:spacing w:before="14"/>
              <w:ind w:left="0" w:right="20"/>
              <w:jc w:val="right"/>
              <w:rPr>
                <w:sz w:val="22"/>
              </w:rPr>
            </w:pPr>
            <w:r>
              <w:rPr>
                <w:sz w:val="22"/>
              </w:rPr>
              <w:t>$854.994,85</w:t>
            </w:r>
          </w:p>
        </w:tc>
      </w:tr>
      <w:tr>
        <w:trPr>
          <w:trHeight w:val="430" w:hRule="exact"/>
        </w:trPr>
        <w:tc>
          <w:tcPr>
            <w:tcW w:w="4485" w:type="dxa"/>
            <w:tcBorders>
              <w:top w:val="single" w:sz="8" w:space="0" w:color="000000"/>
              <w:left w:val="single" w:sz="4" w:space="0" w:color="000000"/>
              <w:bottom w:val="single" w:sz="4" w:space="0" w:color="000000"/>
            </w:tcBorders>
          </w:tcPr>
          <w:p>
            <w:pPr>
              <w:pStyle w:val="TableParagraph"/>
              <w:spacing w:before="14"/>
              <w:ind w:left="11"/>
              <w:rPr>
                <w:sz w:val="22"/>
              </w:rPr>
            </w:pPr>
            <w:r>
              <w:rPr>
                <w:sz w:val="22"/>
              </w:rPr>
              <w:t>Organización Social Activa</w:t>
            </w:r>
          </w:p>
        </w:tc>
        <w:tc>
          <w:tcPr>
            <w:tcW w:w="2328" w:type="dxa"/>
            <w:tcBorders>
              <w:top w:val="single" w:sz="8" w:space="0" w:color="000000"/>
              <w:bottom w:val="single" w:sz="4" w:space="0" w:color="000000"/>
            </w:tcBorders>
          </w:tcPr>
          <w:p>
            <w:pPr>
              <w:pStyle w:val="TableParagraph"/>
              <w:spacing w:before="14"/>
              <w:ind w:left="0" w:right="17"/>
              <w:jc w:val="right"/>
              <w:rPr>
                <w:sz w:val="22"/>
              </w:rPr>
            </w:pPr>
            <w:r>
              <w:rPr>
                <w:sz w:val="22"/>
              </w:rPr>
              <w:t>¢ 6.128.939,51</w:t>
            </w:r>
          </w:p>
        </w:tc>
        <w:tc>
          <w:tcPr>
            <w:tcW w:w="2123" w:type="dxa"/>
            <w:tcBorders>
              <w:top w:val="single" w:sz="8" w:space="0" w:color="000000"/>
              <w:bottom w:val="single" w:sz="4" w:space="0" w:color="000000"/>
              <w:right w:val="single" w:sz="4" w:space="0" w:color="000000"/>
            </w:tcBorders>
          </w:tcPr>
          <w:p>
            <w:pPr>
              <w:pStyle w:val="TableParagraph"/>
              <w:spacing w:before="14"/>
              <w:ind w:left="0" w:right="19"/>
              <w:jc w:val="right"/>
              <w:rPr>
                <w:sz w:val="22"/>
              </w:rPr>
            </w:pPr>
            <w:r>
              <w:rPr>
                <w:sz w:val="22"/>
              </w:rPr>
              <w:t>$12.184,77</w:t>
            </w:r>
          </w:p>
        </w:tc>
      </w:tr>
      <w:tr>
        <w:trPr>
          <w:trHeight w:val="430" w:hRule="exact"/>
        </w:trPr>
        <w:tc>
          <w:tcPr>
            <w:tcW w:w="4485" w:type="dxa"/>
            <w:tcBorders>
              <w:top w:val="single" w:sz="4" w:space="0" w:color="000000"/>
              <w:left w:val="single" w:sz="4" w:space="0" w:color="000000"/>
              <w:bottom w:val="single" w:sz="8" w:space="0" w:color="000000"/>
            </w:tcBorders>
          </w:tcPr>
          <w:p>
            <w:pPr>
              <w:pStyle w:val="TableParagraph"/>
              <w:spacing w:before="19"/>
              <w:ind w:left="11"/>
              <w:rPr>
                <w:sz w:val="22"/>
              </w:rPr>
            </w:pPr>
            <w:r>
              <w:rPr>
                <w:sz w:val="22"/>
              </w:rPr>
              <w:t>Renovación Costarricense</w:t>
            </w:r>
          </w:p>
        </w:tc>
        <w:tc>
          <w:tcPr>
            <w:tcW w:w="2328" w:type="dxa"/>
            <w:tcBorders>
              <w:top w:val="single" w:sz="4" w:space="0" w:color="000000"/>
              <w:bottom w:val="single" w:sz="8" w:space="0" w:color="000000"/>
            </w:tcBorders>
          </w:tcPr>
          <w:p>
            <w:pPr>
              <w:pStyle w:val="TableParagraph"/>
              <w:spacing w:before="19"/>
              <w:ind w:left="0" w:right="17"/>
              <w:jc w:val="right"/>
              <w:rPr>
                <w:sz w:val="22"/>
              </w:rPr>
            </w:pPr>
            <w:r>
              <w:rPr>
                <w:sz w:val="22"/>
              </w:rPr>
              <w:t>¢ 120.957.137,16</w:t>
            </w:r>
          </w:p>
        </w:tc>
        <w:tc>
          <w:tcPr>
            <w:tcW w:w="2123" w:type="dxa"/>
            <w:tcBorders>
              <w:top w:val="single" w:sz="4" w:space="0" w:color="000000"/>
              <w:bottom w:val="single" w:sz="8" w:space="0" w:color="000000"/>
              <w:right w:val="single" w:sz="4" w:space="0" w:color="000000"/>
            </w:tcBorders>
          </w:tcPr>
          <w:p>
            <w:pPr>
              <w:pStyle w:val="TableParagraph"/>
              <w:spacing w:before="19"/>
              <w:ind w:left="0" w:right="20"/>
              <w:jc w:val="right"/>
              <w:rPr>
                <w:sz w:val="22"/>
              </w:rPr>
            </w:pPr>
            <w:r>
              <w:rPr>
                <w:sz w:val="22"/>
              </w:rPr>
              <w:t>$240.471,45</w:t>
            </w:r>
          </w:p>
        </w:tc>
      </w:tr>
      <w:tr>
        <w:trPr>
          <w:trHeight w:val="430" w:hRule="exact"/>
        </w:trPr>
        <w:tc>
          <w:tcPr>
            <w:tcW w:w="4485" w:type="dxa"/>
            <w:tcBorders>
              <w:top w:val="single" w:sz="8" w:space="0" w:color="000000"/>
              <w:left w:val="single" w:sz="4" w:space="0" w:color="000000"/>
              <w:bottom w:val="single" w:sz="8" w:space="0" w:color="000000"/>
            </w:tcBorders>
          </w:tcPr>
          <w:p>
            <w:pPr>
              <w:pStyle w:val="TableParagraph"/>
              <w:spacing w:before="14"/>
              <w:ind w:left="11"/>
              <w:rPr>
                <w:sz w:val="22"/>
              </w:rPr>
            </w:pPr>
            <w:r>
              <w:rPr>
                <w:sz w:val="22"/>
              </w:rPr>
              <w:t>Renovemos Alajuela</w:t>
            </w:r>
          </w:p>
        </w:tc>
        <w:tc>
          <w:tcPr>
            <w:tcW w:w="2328" w:type="dxa"/>
            <w:tcBorders>
              <w:top w:val="single" w:sz="8" w:space="0" w:color="000000"/>
              <w:bottom w:val="single" w:sz="8" w:space="0" w:color="000000"/>
            </w:tcBorders>
          </w:tcPr>
          <w:p>
            <w:pPr>
              <w:pStyle w:val="TableParagraph"/>
              <w:spacing w:before="14"/>
              <w:ind w:left="0" w:right="17"/>
              <w:jc w:val="right"/>
              <w:rPr>
                <w:sz w:val="22"/>
              </w:rPr>
            </w:pPr>
            <w:r>
              <w:rPr>
                <w:sz w:val="22"/>
              </w:rPr>
              <w:t>¢ 50.462.208,23</w:t>
            </w:r>
          </w:p>
        </w:tc>
        <w:tc>
          <w:tcPr>
            <w:tcW w:w="2123" w:type="dxa"/>
            <w:tcBorders>
              <w:top w:val="single" w:sz="8" w:space="0" w:color="000000"/>
              <w:bottom w:val="single" w:sz="8" w:space="0" w:color="000000"/>
              <w:right w:val="single" w:sz="4" w:space="0" w:color="000000"/>
            </w:tcBorders>
          </w:tcPr>
          <w:p>
            <w:pPr>
              <w:pStyle w:val="TableParagraph"/>
              <w:spacing w:before="14"/>
              <w:ind w:left="0" w:right="20"/>
              <w:jc w:val="right"/>
              <w:rPr>
                <w:sz w:val="22"/>
              </w:rPr>
            </w:pPr>
            <w:r>
              <w:rPr>
                <w:sz w:val="22"/>
              </w:rPr>
              <w:t>$100.322,48</w:t>
            </w:r>
          </w:p>
        </w:tc>
      </w:tr>
      <w:tr>
        <w:trPr>
          <w:trHeight w:val="430" w:hRule="exact"/>
        </w:trPr>
        <w:tc>
          <w:tcPr>
            <w:tcW w:w="4485" w:type="dxa"/>
            <w:tcBorders>
              <w:top w:val="single" w:sz="8" w:space="0" w:color="000000"/>
              <w:left w:val="single" w:sz="4" w:space="0" w:color="000000"/>
              <w:bottom w:val="single" w:sz="4" w:space="0" w:color="000000"/>
            </w:tcBorders>
          </w:tcPr>
          <w:p>
            <w:pPr>
              <w:pStyle w:val="TableParagraph"/>
              <w:spacing w:before="14"/>
              <w:ind w:left="11"/>
              <w:rPr>
                <w:sz w:val="22"/>
              </w:rPr>
            </w:pPr>
            <w:r>
              <w:rPr>
                <w:sz w:val="22"/>
              </w:rPr>
              <w:t>Tarrazú Primero</w:t>
            </w:r>
          </w:p>
        </w:tc>
        <w:tc>
          <w:tcPr>
            <w:tcW w:w="2328" w:type="dxa"/>
            <w:tcBorders>
              <w:top w:val="single" w:sz="8" w:space="0" w:color="000000"/>
              <w:bottom w:val="single" w:sz="4" w:space="0" w:color="000000"/>
            </w:tcBorders>
          </w:tcPr>
          <w:p>
            <w:pPr>
              <w:pStyle w:val="TableParagraph"/>
              <w:spacing w:before="14"/>
              <w:ind w:left="0" w:right="17"/>
              <w:jc w:val="right"/>
              <w:rPr>
                <w:sz w:val="22"/>
              </w:rPr>
            </w:pPr>
            <w:r>
              <w:rPr>
                <w:sz w:val="22"/>
              </w:rPr>
              <w:t>¢ 6.031.943,44</w:t>
            </w:r>
          </w:p>
        </w:tc>
        <w:tc>
          <w:tcPr>
            <w:tcW w:w="2123" w:type="dxa"/>
            <w:tcBorders>
              <w:top w:val="single" w:sz="8" w:space="0" w:color="000000"/>
              <w:bottom w:val="single" w:sz="4" w:space="0" w:color="000000"/>
              <w:right w:val="single" w:sz="4" w:space="0" w:color="000000"/>
            </w:tcBorders>
          </w:tcPr>
          <w:p>
            <w:pPr>
              <w:pStyle w:val="TableParagraph"/>
              <w:spacing w:before="14"/>
              <w:ind w:left="0" w:right="19"/>
              <w:jc w:val="right"/>
              <w:rPr>
                <w:sz w:val="22"/>
              </w:rPr>
            </w:pPr>
            <w:r>
              <w:rPr>
                <w:sz w:val="22"/>
              </w:rPr>
              <w:t>$11.991,94</w:t>
            </w:r>
          </w:p>
        </w:tc>
      </w:tr>
      <w:tr>
        <w:trPr>
          <w:trHeight w:val="430" w:hRule="exact"/>
        </w:trPr>
        <w:tc>
          <w:tcPr>
            <w:tcW w:w="4485" w:type="dxa"/>
            <w:tcBorders>
              <w:top w:val="single" w:sz="4" w:space="0" w:color="000000"/>
              <w:left w:val="single" w:sz="4" w:space="0" w:color="000000"/>
              <w:bottom w:val="single" w:sz="8" w:space="0" w:color="000000"/>
            </w:tcBorders>
          </w:tcPr>
          <w:p>
            <w:pPr>
              <w:pStyle w:val="TableParagraph"/>
              <w:spacing w:before="19"/>
              <w:ind w:left="11"/>
              <w:rPr>
                <w:sz w:val="22"/>
              </w:rPr>
            </w:pPr>
            <w:r>
              <w:rPr>
                <w:sz w:val="22"/>
              </w:rPr>
              <w:t>Todo por Flores</w:t>
            </w:r>
          </w:p>
        </w:tc>
        <w:tc>
          <w:tcPr>
            <w:tcW w:w="2328" w:type="dxa"/>
            <w:tcBorders>
              <w:top w:val="single" w:sz="4" w:space="0" w:color="000000"/>
              <w:bottom w:val="single" w:sz="8" w:space="0" w:color="000000"/>
            </w:tcBorders>
          </w:tcPr>
          <w:p>
            <w:pPr>
              <w:pStyle w:val="TableParagraph"/>
              <w:spacing w:before="19"/>
              <w:ind w:left="0" w:right="17"/>
              <w:jc w:val="right"/>
              <w:rPr>
                <w:sz w:val="22"/>
              </w:rPr>
            </w:pPr>
            <w:r>
              <w:rPr>
                <w:sz w:val="22"/>
              </w:rPr>
              <w:t>¢ 10.730.190,84</w:t>
            </w:r>
          </w:p>
        </w:tc>
        <w:tc>
          <w:tcPr>
            <w:tcW w:w="2123" w:type="dxa"/>
            <w:tcBorders>
              <w:top w:val="single" w:sz="4" w:space="0" w:color="000000"/>
              <w:bottom w:val="single" w:sz="8" w:space="0" w:color="000000"/>
              <w:right w:val="single" w:sz="4" w:space="0" w:color="000000"/>
            </w:tcBorders>
          </w:tcPr>
          <w:p>
            <w:pPr>
              <w:pStyle w:val="TableParagraph"/>
              <w:spacing w:before="19"/>
              <w:ind w:left="0" w:right="19"/>
              <w:jc w:val="right"/>
              <w:rPr>
                <w:sz w:val="22"/>
              </w:rPr>
            </w:pPr>
            <w:r>
              <w:rPr>
                <w:sz w:val="22"/>
              </w:rPr>
              <w:t>$21.332,39</w:t>
            </w:r>
          </w:p>
        </w:tc>
      </w:tr>
      <w:tr>
        <w:trPr>
          <w:trHeight w:val="430" w:hRule="exact"/>
        </w:trPr>
        <w:tc>
          <w:tcPr>
            <w:tcW w:w="4485" w:type="dxa"/>
            <w:tcBorders>
              <w:top w:val="single" w:sz="8" w:space="0" w:color="000000"/>
              <w:left w:val="single" w:sz="4" w:space="0" w:color="000000"/>
              <w:bottom w:val="single" w:sz="4" w:space="0" w:color="000000"/>
            </w:tcBorders>
          </w:tcPr>
          <w:p>
            <w:pPr>
              <w:pStyle w:val="TableParagraph"/>
              <w:spacing w:before="14"/>
              <w:ind w:left="11"/>
              <w:rPr>
                <w:sz w:val="22"/>
              </w:rPr>
            </w:pPr>
            <w:r>
              <w:rPr>
                <w:sz w:val="22"/>
              </w:rPr>
              <w:t>Transparencia Cartaginés</w:t>
            </w:r>
          </w:p>
        </w:tc>
        <w:tc>
          <w:tcPr>
            <w:tcW w:w="2328" w:type="dxa"/>
            <w:tcBorders>
              <w:top w:val="single" w:sz="8" w:space="0" w:color="000000"/>
              <w:bottom w:val="single" w:sz="4" w:space="0" w:color="000000"/>
            </w:tcBorders>
          </w:tcPr>
          <w:p>
            <w:pPr>
              <w:pStyle w:val="TableParagraph"/>
              <w:spacing w:before="14"/>
              <w:ind w:left="0" w:right="17"/>
              <w:jc w:val="right"/>
              <w:rPr>
                <w:sz w:val="22"/>
              </w:rPr>
            </w:pPr>
            <w:r>
              <w:rPr>
                <w:sz w:val="22"/>
              </w:rPr>
              <w:t>¢ 5.534.838,55</w:t>
            </w:r>
          </w:p>
        </w:tc>
        <w:tc>
          <w:tcPr>
            <w:tcW w:w="2123" w:type="dxa"/>
            <w:tcBorders>
              <w:top w:val="single" w:sz="8" w:space="0" w:color="000000"/>
              <w:bottom w:val="single" w:sz="4" w:space="0" w:color="000000"/>
              <w:right w:val="single" w:sz="4" w:space="0" w:color="000000"/>
            </w:tcBorders>
          </w:tcPr>
          <w:p>
            <w:pPr>
              <w:pStyle w:val="TableParagraph"/>
              <w:spacing w:before="14"/>
              <w:ind w:left="0" w:right="19"/>
              <w:jc w:val="right"/>
              <w:rPr>
                <w:sz w:val="22"/>
              </w:rPr>
            </w:pPr>
            <w:r>
              <w:rPr>
                <w:sz w:val="22"/>
              </w:rPr>
              <w:t>$11.003,66</w:t>
            </w:r>
          </w:p>
        </w:tc>
      </w:tr>
      <w:tr>
        <w:trPr>
          <w:trHeight w:val="430" w:hRule="exact"/>
        </w:trPr>
        <w:tc>
          <w:tcPr>
            <w:tcW w:w="4485" w:type="dxa"/>
            <w:tcBorders>
              <w:top w:val="single" w:sz="4" w:space="0" w:color="000000"/>
              <w:left w:val="single" w:sz="4" w:space="0" w:color="000000"/>
              <w:bottom w:val="single" w:sz="4" w:space="0" w:color="000000"/>
            </w:tcBorders>
          </w:tcPr>
          <w:p>
            <w:pPr>
              <w:pStyle w:val="TableParagraph"/>
              <w:spacing w:before="17"/>
              <w:ind w:left="11"/>
              <w:rPr>
                <w:sz w:val="22"/>
              </w:rPr>
            </w:pPr>
            <w:r>
              <w:rPr>
                <w:sz w:val="22"/>
              </w:rPr>
              <w:t>Único Abangareño</w:t>
            </w:r>
          </w:p>
        </w:tc>
        <w:tc>
          <w:tcPr>
            <w:tcW w:w="2328" w:type="dxa"/>
            <w:tcBorders>
              <w:top w:val="single" w:sz="4" w:space="0" w:color="000000"/>
              <w:bottom w:val="single" w:sz="4" w:space="0" w:color="000000"/>
            </w:tcBorders>
          </w:tcPr>
          <w:p>
            <w:pPr>
              <w:pStyle w:val="TableParagraph"/>
              <w:spacing w:before="17"/>
              <w:ind w:left="0" w:right="17"/>
              <w:jc w:val="right"/>
              <w:rPr>
                <w:sz w:val="22"/>
              </w:rPr>
            </w:pPr>
            <w:r>
              <w:rPr>
                <w:sz w:val="22"/>
              </w:rPr>
              <w:t>¢ 7.720.281,38</w:t>
            </w:r>
          </w:p>
        </w:tc>
        <w:tc>
          <w:tcPr>
            <w:tcW w:w="2123" w:type="dxa"/>
            <w:tcBorders>
              <w:top w:val="single" w:sz="4" w:space="0" w:color="000000"/>
              <w:bottom w:val="single" w:sz="4" w:space="0" w:color="000000"/>
              <w:right w:val="single" w:sz="4" w:space="0" w:color="000000"/>
            </w:tcBorders>
          </w:tcPr>
          <w:p>
            <w:pPr>
              <w:pStyle w:val="TableParagraph"/>
              <w:spacing w:before="17"/>
              <w:ind w:left="0" w:right="19"/>
              <w:jc w:val="right"/>
              <w:rPr>
                <w:sz w:val="22"/>
              </w:rPr>
            </w:pPr>
            <w:r>
              <w:rPr>
                <w:sz w:val="22"/>
              </w:rPr>
              <w:t>$15.348,47</w:t>
            </w:r>
          </w:p>
        </w:tc>
      </w:tr>
      <w:tr>
        <w:trPr>
          <w:trHeight w:val="430" w:hRule="exact"/>
        </w:trPr>
        <w:tc>
          <w:tcPr>
            <w:tcW w:w="4485" w:type="dxa"/>
            <w:tcBorders>
              <w:top w:val="single" w:sz="4" w:space="0" w:color="000000"/>
              <w:left w:val="single" w:sz="4" w:space="0" w:color="000000"/>
              <w:bottom w:val="single" w:sz="8" w:space="0" w:color="000000"/>
            </w:tcBorders>
          </w:tcPr>
          <w:p>
            <w:pPr>
              <w:pStyle w:val="TableParagraph"/>
              <w:spacing w:before="17"/>
              <w:ind w:left="11"/>
              <w:rPr>
                <w:sz w:val="22"/>
              </w:rPr>
            </w:pPr>
            <w:r>
              <w:rPr>
                <w:sz w:val="22"/>
              </w:rPr>
              <w:t>Unidad Social Cristiana</w:t>
            </w:r>
          </w:p>
        </w:tc>
        <w:tc>
          <w:tcPr>
            <w:tcW w:w="2328" w:type="dxa"/>
            <w:tcBorders>
              <w:top w:val="single" w:sz="4" w:space="0" w:color="000000"/>
              <w:bottom w:val="single" w:sz="8" w:space="0" w:color="000000"/>
            </w:tcBorders>
          </w:tcPr>
          <w:p>
            <w:pPr>
              <w:pStyle w:val="TableParagraph"/>
              <w:spacing w:before="17"/>
              <w:ind w:left="0" w:right="17"/>
              <w:jc w:val="right"/>
              <w:rPr>
                <w:sz w:val="22"/>
              </w:rPr>
            </w:pPr>
            <w:r>
              <w:rPr>
                <w:sz w:val="22"/>
              </w:rPr>
              <w:t>¢ 675.523.104,93</w:t>
            </w:r>
          </w:p>
        </w:tc>
        <w:tc>
          <w:tcPr>
            <w:tcW w:w="2123" w:type="dxa"/>
            <w:tcBorders>
              <w:top w:val="single" w:sz="4" w:space="0" w:color="000000"/>
              <w:bottom w:val="single" w:sz="8" w:space="0" w:color="000000"/>
              <w:right w:val="single" w:sz="4" w:space="0" w:color="000000"/>
            </w:tcBorders>
          </w:tcPr>
          <w:p>
            <w:pPr>
              <w:pStyle w:val="TableParagraph"/>
              <w:spacing w:before="17"/>
              <w:ind w:left="0" w:right="19"/>
              <w:jc w:val="right"/>
              <w:rPr>
                <w:sz w:val="22"/>
              </w:rPr>
            </w:pPr>
            <w:r>
              <w:rPr>
                <w:sz w:val="22"/>
              </w:rPr>
              <w:t>$1.342.988,28</w:t>
            </w:r>
          </w:p>
        </w:tc>
      </w:tr>
      <w:tr>
        <w:trPr>
          <w:trHeight w:val="430" w:hRule="exact"/>
        </w:trPr>
        <w:tc>
          <w:tcPr>
            <w:tcW w:w="4485" w:type="dxa"/>
            <w:tcBorders>
              <w:top w:val="single" w:sz="8" w:space="0" w:color="000000"/>
              <w:left w:val="single" w:sz="4" w:space="0" w:color="000000"/>
              <w:bottom w:val="single" w:sz="4" w:space="0" w:color="000000"/>
            </w:tcBorders>
          </w:tcPr>
          <w:p>
            <w:pPr>
              <w:pStyle w:val="TableParagraph"/>
              <w:spacing w:before="12"/>
              <w:ind w:left="11"/>
              <w:rPr>
                <w:sz w:val="22"/>
              </w:rPr>
            </w:pPr>
            <w:r>
              <w:rPr>
                <w:sz w:val="22"/>
              </w:rPr>
              <w:t>Unión Agrícola Cartaginés</w:t>
            </w:r>
          </w:p>
        </w:tc>
        <w:tc>
          <w:tcPr>
            <w:tcW w:w="2328" w:type="dxa"/>
            <w:tcBorders>
              <w:top w:val="single" w:sz="8" w:space="0" w:color="000000"/>
              <w:bottom w:val="single" w:sz="4" w:space="0" w:color="000000"/>
            </w:tcBorders>
          </w:tcPr>
          <w:p>
            <w:pPr>
              <w:pStyle w:val="TableParagraph"/>
              <w:spacing w:before="12"/>
              <w:ind w:left="0" w:right="17"/>
              <w:jc w:val="right"/>
              <w:rPr>
                <w:sz w:val="22"/>
              </w:rPr>
            </w:pPr>
            <w:r>
              <w:rPr>
                <w:sz w:val="22"/>
              </w:rPr>
              <w:t>¢ 22.587.961,06</w:t>
            </w:r>
          </w:p>
        </w:tc>
        <w:tc>
          <w:tcPr>
            <w:tcW w:w="2123" w:type="dxa"/>
            <w:tcBorders>
              <w:top w:val="single" w:sz="8" w:space="0" w:color="000000"/>
              <w:bottom w:val="single" w:sz="4" w:space="0" w:color="000000"/>
              <w:right w:val="single" w:sz="4" w:space="0" w:color="000000"/>
            </w:tcBorders>
          </w:tcPr>
          <w:p>
            <w:pPr>
              <w:pStyle w:val="TableParagraph"/>
              <w:spacing w:before="12"/>
              <w:ind w:left="0" w:right="19"/>
              <w:jc w:val="right"/>
              <w:rPr>
                <w:sz w:val="22"/>
              </w:rPr>
            </w:pPr>
            <w:r>
              <w:rPr>
                <w:sz w:val="22"/>
              </w:rPr>
              <w:t>$44.906,48</w:t>
            </w:r>
          </w:p>
        </w:tc>
      </w:tr>
      <w:tr>
        <w:trPr>
          <w:trHeight w:val="430" w:hRule="exact"/>
        </w:trPr>
        <w:tc>
          <w:tcPr>
            <w:tcW w:w="4485" w:type="dxa"/>
            <w:tcBorders>
              <w:top w:val="single" w:sz="4" w:space="0" w:color="000000"/>
              <w:left w:val="single" w:sz="4" w:space="0" w:color="000000"/>
              <w:bottom w:val="single" w:sz="4" w:space="0" w:color="000000"/>
            </w:tcBorders>
          </w:tcPr>
          <w:p>
            <w:pPr>
              <w:pStyle w:val="TableParagraph"/>
              <w:spacing w:before="17"/>
              <w:ind w:left="11"/>
              <w:rPr>
                <w:sz w:val="22"/>
              </w:rPr>
            </w:pPr>
            <w:r>
              <w:rPr>
                <w:sz w:val="22"/>
              </w:rPr>
              <w:t>Unión Ateniense</w:t>
            </w:r>
          </w:p>
        </w:tc>
        <w:tc>
          <w:tcPr>
            <w:tcW w:w="2328" w:type="dxa"/>
            <w:tcBorders>
              <w:top w:val="single" w:sz="4" w:space="0" w:color="000000"/>
              <w:bottom w:val="single" w:sz="4" w:space="0" w:color="000000"/>
            </w:tcBorders>
          </w:tcPr>
          <w:p>
            <w:pPr>
              <w:pStyle w:val="TableParagraph"/>
              <w:spacing w:before="17"/>
              <w:ind w:left="0" w:right="17"/>
              <w:jc w:val="right"/>
              <w:rPr>
                <w:sz w:val="22"/>
              </w:rPr>
            </w:pPr>
            <w:r>
              <w:rPr>
                <w:sz w:val="22"/>
              </w:rPr>
              <w:t>¢ 11.866.863,60</w:t>
            </w:r>
          </w:p>
        </w:tc>
        <w:tc>
          <w:tcPr>
            <w:tcW w:w="2123" w:type="dxa"/>
            <w:tcBorders>
              <w:top w:val="single" w:sz="4" w:space="0" w:color="000000"/>
              <w:bottom w:val="single" w:sz="4" w:space="0" w:color="000000"/>
              <w:right w:val="single" w:sz="4" w:space="0" w:color="000000"/>
            </w:tcBorders>
          </w:tcPr>
          <w:p>
            <w:pPr>
              <w:pStyle w:val="TableParagraph"/>
              <w:spacing w:before="17"/>
              <w:ind w:left="0" w:right="19"/>
              <w:jc w:val="right"/>
              <w:rPr>
                <w:sz w:val="22"/>
              </w:rPr>
            </w:pPr>
            <w:r>
              <w:rPr>
                <w:sz w:val="22"/>
              </w:rPr>
              <w:t>$23.592,17</w:t>
            </w:r>
          </w:p>
        </w:tc>
      </w:tr>
      <w:tr>
        <w:trPr>
          <w:trHeight w:val="430" w:hRule="exact"/>
        </w:trPr>
        <w:tc>
          <w:tcPr>
            <w:tcW w:w="4485" w:type="dxa"/>
            <w:tcBorders>
              <w:top w:val="single" w:sz="4" w:space="0" w:color="000000"/>
              <w:left w:val="single" w:sz="4" w:space="0" w:color="000000"/>
              <w:bottom w:val="single" w:sz="8" w:space="0" w:color="000000"/>
            </w:tcBorders>
          </w:tcPr>
          <w:p>
            <w:pPr>
              <w:pStyle w:val="TableParagraph"/>
              <w:spacing w:before="17"/>
              <w:ind w:left="11"/>
              <w:rPr>
                <w:sz w:val="22"/>
              </w:rPr>
            </w:pPr>
            <w:r>
              <w:rPr>
                <w:sz w:val="22"/>
              </w:rPr>
              <w:t>Unión Palmareña</w:t>
            </w:r>
          </w:p>
        </w:tc>
        <w:tc>
          <w:tcPr>
            <w:tcW w:w="2328" w:type="dxa"/>
            <w:tcBorders>
              <w:top w:val="single" w:sz="4" w:space="0" w:color="000000"/>
              <w:bottom w:val="single" w:sz="8" w:space="0" w:color="000000"/>
            </w:tcBorders>
          </w:tcPr>
          <w:p>
            <w:pPr>
              <w:pStyle w:val="TableParagraph"/>
              <w:spacing w:before="17"/>
              <w:ind w:left="0" w:right="17"/>
              <w:jc w:val="right"/>
              <w:rPr>
                <w:sz w:val="22"/>
              </w:rPr>
            </w:pPr>
            <w:r>
              <w:rPr>
                <w:sz w:val="22"/>
              </w:rPr>
              <w:t>¢ 14.340.263,52</w:t>
            </w:r>
          </w:p>
        </w:tc>
        <w:tc>
          <w:tcPr>
            <w:tcW w:w="2123" w:type="dxa"/>
            <w:tcBorders>
              <w:top w:val="single" w:sz="4" w:space="0" w:color="000000"/>
              <w:bottom w:val="single" w:sz="8" w:space="0" w:color="000000"/>
              <w:right w:val="single" w:sz="4" w:space="0" w:color="000000"/>
            </w:tcBorders>
          </w:tcPr>
          <w:p>
            <w:pPr>
              <w:pStyle w:val="TableParagraph"/>
              <w:spacing w:before="17"/>
              <w:ind w:left="0" w:right="19"/>
              <w:jc w:val="right"/>
              <w:rPr>
                <w:sz w:val="22"/>
              </w:rPr>
            </w:pPr>
            <w:r>
              <w:rPr>
                <w:sz w:val="22"/>
              </w:rPr>
              <w:t>$28.509,47</w:t>
            </w:r>
          </w:p>
        </w:tc>
      </w:tr>
      <w:tr>
        <w:trPr>
          <w:trHeight w:val="430" w:hRule="exact"/>
        </w:trPr>
        <w:tc>
          <w:tcPr>
            <w:tcW w:w="4485" w:type="dxa"/>
            <w:tcBorders>
              <w:top w:val="single" w:sz="8" w:space="0" w:color="000000"/>
              <w:left w:val="single" w:sz="4" w:space="0" w:color="000000"/>
              <w:bottom w:val="single" w:sz="4" w:space="0" w:color="000000"/>
            </w:tcBorders>
          </w:tcPr>
          <w:p>
            <w:pPr>
              <w:pStyle w:val="TableParagraph"/>
              <w:spacing w:before="12"/>
              <w:ind w:left="11"/>
              <w:rPr>
                <w:sz w:val="22"/>
              </w:rPr>
            </w:pPr>
            <w:r>
              <w:rPr>
                <w:sz w:val="22"/>
              </w:rPr>
              <w:t>Unión Poaseña</w:t>
            </w:r>
          </w:p>
        </w:tc>
        <w:tc>
          <w:tcPr>
            <w:tcW w:w="2328" w:type="dxa"/>
            <w:tcBorders>
              <w:top w:val="single" w:sz="8" w:space="0" w:color="000000"/>
              <w:bottom w:val="single" w:sz="4" w:space="0" w:color="000000"/>
            </w:tcBorders>
          </w:tcPr>
          <w:p>
            <w:pPr>
              <w:pStyle w:val="TableParagraph"/>
              <w:spacing w:before="12"/>
              <w:ind w:left="0" w:right="17"/>
              <w:jc w:val="right"/>
              <w:rPr>
                <w:sz w:val="22"/>
              </w:rPr>
            </w:pPr>
            <w:r>
              <w:rPr>
                <w:sz w:val="22"/>
              </w:rPr>
              <w:t>¢ 9.923.910,97</w:t>
            </w:r>
          </w:p>
        </w:tc>
        <w:tc>
          <w:tcPr>
            <w:tcW w:w="2123" w:type="dxa"/>
            <w:tcBorders>
              <w:top w:val="single" w:sz="8" w:space="0" w:color="000000"/>
              <w:bottom w:val="single" w:sz="4" w:space="0" w:color="000000"/>
              <w:right w:val="single" w:sz="4" w:space="0" w:color="000000"/>
            </w:tcBorders>
          </w:tcPr>
          <w:p>
            <w:pPr>
              <w:pStyle w:val="TableParagraph"/>
              <w:spacing w:before="12"/>
              <w:ind w:left="0" w:right="19"/>
              <w:jc w:val="right"/>
              <w:rPr>
                <w:sz w:val="22"/>
              </w:rPr>
            </w:pPr>
            <w:r>
              <w:rPr>
                <w:sz w:val="22"/>
              </w:rPr>
              <w:t>$19.729,45</w:t>
            </w:r>
          </w:p>
        </w:tc>
      </w:tr>
      <w:tr>
        <w:trPr>
          <w:trHeight w:val="430" w:hRule="exact"/>
        </w:trPr>
        <w:tc>
          <w:tcPr>
            <w:tcW w:w="4485" w:type="dxa"/>
            <w:tcBorders>
              <w:top w:val="single" w:sz="4" w:space="0" w:color="000000"/>
              <w:left w:val="single" w:sz="4" w:space="0" w:color="000000"/>
              <w:bottom w:val="single" w:sz="4" w:space="0" w:color="000000"/>
            </w:tcBorders>
          </w:tcPr>
          <w:p>
            <w:pPr>
              <w:pStyle w:val="TableParagraph"/>
              <w:spacing w:before="17"/>
              <w:ind w:left="11"/>
              <w:rPr>
                <w:sz w:val="22"/>
              </w:rPr>
            </w:pPr>
            <w:r>
              <w:rPr>
                <w:sz w:val="22"/>
              </w:rPr>
              <w:t>Verde Ecologista</w:t>
            </w:r>
          </w:p>
        </w:tc>
        <w:tc>
          <w:tcPr>
            <w:tcW w:w="2328" w:type="dxa"/>
            <w:tcBorders>
              <w:top w:val="single" w:sz="4" w:space="0" w:color="000000"/>
              <w:bottom w:val="single" w:sz="4" w:space="0" w:color="000000"/>
            </w:tcBorders>
          </w:tcPr>
          <w:p>
            <w:pPr>
              <w:pStyle w:val="TableParagraph"/>
              <w:spacing w:before="17"/>
              <w:ind w:left="0" w:right="17"/>
              <w:jc w:val="right"/>
              <w:rPr>
                <w:sz w:val="22"/>
              </w:rPr>
            </w:pPr>
            <w:r>
              <w:rPr>
                <w:sz w:val="22"/>
              </w:rPr>
              <w:t>¢ 4.601.251,33</w:t>
            </w:r>
          </w:p>
        </w:tc>
        <w:tc>
          <w:tcPr>
            <w:tcW w:w="2123" w:type="dxa"/>
            <w:tcBorders>
              <w:top w:val="single" w:sz="4" w:space="0" w:color="000000"/>
              <w:bottom w:val="single" w:sz="4" w:space="0" w:color="000000"/>
              <w:right w:val="single" w:sz="4" w:space="0" w:color="000000"/>
            </w:tcBorders>
          </w:tcPr>
          <w:p>
            <w:pPr>
              <w:pStyle w:val="TableParagraph"/>
              <w:spacing w:before="17"/>
              <w:ind w:left="0" w:right="20"/>
              <w:jc w:val="right"/>
              <w:rPr>
                <w:sz w:val="22"/>
              </w:rPr>
            </w:pPr>
            <w:r>
              <w:rPr>
                <w:sz w:val="22"/>
              </w:rPr>
              <w:t>$9.147,62</w:t>
            </w:r>
          </w:p>
        </w:tc>
      </w:tr>
      <w:tr>
        <w:trPr>
          <w:trHeight w:val="430" w:hRule="exact"/>
        </w:trPr>
        <w:tc>
          <w:tcPr>
            <w:tcW w:w="4485" w:type="dxa"/>
            <w:tcBorders>
              <w:top w:val="single" w:sz="4" w:space="0" w:color="000000"/>
              <w:left w:val="single" w:sz="4" w:space="0" w:color="000000"/>
              <w:bottom w:val="single" w:sz="4" w:space="0" w:color="000000"/>
            </w:tcBorders>
          </w:tcPr>
          <w:p>
            <w:pPr>
              <w:pStyle w:val="TableParagraph"/>
              <w:spacing w:before="17"/>
              <w:ind w:left="11"/>
              <w:rPr>
                <w:sz w:val="22"/>
              </w:rPr>
            </w:pPr>
            <w:r>
              <w:rPr>
                <w:sz w:val="22"/>
              </w:rPr>
              <w:t>Yunta Progresista Escazuceña</w:t>
            </w:r>
          </w:p>
        </w:tc>
        <w:tc>
          <w:tcPr>
            <w:tcW w:w="2328" w:type="dxa"/>
            <w:tcBorders>
              <w:top w:val="single" w:sz="4" w:space="0" w:color="000000"/>
              <w:bottom w:val="single" w:sz="4" w:space="0" w:color="000000"/>
            </w:tcBorders>
          </w:tcPr>
          <w:p>
            <w:pPr>
              <w:pStyle w:val="TableParagraph"/>
              <w:spacing w:before="17"/>
              <w:ind w:left="0" w:right="17"/>
              <w:jc w:val="right"/>
              <w:rPr>
                <w:sz w:val="22"/>
              </w:rPr>
            </w:pPr>
            <w:r>
              <w:rPr>
                <w:sz w:val="22"/>
              </w:rPr>
              <w:t>¢ 30.011.191,96</w:t>
            </w:r>
          </w:p>
        </w:tc>
        <w:tc>
          <w:tcPr>
            <w:tcW w:w="2123" w:type="dxa"/>
            <w:tcBorders>
              <w:top w:val="single" w:sz="4" w:space="0" w:color="000000"/>
              <w:bottom w:val="single" w:sz="4" w:space="0" w:color="000000"/>
              <w:right w:val="single" w:sz="4" w:space="0" w:color="000000"/>
            </w:tcBorders>
          </w:tcPr>
          <w:p>
            <w:pPr>
              <w:pStyle w:val="TableParagraph"/>
              <w:spacing w:before="17"/>
              <w:ind w:left="0" w:right="19"/>
              <w:jc w:val="right"/>
              <w:rPr>
                <w:sz w:val="22"/>
              </w:rPr>
            </w:pPr>
            <w:r>
              <w:rPr>
                <w:sz w:val="22"/>
              </w:rPr>
              <w:t>$59.664,40</w:t>
            </w:r>
          </w:p>
        </w:tc>
      </w:tr>
      <w:tr>
        <w:trPr>
          <w:trHeight w:val="428" w:hRule="exact"/>
        </w:trPr>
        <w:tc>
          <w:tcPr>
            <w:tcW w:w="4485" w:type="dxa"/>
            <w:tcBorders>
              <w:top w:val="single" w:sz="4" w:space="0" w:color="000000"/>
              <w:left w:val="single" w:sz="4" w:space="0" w:color="000000"/>
            </w:tcBorders>
          </w:tcPr>
          <w:p>
            <w:pPr>
              <w:pStyle w:val="TableParagraph"/>
              <w:spacing w:before="17"/>
              <w:ind w:left="11"/>
              <w:rPr>
                <w:sz w:val="22"/>
              </w:rPr>
            </w:pPr>
            <w:r>
              <w:rPr>
                <w:sz w:val="22"/>
              </w:rPr>
              <w:t>TOTAL</w:t>
            </w:r>
          </w:p>
        </w:tc>
        <w:tc>
          <w:tcPr>
            <w:tcW w:w="2328" w:type="dxa"/>
            <w:tcBorders>
              <w:top w:val="single" w:sz="4" w:space="0" w:color="000000"/>
            </w:tcBorders>
          </w:tcPr>
          <w:p>
            <w:pPr>
              <w:pStyle w:val="TableParagraph"/>
              <w:spacing w:before="17"/>
              <w:ind w:left="0" w:right="17"/>
              <w:jc w:val="right"/>
              <w:rPr>
                <w:sz w:val="22"/>
              </w:rPr>
            </w:pPr>
            <w:r>
              <w:rPr>
                <w:sz w:val="22"/>
              </w:rPr>
              <w:t>¢4.684.070.819,98</w:t>
            </w:r>
          </w:p>
        </w:tc>
        <w:tc>
          <w:tcPr>
            <w:tcW w:w="2123" w:type="dxa"/>
            <w:tcBorders>
              <w:top w:val="single" w:sz="4" w:space="0" w:color="000000"/>
              <w:right w:val="single" w:sz="4" w:space="0" w:color="000000"/>
            </w:tcBorders>
          </w:tcPr>
          <w:p>
            <w:pPr>
              <w:pStyle w:val="TableParagraph"/>
              <w:spacing w:before="17"/>
              <w:ind w:left="0" w:right="19"/>
              <w:jc w:val="right"/>
              <w:rPr>
                <w:sz w:val="22"/>
              </w:rPr>
            </w:pPr>
            <w:r>
              <w:rPr>
                <w:sz w:val="22"/>
              </w:rPr>
              <w:t>$9.312.268,03</w:t>
            </w:r>
          </w:p>
        </w:tc>
      </w:tr>
    </w:tbl>
    <w:p>
      <w:pPr>
        <w:spacing w:line="240" w:lineRule="auto" w:before="0"/>
        <w:ind w:left="242" w:right="120" w:firstLine="0"/>
        <w:jc w:val="both"/>
        <w:rPr>
          <w:sz w:val="22"/>
        </w:rPr>
      </w:pPr>
      <w:r>
        <w:rPr>
          <w:sz w:val="22"/>
        </w:rPr>
        <w:t>*El monto en dólares se calculó con un tipo de cambio al día de la jornada electoral aproximado de 503 colones por dólar estadounidense. Fuente: datos tomados del acta número 1092-E10-2011 (TSE, 2011).</w:t>
      </w:r>
    </w:p>
    <w:p>
      <w:pPr>
        <w:pStyle w:val="BodyText"/>
        <w:spacing w:before="11"/>
        <w:rPr>
          <w:sz w:val="23"/>
        </w:rPr>
      </w:pPr>
    </w:p>
    <w:p>
      <w:pPr>
        <w:pStyle w:val="BodyText"/>
        <w:spacing w:line="360" w:lineRule="auto"/>
        <w:ind w:left="242" w:right="118" w:firstLine="707"/>
        <w:jc w:val="both"/>
      </w:pPr>
      <w:r>
        <w:rPr/>
        <w:t>Sin embargo, el cuadro 3.12 sólo hace referencia a la cantidad máxima que los partidos podían comprobar y no a la que comprobaron, lo cual debió haberse hecho público con posterioridad a la elección pero dichos datos no se encuentran disponibles; situación que mencionan instituciones como la CEPAL o FUNDAR</w:t>
      </w:r>
    </w:p>
    <w:p>
      <w:pPr>
        <w:pStyle w:val="BodyText"/>
        <w:spacing w:line="360" w:lineRule="auto" w:before="5"/>
        <w:ind w:left="242" w:right="115"/>
        <w:jc w:val="both"/>
      </w:pPr>
      <w:r>
        <w:rPr/>
        <w:t>A.C. pues al realizar estudios sobre presupuesto en países latinoamericanos se encontraron con que Costa Rica no tiene dicha información de forma concreta. Así los únicos datos duros que obtuve fueron los de Robles (2012), con los cuales elaboré el cuadro 3. 13 y recurrí a notas periodísticas para complementar la información.</w:t>
      </w:r>
    </w:p>
    <w:p>
      <w:pPr>
        <w:spacing w:after="0" w:line="360" w:lineRule="auto"/>
        <w:jc w:val="both"/>
        <w:sectPr>
          <w:pgSz w:w="12240" w:h="15840"/>
          <w:pgMar w:header="749" w:footer="1003" w:top="960" w:bottom="1200" w:left="1460" w:right="1580"/>
        </w:sectPr>
      </w:pPr>
    </w:p>
    <w:p>
      <w:pPr>
        <w:pStyle w:val="BodyText"/>
        <w:rPr>
          <w:sz w:val="20"/>
        </w:rPr>
      </w:pPr>
    </w:p>
    <w:p>
      <w:pPr>
        <w:pStyle w:val="BodyText"/>
        <w:spacing w:line="360" w:lineRule="auto" w:before="214"/>
        <w:ind w:left="122" w:right="99" w:firstLine="707"/>
        <w:jc w:val="both"/>
      </w:pPr>
      <w:r>
        <w:rPr/>
        <w:t>De acuerdo con Robles (2012), los partidos políticos que participaron en las elecciones cantonales de diciembre de 2010 se hicieron acreedores a los siguientes porcentajes de reducción en sus reembolsos:</w:t>
      </w:r>
    </w:p>
    <w:p>
      <w:pPr>
        <w:pStyle w:val="BodyText"/>
      </w:pPr>
    </w:p>
    <w:p>
      <w:pPr>
        <w:pStyle w:val="Heading2"/>
        <w:ind w:right="691"/>
      </w:pPr>
      <w:r>
        <w:rPr/>
        <w:t>Cuadro 3.13</w:t>
      </w:r>
    </w:p>
    <w:p>
      <w:pPr>
        <w:spacing w:before="137"/>
        <w:ind w:left="124" w:right="105" w:firstLine="0"/>
        <w:jc w:val="center"/>
        <w:rPr>
          <w:b/>
          <w:sz w:val="24"/>
        </w:rPr>
      </w:pPr>
      <w:r>
        <w:rPr>
          <w:b/>
          <w:sz w:val="24"/>
        </w:rPr>
        <w:t>Porcentaje de reducciones al financiamiento público de los partidos políticos costarricenses (Elecciones cantonales 2010)</w:t>
      </w:r>
    </w:p>
    <w:p>
      <w:pPr>
        <w:pStyle w:val="BodyText"/>
        <w:spacing w:before="3"/>
        <w:rPr>
          <w:b/>
          <w:sz w:val="25"/>
        </w:rPr>
      </w:pPr>
    </w:p>
    <w:tbl>
      <w:tblPr>
        <w:tblW w:w="0" w:type="auto"/>
        <w:jc w:val="left"/>
        <w:tblInd w:w="119" w:type="dxa"/>
        <w:tblBorders>
          <w:top w:val="double" w:sz="3" w:space="0" w:color="000000"/>
          <w:left w:val="double" w:sz="3" w:space="0" w:color="000000"/>
          <w:bottom w:val="double" w:sz="3" w:space="0" w:color="000000"/>
          <w:right w:val="double" w:sz="3" w:space="0" w:color="000000"/>
          <w:insideH w:val="double" w:sz="3" w:space="0" w:color="000000"/>
          <w:insideV w:val="double" w:sz="3" w:space="0" w:color="000000"/>
        </w:tblBorders>
        <w:tblLayout w:type="fixed"/>
        <w:tblCellMar>
          <w:top w:w="0" w:type="dxa"/>
          <w:left w:w="0" w:type="dxa"/>
          <w:bottom w:w="0" w:type="dxa"/>
          <w:right w:w="0" w:type="dxa"/>
        </w:tblCellMar>
        <w:tblLook w:val="01E0"/>
      </w:tblPr>
      <w:tblGrid>
        <w:gridCol w:w="990"/>
        <w:gridCol w:w="1276"/>
        <w:gridCol w:w="993"/>
        <w:gridCol w:w="1276"/>
        <w:gridCol w:w="993"/>
        <w:gridCol w:w="1276"/>
        <w:gridCol w:w="992"/>
        <w:gridCol w:w="568"/>
        <w:gridCol w:w="422"/>
      </w:tblGrid>
      <w:tr>
        <w:trPr>
          <w:trHeight w:val="763" w:hRule="exact"/>
        </w:trPr>
        <w:tc>
          <w:tcPr>
            <w:tcW w:w="990" w:type="dxa"/>
            <w:tcBorders>
              <w:left w:val="single" w:sz="4" w:space="0" w:color="000000"/>
              <w:bottom w:val="single" w:sz="13" w:space="0" w:color="FFFFFF"/>
            </w:tcBorders>
            <w:shd w:val="clear" w:color="auto" w:fill="D9D9D9"/>
          </w:tcPr>
          <w:p>
            <w:pPr>
              <w:pStyle w:val="TableParagraph"/>
              <w:ind w:left="74" w:right="62" w:firstLine="132"/>
              <w:rPr>
                <w:b/>
                <w:sz w:val="16"/>
              </w:rPr>
            </w:pPr>
            <w:r>
              <w:rPr>
                <w:b/>
                <w:sz w:val="16"/>
              </w:rPr>
              <w:t>Partido Político (a)</w:t>
            </w:r>
          </w:p>
        </w:tc>
        <w:tc>
          <w:tcPr>
            <w:tcW w:w="1276" w:type="dxa"/>
            <w:tcBorders>
              <w:bottom w:val="single" w:sz="4" w:space="0" w:color="000000"/>
              <w:right w:val="single" w:sz="8" w:space="0" w:color="000000"/>
            </w:tcBorders>
            <w:shd w:val="clear" w:color="auto" w:fill="D9D9D9"/>
          </w:tcPr>
          <w:p>
            <w:pPr>
              <w:pStyle w:val="TableParagraph"/>
              <w:ind w:left="215" w:right="52" w:hanging="161"/>
              <w:rPr>
                <w:b/>
                <w:sz w:val="16"/>
              </w:rPr>
            </w:pPr>
            <w:r>
              <w:rPr>
                <w:b/>
                <w:sz w:val="16"/>
              </w:rPr>
              <w:t>Monto máximo autorizado</w:t>
            </w:r>
          </w:p>
        </w:tc>
        <w:tc>
          <w:tcPr>
            <w:tcW w:w="993" w:type="dxa"/>
            <w:tcBorders>
              <w:left w:val="single" w:sz="8" w:space="0" w:color="000000"/>
              <w:bottom w:val="single" w:sz="4" w:space="0" w:color="000000"/>
            </w:tcBorders>
            <w:shd w:val="clear" w:color="auto" w:fill="D9D9D9"/>
          </w:tcPr>
          <w:p>
            <w:pPr>
              <w:pStyle w:val="TableParagraph"/>
              <w:ind w:left="312" w:right="117" w:hanging="188"/>
              <w:rPr>
                <w:b/>
                <w:sz w:val="16"/>
              </w:rPr>
            </w:pPr>
            <w:r>
              <w:rPr>
                <w:b/>
                <w:sz w:val="16"/>
              </w:rPr>
              <w:t>Monto en USD</w:t>
            </w:r>
          </w:p>
        </w:tc>
        <w:tc>
          <w:tcPr>
            <w:tcW w:w="1276" w:type="dxa"/>
            <w:tcBorders>
              <w:bottom w:val="single" w:sz="4" w:space="0" w:color="000000"/>
              <w:right w:val="single" w:sz="4" w:space="0" w:color="000000"/>
            </w:tcBorders>
            <w:shd w:val="clear" w:color="auto" w:fill="D9D9D9"/>
          </w:tcPr>
          <w:p>
            <w:pPr>
              <w:pStyle w:val="TableParagraph"/>
              <w:ind w:left="108" w:right="125" w:firstLine="4"/>
              <w:jc w:val="center"/>
              <w:rPr>
                <w:b/>
                <w:sz w:val="16"/>
              </w:rPr>
            </w:pPr>
            <w:r>
              <w:rPr>
                <w:b/>
                <w:sz w:val="16"/>
              </w:rPr>
              <w:t>Monto comprobado por el partido (b)</w:t>
            </w:r>
          </w:p>
        </w:tc>
        <w:tc>
          <w:tcPr>
            <w:tcW w:w="993" w:type="dxa"/>
            <w:tcBorders>
              <w:left w:val="single" w:sz="4" w:space="0" w:color="000000"/>
              <w:bottom w:val="single" w:sz="4" w:space="0" w:color="000000"/>
            </w:tcBorders>
            <w:shd w:val="clear" w:color="auto" w:fill="D9D9D9"/>
          </w:tcPr>
          <w:p>
            <w:pPr>
              <w:pStyle w:val="TableParagraph"/>
              <w:ind w:left="316" w:right="118" w:hanging="188"/>
              <w:rPr>
                <w:b/>
                <w:sz w:val="16"/>
              </w:rPr>
            </w:pPr>
            <w:r>
              <w:rPr>
                <w:b/>
                <w:sz w:val="16"/>
              </w:rPr>
              <w:t>Monto en USD</w:t>
            </w:r>
          </w:p>
        </w:tc>
        <w:tc>
          <w:tcPr>
            <w:tcW w:w="1276" w:type="dxa"/>
            <w:tcBorders>
              <w:bottom w:val="single" w:sz="4" w:space="0" w:color="000000"/>
              <w:right w:val="single" w:sz="8" w:space="0" w:color="000000"/>
            </w:tcBorders>
            <w:shd w:val="clear" w:color="auto" w:fill="D9D9D9"/>
          </w:tcPr>
          <w:p>
            <w:pPr>
              <w:pStyle w:val="TableParagraph"/>
              <w:ind w:left="16" w:right="25"/>
              <w:jc w:val="center"/>
              <w:rPr>
                <w:b/>
                <w:sz w:val="16"/>
              </w:rPr>
            </w:pPr>
            <w:r>
              <w:rPr>
                <w:b/>
                <w:sz w:val="16"/>
              </w:rPr>
              <w:t>Monto aprobado por el TSE</w:t>
            </w:r>
            <w:r>
              <w:rPr>
                <w:b/>
                <w:spacing w:val="-2"/>
                <w:sz w:val="16"/>
              </w:rPr>
              <w:t> </w:t>
            </w:r>
            <w:r>
              <w:rPr>
                <w:b/>
                <w:sz w:val="16"/>
              </w:rPr>
              <w:t>(c)</w:t>
            </w:r>
          </w:p>
        </w:tc>
        <w:tc>
          <w:tcPr>
            <w:tcW w:w="992" w:type="dxa"/>
            <w:tcBorders>
              <w:left w:val="single" w:sz="8" w:space="0" w:color="000000"/>
              <w:bottom w:val="single" w:sz="4" w:space="0" w:color="000000"/>
            </w:tcBorders>
            <w:shd w:val="clear" w:color="auto" w:fill="D9D9D9"/>
          </w:tcPr>
          <w:p>
            <w:pPr>
              <w:pStyle w:val="TableParagraph"/>
              <w:ind w:left="311" w:right="118" w:hanging="188"/>
              <w:rPr>
                <w:b/>
                <w:sz w:val="16"/>
              </w:rPr>
            </w:pPr>
            <w:r>
              <w:rPr>
                <w:b/>
                <w:sz w:val="16"/>
              </w:rPr>
              <w:t>Monto en USD</w:t>
            </w:r>
          </w:p>
        </w:tc>
        <w:tc>
          <w:tcPr>
            <w:tcW w:w="568" w:type="dxa"/>
            <w:tcBorders>
              <w:bottom w:val="single" w:sz="4" w:space="0" w:color="000000"/>
              <w:right w:val="single" w:sz="4" w:space="0" w:color="000000"/>
            </w:tcBorders>
            <w:shd w:val="clear" w:color="auto" w:fill="D9D9D9"/>
          </w:tcPr>
          <w:p>
            <w:pPr>
              <w:pStyle w:val="TableParagraph"/>
              <w:spacing w:line="179" w:lineRule="exact"/>
              <w:ind w:left="53" w:right="67"/>
              <w:jc w:val="center"/>
              <w:rPr>
                <w:b/>
                <w:sz w:val="16"/>
              </w:rPr>
            </w:pPr>
            <w:r>
              <w:rPr>
                <w:b/>
                <w:sz w:val="16"/>
              </w:rPr>
              <w:t>% (d)</w:t>
            </w:r>
          </w:p>
        </w:tc>
        <w:tc>
          <w:tcPr>
            <w:tcW w:w="422" w:type="dxa"/>
            <w:tcBorders>
              <w:left w:val="single" w:sz="4" w:space="0" w:color="000000"/>
              <w:bottom w:val="single" w:sz="13" w:space="0" w:color="FFFFFF"/>
              <w:right w:val="single" w:sz="4" w:space="0" w:color="000000"/>
            </w:tcBorders>
            <w:shd w:val="clear" w:color="auto" w:fill="D9D9D9"/>
          </w:tcPr>
          <w:p>
            <w:pPr>
              <w:pStyle w:val="TableParagraph"/>
              <w:spacing w:line="179" w:lineRule="exact"/>
              <w:ind w:left="129"/>
              <w:rPr>
                <w:b/>
                <w:sz w:val="16"/>
              </w:rPr>
            </w:pPr>
            <w:r>
              <w:rPr>
                <w:b/>
                <w:w w:val="100"/>
                <w:sz w:val="16"/>
              </w:rPr>
              <w:t>%</w:t>
            </w:r>
          </w:p>
          <w:p>
            <w:pPr>
              <w:pStyle w:val="TableParagraph"/>
              <w:spacing w:before="1"/>
              <w:rPr>
                <w:b/>
                <w:sz w:val="16"/>
              </w:rPr>
            </w:pPr>
            <w:r>
              <w:rPr>
                <w:b/>
                <w:sz w:val="16"/>
              </w:rPr>
              <w:t>(e)</w:t>
            </w:r>
          </w:p>
        </w:tc>
      </w:tr>
      <w:tr>
        <w:trPr>
          <w:trHeight w:val="430" w:hRule="exact"/>
        </w:trPr>
        <w:tc>
          <w:tcPr>
            <w:tcW w:w="990" w:type="dxa"/>
            <w:tcBorders>
              <w:top w:val="single" w:sz="13" w:space="0" w:color="FFFFFF"/>
              <w:left w:val="single" w:sz="4" w:space="0" w:color="000000"/>
              <w:bottom w:val="single" w:sz="6" w:space="0" w:color="FFFFFF"/>
            </w:tcBorders>
          </w:tcPr>
          <w:p>
            <w:pPr>
              <w:pStyle w:val="TableParagraph"/>
              <w:spacing w:before="16"/>
              <w:ind w:left="127" w:right="115" w:firstLine="146"/>
              <w:rPr>
                <w:sz w:val="16"/>
              </w:rPr>
            </w:pPr>
            <w:r>
              <w:rPr>
                <w:sz w:val="16"/>
              </w:rPr>
              <w:t>Unión Ateniense</w:t>
            </w:r>
          </w:p>
        </w:tc>
        <w:tc>
          <w:tcPr>
            <w:tcW w:w="1276" w:type="dxa"/>
            <w:tcBorders>
              <w:top w:val="single" w:sz="4" w:space="0" w:color="000000"/>
              <w:bottom w:val="single" w:sz="8" w:space="0" w:color="000000"/>
              <w:right w:val="single" w:sz="8" w:space="0" w:color="000000"/>
            </w:tcBorders>
          </w:tcPr>
          <w:p>
            <w:pPr>
              <w:pStyle w:val="TableParagraph"/>
              <w:spacing w:before="28"/>
              <w:ind w:left="153" w:right="52"/>
              <w:rPr>
                <w:sz w:val="16"/>
              </w:rPr>
            </w:pPr>
            <w:r>
              <w:rPr>
                <w:sz w:val="16"/>
              </w:rPr>
              <w:t>¢ 11.866.864</w:t>
            </w:r>
          </w:p>
        </w:tc>
        <w:tc>
          <w:tcPr>
            <w:tcW w:w="993" w:type="dxa"/>
            <w:tcBorders>
              <w:top w:val="single" w:sz="13" w:space="0" w:color="D9D9D9"/>
              <w:left w:val="single" w:sz="8" w:space="0" w:color="000000"/>
              <w:bottom w:val="single" w:sz="8" w:space="0" w:color="000000"/>
            </w:tcBorders>
          </w:tcPr>
          <w:p>
            <w:pPr>
              <w:pStyle w:val="TableParagraph"/>
              <w:spacing w:before="16"/>
              <w:ind w:left="60" w:right="66"/>
              <w:jc w:val="center"/>
              <w:rPr>
                <w:sz w:val="16"/>
              </w:rPr>
            </w:pPr>
            <w:r>
              <w:rPr>
                <w:sz w:val="16"/>
              </w:rPr>
              <w:t>$23.592</w:t>
            </w:r>
          </w:p>
        </w:tc>
        <w:tc>
          <w:tcPr>
            <w:tcW w:w="1276" w:type="dxa"/>
            <w:tcBorders>
              <w:top w:val="single" w:sz="13" w:space="0" w:color="D9D9D9"/>
              <w:bottom w:val="single" w:sz="8" w:space="0" w:color="000000"/>
              <w:right w:val="single" w:sz="4" w:space="0" w:color="000000"/>
            </w:tcBorders>
          </w:tcPr>
          <w:p>
            <w:pPr>
              <w:pStyle w:val="TableParagraph"/>
              <w:spacing w:before="16"/>
              <w:ind w:left="175"/>
              <w:rPr>
                <w:sz w:val="16"/>
              </w:rPr>
            </w:pPr>
            <w:r>
              <w:rPr>
                <w:sz w:val="16"/>
              </w:rPr>
              <w:t>¢10.851.420</w:t>
            </w:r>
          </w:p>
        </w:tc>
        <w:tc>
          <w:tcPr>
            <w:tcW w:w="993" w:type="dxa"/>
            <w:tcBorders>
              <w:top w:val="single" w:sz="4" w:space="0" w:color="000000"/>
              <w:left w:val="single" w:sz="4" w:space="0" w:color="000000"/>
              <w:bottom w:val="single" w:sz="8" w:space="0" w:color="000000"/>
            </w:tcBorders>
          </w:tcPr>
          <w:p>
            <w:pPr>
              <w:pStyle w:val="TableParagraph"/>
              <w:spacing w:before="28"/>
              <w:ind w:left="42" w:right="47"/>
              <w:jc w:val="center"/>
              <w:rPr>
                <w:sz w:val="16"/>
              </w:rPr>
            </w:pPr>
            <w:r>
              <w:rPr>
                <w:sz w:val="16"/>
              </w:rPr>
              <w:t>$ 21,573</w:t>
            </w:r>
          </w:p>
        </w:tc>
        <w:tc>
          <w:tcPr>
            <w:tcW w:w="1276" w:type="dxa"/>
            <w:tcBorders>
              <w:top w:val="single" w:sz="4" w:space="0" w:color="000000"/>
              <w:bottom w:val="single" w:sz="8" w:space="0" w:color="000000"/>
              <w:right w:val="single" w:sz="8" w:space="0" w:color="000000"/>
            </w:tcBorders>
          </w:tcPr>
          <w:p>
            <w:pPr>
              <w:pStyle w:val="TableParagraph"/>
              <w:spacing w:before="28"/>
              <w:ind w:left="13" w:right="25"/>
              <w:jc w:val="center"/>
              <w:rPr>
                <w:sz w:val="16"/>
              </w:rPr>
            </w:pPr>
            <w:r>
              <w:rPr>
                <w:sz w:val="16"/>
              </w:rPr>
              <w:t>¢10.851.420</w:t>
            </w:r>
          </w:p>
        </w:tc>
        <w:tc>
          <w:tcPr>
            <w:tcW w:w="992" w:type="dxa"/>
            <w:tcBorders>
              <w:top w:val="single" w:sz="4" w:space="0" w:color="000000"/>
              <w:left w:val="single" w:sz="8" w:space="0" w:color="000000"/>
              <w:bottom w:val="single" w:sz="8" w:space="0" w:color="000000"/>
            </w:tcBorders>
          </w:tcPr>
          <w:p>
            <w:pPr>
              <w:pStyle w:val="TableParagraph"/>
              <w:spacing w:before="28"/>
              <w:ind w:left="37" w:right="46"/>
              <w:jc w:val="center"/>
              <w:rPr>
                <w:sz w:val="16"/>
              </w:rPr>
            </w:pPr>
            <w:r>
              <w:rPr>
                <w:sz w:val="16"/>
              </w:rPr>
              <w:t>$ 21,573</w:t>
            </w:r>
          </w:p>
        </w:tc>
        <w:tc>
          <w:tcPr>
            <w:tcW w:w="568" w:type="dxa"/>
            <w:tcBorders>
              <w:top w:val="single" w:sz="4" w:space="0" w:color="000000"/>
              <w:bottom w:val="single" w:sz="8" w:space="0" w:color="000000"/>
              <w:right w:val="single" w:sz="4" w:space="0" w:color="000000"/>
            </w:tcBorders>
          </w:tcPr>
          <w:p>
            <w:pPr>
              <w:pStyle w:val="TableParagraph"/>
              <w:spacing w:before="28"/>
              <w:ind w:left="52" w:right="67"/>
              <w:jc w:val="center"/>
              <w:rPr>
                <w:sz w:val="16"/>
              </w:rPr>
            </w:pPr>
            <w:r>
              <w:rPr>
                <w:sz w:val="16"/>
              </w:rPr>
              <w:t>100</w:t>
            </w:r>
          </w:p>
        </w:tc>
        <w:tc>
          <w:tcPr>
            <w:tcW w:w="422" w:type="dxa"/>
            <w:tcBorders>
              <w:top w:val="single" w:sz="6" w:space="0" w:color="FFFFFF"/>
              <w:left w:val="single" w:sz="4" w:space="0" w:color="000000"/>
              <w:bottom w:val="single" w:sz="6" w:space="0" w:color="FFFFFF"/>
              <w:right w:val="single" w:sz="4" w:space="0" w:color="000000"/>
            </w:tcBorders>
          </w:tcPr>
          <w:p>
            <w:pPr>
              <w:pStyle w:val="TableParagraph"/>
              <w:spacing w:before="25"/>
              <w:ind w:left="0" w:right="9"/>
              <w:jc w:val="center"/>
              <w:rPr>
                <w:sz w:val="16"/>
              </w:rPr>
            </w:pPr>
            <w:r>
              <w:rPr>
                <w:w w:val="100"/>
                <w:sz w:val="16"/>
              </w:rPr>
              <w:t>0</w:t>
            </w:r>
          </w:p>
        </w:tc>
      </w:tr>
      <w:tr>
        <w:trPr>
          <w:trHeight w:val="499" w:hRule="exact"/>
        </w:trPr>
        <w:tc>
          <w:tcPr>
            <w:tcW w:w="990" w:type="dxa"/>
            <w:tcBorders>
              <w:top w:val="single" w:sz="6" w:space="0" w:color="FFFFFF"/>
              <w:left w:val="single" w:sz="4" w:space="0" w:color="000000"/>
              <w:bottom w:val="single" w:sz="13" w:space="0" w:color="FFFFFF"/>
            </w:tcBorders>
          </w:tcPr>
          <w:p>
            <w:pPr>
              <w:pStyle w:val="TableParagraph"/>
              <w:spacing w:before="13"/>
              <w:ind w:left="112" w:right="104" w:firstLine="129"/>
              <w:rPr>
                <w:sz w:val="16"/>
              </w:rPr>
            </w:pPr>
            <w:r>
              <w:rPr>
                <w:sz w:val="16"/>
              </w:rPr>
              <w:t>Acción Naranjeña</w:t>
            </w:r>
          </w:p>
        </w:tc>
        <w:tc>
          <w:tcPr>
            <w:tcW w:w="1276" w:type="dxa"/>
            <w:tcBorders>
              <w:top w:val="single" w:sz="8" w:space="0" w:color="000000"/>
              <w:bottom w:val="single" w:sz="4" w:space="0" w:color="000000"/>
              <w:right w:val="single" w:sz="8" w:space="0" w:color="000000"/>
            </w:tcBorders>
          </w:tcPr>
          <w:p>
            <w:pPr>
              <w:pStyle w:val="TableParagraph"/>
              <w:spacing w:before="10"/>
              <w:ind w:left="199" w:right="52"/>
              <w:rPr>
                <w:sz w:val="16"/>
              </w:rPr>
            </w:pPr>
            <w:r>
              <w:rPr>
                <w:sz w:val="16"/>
              </w:rPr>
              <w:t>¢ 5.889.480</w:t>
            </w:r>
          </w:p>
        </w:tc>
        <w:tc>
          <w:tcPr>
            <w:tcW w:w="993" w:type="dxa"/>
            <w:tcBorders>
              <w:top w:val="single" w:sz="8" w:space="0" w:color="000000"/>
              <w:left w:val="single" w:sz="8" w:space="0" w:color="000000"/>
              <w:bottom w:val="single" w:sz="4" w:space="0" w:color="000000"/>
            </w:tcBorders>
          </w:tcPr>
          <w:p>
            <w:pPr>
              <w:pStyle w:val="TableParagraph"/>
              <w:spacing w:before="10"/>
              <w:ind w:left="60" w:right="66"/>
              <w:jc w:val="center"/>
              <w:rPr>
                <w:sz w:val="16"/>
              </w:rPr>
            </w:pPr>
            <w:r>
              <w:rPr>
                <w:sz w:val="16"/>
              </w:rPr>
              <w:t>$11.709</w:t>
            </w:r>
          </w:p>
        </w:tc>
        <w:tc>
          <w:tcPr>
            <w:tcW w:w="1276" w:type="dxa"/>
            <w:tcBorders>
              <w:top w:val="single" w:sz="8" w:space="0" w:color="000000"/>
              <w:bottom w:val="single" w:sz="4" w:space="0" w:color="000000"/>
              <w:right w:val="single" w:sz="4" w:space="0" w:color="000000"/>
            </w:tcBorders>
          </w:tcPr>
          <w:p>
            <w:pPr>
              <w:pStyle w:val="TableParagraph"/>
              <w:spacing w:before="10"/>
              <w:ind w:left="220"/>
              <w:rPr>
                <w:sz w:val="16"/>
              </w:rPr>
            </w:pPr>
            <w:r>
              <w:rPr>
                <w:sz w:val="16"/>
              </w:rPr>
              <w:t>¢8.401.289</w:t>
            </w:r>
          </w:p>
        </w:tc>
        <w:tc>
          <w:tcPr>
            <w:tcW w:w="993" w:type="dxa"/>
            <w:tcBorders>
              <w:top w:val="single" w:sz="8" w:space="0" w:color="000000"/>
              <w:left w:val="single" w:sz="4" w:space="0" w:color="000000"/>
              <w:bottom w:val="single" w:sz="4" w:space="0" w:color="000000"/>
            </w:tcBorders>
          </w:tcPr>
          <w:p>
            <w:pPr>
              <w:pStyle w:val="TableParagraph"/>
              <w:spacing w:before="10"/>
              <w:ind w:left="42" w:right="47"/>
              <w:jc w:val="center"/>
              <w:rPr>
                <w:sz w:val="16"/>
              </w:rPr>
            </w:pPr>
            <w:r>
              <w:rPr>
                <w:sz w:val="16"/>
              </w:rPr>
              <w:t>$ 16,702</w:t>
            </w:r>
          </w:p>
        </w:tc>
        <w:tc>
          <w:tcPr>
            <w:tcW w:w="1276" w:type="dxa"/>
            <w:tcBorders>
              <w:top w:val="single" w:sz="8" w:space="0" w:color="000000"/>
              <w:bottom w:val="single" w:sz="4" w:space="0" w:color="000000"/>
              <w:right w:val="single" w:sz="8" w:space="0" w:color="000000"/>
            </w:tcBorders>
          </w:tcPr>
          <w:p>
            <w:pPr>
              <w:pStyle w:val="TableParagraph"/>
              <w:spacing w:before="10"/>
              <w:ind w:left="16" w:right="25"/>
              <w:jc w:val="center"/>
              <w:rPr>
                <w:sz w:val="16"/>
              </w:rPr>
            </w:pPr>
            <w:r>
              <w:rPr>
                <w:sz w:val="16"/>
              </w:rPr>
              <w:t>¢5.547.193</w:t>
            </w:r>
          </w:p>
        </w:tc>
        <w:tc>
          <w:tcPr>
            <w:tcW w:w="992" w:type="dxa"/>
            <w:tcBorders>
              <w:top w:val="single" w:sz="8" w:space="0" w:color="000000"/>
              <w:left w:val="single" w:sz="8" w:space="0" w:color="000000"/>
              <w:bottom w:val="single" w:sz="4" w:space="0" w:color="000000"/>
            </w:tcBorders>
          </w:tcPr>
          <w:p>
            <w:pPr>
              <w:pStyle w:val="TableParagraph"/>
              <w:spacing w:before="10"/>
              <w:ind w:left="37" w:right="46"/>
              <w:jc w:val="center"/>
              <w:rPr>
                <w:sz w:val="16"/>
              </w:rPr>
            </w:pPr>
            <w:r>
              <w:rPr>
                <w:sz w:val="16"/>
              </w:rPr>
              <w:t>$ 11,028</w:t>
            </w:r>
          </w:p>
        </w:tc>
        <w:tc>
          <w:tcPr>
            <w:tcW w:w="568" w:type="dxa"/>
            <w:tcBorders>
              <w:top w:val="single" w:sz="8" w:space="0" w:color="000000"/>
              <w:bottom w:val="single" w:sz="4" w:space="0" w:color="000000"/>
              <w:right w:val="single" w:sz="4" w:space="0" w:color="000000"/>
            </w:tcBorders>
          </w:tcPr>
          <w:p>
            <w:pPr>
              <w:pStyle w:val="TableParagraph"/>
              <w:spacing w:before="10"/>
              <w:ind w:left="51" w:right="67"/>
              <w:jc w:val="center"/>
              <w:rPr>
                <w:sz w:val="16"/>
              </w:rPr>
            </w:pPr>
            <w:r>
              <w:rPr>
                <w:sz w:val="16"/>
              </w:rPr>
              <w:t>66</w:t>
            </w:r>
          </w:p>
        </w:tc>
        <w:tc>
          <w:tcPr>
            <w:tcW w:w="422" w:type="dxa"/>
            <w:tcBorders>
              <w:top w:val="single" w:sz="6" w:space="0" w:color="FFFFFF"/>
              <w:left w:val="single" w:sz="4" w:space="0" w:color="000000"/>
              <w:bottom w:val="single" w:sz="13" w:space="0" w:color="FFFFFF"/>
              <w:right w:val="single" w:sz="4" w:space="0" w:color="000000"/>
            </w:tcBorders>
          </w:tcPr>
          <w:p>
            <w:pPr>
              <w:pStyle w:val="TableParagraph"/>
              <w:spacing w:before="13"/>
              <w:ind w:left="66" w:right="73"/>
              <w:jc w:val="center"/>
              <w:rPr>
                <w:sz w:val="16"/>
              </w:rPr>
            </w:pPr>
            <w:r>
              <w:rPr>
                <w:sz w:val="16"/>
              </w:rPr>
              <w:t>34</w:t>
            </w:r>
          </w:p>
        </w:tc>
      </w:tr>
      <w:tr>
        <w:trPr>
          <w:trHeight w:val="437" w:hRule="exact"/>
        </w:trPr>
        <w:tc>
          <w:tcPr>
            <w:tcW w:w="990" w:type="dxa"/>
            <w:tcBorders>
              <w:top w:val="single" w:sz="13" w:space="0" w:color="FFFFFF"/>
              <w:left w:val="single" w:sz="4" w:space="0" w:color="000000"/>
              <w:bottom w:val="single" w:sz="13" w:space="0" w:color="F1F1F1"/>
            </w:tcBorders>
          </w:tcPr>
          <w:p>
            <w:pPr>
              <w:pStyle w:val="TableParagraph"/>
              <w:spacing w:before="6"/>
              <w:ind w:left="261" w:right="143" w:hanging="108"/>
              <w:rPr>
                <w:sz w:val="16"/>
              </w:rPr>
            </w:pPr>
            <w:r>
              <w:rPr>
                <w:sz w:val="16"/>
              </w:rPr>
              <w:t>Todo Por Flores</w:t>
            </w:r>
          </w:p>
        </w:tc>
        <w:tc>
          <w:tcPr>
            <w:tcW w:w="1276" w:type="dxa"/>
            <w:tcBorders>
              <w:top w:val="single" w:sz="4" w:space="0" w:color="000000"/>
              <w:bottom w:val="single" w:sz="13" w:space="0" w:color="F1F1F1"/>
              <w:right w:val="single" w:sz="8" w:space="0" w:color="000000"/>
            </w:tcBorders>
          </w:tcPr>
          <w:p>
            <w:pPr>
              <w:pStyle w:val="TableParagraph"/>
              <w:spacing w:before="18"/>
              <w:ind w:left="153" w:right="52"/>
              <w:rPr>
                <w:sz w:val="16"/>
              </w:rPr>
            </w:pPr>
            <w:r>
              <w:rPr>
                <w:sz w:val="16"/>
              </w:rPr>
              <w:t>¢ 10.730.191</w:t>
            </w:r>
          </w:p>
        </w:tc>
        <w:tc>
          <w:tcPr>
            <w:tcW w:w="993" w:type="dxa"/>
            <w:tcBorders>
              <w:top w:val="single" w:sz="4" w:space="0" w:color="000000"/>
              <w:left w:val="single" w:sz="8" w:space="0" w:color="000000"/>
              <w:bottom w:val="single" w:sz="13" w:space="0" w:color="F1F1F1"/>
            </w:tcBorders>
          </w:tcPr>
          <w:p>
            <w:pPr>
              <w:pStyle w:val="TableParagraph"/>
              <w:spacing w:before="18"/>
              <w:ind w:left="60" w:right="66"/>
              <w:jc w:val="center"/>
              <w:rPr>
                <w:sz w:val="16"/>
              </w:rPr>
            </w:pPr>
            <w:r>
              <w:rPr>
                <w:sz w:val="16"/>
              </w:rPr>
              <w:t>$21.332</w:t>
            </w:r>
          </w:p>
        </w:tc>
        <w:tc>
          <w:tcPr>
            <w:tcW w:w="1276" w:type="dxa"/>
            <w:tcBorders>
              <w:top w:val="single" w:sz="4" w:space="0" w:color="000000"/>
              <w:bottom w:val="single" w:sz="13" w:space="0" w:color="F1F1F1"/>
              <w:right w:val="single" w:sz="4" w:space="0" w:color="000000"/>
            </w:tcBorders>
          </w:tcPr>
          <w:p>
            <w:pPr>
              <w:pStyle w:val="TableParagraph"/>
              <w:spacing w:before="18"/>
              <w:ind w:left="175"/>
              <w:rPr>
                <w:sz w:val="16"/>
              </w:rPr>
            </w:pPr>
            <w:r>
              <w:rPr>
                <w:sz w:val="16"/>
              </w:rPr>
              <w:t>¢10.681.066</w:t>
            </w:r>
          </w:p>
        </w:tc>
        <w:tc>
          <w:tcPr>
            <w:tcW w:w="993" w:type="dxa"/>
            <w:tcBorders>
              <w:top w:val="single" w:sz="4" w:space="0" w:color="000000"/>
              <w:left w:val="single" w:sz="4" w:space="0" w:color="000000"/>
              <w:bottom w:val="single" w:sz="13" w:space="0" w:color="F1F1F1"/>
            </w:tcBorders>
          </w:tcPr>
          <w:p>
            <w:pPr>
              <w:pStyle w:val="TableParagraph"/>
              <w:spacing w:before="18"/>
              <w:ind w:left="42" w:right="47"/>
              <w:jc w:val="center"/>
              <w:rPr>
                <w:sz w:val="16"/>
              </w:rPr>
            </w:pPr>
            <w:r>
              <w:rPr>
                <w:sz w:val="16"/>
              </w:rPr>
              <w:t>$ 21,235</w:t>
            </w:r>
          </w:p>
        </w:tc>
        <w:tc>
          <w:tcPr>
            <w:tcW w:w="1276" w:type="dxa"/>
            <w:tcBorders>
              <w:top w:val="single" w:sz="4" w:space="0" w:color="000000"/>
              <w:bottom w:val="single" w:sz="13" w:space="0" w:color="F1F1F1"/>
              <w:right w:val="single" w:sz="8" w:space="0" w:color="000000"/>
            </w:tcBorders>
          </w:tcPr>
          <w:p>
            <w:pPr>
              <w:pStyle w:val="TableParagraph"/>
              <w:spacing w:before="18"/>
              <w:ind w:left="14" w:right="25"/>
              <w:jc w:val="center"/>
              <w:rPr>
                <w:sz w:val="16"/>
              </w:rPr>
            </w:pPr>
            <w:r>
              <w:rPr>
                <w:sz w:val="16"/>
              </w:rPr>
              <w:t>¢10.681.066</w:t>
            </w:r>
          </w:p>
        </w:tc>
        <w:tc>
          <w:tcPr>
            <w:tcW w:w="992" w:type="dxa"/>
            <w:tcBorders>
              <w:top w:val="single" w:sz="4" w:space="0" w:color="000000"/>
              <w:left w:val="single" w:sz="8" w:space="0" w:color="000000"/>
              <w:bottom w:val="single" w:sz="13" w:space="0" w:color="F1F1F1"/>
            </w:tcBorders>
          </w:tcPr>
          <w:p>
            <w:pPr>
              <w:pStyle w:val="TableParagraph"/>
              <w:spacing w:before="18"/>
              <w:ind w:left="37" w:right="46"/>
              <w:jc w:val="center"/>
              <w:rPr>
                <w:sz w:val="16"/>
              </w:rPr>
            </w:pPr>
            <w:r>
              <w:rPr>
                <w:sz w:val="16"/>
              </w:rPr>
              <w:t>$ 21,235</w:t>
            </w:r>
          </w:p>
        </w:tc>
        <w:tc>
          <w:tcPr>
            <w:tcW w:w="568" w:type="dxa"/>
            <w:tcBorders>
              <w:top w:val="single" w:sz="4" w:space="0" w:color="000000"/>
              <w:bottom w:val="single" w:sz="13" w:space="0" w:color="F1F1F1"/>
              <w:right w:val="single" w:sz="4" w:space="0" w:color="000000"/>
            </w:tcBorders>
          </w:tcPr>
          <w:p>
            <w:pPr>
              <w:pStyle w:val="TableParagraph"/>
              <w:spacing w:before="18"/>
              <w:ind w:left="52" w:right="67"/>
              <w:jc w:val="center"/>
              <w:rPr>
                <w:sz w:val="16"/>
              </w:rPr>
            </w:pPr>
            <w:r>
              <w:rPr>
                <w:sz w:val="16"/>
              </w:rPr>
              <w:t>100</w:t>
            </w:r>
          </w:p>
        </w:tc>
        <w:tc>
          <w:tcPr>
            <w:tcW w:w="422" w:type="dxa"/>
            <w:tcBorders>
              <w:top w:val="single" w:sz="13" w:space="0" w:color="FFFFFF"/>
              <w:left w:val="single" w:sz="4" w:space="0" w:color="000000"/>
              <w:bottom w:val="single" w:sz="13" w:space="0" w:color="F1F1F1"/>
              <w:right w:val="single" w:sz="4" w:space="0" w:color="000000"/>
            </w:tcBorders>
          </w:tcPr>
          <w:p>
            <w:pPr>
              <w:pStyle w:val="TableParagraph"/>
              <w:spacing w:before="6"/>
              <w:ind w:left="0" w:right="9"/>
              <w:jc w:val="center"/>
              <w:rPr>
                <w:sz w:val="16"/>
              </w:rPr>
            </w:pPr>
            <w:r>
              <w:rPr>
                <w:w w:val="100"/>
                <w:sz w:val="16"/>
              </w:rPr>
              <w:t>0</w:t>
            </w:r>
          </w:p>
        </w:tc>
      </w:tr>
      <w:tr>
        <w:trPr>
          <w:trHeight w:val="583" w:hRule="exact"/>
        </w:trPr>
        <w:tc>
          <w:tcPr>
            <w:tcW w:w="990" w:type="dxa"/>
            <w:tcBorders>
              <w:top w:val="single" w:sz="4" w:space="0" w:color="000000"/>
              <w:left w:val="single" w:sz="4" w:space="0" w:color="000000"/>
              <w:bottom w:val="single" w:sz="13" w:space="0" w:color="FFFFFF"/>
            </w:tcBorders>
            <w:shd w:val="clear" w:color="auto" w:fill="F1F1F1"/>
          </w:tcPr>
          <w:p>
            <w:pPr>
              <w:pStyle w:val="TableParagraph"/>
              <w:ind w:left="43" w:right="47" w:hanging="3"/>
              <w:jc w:val="center"/>
              <w:rPr>
                <w:sz w:val="16"/>
              </w:rPr>
            </w:pPr>
            <w:r>
              <w:rPr>
                <w:sz w:val="16"/>
              </w:rPr>
              <w:t>El Puente y los Caminos de Mora</w:t>
            </w:r>
          </w:p>
        </w:tc>
        <w:tc>
          <w:tcPr>
            <w:tcW w:w="1276" w:type="dxa"/>
            <w:tcBorders>
              <w:top w:val="single" w:sz="4" w:space="0" w:color="000000"/>
              <w:bottom w:val="single" w:sz="4" w:space="0" w:color="000000"/>
              <w:right w:val="single" w:sz="8" w:space="0" w:color="000000"/>
            </w:tcBorders>
            <w:shd w:val="clear" w:color="auto" w:fill="F1F1F1"/>
          </w:tcPr>
          <w:p>
            <w:pPr>
              <w:pStyle w:val="TableParagraph"/>
              <w:spacing w:line="183" w:lineRule="exact"/>
              <w:ind w:left="199" w:right="52"/>
              <w:rPr>
                <w:sz w:val="16"/>
              </w:rPr>
            </w:pPr>
            <w:r>
              <w:rPr>
                <w:sz w:val="16"/>
              </w:rPr>
              <w:t>¢ 8.762.989</w:t>
            </w:r>
          </w:p>
        </w:tc>
        <w:tc>
          <w:tcPr>
            <w:tcW w:w="993" w:type="dxa"/>
            <w:tcBorders>
              <w:top w:val="single" w:sz="4" w:space="0" w:color="000000"/>
              <w:left w:val="single" w:sz="8" w:space="0" w:color="000000"/>
              <w:bottom w:val="single" w:sz="4" w:space="0" w:color="000000"/>
            </w:tcBorders>
            <w:shd w:val="clear" w:color="auto" w:fill="F1F1F1"/>
          </w:tcPr>
          <w:p>
            <w:pPr>
              <w:pStyle w:val="TableParagraph"/>
              <w:spacing w:line="183" w:lineRule="exact"/>
              <w:ind w:left="60" w:right="66"/>
              <w:jc w:val="center"/>
              <w:rPr>
                <w:sz w:val="16"/>
              </w:rPr>
            </w:pPr>
            <w:r>
              <w:rPr>
                <w:sz w:val="16"/>
              </w:rPr>
              <w:t>$17.421</w:t>
            </w:r>
          </w:p>
        </w:tc>
        <w:tc>
          <w:tcPr>
            <w:tcW w:w="1276" w:type="dxa"/>
            <w:tcBorders>
              <w:top w:val="single" w:sz="4" w:space="0" w:color="000000"/>
              <w:bottom w:val="single" w:sz="4" w:space="0" w:color="000000"/>
              <w:right w:val="single" w:sz="4" w:space="0" w:color="000000"/>
            </w:tcBorders>
            <w:shd w:val="clear" w:color="auto" w:fill="F1F1F1"/>
          </w:tcPr>
          <w:p>
            <w:pPr>
              <w:pStyle w:val="TableParagraph"/>
              <w:spacing w:line="183" w:lineRule="exact"/>
              <w:ind w:left="220"/>
              <w:rPr>
                <w:sz w:val="16"/>
              </w:rPr>
            </w:pPr>
            <w:r>
              <w:rPr>
                <w:sz w:val="16"/>
              </w:rPr>
              <w:t>¢7.746.420</w:t>
            </w:r>
          </w:p>
        </w:tc>
        <w:tc>
          <w:tcPr>
            <w:tcW w:w="993" w:type="dxa"/>
            <w:tcBorders>
              <w:top w:val="single" w:sz="4" w:space="0" w:color="000000"/>
              <w:left w:val="single" w:sz="4" w:space="0" w:color="000000"/>
              <w:bottom w:val="single" w:sz="4" w:space="0" w:color="000000"/>
            </w:tcBorders>
            <w:shd w:val="clear" w:color="auto" w:fill="F1F1F1"/>
          </w:tcPr>
          <w:p>
            <w:pPr>
              <w:pStyle w:val="TableParagraph"/>
              <w:spacing w:line="183" w:lineRule="exact"/>
              <w:ind w:left="42" w:right="47"/>
              <w:jc w:val="center"/>
              <w:rPr>
                <w:sz w:val="16"/>
              </w:rPr>
            </w:pPr>
            <w:r>
              <w:rPr>
                <w:sz w:val="16"/>
              </w:rPr>
              <w:t>$ 15,400</w:t>
            </w:r>
          </w:p>
        </w:tc>
        <w:tc>
          <w:tcPr>
            <w:tcW w:w="1276" w:type="dxa"/>
            <w:tcBorders>
              <w:top w:val="single" w:sz="4" w:space="0" w:color="000000"/>
              <w:bottom w:val="single" w:sz="4" w:space="0" w:color="000000"/>
              <w:right w:val="single" w:sz="8" w:space="0" w:color="000000"/>
            </w:tcBorders>
            <w:shd w:val="clear" w:color="auto" w:fill="F1F1F1"/>
          </w:tcPr>
          <w:p>
            <w:pPr>
              <w:pStyle w:val="TableParagraph"/>
              <w:spacing w:line="183" w:lineRule="exact"/>
              <w:ind w:left="16" w:right="25"/>
              <w:jc w:val="center"/>
              <w:rPr>
                <w:sz w:val="16"/>
              </w:rPr>
            </w:pPr>
            <w:r>
              <w:rPr>
                <w:sz w:val="16"/>
              </w:rPr>
              <w:t>¢4.406.052</w:t>
            </w:r>
          </w:p>
        </w:tc>
        <w:tc>
          <w:tcPr>
            <w:tcW w:w="992" w:type="dxa"/>
            <w:tcBorders>
              <w:top w:val="single" w:sz="4" w:space="0" w:color="000000"/>
              <w:left w:val="single" w:sz="8" w:space="0" w:color="000000"/>
              <w:bottom w:val="single" w:sz="4" w:space="0" w:color="000000"/>
            </w:tcBorders>
            <w:shd w:val="clear" w:color="auto" w:fill="F1F1F1"/>
          </w:tcPr>
          <w:p>
            <w:pPr>
              <w:pStyle w:val="TableParagraph"/>
              <w:spacing w:line="183" w:lineRule="exact"/>
              <w:ind w:left="39" w:right="46"/>
              <w:jc w:val="center"/>
              <w:rPr>
                <w:sz w:val="16"/>
              </w:rPr>
            </w:pPr>
            <w:r>
              <w:rPr>
                <w:sz w:val="16"/>
              </w:rPr>
              <w:t>$ 8,760</w:t>
            </w:r>
          </w:p>
        </w:tc>
        <w:tc>
          <w:tcPr>
            <w:tcW w:w="568" w:type="dxa"/>
            <w:tcBorders>
              <w:top w:val="single" w:sz="4" w:space="0" w:color="000000"/>
              <w:bottom w:val="single" w:sz="4" w:space="0" w:color="000000"/>
              <w:right w:val="single" w:sz="4" w:space="0" w:color="000000"/>
            </w:tcBorders>
            <w:shd w:val="clear" w:color="auto" w:fill="F1F1F1"/>
          </w:tcPr>
          <w:p>
            <w:pPr>
              <w:pStyle w:val="TableParagraph"/>
              <w:spacing w:line="183" w:lineRule="exact"/>
              <w:ind w:left="51" w:right="67"/>
              <w:jc w:val="center"/>
              <w:rPr>
                <w:sz w:val="16"/>
              </w:rPr>
            </w:pPr>
            <w:r>
              <w:rPr>
                <w:sz w:val="16"/>
              </w:rPr>
              <w:t>57</w:t>
            </w:r>
          </w:p>
        </w:tc>
        <w:tc>
          <w:tcPr>
            <w:tcW w:w="422" w:type="dxa"/>
            <w:tcBorders>
              <w:top w:val="single" w:sz="4" w:space="0" w:color="000000"/>
              <w:left w:val="single" w:sz="4" w:space="0" w:color="000000"/>
              <w:bottom w:val="single" w:sz="13" w:space="0" w:color="FFFFFF"/>
              <w:right w:val="single" w:sz="4" w:space="0" w:color="000000"/>
            </w:tcBorders>
            <w:shd w:val="clear" w:color="auto" w:fill="F1F1F1"/>
          </w:tcPr>
          <w:p>
            <w:pPr>
              <w:pStyle w:val="TableParagraph"/>
              <w:spacing w:line="183" w:lineRule="exact"/>
              <w:ind w:left="66" w:right="73"/>
              <w:jc w:val="center"/>
              <w:rPr>
                <w:sz w:val="16"/>
              </w:rPr>
            </w:pPr>
            <w:r>
              <w:rPr>
                <w:sz w:val="16"/>
              </w:rPr>
              <w:t>43</w:t>
            </w:r>
          </w:p>
        </w:tc>
      </w:tr>
      <w:tr>
        <w:trPr>
          <w:trHeight w:val="602" w:hRule="exact"/>
        </w:trPr>
        <w:tc>
          <w:tcPr>
            <w:tcW w:w="990" w:type="dxa"/>
            <w:tcBorders>
              <w:top w:val="single" w:sz="6" w:space="0" w:color="FFFFFF"/>
              <w:left w:val="single" w:sz="4" w:space="0" w:color="000000"/>
              <w:bottom w:val="single" w:sz="13" w:space="0" w:color="FFFFFF"/>
            </w:tcBorders>
          </w:tcPr>
          <w:p>
            <w:pPr>
              <w:pStyle w:val="TableParagraph"/>
              <w:spacing w:before="15"/>
              <w:ind w:left="64" w:right="70" w:hanging="2"/>
              <w:jc w:val="center"/>
              <w:rPr>
                <w:sz w:val="16"/>
              </w:rPr>
            </w:pPr>
            <w:r>
              <w:rPr>
                <w:sz w:val="16"/>
              </w:rPr>
              <w:t>Unión Agrícola Cartaginés*</w:t>
            </w:r>
          </w:p>
        </w:tc>
        <w:tc>
          <w:tcPr>
            <w:tcW w:w="1276" w:type="dxa"/>
            <w:tcBorders>
              <w:top w:val="single" w:sz="4" w:space="0" w:color="000000"/>
              <w:bottom w:val="single" w:sz="4" w:space="0" w:color="000000"/>
              <w:right w:val="single" w:sz="8" w:space="0" w:color="000000"/>
            </w:tcBorders>
          </w:tcPr>
          <w:p>
            <w:pPr>
              <w:pStyle w:val="TableParagraph"/>
              <w:spacing w:before="18"/>
              <w:ind w:left="153" w:right="52"/>
              <w:rPr>
                <w:sz w:val="16"/>
              </w:rPr>
            </w:pPr>
            <w:r>
              <w:rPr>
                <w:sz w:val="16"/>
              </w:rPr>
              <w:t>¢ 22.587.961</w:t>
            </w:r>
          </w:p>
        </w:tc>
        <w:tc>
          <w:tcPr>
            <w:tcW w:w="993" w:type="dxa"/>
            <w:tcBorders>
              <w:top w:val="single" w:sz="4" w:space="0" w:color="000000"/>
              <w:left w:val="single" w:sz="8" w:space="0" w:color="000000"/>
              <w:bottom w:val="single" w:sz="4" w:space="0" w:color="000000"/>
            </w:tcBorders>
          </w:tcPr>
          <w:p>
            <w:pPr>
              <w:pStyle w:val="TableParagraph"/>
              <w:spacing w:before="18"/>
              <w:ind w:left="60" w:right="66"/>
              <w:jc w:val="center"/>
              <w:rPr>
                <w:sz w:val="16"/>
              </w:rPr>
            </w:pPr>
            <w:r>
              <w:rPr>
                <w:sz w:val="16"/>
              </w:rPr>
              <w:t>$44.906</w:t>
            </w:r>
          </w:p>
        </w:tc>
        <w:tc>
          <w:tcPr>
            <w:tcW w:w="1276" w:type="dxa"/>
            <w:tcBorders>
              <w:top w:val="single" w:sz="4" w:space="0" w:color="000000"/>
              <w:bottom w:val="single" w:sz="4" w:space="0" w:color="000000"/>
              <w:right w:val="single" w:sz="4" w:space="0" w:color="000000"/>
            </w:tcBorders>
          </w:tcPr>
          <w:p>
            <w:pPr>
              <w:pStyle w:val="TableParagraph"/>
              <w:spacing w:before="18"/>
              <w:ind w:left="220"/>
              <w:rPr>
                <w:sz w:val="16"/>
              </w:rPr>
            </w:pPr>
            <w:r>
              <w:rPr>
                <w:sz w:val="16"/>
              </w:rPr>
              <w:t>¢2.572.823</w:t>
            </w:r>
          </w:p>
        </w:tc>
        <w:tc>
          <w:tcPr>
            <w:tcW w:w="993" w:type="dxa"/>
            <w:tcBorders>
              <w:top w:val="single" w:sz="4" w:space="0" w:color="000000"/>
              <w:left w:val="single" w:sz="4" w:space="0" w:color="000000"/>
              <w:bottom w:val="single" w:sz="4" w:space="0" w:color="000000"/>
            </w:tcBorders>
          </w:tcPr>
          <w:p>
            <w:pPr>
              <w:pStyle w:val="TableParagraph"/>
              <w:spacing w:before="18"/>
              <w:ind w:left="44" w:right="46"/>
              <w:jc w:val="center"/>
              <w:rPr>
                <w:sz w:val="16"/>
              </w:rPr>
            </w:pPr>
            <w:r>
              <w:rPr>
                <w:sz w:val="16"/>
              </w:rPr>
              <w:t>$ 5,115</w:t>
            </w:r>
          </w:p>
        </w:tc>
        <w:tc>
          <w:tcPr>
            <w:tcW w:w="1276" w:type="dxa"/>
            <w:tcBorders>
              <w:top w:val="single" w:sz="4" w:space="0" w:color="000000"/>
              <w:bottom w:val="single" w:sz="4" w:space="0" w:color="000000"/>
              <w:right w:val="single" w:sz="8" w:space="0" w:color="000000"/>
            </w:tcBorders>
          </w:tcPr>
          <w:p>
            <w:pPr>
              <w:pStyle w:val="TableParagraph"/>
              <w:spacing w:before="18"/>
              <w:ind w:left="16" w:right="25"/>
              <w:jc w:val="center"/>
              <w:rPr>
                <w:sz w:val="16"/>
              </w:rPr>
            </w:pPr>
            <w:r>
              <w:rPr>
                <w:sz w:val="16"/>
              </w:rPr>
              <w:t>¢2.228.423</w:t>
            </w:r>
          </w:p>
        </w:tc>
        <w:tc>
          <w:tcPr>
            <w:tcW w:w="992" w:type="dxa"/>
            <w:tcBorders>
              <w:top w:val="single" w:sz="4" w:space="0" w:color="000000"/>
              <w:left w:val="single" w:sz="8" w:space="0" w:color="000000"/>
              <w:bottom w:val="single" w:sz="4" w:space="0" w:color="000000"/>
            </w:tcBorders>
          </w:tcPr>
          <w:p>
            <w:pPr>
              <w:pStyle w:val="TableParagraph"/>
              <w:spacing w:before="18"/>
              <w:ind w:left="39" w:right="46"/>
              <w:jc w:val="center"/>
              <w:rPr>
                <w:sz w:val="16"/>
              </w:rPr>
            </w:pPr>
            <w:r>
              <w:rPr>
                <w:sz w:val="16"/>
              </w:rPr>
              <w:t>$ 4,430</w:t>
            </w:r>
          </w:p>
        </w:tc>
        <w:tc>
          <w:tcPr>
            <w:tcW w:w="568" w:type="dxa"/>
            <w:tcBorders>
              <w:top w:val="single" w:sz="4" w:space="0" w:color="000000"/>
              <w:bottom w:val="single" w:sz="4" w:space="0" w:color="000000"/>
              <w:right w:val="single" w:sz="4" w:space="0" w:color="000000"/>
            </w:tcBorders>
          </w:tcPr>
          <w:p>
            <w:pPr>
              <w:pStyle w:val="TableParagraph"/>
              <w:spacing w:before="18"/>
              <w:ind w:left="51" w:right="67"/>
              <w:jc w:val="center"/>
              <w:rPr>
                <w:sz w:val="16"/>
              </w:rPr>
            </w:pPr>
            <w:r>
              <w:rPr>
                <w:sz w:val="16"/>
              </w:rPr>
              <w:t>87</w:t>
            </w:r>
          </w:p>
        </w:tc>
        <w:tc>
          <w:tcPr>
            <w:tcW w:w="422" w:type="dxa"/>
            <w:tcBorders>
              <w:top w:val="single" w:sz="6" w:space="0" w:color="FFFFFF"/>
              <w:left w:val="single" w:sz="4" w:space="0" w:color="000000"/>
              <w:bottom w:val="single" w:sz="13" w:space="0" w:color="FFFFFF"/>
              <w:right w:val="single" w:sz="4" w:space="0" w:color="000000"/>
            </w:tcBorders>
          </w:tcPr>
          <w:p>
            <w:pPr>
              <w:pStyle w:val="TableParagraph"/>
              <w:spacing w:before="15"/>
              <w:ind w:left="67" w:right="73"/>
              <w:jc w:val="center"/>
              <w:rPr>
                <w:sz w:val="16"/>
              </w:rPr>
            </w:pPr>
            <w:r>
              <w:rPr>
                <w:sz w:val="16"/>
              </w:rPr>
              <w:t>GP</w:t>
            </w:r>
          </w:p>
        </w:tc>
      </w:tr>
      <w:tr>
        <w:trPr>
          <w:trHeight w:val="1155" w:hRule="exact"/>
        </w:trPr>
        <w:tc>
          <w:tcPr>
            <w:tcW w:w="990" w:type="dxa"/>
            <w:tcBorders>
              <w:top w:val="single" w:sz="13" w:space="0" w:color="FFFFFF"/>
              <w:left w:val="single" w:sz="4" w:space="0" w:color="000000"/>
              <w:bottom w:val="single" w:sz="13" w:space="0" w:color="FFFFFF"/>
            </w:tcBorders>
          </w:tcPr>
          <w:p>
            <w:pPr>
              <w:pStyle w:val="TableParagraph"/>
              <w:spacing w:before="6"/>
              <w:ind w:left="11" w:right="18" w:firstLine="4"/>
              <w:jc w:val="center"/>
              <w:rPr>
                <w:sz w:val="16"/>
              </w:rPr>
            </w:pPr>
            <w:r>
              <w:rPr>
                <w:sz w:val="16"/>
              </w:rPr>
              <w:t>Movimiento de     Trabajadores y        Campesinos</w:t>
            </w:r>
          </w:p>
          <w:p>
            <w:pPr>
              <w:pStyle w:val="TableParagraph"/>
              <w:spacing w:before="1"/>
              <w:ind w:left="0" w:right="7"/>
              <w:jc w:val="center"/>
              <w:rPr>
                <w:sz w:val="16"/>
              </w:rPr>
            </w:pPr>
            <w:r>
              <w:rPr>
                <w:w w:val="100"/>
                <w:sz w:val="16"/>
              </w:rPr>
              <w:t>*</w:t>
            </w:r>
          </w:p>
        </w:tc>
        <w:tc>
          <w:tcPr>
            <w:tcW w:w="1276" w:type="dxa"/>
            <w:tcBorders>
              <w:top w:val="single" w:sz="4" w:space="0" w:color="000000"/>
              <w:bottom w:val="single" w:sz="4" w:space="0" w:color="000000"/>
              <w:right w:val="single" w:sz="8" w:space="0" w:color="000000"/>
            </w:tcBorders>
          </w:tcPr>
          <w:p>
            <w:pPr>
              <w:pStyle w:val="TableParagraph"/>
              <w:spacing w:before="18"/>
              <w:ind w:left="199" w:right="52"/>
              <w:rPr>
                <w:sz w:val="16"/>
              </w:rPr>
            </w:pPr>
            <w:r>
              <w:rPr>
                <w:sz w:val="16"/>
              </w:rPr>
              <w:t>¢ 7.644.503</w:t>
            </w:r>
          </w:p>
        </w:tc>
        <w:tc>
          <w:tcPr>
            <w:tcW w:w="993" w:type="dxa"/>
            <w:tcBorders>
              <w:top w:val="single" w:sz="4" w:space="0" w:color="000000"/>
              <w:left w:val="single" w:sz="8" w:space="0" w:color="000000"/>
              <w:bottom w:val="single" w:sz="4" w:space="0" w:color="000000"/>
            </w:tcBorders>
          </w:tcPr>
          <w:p>
            <w:pPr>
              <w:pStyle w:val="TableParagraph"/>
              <w:spacing w:before="18"/>
              <w:ind w:left="60" w:right="66"/>
              <w:jc w:val="center"/>
              <w:rPr>
                <w:sz w:val="16"/>
              </w:rPr>
            </w:pPr>
            <w:r>
              <w:rPr>
                <w:sz w:val="16"/>
              </w:rPr>
              <w:t>$15.198</w:t>
            </w:r>
          </w:p>
        </w:tc>
        <w:tc>
          <w:tcPr>
            <w:tcW w:w="1276" w:type="dxa"/>
            <w:tcBorders>
              <w:top w:val="single" w:sz="4" w:space="0" w:color="000000"/>
              <w:bottom w:val="single" w:sz="4" w:space="0" w:color="000000"/>
              <w:right w:val="single" w:sz="4" w:space="0" w:color="000000"/>
            </w:tcBorders>
          </w:tcPr>
          <w:p>
            <w:pPr>
              <w:pStyle w:val="TableParagraph"/>
              <w:spacing w:before="18"/>
              <w:ind w:left="220"/>
              <w:rPr>
                <w:sz w:val="16"/>
              </w:rPr>
            </w:pPr>
            <w:r>
              <w:rPr>
                <w:sz w:val="16"/>
              </w:rPr>
              <w:t>¢2.425.675</w:t>
            </w:r>
          </w:p>
        </w:tc>
        <w:tc>
          <w:tcPr>
            <w:tcW w:w="993" w:type="dxa"/>
            <w:tcBorders>
              <w:top w:val="single" w:sz="4" w:space="0" w:color="000000"/>
              <w:left w:val="single" w:sz="4" w:space="0" w:color="000000"/>
              <w:bottom w:val="single" w:sz="4" w:space="0" w:color="000000"/>
            </w:tcBorders>
          </w:tcPr>
          <w:p>
            <w:pPr>
              <w:pStyle w:val="TableParagraph"/>
              <w:spacing w:before="18"/>
              <w:ind w:left="44" w:right="46"/>
              <w:jc w:val="center"/>
              <w:rPr>
                <w:sz w:val="16"/>
              </w:rPr>
            </w:pPr>
            <w:r>
              <w:rPr>
                <w:sz w:val="16"/>
              </w:rPr>
              <w:t>$ 4,822</w:t>
            </w:r>
          </w:p>
        </w:tc>
        <w:tc>
          <w:tcPr>
            <w:tcW w:w="1276" w:type="dxa"/>
            <w:tcBorders>
              <w:top w:val="single" w:sz="4" w:space="0" w:color="000000"/>
              <w:bottom w:val="single" w:sz="4" w:space="0" w:color="000000"/>
              <w:right w:val="single" w:sz="8" w:space="0" w:color="000000"/>
            </w:tcBorders>
          </w:tcPr>
          <w:p>
            <w:pPr>
              <w:pStyle w:val="TableParagraph"/>
              <w:spacing w:before="18"/>
              <w:ind w:left="16" w:right="25"/>
              <w:jc w:val="center"/>
              <w:rPr>
                <w:sz w:val="16"/>
              </w:rPr>
            </w:pPr>
            <w:r>
              <w:rPr>
                <w:sz w:val="16"/>
              </w:rPr>
              <w:t>¢1.129.681</w:t>
            </w:r>
          </w:p>
        </w:tc>
        <w:tc>
          <w:tcPr>
            <w:tcW w:w="992" w:type="dxa"/>
            <w:tcBorders>
              <w:top w:val="single" w:sz="4" w:space="0" w:color="000000"/>
              <w:left w:val="single" w:sz="8" w:space="0" w:color="000000"/>
              <w:bottom w:val="single" w:sz="4" w:space="0" w:color="000000"/>
            </w:tcBorders>
          </w:tcPr>
          <w:p>
            <w:pPr>
              <w:pStyle w:val="TableParagraph"/>
              <w:spacing w:before="18"/>
              <w:ind w:left="39" w:right="46"/>
              <w:jc w:val="center"/>
              <w:rPr>
                <w:sz w:val="16"/>
              </w:rPr>
            </w:pPr>
            <w:r>
              <w:rPr>
                <w:sz w:val="16"/>
              </w:rPr>
              <w:t>$ 2,246</w:t>
            </w:r>
          </w:p>
        </w:tc>
        <w:tc>
          <w:tcPr>
            <w:tcW w:w="568" w:type="dxa"/>
            <w:tcBorders>
              <w:top w:val="single" w:sz="4" w:space="0" w:color="000000"/>
              <w:bottom w:val="single" w:sz="4" w:space="0" w:color="000000"/>
              <w:right w:val="single" w:sz="4" w:space="0" w:color="000000"/>
            </w:tcBorders>
          </w:tcPr>
          <w:p>
            <w:pPr>
              <w:pStyle w:val="TableParagraph"/>
              <w:spacing w:before="18"/>
              <w:ind w:left="51" w:right="67"/>
              <w:jc w:val="center"/>
              <w:rPr>
                <w:sz w:val="16"/>
              </w:rPr>
            </w:pPr>
            <w:r>
              <w:rPr>
                <w:sz w:val="16"/>
              </w:rPr>
              <w:t>47</w:t>
            </w:r>
          </w:p>
        </w:tc>
        <w:tc>
          <w:tcPr>
            <w:tcW w:w="422" w:type="dxa"/>
            <w:tcBorders>
              <w:top w:val="single" w:sz="13" w:space="0" w:color="FFFFFF"/>
              <w:left w:val="single" w:sz="4" w:space="0" w:color="000000"/>
              <w:bottom w:val="single" w:sz="13" w:space="0" w:color="FFFFFF"/>
              <w:right w:val="single" w:sz="4" w:space="0" w:color="000000"/>
            </w:tcBorders>
          </w:tcPr>
          <w:p>
            <w:pPr>
              <w:pStyle w:val="TableParagraph"/>
              <w:spacing w:before="6"/>
              <w:ind w:left="67" w:right="73"/>
              <w:jc w:val="center"/>
              <w:rPr>
                <w:sz w:val="16"/>
              </w:rPr>
            </w:pPr>
            <w:r>
              <w:rPr>
                <w:sz w:val="16"/>
              </w:rPr>
              <w:t>GP</w:t>
            </w:r>
          </w:p>
        </w:tc>
      </w:tr>
      <w:tr>
        <w:trPr>
          <w:trHeight w:val="418" w:hRule="exact"/>
        </w:trPr>
        <w:tc>
          <w:tcPr>
            <w:tcW w:w="990" w:type="dxa"/>
            <w:tcBorders>
              <w:top w:val="single" w:sz="13" w:space="0" w:color="FFFFFF"/>
              <w:left w:val="single" w:sz="4" w:space="0" w:color="000000"/>
              <w:bottom w:val="single" w:sz="13" w:space="0" w:color="FFFFFF"/>
            </w:tcBorders>
          </w:tcPr>
          <w:p>
            <w:pPr>
              <w:pStyle w:val="TableParagraph"/>
              <w:spacing w:before="3"/>
              <w:ind w:left="199" w:right="45" w:hanging="144"/>
              <w:rPr>
                <w:sz w:val="16"/>
              </w:rPr>
            </w:pPr>
            <w:r>
              <w:rPr>
                <w:sz w:val="16"/>
              </w:rPr>
              <w:t>Renovemos Alajuela</w:t>
            </w:r>
          </w:p>
        </w:tc>
        <w:tc>
          <w:tcPr>
            <w:tcW w:w="1276" w:type="dxa"/>
            <w:tcBorders>
              <w:top w:val="single" w:sz="4" w:space="0" w:color="000000"/>
              <w:bottom w:val="single" w:sz="4" w:space="0" w:color="000000"/>
              <w:right w:val="single" w:sz="8" w:space="0" w:color="000000"/>
            </w:tcBorders>
          </w:tcPr>
          <w:p>
            <w:pPr>
              <w:pStyle w:val="TableParagraph"/>
              <w:spacing w:before="15"/>
              <w:ind w:left="153" w:right="52"/>
              <w:rPr>
                <w:sz w:val="16"/>
              </w:rPr>
            </w:pPr>
            <w:r>
              <w:rPr>
                <w:sz w:val="16"/>
              </w:rPr>
              <w:t>¢ 50.462.208</w:t>
            </w:r>
          </w:p>
        </w:tc>
        <w:tc>
          <w:tcPr>
            <w:tcW w:w="993" w:type="dxa"/>
            <w:tcBorders>
              <w:top w:val="single" w:sz="4" w:space="0" w:color="000000"/>
              <w:left w:val="single" w:sz="8" w:space="0" w:color="000000"/>
              <w:bottom w:val="single" w:sz="4" w:space="0" w:color="000000"/>
            </w:tcBorders>
          </w:tcPr>
          <w:p>
            <w:pPr>
              <w:pStyle w:val="TableParagraph"/>
              <w:spacing w:before="15"/>
              <w:ind w:left="60" w:right="70"/>
              <w:jc w:val="center"/>
              <w:rPr>
                <w:sz w:val="16"/>
              </w:rPr>
            </w:pPr>
            <w:r>
              <w:rPr>
                <w:sz w:val="16"/>
              </w:rPr>
              <w:t>$100.322</w:t>
            </w:r>
          </w:p>
        </w:tc>
        <w:tc>
          <w:tcPr>
            <w:tcW w:w="1276" w:type="dxa"/>
            <w:tcBorders>
              <w:top w:val="single" w:sz="4" w:space="0" w:color="000000"/>
              <w:bottom w:val="single" w:sz="4" w:space="0" w:color="000000"/>
              <w:right w:val="single" w:sz="4" w:space="0" w:color="000000"/>
            </w:tcBorders>
          </w:tcPr>
          <w:p>
            <w:pPr>
              <w:pStyle w:val="TableParagraph"/>
              <w:spacing w:before="15"/>
              <w:ind w:left="175"/>
              <w:rPr>
                <w:sz w:val="16"/>
              </w:rPr>
            </w:pPr>
            <w:r>
              <w:rPr>
                <w:sz w:val="16"/>
              </w:rPr>
              <w:t>¢31.231.298</w:t>
            </w:r>
          </w:p>
        </w:tc>
        <w:tc>
          <w:tcPr>
            <w:tcW w:w="993" w:type="dxa"/>
            <w:tcBorders>
              <w:top w:val="single" w:sz="4" w:space="0" w:color="000000"/>
              <w:left w:val="single" w:sz="4" w:space="0" w:color="000000"/>
              <w:bottom w:val="single" w:sz="4" w:space="0" w:color="000000"/>
            </w:tcBorders>
          </w:tcPr>
          <w:p>
            <w:pPr>
              <w:pStyle w:val="TableParagraph"/>
              <w:spacing w:before="15"/>
              <w:ind w:left="42" w:right="47"/>
              <w:jc w:val="center"/>
              <w:rPr>
                <w:sz w:val="16"/>
              </w:rPr>
            </w:pPr>
            <w:r>
              <w:rPr>
                <w:sz w:val="16"/>
              </w:rPr>
              <w:t>$ 62,090</w:t>
            </w:r>
          </w:p>
        </w:tc>
        <w:tc>
          <w:tcPr>
            <w:tcW w:w="1276" w:type="dxa"/>
            <w:tcBorders>
              <w:top w:val="single" w:sz="4" w:space="0" w:color="000000"/>
              <w:bottom w:val="single" w:sz="4" w:space="0" w:color="000000"/>
              <w:right w:val="single" w:sz="8" w:space="0" w:color="000000"/>
            </w:tcBorders>
          </w:tcPr>
          <w:p>
            <w:pPr>
              <w:pStyle w:val="TableParagraph"/>
              <w:spacing w:before="15"/>
              <w:ind w:left="13" w:right="25"/>
              <w:jc w:val="center"/>
              <w:rPr>
                <w:sz w:val="16"/>
              </w:rPr>
            </w:pPr>
            <w:r>
              <w:rPr>
                <w:sz w:val="16"/>
              </w:rPr>
              <w:t>¢29.964.377</w:t>
            </w:r>
          </w:p>
        </w:tc>
        <w:tc>
          <w:tcPr>
            <w:tcW w:w="992" w:type="dxa"/>
            <w:tcBorders>
              <w:top w:val="single" w:sz="4" w:space="0" w:color="000000"/>
              <w:left w:val="single" w:sz="8" w:space="0" w:color="000000"/>
              <w:bottom w:val="single" w:sz="4" w:space="0" w:color="000000"/>
            </w:tcBorders>
          </w:tcPr>
          <w:p>
            <w:pPr>
              <w:pStyle w:val="TableParagraph"/>
              <w:spacing w:before="15"/>
              <w:ind w:left="37" w:right="46"/>
              <w:jc w:val="center"/>
              <w:rPr>
                <w:sz w:val="16"/>
              </w:rPr>
            </w:pPr>
            <w:r>
              <w:rPr>
                <w:sz w:val="16"/>
              </w:rPr>
              <w:t>$ 59,571</w:t>
            </w:r>
          </w:p>
        </w:tc>
        <w:tc>
          <w:tcPr>
            <w:tcW w:w="568" w:type="dxa"/>
            <w:tcBorders>
              <w:top w:val="single" w:sz="4" w:space="0" w:color="000000"/>
              <w:bottom w:val="single" w:sz="4" w:space="0" w:color="000000"/>
              <w:right w:val="single" w:sz="4" w:space="0" w:color="000000"/>
            </w:tcBorders>
          </w:tcPr>
          <w:p>
            <w:pPr>
              <w:pStyle w:val="TableParagraph"/>
              <w:spacing w:before="15"/>
              <w:ind w:left="51" w:right="67"/>
              <w:jc w:val="center"/>
              <w:rPr>
                <w:sz w:val="16"/>
              </w:rPr>
            </w:pPr>
            <w:r>
              <w:rPr>
                <w:sz w:val="16"/>
              </w:rPr>
              <w:t>96</w:t>
            </w:r>
          </w:p>
        </w:tc>
        <w:tc>
          <w:tcPr>
            <w:tcW w:w="422" w:type="dxa"/>
            <w:tcBorders>
              <w:top w:val="single" w:sz="13" w:space="0" w:color="FFFFFF"/>
              <w:left w:val="single" w:sz="4" w:space="0" w:color="000000"/>
              <w:bottom w:val="single" w:sz="13" w:space="0" w:color="FFFFFF"/>
              <w:right w:val="single" w:sz="4" w:space="0" w:color="000000"/>
            </w:tcBorders>
          </w:tcPr>
          <w:p>
            <w:pPr>
              <w:pStyle w:val="TableParagraph"/>
              <w:spacing w:before="3"/>
              <w:ind w:left="0" w:right="9"/>
              <w:jc w:val="center"/>
              <w:rPr>
                <w:sz w:val="16"/>
              </w:rPr>
            </w:pPr>
            <w:r>
              <w:rPr>
                <w:w w:val="100"/>
                <w:sz w:val="16"/>
              </w:rPr>
              <w:t>4</w:t>
            </w:r>
          </w:p>
        </w:tc>
      </w:tr>
      <w:tr>
        <w:trPr>
          <w:trHeight w:val="418" w:hRule="exact"/>
        </w:trPr>
        <w:tc>
          <w:tcPr>
            <w:tcW w:w="990" w:type="dxa"/>
            <w:tcBorders>
              <w:top w:val="single" w:sz="13" w:space="0" w:color="FFFFFF"/>
              <w:left w:val="single" w:sz="4" w:space="0" w:color="000000"/>
              <w:bottom w:val="single" w:sz="13" w:space="0" w:color="FFFFFF"/>
            </w:tcBorders>
          </w:tcPr>
          <w:p>
            <w:pPr>
              <w:pStyle w:val="TableParagraph"/>
              <w:spacing w:before="6"/>
              <w:ind w:left="43" w:right="30" w:firstLine="110"/>
              <w:rPr>
                <w:sz w:val="16"/>
              </w:rPr>
            </w:pPr>
            <w:r>
              <w:rPr>
                <w:sz w:val="16"/>
              </w:rPr>
              <w:t>Coalición Barva Unida</w:t>
            </w:r>
          </w:p>
        </w:tc>
        <w:tc>
          <w:tcPr>
            <w:tcW w:w="1276" w:type="dxa"/>
            <w:tcBorders>
              <w:top w:val="single" w:sz="4" w:space="0" w:color="000000"/>
              <w:bottom w:val="single" w:sz="4" w:space="0" w:color="000000"/>
              <w:right w:val="single" w:sz="8" w:space="0" w:color="000000"/>
            </w:tcBorders>
          </w:tcPr>
          <w:p>
            <w:pPr>
              <w:pStyle w:val="TableParagraph"/>
              <w:spacing w:before="18"/>
              <w:ind w:left="199" w:right="52"/>
              <w:rPr>
                <w:sz w:val="16"/>
              </w:rPr>
            </w:pPr>
            <w:r>
              <w:rPr>
                <w:sz w:val="16"/>
              </w:rPr>
              <w:t>¢ 5.343.878</w:t>
            </w:r>
          </w:p>
        </w:tc>
        <w:tc>
          <w:tcPr>
            <w:tcW w:w="993" w:type="dxa"/>
            <w:tcBorders>
              <w:top w:val="single" w:sz="4" w:space="0" w:color="000000"/>
              <w:left w:val="single" w:sz="8" w:space="0" w:color="000000"/>
              <w:bottom w:val="single" w:sz="4" w:space="0" w:color="000000"/>
            </w:tcBorders>
          </w:tcPr>
          <w:p>
            <w:pPr>
              <w:pStyle w:val="TableParagraph"/>
              <w:spacing w:before="18"/>
              <w:ind w:left="60" w:right="66"/>
              <w:jc w:val="center"/>
              <w:rPr>
                <w:sz w:val="16"/>
              </w:rPr>
            </w:pPr>
            <w:r>
              <w:rPr>
                <w:sz w:val="16"/>
              </w:rPr>
              <w:t>$10.624</w:t>
            </w:r>
          </w:p>
        </w:tc>
        <w:tc>
          <w:tcPr>
            <w:tcW w:w="1276" w:type="dxa"/>
            <w:tcBorders>
              <w:top w:val="single" w:sz="4" w:space="0" w:color="000000"/>
              <w:bottom w:val="single" w:sz="4" w:space="0" w:color="000000"/>
              <w:right w:val="single" w:sz="4" w:space="0" w:color="000000"/>
            </w:tcBorders>
          </w:tcPr>
          <w:p>
            <w:pPr>
              <w:pStyle w:val="TableParagraph"/>
              <w:spacing w:before="18"/>
              <w:ind w:left="287"/>
              <w:rPr>
                <w:sz w:val="16"/>
              </w:rPr>
            </w:pPr>
            <w:r>
              <w:rPr>
                <w:sz w:val="16"/>
              </w:rPr>
              <w:t>¢503.099</w:t>
            </w:r>
          </w:p>
        </w:tc>
        <w:tc>
          <w:tcPr>
            <w:tcW w:w="993" w:type="dxa"/>
            <w:tcBorders>
              <w:top w:val="single" w:sz="4" w:space="0" w:color="000000"/>
              <w:left w:val="single" w:sz="4" w:space="0" w:color="000000"/>
              <w:bottom w:val="single" w:sz="4" w:space="0" w:color="000000"/>
            </w:tcBorders>
          </w:tcPr>
          <w:p>
            <w:pPr>
              <w:pStyle w:val="TableParagraph"/>
              <w:spacing w:before="18"/>
              <w:ind w:left="42" w:right="47"/>
              <w:jc w:val="center"/>
              <w:rPr>
                <w:sz w:val="16"/>
              </w:rPr>
            </w:pPr>
            <w:r>
              <w:rPr>
                <w:sz w:val="16"/>
              </w:rPr>
              <w:t>$ 1000</w:t>
            </w:r>
          </w:p>
        </w:tc>
        <w:tc>
          <w:tcPr>
            <w:tcW w:w="1276" w:type="dxa"/>
            <w:tcBorders>
              <w:top w:val="single" w:sz="4" w:space="0" w:color="000000"/>
              <w:bottom w:val="single" w:sz="4" w:space="0" w:color="000000"/>
              <w:right w:val="single" w:sz="8" w:space="0" w:color="000000"/>
            </w:tcBorders>
          </w:tcPr>
          <w:p>
            <w:pPr>
              <w:pStyle w:val="TableParagraph"/>
              <w:spacing w:before="18"/>
              <w:ind w:left="16" w:right="25"/>
              <w:jc w:val="center"/>
              <w:rPr>
                <w:sz w:val="16"/>
              </w:rPr>
            </w:pPr>
            <w:r>
              <w:rPr>
                <w:sz w:val="16"/>
              </w:rPr>
              <w:t>¢500.000</w:t>
            </w:r>
          </w:p>
        </w:tc>
        <w:tc>
          <w:tcPr>
            <w:tcW w:w="992" w:type="dxa"/>
            <w:tcBorders>
              <w:top w:val="single" w:sz="4" w:space="0" w:color="000000"/>
              <w:left w:val="single" w:sz="8" w:space="0" w:color="000000"/>
              <w:bottom w:val="single" w:sz="4" w:space="0" w:color="000000"/>
            </w:tcBorders>
          </w:tcPr>
          <w:p>
            <w:pPr>
              <w:pStyle w:val="TableParagraph"/>
              <w:spacing w:before="18"/>
              <w:ind w:left="39" w:right="46"/>
              <w:jc w:val="center"/>
              <w:rPr>
                <w:sz w:val="16"/>
              </w:rPr>
            </w:pPr>
            <w:r>
              <w:rPr>
                <w:sz w:val="16"/>
              </w:rPr>
              <w:t>$ 994</w:t>
            </w:r>
          </w:p>
        </w:tc>
        <w:tc>
          <w:tcPr>
            <w:tcW w:w="568" w:type="dxa"/>
            <w:tcBorders>
              <w:top w:val="single" w:sz="4" w:space="0" w:color="000000"/>
              <w:bottom w:val="single" w:sz="4" w:space="0" w:color="000000"/>
              <w:right w:val="single" w:sz="4" w:space="0" w:color="000000"/>
            </w:tcBorders>
          </w:tcPr>
          <w:p>
            <w:pPr>
              <w:pStyle w:val="TableParagraph"/>
              <w:spacing w:before="18"/>
              <w:ind w:left="51" w:right="67"/>
              <w:jc w:val="center"/>
              <w:rPr>
                <w:sz w:val="16"/>
              </w:rPr>
            </w:pPr>
            <w:r>
              <w:rPr>
                <w:sz w:val="16"/>
              </w:rPr>
              <w:t>99</w:t>
            </w:r>
          </w:p>
        </w:tc>
        <w:tc>
          <w:tcPr>
            <w:tcW w:w="422" w:type="dxa"/>
            <w:tcBorders>
              <w:top w:val="single" w:sz="13" w:space="0" w:color="FFFFFF"/>
              <w:left w:val="single" w:sz="4" w:space="0" w:color="000000"/>
              <w:bottom w:val="single" w:sz="13" w:space="0" w:color="FFFFFF"/>
              <w:right w:val="single" w:sz="4" w:space="0" w:color="000000"/>
            </w:tcBorders>
          </w:tcPr>
          <w:p>
            <w:pPr>
              <w:pStyle w:val="TableParagraph"/>
              <w:spacing w:before="6"/>
              <w:ind w:left="0" w:right="9"/>
              <w:jc w:val="center"/>
              <w:rPr>
                <w:sz w:val="16"/>
              </w:rPr>
            </w:pPr>
            <w:r>
              <w:rPr>
                <w:w w:val="100"/>
                <w:sz w:val="16"/>
              </w:rPr>
              <w:t>1</w:t>
            </w:r>
          </w:p>
        </w:tc>
      </w:tr>
      <w:tr>
        <w:trPr>
          <w:trHeight w:val="787" w:hRule="exact"/>
        </w:trPr>
        <w:tc>
          <w:tcPr>
            <w:tcW w:w="990" w:type="dxa"/>
            <w:tcBorders>
              <w:top w:val="single" w:sz="13" w:space="0" w:color="FFFFFF"/>
              <w:left w:val="single" w:sz="4" w:space="0" w:color="000000"/>
              <w:bottom w:val="single" w:sz="13" w:space="0" w:color="FFFFFF"/>
            </w:tcBorders>
          </w:tcPr>
          <w:p>
            <w:pPr>
              <w:pStyle w:val="TableParagraph"/>
              <w:spacing w:before="6"/>
              <w:ind w:left="117" w:right="124" w:firstLine="2"/>
              <w:jc w:val="center"/>
              <w:rPr>
                <w:sz w:val="16"/>
              </w:rPr>
            </w:pPr>
            <w:r>
              <w:rPr>
                <w:sz w:val="16"/>
              </w:rPr>
              <w:t>Coalición Partido Alianza Zarcereña</w:t>
            </w:r>
          </w:p>
        </w:tc>
        <w:tc>
          <w:tcPr>
            <w:tcW w:w="1276" w:type="dxa"/>
            <w:tcBorders>
              <w:top w:val="single" w:sz="4" w:space="0" w:color="000000"/>
              <w:bottom w:val="single" w:sz="4" w:space="0" w:color="000000"/>
              <w:right w:val="single" w:sz="8" w:space="0" w:color="000000"/>
            </w:tcBorders>
          </w:tcPr>
          <w:p>
            <w:pPr>
              <w:pStyle w:val="TableParagraph"/>
              <w:spacing w:before="18"/>
              <w:ind w:left="199" w:right="52"/>
              <w:rPr>
                <w:sz w:val="16"/>
              </w:rPr>
            </w:pPr>
            <w:r>
              <w:rPr>
                <w:sz w:val="16"/>
              </w:rPr>
              <w:t>¢ 3.840.438</w:t>
            </w:r>
          </w:p>
        </w:tc>
        <w:tc>
          <w:tcPr>
            <w:tcW w:w="993" w:type="dxa"/>
            <w:tcBorders>
              <w:top w:val="single" w:sz="4" w:space="0" w:color="000000"/>
              <w:left w:val="single" w:sz="8" w:space="0" w:color="000000"/>
              <w:bottom w:val="single" w:sz="4" w:space="0" w:color="000000"/>
            </w:tcBorders>
          </w:tcPr>
          <w:p>
            <w:pPr>
              <w:pStyle w:val="TableParagraph"/>
              <w:spacing w:before="18"/>
              <w:ind w:left="60" w:right="69"/>
              <w:jc w:val="center"/>
              <w:rPr>
                <w:sz w:val="16"/>
              </w:rPr>
            </w:pPr>
            <w:r>
              <w:rPr>
                <w:sz w:val="16"/>
              </w:rPr>
              <w:t>$7.635</w:t>
            </w:r>
          </w:p>
        </w:tc>
        <w:tc>
          <w:tcPr>
            <w:tcW w:w="1276" w:type="dxa"/>
            <w:tcBorders>
              <w:top w:val="single" w:sz="4" w:space="0" w:color="000000"/>
              <w:bottom w:val="single" w:sz="4" w:space="0" w:color="000000"/>
              <w:right w:val="single" w:sz="4" w:space="0" w:color="000000"/>
            </w:tcBorders>
          </w:tcPr>
          <w:p>
            <w:pPr>
              <w:pStyle w:val="TableParagraph"/>
              <w:spacing w:before="18"/>
              <w:ind w:left="220"/>
              <w:rPr>
                <w:sz w:val="16"/>
              </w:rPr>
            </w:pPr>
            <w:r>
              <w:rPr>
                <w:sz w:val="16"/>
              </w:rPr>
              <w:t>¢1.724.676</w:t>
            </w:r>
          </w:p>
        </w:tc>
        <w:tc>
          <w:tcPr>
            <w:tcW w:w="993" w:type="dxa"/>
            <w:tcBorders>
              <w:top w:val="single" w:sz="4" w:space="0" w:color="000000"/>
              <w:left w:val="single" w:sz="4" w:space="0" w:color="000000"/>
              <w:bottom w:val="single" w:sz="4" w:space="0" w:color="000000"/>
            </w:tcBorders>
          </w:tcPr>
          <w:p>
            <w:pPr>
              <w:pStyle w:val="TableParagraph"/>
              <w:spacing w:before="18"/>
              <w:ind w:left="44" w:right="46"/>
              <w:jc w:val="center"/>
              <w:rPr>
                <w:sz w:val="16"/>
              </w:rPr>
            </w:pPr>
            <w:r>
              <w:rPr>
                <w:sz w:val="16"/>
              </w:rPr>
              <w:t>$ 3,429</w:t>
            </w:r>
          </w:p>
        </w:tc>
        <w:tc>
          <w:tcPr>
            <w:tcW w:w="1276" w:type="dxa"/>
            <w:tcBorders>
              <w:top w:val="single" w:sz="4" w:space="0" w:color="000000"/>
              <w:bottom w:val="single" w:sz="4" w:space="0" w:color="000000"/>
              <w:right w:val="single" w:sz="8" w:space="0" w:color="000000"/>
            </w:tcBorders>
          </w:tcPr>
          <w:p>
            <w:pPr>
              <w:pStyle w:val="TableParagraph"/>
              <w:spacing w:before="18"/>
              <w:ind w:left="16" w:right="25"/>
              <w:jc w:val="center"/>
              <w:rPr>
                <w:sz w:val="16"/>
              </w:rPr>
            </w:pPr>
            <w:r>
              <w:rPr>
                <w:sz w:val="16"/>
              </w:rPr>
              <w:t>¢1.724.676</w:t>
            </w:r>
          </w:p>
        </w:tc>
        <w:tc>
          <w:tcPr>
            <w:tcW w:w="992" w:type="dxa"/>
            <w:tcBorders>
              <w:top w:val="single" w:sz="4" w:space="0" w:color="000000"/>
              <w:left w:val="single" w:sz="8" w:space="0" w:color="000000"/>
              <w:bottom w:val="single" w:sz="4" w:space="0" w:color="000000"/>
            </w:tcBorders>
          </w:tcPr>
          <w:p>
            <w:pPr>
              <w:pStyle w:val="TableParagraph"/>
              <w:spacing w:before="18"/>
              <w:ind w:left="39" w:right="46"/>
              <w:jc w:val="center"/>
              <w:rPr>
                <w:sz w:val="16"/>
              </w:rPr>
            </w:pPr>
            <w:r>
              <w:rPr>
                <w:sz w:val="16"/>
              </w:rPr>
              <w:t>$ 3,429</w:t>
            </w:r>
          </w:p>
        </w:tc>
        <w:tc>
          <w:tcPr>
            <w:tcW w:w="568" w:type="dxa"/>
            <w:tcBorders>
              <w:top w:val="single" w:sz="4" w:space="0" w:color="000000"/>
              <w:bottom w:val="single" w:sz="4" w:space="0" w:color="000000"/>
              <w:right w:val="single" w:sz="4" w:space="0" w:color="000000"/>
            </w:tcBorders>
          </w:tcPr>
          <w:p>
            <w:pPr>
              <w:pStyle w:val="TableParagraph"/>
              <w:spacing w:before="18"/>
              <w:ind w:left="52" w:right="67"/>
              <w:jc w:val="center"/>
              <w:rPr>
                <w:sz w:val="16"/>
              </w:rPr>
            </w:pPr>
            <w:r>
              <w:rPr>
                <w:sz w:val="16"/>
              </w:rPr>
              <w:t>100</w:t>
            </w:r>
          </w:p>
        </w:tc>
        <w:tc>
          <w:tcPr>
            <w:tcW w:w="422" w:type="dxa"/>
            <w:tcBorders>
              <w:top w:val="single" w:sz="13" w:space="0" w:color="FFFFFF"/>
              <w:left w:val="single" w:sz="4" w:space="0" w:color="000000"/>
              <w:bottom w:val="single" w:sz="13" w:space="0" w:color="FFFFFF"/>
              <w:right w:val="single" w:sz="4" w:space="0" w:color="000000"/>
            </w:tcBorders>
          </w:tcPr>
          <w:p>
            <w:pPr>
              <w:pStyle w:val="TableParagraph"/>
              <w:spacing w:before="6"/>
              <w:ind w:left="0" w:right="9"/>
              <w:jc w:val="center"/>
              <w:rPr>
                <w:sz w:val="16"/>
              </w:rPr>
            </w:pPr>
            <w:r>
              <w:rPr>
                <w:w w:val="100"/>
                <w:sz w:val="16"/>
              </w:rPr>
              <w:t>0</w:t>
            </w:r>
          </w:p>
        </w:tc>
      </w:tr>
      <w:tr>
        <w:trPr>
          <w:trHeight w:val="418" w:hRule="exact"/>
        </w:trPr>
        <w:tc>
          <w:tcPr>
            <w:tcW w:w="990" w:type="dxa"/>
            <w:tcBorders>
              <w:top w:val="single" w:sz="13" w:space="0" w:color="FFFFFF"/>
              <w:left w:val="single" w:sz="4" w:space="0" w:color="000000"/>
              <w:bottom w:val="single" w:sz="13" w:space="0" w:color="F1F1F1"/>
            </w:tcBorders>
          </w:tcPr>
          <w:p>
            <w:pPr>
              <w:pStyle w:val="TableParagraph"/>
              <w:spacing w:before="3"/>
              <w:ind w:left="74" w:right="11" w:hanging="56"/>
              <w:rPr>
                <w:sz w:val="16"/>
              </w:rPr>
            </w:pPr>
            <w:r>
              <w:rPr>
                <w:sz w:val="16"/>
              </w:rPr>
              <w:t>Independient e Belemita*</w:t>
            </w:r>
          </w:p>
        </w:tc>
        <w:tc>
          <w:tcPr>
            <w:tcW w:w="1276" w:type="dxa"/>
            <w:tcBorders>
              <w:top w:val="single" w:sz="4" w:space="0" w:color="000000"/>
              <w:bottom w:val="single" w:sz="4" w:space="0" w:color="000000"/>
              <w:right w:val="single" w:sz="8" w:space="0" w:color="000000"/>
            </w:tcBorders>
          </w:tcPr>
          <w:p>
            <w:pPr>
              <w:pStyle w:val="TableParagraph"/>
              <w:spacing w:before="15"/>
              <w:ind w:left="199" w:right="52"/>
              <w:rPr>
                <w:sz w:val="16"/>
              </w:rPr>
            </w:pPr>
            <w:r>
              <w:rPr>
                <w:sz w:val="16"/>
              </w:rPr>
              <w:t>¢ 4.928.613</w:t>
            </w:r>
          </w:p>
        </w:tc>
        <w:tc>
          <w:tcPr>
            <w:tcW w:w="993" w:type="dxa"/>
            <w:tcBorders>
              <w:top w:val="single" w:sz="4" w:space="0" w:color="000000"/>
              <w:left w:val="single" w:sz="8" w:space="0" w:color="000000"/>
              <w:bottom w:val="single" w:sz="4" w:space="0" w:color="000000"/>
            </w:tcBorders>
          </w:tcPr>
          <w:p>
            <w:pPr>
              <w:pStyle w:val="TableParagraph"/>
              <w:spacing w:before="15"/>
              <w:ind w:left="60" w:right="69"/>
              <w:jc w:val="center"/>
              <w:rPr>
                <w:sz w:val="16"/>
              </w:rPr>
            </w:pPr>
            <w:r>
              <w:rPr>
                <w:sz w:val="16"/>
              </w:rPr>
              <w:t>$9.798</w:t>
            </w:r>
          </w:p>
        </w:tc>
        <w:tc>
          <w:tcPr>
            <w:tcW w:w="1276" w:type="dxa"/>
            <w:tcBorders>
              <w:top w:val="single" w:sz="4" w:space="0" w:color="000000"/>
              <w:bottom w:val="single" w:sz="4" w:space="0" w:color="000000"/>
              <w:right w:val="single" w:sz="4" w:space="0" w:color="000000"/>
            </w:tcBorders>
          </w:tcPr>
          <w:p>
            <w:pPr>
              <w:pStyle w:val="TableParagraph"/>
              <w:spacing w:before="15"/>
              <w:ind w:left="220"/>
              <w:rPr>
                <w:sz w:val="16"/>
              </w:rPr>
            </w:pPr>
            <w:r>
              <w:rPr>
                <w:sz w:val="16"/>
              </w:rPr>
              <w:t>¢5.752.063</w:t>
            </w:r>
          </w:p>
        </w:tc>
        <w:tc>
          <w:tcPr>
            <w:tcW w:w="993" w:type="dxa"/>
            <w:tcBorders>
              <w:top w:val="single" w:sz="4" w:space="0" w:color="000000"/>
              <w:left w:val="single" w:sz="4" w:space="0" w:color="000000"/>
              <w:bottom w:val="single" w:sz="4" w:space="0" w:color="000000"/>
            </w:tcBorders>
          </w:tcPr>
          <w:p>
            <w:pPr>
              <w:pStyle w:val="TableParagraph"/>
              <w:spacing w:before="15"/>
              <w:ind w:left="42" w:right="47"/>
              <w:jc w:val="center"/>
              <w:rPr>
                <w:sz w:val="16"/>
              </w:rPr>
            </w:pPr>
            <w:r>
              <w:rPr>
                <w:sz w:val="16"/>
              </w:rPr>
              <w:t>$ 11,436</w:t>
            </w:r>
          </w:p>
        </w:tc>
        <w:tc>
          <w:tcPr>
            <w:tcW w:w="1276" w:type="dxa"/>
            <w:tcBorders>
              <w:top w:val="single" w:sz="4" w:space="0" w:color="000000"/>
              <w:bottom w:val="single" w:sz="4" w:space="0" w:color="000000"/>
              <w:right w:val="single" w:sz="8" w:space="0" w:color="000000"/>
            </w:tcBorders>
          </w:tcPr>
          <w:p>
            <w:pPr>
              <w:pStyle w:val="TableParagraph"/>
              <w:spacing w:before="15"/>
              <w:ind w:left="16" w:right="25"/>
              <w:jc w:val="center"/>
              <w:rPr>
                <w:sz w:val="16"/>
              </w:rPr>
            </w:pPr>
            <w:r>
              <w:rPr>
                <w:sz w:val="16"/>
              </w:rPr>
              <w:t>¢4.928.613</w:t>
            </w:r>
          </w:p>
        </w:tc>
        <w:tc>
          <w:tcPr>
            <w:tcW w:w="992" w:type="dxa"/>
            <w:tcBorders>
              <w:top w:val="single" w:sz="4" w:space="0" w:color="000000"/>
              <w:left w:val="single" w:sz="8" w:space="0" w:color="000000"/>
              <w:bottom w:val="single" w:sz="4" w:space="0" w:color="000000"/>
            </w:tcBorders>
          </w:tcPr>
          <w:p>
            <w:pPr>
              <w:pStyle w:val="TableParagraph"/>
              <w:spacing w:before="15"/>
              <w:ind w:left="39" w:right="46"/>
              <w:jc w:val="center"/>
              <w:rPr>
                <w:sz w:val="16"/>
              </w:rPr>
            </w:pPr>
            <w:r>
              <w:rPr>
                <w:sz w:val="16"/>
              </w:rPr>
              <w:t>$ 9,798</w:t>
            </w:r>
          </w:p>
        </w:tc>
        <w:tc>
          <w:tcPr>
            <w:tcW w:w="568" w:type="dxa"/>
            <w:tcBorders>
              <w:top w:val="single" w:sz="4" w:space="0" w:color="000000"/>
              <w:bottom w:val="single" w:sz="4" w:space="0" w:color="000000"/>
              <w:right w:val="single" w:sz="4" w:space="0" w:color="000000"/>
            </w:tcBorders>
          </w:tcPr>
          <w:p>
            <w:pPr>
              <w:pStyle w:val="TableParagraph"/>
              <w:spacing w:before="15"/>
              <w:ind w:left="51" w:right="67"/>
              <w:jc w:val="center"/>
              <w:rPr>
                <w:sz w:val="16"/>
              </w:rPr>
            </w:pPr>
            <w:r>
              <w:rPr>
                <w:sz w:val="16"/>
              </w:rPr>
              <w:t>86</w:t>
            </w:r>
          </w:p>
        </w:tc>
        <w:tc>
          <w:tcPr>
            <w:tcW w:w="422" w:type="dxa"/>
            <w:tcBorders>
              <w:top w:val="single" w:sz="13" w:space="0" w:color="FFFFFF"/>
              <w:left w:val="single" w:sz="4" w:space="0" w:color="000000"/>
              <w:bottom w:val="single" w:sz="13" w:space="0" w:color="F1F1F1"/>
              <w:right w:val="single" w:sz="4" w:space="0" w:color="000000"/>
            </w:tcBorders>
          </w:tcPr>
          <w:p>
            <w:pPr>
              <w:pStyle w:val="TableParagraph"/>
              <w:spacing w:before="3"/>
              <w:ind w:left="67" w:right="73"/>
              <w:jc w:val="center"/>
              <w:rPr>
                <w:sz w:val="16"/>
              </w:rPr>
            </w:pPr>
            <w:r>
              <w:rPr>
                <w:sz w:val="16"/>
              </w:rPr>
              <w:t>GP</w:t>
            </w:r>
          </w:p>
        </w:tc>
      </w:tr>
      <w:tr>
        <w:trPr>
          <w:trHeight w:val="602" w:hRule="exact"/>
        </w:trPr>
        <w:tc>
          <w:tcPr>
            <w:tcW w:w="990" w:type="dxa"/>
            <w:tcBorders>
              <w:top w:val="single" w:sz="4" w:space="0" w:color="000000"/>
              <w:left w:val="single" w:sz="4" w:space="0" w:color="000000"/>
              <w:bottom w:val="single" w:sz="13" w:space="0" w:color="FFFFFF"/>
            </w:tcBorders>
            <w:shd w:val="clear" w:color="auto" w:fill="F1F1F1"/>
          </w:tcPr>
          <w:p>
            <w:pPr>
              <w:pStyle w:val="TableParagraph"/>
              <w:spacing w:before="15"/>
              <w:ind w:left="74" w:right="77" w:firstLine="79"/>
              <w:jc w:val="both"/>
              <w:rPr>
                <w:sz w:val="16"/>
              </w:rPr>
            </w:pPr>
            <w:r>
              <w:rPr>
                <w:sz w:val="16"/>
              </w:rPr>
              <w:t>Coalición Montes de Oca Unida*</w:t>
            </w:r>
          </w:p>
        </w:tc>
        <w:tc>
          <w:tcPr>
            <w:tcW w:w="1276" w:type="dxa"/>
            <w:tcBorders>
              <w:top w:val="single" w:sz="4" w:space="0" w:color="000000"/>
              <w:bottom w:val="single" w:sz="4" w:space="0" w:color="000000"/>
              <w:right w:val="single" w:sz="8" w:space="0" w:color="000000"/>
            </w:tcBorders>
            <w:shd w:val="clear" w:color="auto" w:fill="F1F1F1"/>
          </w:tcPr>
          <w:p>
            <w:pPr>
              <w:pStyle w:val="TableParagraph"/>
              <w:spacing w:before="15"/>
              <w:ind w:left="199" w:right="52"/>
              <w:rPr>
                <w:sz w:val="16"/>
              </w:rPr>
            </w:pPr>
            <w:r>
              <w:rPr>
                <w:sz w:val="16"/>
              </w:rPr>
              <w:t>¢ 7.750.593</w:t>
            </w:r>
          </w:p>
        </w:tc>
        <w:tc>
          <w:tcPr>
            <w:tcW w:w="993" w:type="dxa"/>
            <w:tcBorders>
              <w:top w:val="single" w:sz="4" w:space="0" w:color="000000"/>
              <w:left w:val="single" w:sz="8" w:space="0" w:color="000000"/>
              <w:bottom w:val="single" w:sz="4" w:space="0" w:color="000000"/>
            </w:tcBorders>
            <w:shd w:val="clear" w:color="auto" w:fill="F1F1F1"/>
          </w:tcPr>
          <w:p>
            <w:pPr>
              <w:pStyle w:val="TableParagraph"/>
              <w:spacing w:before="15"/>
              <w:ind w:left="60" w:right="66"/>
              <w:jc w:val="center"/>
              <w:rPr>
                <w:sz w:val="16"/>
              </w:rPr>
            </w:pPr>
            <w:r>
              <w:rPr>
                <w:sz w:val="16"/>
              </w:rPr>
              <w:t>$15.409</w:t>
            </w:r>
          </w:p>
        </w:tc>
        <w:tc>
          <w:tcPr>
            <w:tcW w:w="1276" w:type="dxa"/>
            <w:tcBorders>
              <w:top w:val="single" w:sz="4" w:space="0" w:color="000000"/>
              <w:bottom w:val="single" w:sz="4" w:space="0" w:color="000000"/>
              <w:right w:val="single" w:sz="4" w:space="0" w:color="000000"/>
            </w:tcBorders>
            <w:shd w:val="clear" w:color="auto" w:fill="F1F1F1"/>
          </w:tcPr>
          <w:p>
            <w:pPr>
              <w:pStyle w:val="TableParagraph"/>
              <w:spacing w:before="15"/>
              <w:ind w:left="287"/>
              <w:rPr>
                <w:sz w:val="16"/>
              </w:rPr>
            </w:pPr>
            <w:r>
              <w:rPr>
                <w:sz w:val="16"/>
              </w:rPr>
              <w:t>¢760.193</w:t>
            </w:r>
          </w:p>
        </w:tc>
        <w:tc>
          <w:tcPr>
            <w:tcW w:w="993" w:type="dxa"/>
            <w:tcBorders>
              <w:top w:val="single" w:sz="4" w:space="0" w:color="000000"/>
              <w:left w:val="single" w:sz="4" w:space="0" w:color="000000"/>
              <w:bottom w:val="single" w:sz="4" w:space="0" w:color="000000"/>
            </w:tcBorders>
            <w:shd w:val="clear" w:color="auto" w:fill="F1F1F1"/>
          </w:tcPr>
          <w:p>
            <w:pPr>
              <w:pStyle w:val="TableParagraph"/>
              <w:spacing w:before="15"/>
              <w:ind w:left="44" w:right="46"/>
              <w:jc w:val="center"/>
              <w:rPr>
                <w:sz w:val="16"/>
              </w:rPr>
            </w:pPr>
            <w:r>
              <w:rPr>
                <w:sz w:val="16"/>
              </w:rPr>
              <w:t>$ 1,511</w:t>
            </w:r>
          </w:p>
        </w:tc>
        <w:tc>
          <w:tcPr>
            <w:tcW w:w="1276" w:type="dxa"/>
            <w:tcBorders>
              <w:top w:val="single" w:sz="4" w:space="0" w:color="000000"/>
              <w:bottom w:val="single" w:sz="4" w:space="0" w:color="000000"/>
              <w:right w:val="single" w:sz="8" w:space="0" w:color="000000"/>
            </w:tcBorders>
            <w:shd w:val="clear" w:color="auto" w:fill="F1F1F1"/>
          </w:tcPr>
          <w:p>
            <w:pPr>
              <w:pStyle w:val="TableParagraph"/>
              <w:spacing w:before="15"/>
              <w:ind w:left="16" w:right="25"/>
              <w:jc w:val="center"/>
              <w:rPr>
                <w:sz w:val="16"/>
              </w:rPr>
            </w:pPr>
            <w:r>
              <w:rPr>
                <w:sz w:val="16"/>
              </w:rPr>
              <w:t>¢760.193</w:t>
            </w:r>
          </w:p>
        </w:tc>
        <w:tc>
          <w:tcPr>
            <w:tcW w:w="992" w:type="dxa"/>
            <w:tcBorders>
              <w:top w:val="single" w:sz="4" w:space="0" w:color="000000"/>
              <w:left w:val="single" w:sz="8" w:space="0" w:color="000000"/>
              <w:bottom w:val="single" w:sz="4" w:space="0" w:color="000000"/>
            </w:tcBorders>
            <w:shd w:val="clear" w:color="auto" w:fill="F1F1F1"/>
          </w:tcPr>
          <w:p>
            <w:pPr>
              <w:pStyle w:val="TableParagraph"/>
              <w:spacing w:before="15"/>
              <w:ind w:left="39" w:right="46"/>
              <w:jc w:val="center"/>
              <w:rPr>
                <w:sz w:val="16"/>
              </w:rPr>
            </w:pPr>
            <w:r>
              <w:rPr>
                <w:sz w:val="16"/>
              </w:rPr>
              <w:t>$ 1,511</w:t>
            </w:r>
          </w:p>
        </w:tc>
        <w:tc>
          <w:tcPr>
            <w:tcW w:w="568" w:type="dxa"/>
            <w:tcBorders>
              <w:top w:val="single" w:sz="4" w:space="0" w:color="000000"/>
              <w:bottom w:val="single" w:sz="4" w:space="0" w:color="000000"/>
              <w:right w:val="single" w:sz="4" w:space="0" w:color="000000"/>
            </w:tcBorders>
            <w:shd w:val="clear" w:color="auto" w:fill="F1F1F1"/>
          </w:tcPr>
          <w:p>
            <w:pPr>
              <w:pStyle w:val="TableParagraph"/>
              <w:spacing w:before="15"/>
              <w:ind w:left="52" w:right="67"/>
              <w:jc w:val="center"/>
              <w:rPr>
                <w:sz w:val="16"/>
              </w:rPr>
            </w:pPr>
            <w:r>
              <w:rPr>
                <w:sz w:val="16"/>
              </w:rPr>
              <w:t>100</w:t>
            </w:r>
          </w:p>
        </w:tc>
        <w:tc>
          <w:tcPr>
            <w:tcW w:w="422" w:type="dxa"/>
            <w:tcBorders>
              <w:top w:val="single" w:sz="4" w:space="0" w:color="000000"/>
              <w:left w:val="single" w:sz="4" w:space="0" w:color="000000"/>
              <w:bottom w:val="single" w:sz="13" w:space="0" w:color="FFFFFF"/>
              <w:right w:val="single" w:sz="4" w:space="0" w:color="000000"/>
            </w:tcBorders>
            <w:shd w:val="clear" w:color="auto" w:fill="F1F1F1"/>
          </w:tcPr>
          <w:p>
            <w:pPr>
              <w:pStyle w:val="TableParagraph"/>
              <w:spacing w:before="15"/>
              <w:ind w:left="67" w:right="73"/>
              <w:jc w:val="center"/>
              <w:rPr>
                <w:sz w:val="16"/>
              </w:rPr>
            </w:pPr>
            <w:r>
              <w:rPr>
                <w:sz w:val="16"/>
              </w:rPr>
              <w:t>GP</w:t>
            </w:r>
          </w:p>
        </w:tc>
      </w:tr>
      <w:tr>
        <w:trPr>
          <w:trHeight w:val="418" w:hRule="exact"/>
        </w:trPr>
        <w:tc>
          <w:tcPr>
            <w:tcW w:w="990" w:type="dxa"/>
            <w:tcBorders>
              <w:top w:val="single" w:sz="6" w:space="0" w:color="FFFFFF"/>
              <w:left w:val="single" w:sz="4" w:space="0" w:color="000000"/>
              <w:bottom w:val="single" w:sz="13" w:space="0" w:color="F1F1F1"/>
            </w:tcBorders>
          </w:tcPr>
          <w:p>
            <w:pPr>
              <w:pStyle w:val="TableParagraph"/>
              <w:spacing w:before="13"/>
              <w:ind w:left="50" w:right="41" w:firstLine="103"/>
              <w:rPr>
                <w:sz w:val="16"/>
              </w:rPr>
            </w:pPr>
            <w:r>
              <w:rPr>
                <w:sz w:val="16"/>
              </w:rPr>
              <w:t>Coalición Ramonense</w:t>
            </w:r>
          </w:p>
        </w:tc>
        <w:tc>
          <w:tcPr>
            <w:tcW w:w="1276" w:type="dxa"/>
            <w:tcBorders>
              <w:top w:val="single" w:sz="4" w:space="0" w:color="000000"/>
              <w:bottom w:val="single" w:sz="4" w:space="0" w:color="000000"/>
              <w:right w:val="single" w:sz="8" w:space="0" w:color="000000"/>
            </w:tcBorders>
          </w:tcPr>
          <w:p>
            <w:pPr>
              <w:pStyle w:val="TableParagraph"/>
              <w:spacing w:before="15"/>
              <w:ind w:left="153" w:right="52"/>
              <w:rPr>
                <w:sz w:val="16"/>
              </w:rPr>
            </w:pPr>
            <w:r>
              <w:rPr>
                <w:sz w:val="16"/>
              </w:rPr>
              <w:t>¢ 28.031.866</w:t>
            </w:r>
          </w:p>
        </w:tc>
        <w:tc>
          <w:tcPr>
            <w:tcW w:w="993" w:type="dxa"/>
            <w:tcBorders>
              <w:top w:val="single" w:sz="4" w:space="0" w:color="000000"/>
              <w:left w:val="single" w:sz="8" w:space="0" w:color="000000"/>
              <w:bottom w:val="single" w:sz="4" w:space="0" w:color="000000"/>
            </w:tcBorders>
          </w:tcPr>
          <w:p>
            <w:pPr>
              <w:pStyle w:val="TableParagraph"/>
              <w:spacing w:before="15"/>
              <w:ind w:left="60" w:right="66"/>
              <w:jc w:val="center"/>
              <w:rPr>
                <w:sz w:val="16"/>
              </w:rPr>
            </w:pPr>
            <w:r>
              <w:rPr>
                <w:sz w:val="16"/>
              </w:rPr>
              <w:t>$55.729</w:t>
            </w:r>
          </w:p>
        </w:tc>
        <w:tc>
          <w:tcPr>
            <w:tcW w:w="1276" w:type="dxa"/>
            <w:tcBorders>
              <w:top w:val="single" w:sz="4" w:space="0" w:color="000000"/>
              <w:bottom w:val="single" w:sz="4" w:space="0" w:color="000000"/>
              <w:right w:val="single" w:sz="4" w:space="0" w:color="000000"/>
            </w:tcBorders>
          </w:tcPr>
          <w:p>
            <w:pPr>
              <w:pStyle w:val="TableParagraph"/>
              <w:spacing w:before="15"/>
              <w:ind w:left="220"/>
              <w:rPr>
                <w:sz w:val="16"/>
              </w:rPr>
            </w:pPr>
            <w:r>
              <w:rPr>
                <w:sz w:val="16"/>
              </w:rPr>
              <w:t>¢5.011.706</w:t>
            </w:r>
          </w:p>
        </w:tc>
        <w:tc>
          <w:tcPr>
            <w:tcW w:w="993" w:type="dxa"/>
            <w:tcBorders>
              <w:top w:val="single" w:sz="4" w:space="0" w:color="000000"/>
              <w:left w:val="single" w:sz="4" w:space="0" w:color="000000"/>
              <w:bottom w:val="single" w:sz="4" w:space="0" w:color="000000"/>
            </w:tcBorders>
          </w:tcPr>
          <w:p>
            <w:pPr>
              <w:pStyle w:val="TableParagraph"/>
              <w:spacing w:before="15"/>
              <w:ind w:left="44" w:right="46"/>
              <w:jc w:val="center"/>
              <w:rPr>
                <w:sz w:val="16"/>
              </w:rPr>
            </w:pPr>
            <w:r>
              <w:rPr>
                <w:sz w:val="16"/>
              </w:rPr>
              <w:t>$ 9,964</w:t>
            </w:r>
          </w:p>
        </w:tc>
        <w:tc>
          <w:tcPr>
            <w:tcW w:w="1276" w:type="dxa"/>
            <w:tcBorders>
              <w:top w:val="single" w:sz="4" w:space="0" w:color="000000"/>
              <w:bottom w:val="single" w:sz="4" w:space="0" w:color="000000"/>
              <w:right w:val="single" w:sz="8" w:space="0" w:color="000000"/>
            </w:tcBorders>
          </w:tcPr>
          <w:p>
            <w:pPr>
              <w:pStyle w:val="TableParagraph"/>
              <w:spacing w:before="15"/>
              <w:ind w:left="16" w:right="25"/>
              <w:jc w:val="center"/>
              <w:rPr>
                <w:sz w:val="16"/>
              </w:rPr>
            </w:pPr>
            <w:r>
              <w:rPr>
                <w:sz w:val="16"/>
              </w:rPr>
              <w:t>¢3.991.706</w:t>
            </w:r>
          </w:p>
        </w:tc>
        <w:tc>
          <w:tcPr>
            <w:tcW w:w="992" w:type="dxa"/>
            <w:tcBorders>
              <w:top w:val="single" w:sz="4" w:space="0" w:color="000000"/>
              <w:left w:val="single" w:sz="8" w:space="0" w:color="000000"/>
              <w:bottom w:val="single" w:sz="4" w:space="0" w:color="000000"/>
            </w:tcBorders>
          </w:tcPr>
          <w:p>
            <w:pPr>
              <w:pStyle w:val="TableParagraph"/>
              <w:spacing w:before="15"/>
              <w:ind w:left="39" w:right="46"/>
              <w:jc w:val="center"/>
              <w:rPr>
                <w:sz w:val="16"/>
              </w:rPr>
            </w:pPr>
            <w:r>
              <w:rPr>
                <w:sz w:val="16"/>
              </w:rPr>
              <w:t>$ 7,936</w:t>
            </w:r>
          </w:p>
        </w:tc>
        <w:tc>
          <w:tcPr>
            <w:tcW w:w="568" w:type="dxa"/>
            <w:tcBorders>
              <w:top w:val="single" w:sz="4" w:space="0" w:color="000000"/>
              <w:bottom w:val="single" w:sz="4" w:space="0" w:color="000000"/>
              <w:right w:val="single" w:sz="4" w:space="0" w:color="000000"/>
            </w:tcBorders>
          </w:tcPr>
          <w:p>
            <w:pPr>
              <w:pStyle w:val="TableParagraph"/>
              <w:spacing w:before="15"/>
              <w:ind w:left="51" w:right="67"/>
              <w:jc w:val="center"/>
              <w:rPr>
                <w:sz w:val="16"/>
              </w:rPr>
            </w:pPr>
            <w:r>
              <w:rPr>
                <w:sz w:val="16"/>
              </w:rPr>
              <w:t>80</w:t>
            </w:r>
          </w:p>
        </w:tc>
        <w:tc>
          <w:tcPr>
            <w:tcW w:w="422" w:type="dxa"/>
            <w:tcBorders>
              <w:top w:val="single" w:sz="6" w:space="0" w:color="FFFFFF"/>
              <w:left w:val="single" w:sz="4" w:space="0" w:color="000000"/>
              <w:bottom w:val="single" w:sz="13" w:space="0" w:color="F1F1F1"/>
              <w:right w:val="single" w:sz="4" w:space="0" w:color="000000"/>
            </w:tcBorders>
          </w:tcPr>
          <w:p>
            <w:pPr>
              <w:pStyle w:val="TableParagraph"/>
              <w:spacing w:before="13"/>
              <w:ind w:left="66" w:right="73"/>
              <w:jc w:val="center"/>
              <w:rPr>
                <w:sz w:val="16"/>
              </w:rPr>
            </w:pPr>
            <w:r>
              <w:rPr>
                <w:sz w:val="16"/>
              </w:rPr>
              <w:t>20</w:t>
            </w:r>
          </w:p>
        </w:tc>
      </w:tr>
      <w:tr>
        <w:trPr>
          <w:trHeight w:val="603" w:hRule="exact"/>
        </w:trPr>
        <w:tc>
          <w:tcPr>
            <w:tcW w:w="990" w:type="dxa"/>
            <w:tcBorders>
              <w:top w:val="single" w:sz="4" w:space="0" w:color="000000"/>
              <w:left w:val="single" w:sz="4" w:space="0" w:color="000000"/>
              <w:bottom w:val="single" w:sz="6" w:space="0" w:color="FFFFFF"/>
            </w:tcBorders>
            <w:shd w:val="clear" w:color="auto" w:fill="F1F1F1"/>
          </w:tcPr>
          <w:p>
            <w:pPr>
              <w:pStyle w:val="TableParagraph"/>
              <w:spacing w:before="15"/>
              <w:ind w:left="14" w:right="21"/>
              <w:jc w:val="center"/>
              <w:rPr>
                <w:sz w:val="16"/>
              </w:rPr>
            </w:pPr>
            <w:r>
              <w:rPr>
                <w:sz w:val="16"/>
              </w:rPr>
              <w:t>Accesibilidad sin    Exclusión**</w:t>
            </w:r>
          </w:p>
        </w:tc>
        <w:tc>
          <w:tcPr>
            <w:tcW w:w="1276" w:type="dxa"/>
            <w:tcBorders>
              <w:top w:val="single" w:sz="4" w:space="0" w:color="000000"/>
              <w:bottom w:val="single" w:sz="8" w:space="0" w:color="000000"/>
              <w:right w:val="single" w:sz="8" w:space="0" w:color="000000"/>
            </w:tcBorders>
            <w:shd w:val="clear" w:color="auto" w:fill="F1F1F1"/>
          </w:tcPr>
          <w:p>
            <w:pPr>
              <w:pStyle w:val="TableParagraph"/>
              <w:spacing w:before="15"/>
              <w:ind w:left="0" w:right="118"/>
              <w:jc w:val="right"/>
              <w:rPr>
                <w:sz w:val="16"/>
              </w:rPr>
            </w:pPr>
            <w:r>
              <w:rPr>
                <w:sz w:val="16"/>
              </w:rPr>
              <w:t>¢ 157.664.089</w:t>
            </w:r>
          </w:p>
        </w:tc>
        <w:tc>
          <w:tcPr>
            <w:tcW w:w="993" w:type="dxa"/>
            <w:tcBorders>
              <w:top w:val="single" w:sz="4" w:space="0" w:color="000000"/>
              <w:left w:val="single" w:sz="8" w:space="0" w:color="000000"/>
              <w:bottom w:val="single" w:sz="8" w:space="0" w:color="000000"/>
            </w:tcBorders>
            <w:shd w:val="clear" w:color="auto" w:fill="F1F1F1"/>
          </w:tcPr>
          <w:p>
            <w:pPr>
              <w:pStyle w:val="TableParagraph"/>
              <w:spacing w:before="15"/>
              <w:ind w:left="60" w:right="70"/>
              <w:jc w:val="center"/>
              <w:rPr>
                <w:sz w:val="16"/>
              </w:rPr>
            </w:pPr>
            <w:r>
              <w:rPr>
                <w:sz w:val="16"/>
              </w:rPr>
              <w:t>$313.447</w:t>
            </w:r>
          </w:p>
        </w:tc>
        <w:tc>
          <w:tcPr>
            <w:tcW w:w="1276" w:type="dxa"/>
            <w:tcBorders>
              <w:top w:val="single" w:sz="4" w:space="0" w:color="000000"/>
              <w:bottom w:val="single" w:sz="8" w:space="0" w:color="000000"/>
              <w:right w:val="single" w:sz="4" w:space="0" w:color="000000"/>
            </w:tcBorders>
            <w:shd w:val="clear" w:color="auto" w:fill="F1F1F1"/>
          </w:tcPr>
          <w:p>
            <w:pPr>
              <w:pStyle w:val="TableParagraph"/>
              <w:spacing w:before="15"/>
              <w:ind w:left="0" w:right="146"/>
              <w:jc w:val="right"/>
              <w:rPr>
                <w:sz w:val="16"/>
              </w:rPr>
            </w:pPr>
            <w:r>
              <w:rPr>
                <w:sz w:val="16"/>
              </w:rPr>
              <w:t>¢147.321.502</w:t>
            </w:r>
          </w:p>
        </w:tc>
        <w:tc>
          <w:tcPr>
            <w:tcW w:w="993" w:type="dxa"/>
            <w:tcBorders>
              <w:top w:val="single" w:sz="4" w:space="0" w:color="000000"/>
              <w:left w:val="single" w:sz="4" w:space="0" w:color="000000"/>
              <w:bottom w:val="single" w:sz="8" w:space="0" w:color="000000"/>
            </w:tcBorders>
            <w:shd w:val="clear" w:color="auto" w:fill="F1F1F1"/>
          </w:tcPr>
          <w:p>
            <w:pPr>
              <w:pStyle w:val="TableParagraph"/>
              <w:spacing w:before="15"/>
              <w:ind w:left="44" w:right="47"/>
              <w:jc w:val="center"/>
              <w:rPr>
                <w:sz w:val="16"/>
              </w:rPr>
            </w:pPr>
            <w:r>
              <w:rPr>
                <w:sz w:val="16"/>
              </w:rPr>
              <w:t>$ 292,886</w:t>
            </w:r>
          </w:p>
        </w:tc>
        <w:tc>
          <w:tcPr>
            <w:tcW w:w="1276" w:type="dxa"/>
            <w:tcBorders>
              <w:top w:val="single" w:sz="4" w:space="0" w:color="000000"/>
              <w:bottom w:val="single" w:sz="8" w:space="0" w:color="000000"/>
              <w:right w:val="single" w:sz="8" w:space="0" w:color="000000"/>
            </w:tcBorders>
            <w:shd w:val="clear" w:color="auto" w:fill="F1F1F1"/>
          </w:tcPr>
          <w:p>
            <w:pPr>
              <w:pStyle w:val="TableParagraph"/>
              <w:spacing w:before="15"/>
              <w:ind w:left="13" w:right="25"/>
              <w:jc w:val="center"/>
              <w:rPr>
                <w:sz w:val="16"/>
              </w:rPr>
            </w:pPr>
            <w:r>
              <w:rPr>
                <w:sz w:val="16"/>
              </w:rPr>
              <w:t>¢42.113.369</w:t>
            </w:r>
          </w:p>
        </w:tc>
        <w:tc>
          <w:tcPr>
            <w:tcW w:w="992" w:type="dxa"/>
            <w:tcBorders>
              <w:top w:val="single" w:sz="4" w:space="0" w:color="000000"/>
              <w:left w:val="single" w:sz="8" w:space="0" w:color="000000"/>
              <w:bottom w:val="single" w:sz="8" w:space="0" w:color="000000"/>
            </w:tcBorders>
            <w:shd w:val="clear" w:color="auto" w:fill="F1F1F1"/>
          </w:tcPr>
          <w:p>
            <w:pPr>
              <w:pStyle w:val="TableParagraph"/>
              <w:spacing w:before="15"/>
              <w:ind w:left="37" w:right="46"/>
              <w:jc w:val="center"/>
              <w:rPr>
                <w:sz w:val="16"/>
              </w:rPr>
            </w:pPr>
            <w:r>
              <w:rPr>
                <w:sz w:val="16"/>
              </w:rPr>
              <w:t>$ 83,724</w:t>
            </w:r>
          </w:p>
        </w:tc>
        <w:tc>
          <w:tcPr>
            <w:tcW w:w="568" w:type="dxa"/>
            <w:tcBorders>
              <w:top w:val="single" w:sz="4" w:space="0" w:color="000000"/>
              <w:bottom w:val="single" w:sz="8" w:space="0" w:color="000000"/>
              <w:right w:val="single" w:sz="4" w:space="0" w:color="000000"/>
            </w:tcBorders>
            <w:shd w:val="clear" w:color="auto" w:fill="F1F1F1"/>
          </w:tcPr>
          <w:p>
            <w:pPr>
              <w:pStyle w:val="TableParagraph"/>
              <w:spacing w:before="15"/>
              <w:ind w:left="51" w:right="67"/>
              <w:jc w:val="center"/>
              <w:rPr>
                <w:sz w:val="16"/>
              </w:rPr>
            </w:pPr>
            <w:r>
              <w:rPr>
                <w:sz w:val="16"/>
              </w:rPr>
              <w:t>29</w:t>
            </w:r>
          </w:p>
        </w:tc>
        <w:tc>
          <w:tcPr>
            <w:tcW w:w="422" w:type="dxa"/>
            <w:tcBorders>
              <w:top w:val="single" w:sz="4" w:space="0" w:color="000000"/>
              <w:left w:val="single" w:sz="4" w:space="0" w:color="000000"/>
              <w:bottom w:val="single" w:sz="6" w:space="0" w:color="FFFFFF"/>
              <w:right w:val="single" w:sz="4" w:space="0" w:color="000000"/>
            </w:tcBorders>
            <w:shd w:val="clear" w:color="auto" w:fill="F1F1F1"/>
          </w:tcPr>
          <w:p>
            <w:pPr>
              <w:pStyle w:val="TableParagraph"/>
              <w:spacing w:before="15"/>
              <w:ind w:left="67" w:right="73"/>
              <w:jc w:val="center"/>
              <w:rPr>
                <w:sz w:val="16"/>
              </w:rPr>
            </w:pPr>
            <w:r>
              <w:rPr>
                <w:sz w:val="16"/>
              </w:rPr>
              <w:t>GP</w:t>
            </w:r>
          </w:p>
        </w:tc>
      </w:tr>
      <w:tr>
        <w:trPr>
          <w:trHeight w:val="418" w:hRule="exact"/>
        </w:trPr>
        <w:tc>
          <w:tcPr>
            <w:tcW w:w="990" w:type="dxa"/>
            <w:tcBorders>
              <w:top w:val="single" w:sz="6" w:space="0" w:color="FFFFFF"/>
              <w:left w:val="single" w:sz="4" w:space="0" w:color="000000"/>
              <w:bottom w:val="single" w:sz="13" w:space="0" w:color="F1F1F1"/>
            </w:tcBorders>
          </w:tcPr>
          <w:p>
            <w:pPr>
              <w:pStyle w:val="TableParagraph"/>
              <w:spacing w:before="13"/>
              <w:ind w:left="64" w:right="54" w:firstLine="208"/>
              <w:rPr>
                <w:sz w:val="16"/>
              </w:rPr>
            </w:pPr>
            <w:r>
              <w:rPr>
                <w:sz w:val="16"/>
              </w:rPr>
              <w:t>Unión Palmareña*</w:t>
            </w:r>
          </w:p>
        </w:tc>
        <w:tc>
          <w:tcPr>
            <w:tcW w:w="1276" w:type="dxa"/>
            <w:tcBorders>
              <w:top w:val="single" w:sz="8" w:space="0" w:color="000000"/>
              <w:bottom w:val="single" w:sz="4" w:space="0" w:color="000000"/>
              <w:right w:val="single" w:sz="8" w:space="0" w:color="000000"/>
            </w:tcBorders>
          </w:tcPr>
          <w:p>
            <w:pPr>
              <w:pStyle w:val="TableParagraph"/>
              <w:spacing w:before="10"/>
              <w:ind w:left="153" w:right="52"/>
              <w:rPr>
                <w:sz w:val="16"/>
              </w:rPr>
            </w:pPr>
            <w:r>
              <w:rPr>
                <w:sz w:val="16"/>
              </w:rPr>
              <w:t>¢ 14.340.264</w:t>
            </w:r>
          </w:p>
        </w:tc>
        <w:tc>
          <w:tcPr>
            <w:tcW w:w="993" w:type="dxa"/>
            <w:tcBorders>
              <w:top w:val="single" w:sz="8" w:space="0" w:color="000000"/>
              <w:left w:val="single" w:sz="8" w:space="0" w:color="000000"/>
              <w:bottom w:val="single" w:sz="4" w:space="0" w:color="000000"/>
            </w:tcBorders>
          </w:tcPr>
          <w:p>
            <w:pPr>
              <w:pStyle w:val="TableParagraph"/>
              <w:spacing w:before="10"/>
              <w:ind w:left="60" w:right="66"/>
              <w:jc w:val="center"/>
              <w:rPr>
                <w:sz w:val="16"/>
              </w:rPr>
            </w:pPr>
            <w:r>
              <w:rPr>
                <w:sz w:val="16"/>
              </w:rPr>
              <w:t>$28.509</w:t>
            </w:r>
          </w:p>
        </w:tc>
        <w:tc>
          <w:tcPr>
            <w:tcW w:w="1276" w:type="dxa"/>
            <w:tcBorders>
              <w:top w:val="single" w:sz="8" w:space="0" w:color="000000"/>
              <w:bottom w:val="single" w:sz="4" w:space="0" w:color="000000"/>
              <w:right w:val="single" w:sz="4" w:space="0" w:color="000000"/>
            </w:tcBorders>
          </w:tcPr>
          <w:p>
            <w:pPr>
              <w:pStyle w:val="TableParagraph"/>
              <w:spacing w:before="10"/>
              <w:ind w:left="220"/>
              <w:rPr>
                <w:sz w:val="16"/>
              </w:rPr>
            </w:pPr>
            <w:r>
              <w:rPr>
                <w:sz w:val="16"/>
              </w:rPr>
              <w:t>¢7.027.372</w:t>
            </w:r>
          </w:p>
        </w:tc>
        <w:tc>
          <w:tcPr>
            <w:tcW w:w="993" w:type="dxa"/>
            <w:tcBorders>
              <w:top w:val="single" w:sz="8" w:space="0" w:color="000000"/>
              <w:left w:val="single" w:sz="4" w:space="0" w:color="000000"/>
              <w:bottom w:val="single" w:sz="4" w:space="0" w:color="000000"/>
            </w:tcBorders>
          </w:tcPr>
          <w:p>
            <w:pPr>
              <w:pStyle w:val="TableParagraph"/>
              <w:spacing w:before="10"/>
              <w:ind w:left="42" w:right="47"/>
              <w:jc w:val="center"/>
              <w:rPr>
                <w:sz w:val="16"/>
              </w:rPr>
            </w:pPr>
            <w:r>
              <w:rPr>
                <w:sz w:val="16"/>
              </w:rPr>
              <w:t>$ 13,971</w:t>
            </w:r>
          </w:p>
        </w:tc>
        <w:tc>
          <w:tcPr>
            <w:tcW w:w="1276" w:type="dxa"/>
            <w:tcBorders>
              <w:top w:val="single" w:sz="8" w:space="0" w:color="000000"/>
              <w:bottom w:val="single" w:sz="4" w:space="0" w:color="000000"/>
              <w:right w:val="single" w:sz="8" w:space="0" w:color="000000"/>
            </w:tcBorders>
          </w:tcPr>
          <w:p>
            <w:pPr>
              <w:pStyle w:val="TableParagraph"/>
              <w:spacing w:before="10"/>
              <w:ind w:left="16" w:right="25"/>
              <w:jc w:val="center"/>
              <w:rPr>
                <w:sz w:val="16"/>
              </w:rPr>
            </w:pPr>
            <w:r>
              <w:rPr>
                <w:sz w:val="16"/>
              </w:rPr>
              <w:t>¢4.782.268</w:t>
            </w:r>
          </w:p>
        </w:tc>
        <w:tc>
          <w:tcPr>
            <w:tcW w:w="992" w:type="dxa"/>
            <w:tcBorders>
              <w:top w:val="single" w:sz="8" w:space="0" w:color="000000"/>
              <w:left w:val="single" w:sz="8" w:space="0" w:color="000000"/>
              <w:bottom w:val="single" w:sz="4" w:space="0" w:color="000000"/>
            </w:tcBorders>
          </w:tcPr>
          <w:p>
            <w:pPr>
              <w:pStyle w:val="TableParagraph"/>
              <w:spacing w:before="10"/>
              <w:ind w:left="39" w:right="46"/>
              <w:jc w:val="center"/>
              <w:rPr>
                <w:sz w:val="16"/>
              </w:rPr>
            </w:pPr>
            <w:r>
              <w:rPr>
                <w:sz w:val="16"/>
              </w:rPr>
              <w:t>$ 9,507</w:t>
            </w:r>
          </w:p>
        </w:tc>
        <w:tc>
          <w:tcPr>
            <w:tcW w:w="568" w:type="dxa"/>
            <w:tcBorders>
              <w:top w:val="single" w:sz="8" w:space="0" w:color="000000"/>
              <w:bottom w:val="single" w:sz="4" w:space="0" w:color="000000"/>
              <w:right w:val="single" w:sz="4" w:space="0" w:color="000000"/>
            </w:tcBorders>
          </w:tcPr>
          <w:p>
            <w:pPr>
              <w:pStyle w:val="TableParagraph"/>
              <w:spacing w:before="10"/>
              <w:ind w:left="51" w:right="67"/>
              <w:jc w:val="center"/>
              <w:rPr>
                <w:sz w:val="16"/>
              </w:rPr>
            </w:pPr>
            <w:r>
              <w:rPr>
                <w:sz w:val="16"/>
              </w:rPr>
              <w:t>68</w:t>
            </w:r>
          </w:p>
        </w:tc>
        <w:tc>
          <w:tcPr>
            <w:tcW w:w="422" w:type="dxa"/>
            <w:tcBorders>
              <w:top w:val="single" w:sz="6" w:space="0" w:color="FFFFFF"/>
              <w:left w:val="single" w:sz="4" w:space="0" w:color="000000"/>
              <w:bottom w:val="single" w:sz="13" w:space="0" w:color="F1F1F1"/>
              <w:right w:val="single" w:sz="4" w:space="0" w:color="000000"/>
            </w:tcBorders>
          </w:tcPr>
          <w:p>
            <w:pPr>
              <w:pStyle w:val="TableParagraph"/>
              <w:spacing w:before="13"/>
              <w:ind w:left="67" w:right="73"/>
              <w:jc w:val="center"/>
              <w:rPr>
                <w:sz w:val="16"/>
              </w:rPr>
            </w:pPr>
            <w:r>
              <w:rPr>
                <w:sz w:val="16"/>
              </w:rPr>
              <w:t>GP</w:t>
            </w:r>
          </w:p>
        </w:tc>
      </w:tr>
      <w:tr>
        <w:trPr>
          <w:trHeight w:val="418" w:hRule="exact"/>
        </w:trPr>
        <w:tc>
          <w:tcPr>
            <w:tcW w:w="990" w:type="dxa"/>
            <w:tcBorders>
              <w:top w:val="single" w:sz="4" w:space="0" w:color="000000"/>
              <w:left w:val="single" w:sz="4" w:space="0" w:color="000000"/>
              <w:bottom w:val="single" w:sz="13" w:space="0" w:color="FFFFFF"/>
            </w:tcBorders>
            <w:shd w:val="clear" w:color="auto" w:fill="F1F1F1"/>
          </w:tcPr>
          <w:p>
            <w:pPr>
              <w:pStyle w:val="TableParagraph"/>
              <w:spacing w:before="15"/>
              <w:ind w:left="172" w:right="104" w:hanging="60"/>
              <w:rPr>
                <w:sz w:val="16"/>
              </w:rPr>
            </w:pPr>
            <w:r>
              <w:rPr>
                <w:sz w:val="16"/>
              </w:rPr>
              <w:t>Liberación Nacional</w:t>
            </w:r>
          </w:p>
        </w:tc>
        <w:tc>
          <w:tcPr>
            <w:tcW w:w="1276" w:type="dxa"/>
            <w:tcBorders>
              <w:top w:val="single" w:sz="4" w:space="0" w:color="000000"/>
              <w:bottom w:val="single" w:sz="4" w:space="0" w:color="000000"/>
              <w:right w:val="single" w:sz="8" w:space="0" w:color="000000"/>
            </w:tcBorders>
            <w:shd w:val="clear" w:color="auto" w:fill="F1F1F1"/>
          </w:tcPr>
          <w:p>
            <w:pPr>
              <w:pStyle w:val="TableParagraph"/>
              <w:spacing w:before="15"/>
              <w:ind w:left="0" w:right="50"/>
              <w:jc w:val="right"/>
              <w:rPr>
                <w:sz w:val="16"/>
              </w:rPr>
            </w:pPr>
            <w:r>
              <w:rPr>
                <w:sz w:val="16"/>
              </w:rPr>
              <w:t>¢ 2.074.849.111</w:t>
            </w:r>
          </w:p>
        </w:tc>
        <w:tc>
          <w:tcPr>
            <w:tcW w:w="993" w:type="dxa"/>
            <w:tcBorders>
              <w:top w:val="single" w:sz="4" w:space="0" w:color="000000"/>
              <w:left w:val="single" w:sz="8" w:space="0" w:color="000000"/>
              <w:bottom w:val="single" w:sz="4" w:space="0" w:color="000000"/>
            </w:tcBorders>
            <w:shd w:val="clear" w:color="auto" w:fill="F1F1F1"/>
          </w:tcPr>
          <w:p>
            <w:pPr>
              <w:pStyle w:val="TableParagraph"/>
              <w:spacing w:before="15"/>
              <w:ind w:left="60" w:right="70"/>
              <w:jc w:val="center"/>
              <w:rPr>
                <w:sz w:val="16"/>
              </w:rPr>
            </w:pPr>
            <w:r>
              <w:rPr>
                <w:sz w:val="16"/>
              </w:rPr>
              <w:t>$4.124.949</w:t>
            </w:r>
          </w:p>
        </w:tc>
        <w:tc>
          <w:tcPr>
            <w:tcW w:w="1276" w:type="dxa"/>
            <w:tcBorders>
              <w:top w:val="single" w:sz="4" w:space="0" w:color="000000"/>
              <w:bottom w:val="single" w:sz="4" w:space="0" w:color="000000"/>
              <w:right w:val="single" w:sz="4" w:space="0" w:color="000000"/>
            </w:tcBorders>
            <w:shd w:val="clear" w:color="auto" w:fill="F1F1F1"/>
          </w:tcPr>
          <w:p>
            <w:pPr>
              <w:pStyle w:val="TableParagraph"/>
              <w:spacing w:before="15"/>
              <w:ind w:left="0" w:right="79"/>
              <w:jc w:val="right"/>
              <w:rPr>
                <w:sz w:val="16"/>
              </w:rPr>
            </w:pPr>
            <w:r>
              <w:rPr>
                <w:sz w:val="16"/>
              </w:rPr>
              <w:t>¢1.543.782.282</w:t>
            </w:r>
          </w:p>
        </w:tc>
        <w:tc>
          <w:tcPr>
            <w:tcW w:w="993" w:type="dxa"/>
            <w:tcBorders>
              <w:top w:val="single" w:sz="4" w:space="0" w:color="000000"/>
              <w:left w:val="single" w:sz="4" w:space="0" w:color="000000"/>
              <w:bottom w:val="single" w:sz="4" w:space="0" w:color="000000"/>
            </w:tcBorders>
            <w:shd w:val="clear" w:color="auto" w:fill="F1F1F1"/>
          </w:tcPr>
          <w:p>
            <w:pPr>
              <w:pStyle w:val="TableParagraph"/>
              <w:spacing w:before="15"/>
              <w:ind w:left="44" w:right="47"/>
              <w:jc w:val="center"/>
              <w:rPr>
                <w:sz w:val="16"/>
              </w:rPr>
            </w:pPr>
            <w:r>
              <w:rPr>
                <w:sz w:val="16"/>
              </w:rPr>
              <w:t>$ 3,069,150</w:t>
            </w:r>
          </w:p>
        </w:tc>
        <w:tc>
          <w:tcPr>
            <w:tcW w:w="1276" w:type="dxa"/>
            <w:tcBorders>
              <w:top w:val="single" w:sz="4" w:space="0" w:color="000000"/>
              <w:bottom w:val="single" w:sz="4" w:space="0" w:color="000000"/>
              <w:right w:val="single" w:sz="8" w:space="0" w:color="000000"/>
            </w:tcBorders>
            <w:shd w:val="clear" w:color="auto" w:fill="F1F1F1"/>
          </w:tcPr>
          <w:p>
            <w:pPr>
              <w:pStyle w:val="TableParagraph"/>
              <w:spacing w:before="15"/>
              <w:ind w:left="15" w:right="25"/>
              <w:jc w:val="center"/>
              <w:rPr>
                <w:sz w:val="16"/>
              </w:rPr>
            </w:pPr>
            <w:r>
              <w:rPr>
                <w:sz w:val="16"/>
              </w:rPr>
              <w:t>¢1.473.529.507</w:t>
            </w:r>
          </w:p>
        </w:tc>
        <w:tc>
          <w:tcPr>
            <w:tcW w:w="992" w:type="dxa"/>
            <w:tcBorders>
              <w:top w:val="single" w:sz="4" w:space="0" w:color="000000"/>
              <w:left w:val="single" w:sz="8" w:space="0" w:color="000000"/>
              <w:bottom w:val="single" w:sz="4" w:space="0" w:color="000000"/>
            </w:tcBorders>
            <w:shd w:val="clear" w:color="auto" w:fill="F1F1F1"/>
          </w:tcPr>
          <w:p>
            <w:pPr>
              <w:pStyle w:val="TableParagraph"/>
              <w:spacing w:before="15"/>
              <w:ind w:left="39" w:right="46"/>
              <w:jc w:val="center"/>
              <w:rPr>
                <w:sz w:val="16"/>
              </w:rPr>
            </w:pPr>
            <w:r>
              <w:rPr>
                <w:sz w:val="16"/>
              </w:rPr>
              <w:t>$ 2,929,482</w:t>
            </w:r>
          </w:p>
        </w:tc>
        <w:tc>
          <w:tcPr>
            <w:tcW w:w="568" w:type="dxa"/>
            <w:tcBorders>
              <w:top w:val="single" w:sz="4" w:space="0" w:color="000000"/>
              <w:bottom w:val="single" w:sz="4" w:space="0" w:color="000000"/>
              <w:right w:val="single" w:sz="4" w:space="0" w:color="000000"/>
            </w:tcBorders>
            <w:shd w:val="clear" w:color="auto" w:fill="F1F1F1"/>
          </w:tcPr>
          <w:p>
            <w:pPr>
              <w:pStyle w:val="TableParagraph"/>
              <w:spacing w:before="15"/>
              <w:ind w:left="51" w:right="67"/>
              <w:jc w:val="center"/>
              <w:rPr>
                <w:sz w:val="16"/>
              </w:rPr>
            </w:pPr>
            <w:r>
              <w:rPr>
                <w:sz w:val="16"/>
              </w:rPr>
              <w:t>95</w:t>
            </w:r>
          </w:p>
        </w:tc>
        <w:tc>
          <w:tcPr>
            <w:tcW w:w="422" w:type="dxa"/>
            <w:tcBorders>
              <w:top w:val="single" w:sz="4" w:space="0" w:color="000000"/>
              <w:left w:val="single" w:sz="4" w:space="0" w:color="000000"/>
              <w:bottom w:val="single" w:sz="13" w:space="0" w:color="FFFFFF"/>
              <w:right w:val="single" w:sz="4" w:space="0" w:color="000000"/>
            </w:tcBorders>
            <w:shd w:val="clear" w:color="auto" w:fill="F1F1F1"/>
          </w:tcPr>
          <w:p>
            <w:pPr>
              <w:pStyle w:val="TableParagraph"/>
              <w:spacing w:before="15"/>
              <w:ind w:left="0" w:right="9"/>
              <w:jc w:val="center"/>
              <w:rPr>
                <w:sz w:val="16"/>
              </w:rPr>
            </w:pPr>
            <w:r>
              <w:rPr>
                <w:w w:val="100"/>
                <w:sz w:val="16"/>
              </w:rPr>
              <w:t>5</w:t>
            </w:r>
          </w:p>
        </w:tc>
      </w:tr>
      <w:tr>
        <w:trPr>
          <w:trHeight w:val="797" w:hRule="exact"/>
        </w:trPr>
        <w:tc>
          <w:tcPr>
            <w:tcW w:w="990" w:type="dxa"/>
            <w:tcBorders>
              <w:top w:val="single" w:sz="6" w:space="0" w:color="FFFFFF"/>
              <w:left w:val="single" w:sz="4" w:space="0" w:color="000000"/>
              <w:bottom w:val="single" w:sz="6" w:space="0" w:color="FFFFFF"/>
            </w:tcBorders>
          </w:tcPr>
          <w:p>
            <w:pPr>
              <w:pStyle w:val="TableParagraph"/>
              <w:spacing w:before="13"/>
              <w:ind w:left="74" w:right="76"/>
              <w:jc w:val="center"/>
              <w:rPr>
                <w:sz w:val="16"/>
              </w:rPr>
            </w:pPr>
            <w:r>
              <w:rPr>
                <w:sz w:val="16"/>
              </w:rPr>
              <w:t>Movimiento Avance Santo Domingo</w:t>
            </w:r>
          </w:p>
        </w:tc>
        <w:tc>
          <w:tcPr>
            <w:tcW w:w="1276" w:type="dxa"/>
            <w:tcBorders>
              <w:top w:val="single" w:sz="4" w:space="0" w:color="000000"/>
              <w:bottom w:val="single" w:sz="6" w:space="0" w:color="FFFFFF"/>
              <w:right w:val="single" w:sz="8" w:space="0" w:color="000000"/>
            </w:tcBorders>
          </w:tcPr>
          <w:p>
            <w:pPr>
              <w:pStyle w:val="TableParagraph"/>
              <w:spacing w:before="15"/>
              <w:ind w:left="153" w:right="52"/>
              <w:rPr>
                <w:sz w:val="16"/>
              </w:rPr>
            </w:pPr>
            <w:r>
              <w:rPr>
                <w:sz w:val="16"/>
              </w:rPr>
              <w:t>¢ 13.449.112</w:t>
            </w:r>
          </w:p>
        </w:tc>
        <w:tc>
          <w:tcPr>
            <w:tcW w:w="993" w:type="dxa"/>
            <w:tcBorders>
              <w:top w:val="single" w:sz="4" w:space="0" w:color="000000"/>
              <w:left w:val="single" w:sz="8" w:space="0" w:color="000000"/>
              <w:bottom w:val="single" w:sz="6" w:space="0" w:color="FFFFFF"/>
            </w:tcBorders>
          </w:tcPr>
          <w:p>
            <w:pPr>
              <w:pStyle w:val="TableParagraph"/>
              <w:spacing w:before="15"/>
              <w:ind w:left="60" w:right="66"/>
              <w:jc w:val="center"/>
              <w:rPr>
                <w:sz w:val="16"/>
              </w:rPr>
            </w:pPr>
            <w:r>
              <w:rPr>
                <w:sz w:val="16"/>
              </w:rPr>
              <w:t>$26.738</w:t>
            </w:r>
          </w:p>
        </w:tc>
        <w:tc>
          <w:tcPr>
            <w:tcW w:w="1276" w:type="dxa"/>
            <w:tcBorders>
              <w:top w:val="single" w:sz="4" w:space="0" w:color="000000"/>
              <w:bottom w:val="single" w:sz="6" w:space="0" w:color="FFFFFF"/>
              <w:right w:val="single" w:sz="4" w:space="0" w:color="000000"/>
            </w:tcBorders>
          </w:tcPr>
          <w:p>
            <w:pPr>
              <w:pStyle w:val="TableParagraph"/>
              <w:spacing w:before="15"/>
              <w:ind w:left="220"/>
              <w:rPr>
                <w:sz w:val="16"/>
              </w:rPr>
            </w:pPr>
            <w:r>
              <w:rPr>
                <w:sz w:val="16"/>
              </w:rPr>
              <w:t>¢7.603.583</w:t>
            </w:r>
          </w:p>
        </w:tc>
        <w:tc>
          <w:tcPr>
            <w:tcW w:w="993" w:type="dxa"/>
            <w:tcBorders>
              <w:top w:val="single" w:sz="4" w:space="0" w:color="000000"/>
              <w:left w:val="single" w:sz="4" w:space="0" w:color="000000"/>
              <w:bottom w:val="single" w:sz="6" w:space="0" w:color="FFFFFF"/>
            </w:tcBorders>
          </w:tcPr>
          <w:p>
            <w:pPr>
              <w:pStyle w:val="TableParagraph"/>
              <w:spacing w:before="15"/>
              <w:ind w:left="42" w:right="47"/>
              <w:jc w:val="center"/>
              <w:rPr>
                <w:sz w:val="16"/>
              </w:rPr>
            </w:pPr>
            <w:r>
              <w:rPr>
                <w:sz w:val="16"/>
              </w:rPr>
              <w:t>$ 15,116</w:t>
            </w:r>
          </w:p>
        </w:tc>
        <w:tc>
          <w:tcPr>
            <w:tcW w:w="1276" w:type="dxa"/>
            <w:tcBorders>
              <w:top w:val="single" w:sz="4" w:space="0" w:color="000000"/>
              <w:bottom w:val="single" w:sz="6" w:space="0" w:color="FFFFFF"/>
              <w:right w:val="single" w:sz="8" w:space="0" w:color="000000"/>
            </w:tcBorders>
          </w:tcPr>
          <w:p>
            <w:pPr>
              <w:pStyle w:val="TableParagraph"/>
              <w:spacing w:before="15"/>
              <w:ind w:left="16" w:right="25"/>
              <w:jc w:val="center"/>
              <w:rPr>
                <w:sz w:val="16"/>
              </w:rPr>
            </w:pPr>
            <w:r>
              <w:rPr>
                <w:sz w:val="16"/>
              </w:rPr>
              <w:t>¢3.283.916</w:t>
            </w:r>
          </w:p>
        </w:tc>
        <w:tc>
          <w:tcPr>
            <w:tcW w:w="992" w:type="dxa"/>
            <w:tcBorders>
              <w:top w:val="single" w:sz="4" w:space="0" w:color="000000"/>
              <w:left w:val="single" w:sz="8" w:space="0" w:color="000000"/>
              <w:bottom w:val="single" w:sz="6" w:space="0" w:color="FFFFFF"/>
            </w:tcBorders>
          </w:tcPr>
          <w:p>
            <w:pPr>
              <w:pStyle w:val="TableParagraph"/>
              <w:spacing w:before="15"/>
              <w:ind w:left="39" w:right="46"/>
              <w:jc w:val="center"/>
              <w:rPr>
                <w:sz w:val="16"/>
              </w:rPr>
            </w:pPr>
            <w:r>
              <w:rPr>
                <w:sz w:val="16"/>
              </w:rPr>
              <w:t>$ 6,529</w:t>
            </w:r>
          </w:p>
        </w:tc>
        <w:tc>
          <w:tcPr>
            <w:tcW w:w="568" w:type="dxa"/>
            <w:tcBorders>
              <w:top w:val="single" w:sz="4" w:space="0" w:color="000000"/>
              <w:bottom w:val="single" w:sz="6" w:space="0" w:color="FFFFFF"/>
              <w:right w:val="single" w:sz="4" w:space="0" w:color="000000"/>
            </w:tcBorders>
          </w:tcPr>
          <w:p>
            <w:pPr>
              <w:pStyle w:val="TableParagraph"/>
              <w:spacing w:before="15"/>
              <w:ind w:left="51" w:right="67"/>
              <w:jc w:val="center"/>
              <w:rPr>
                <w:sz w:val="16"/>
              </w:rPr>
            </w:pPr>
            <w:r>
              <w:rPr>
                <w:sz w:val="16"/>
              </w:rPr>
              <w:t>43</w:t>
            </w:r>
          </w:p>
        </w:tc>
        <w:tc>
          <w:tcPr>
            <w:tcW w:w="422" w:type="dxa"/>
            <w:tcBorders>
              <w:top w:val="single" w:sz="6" w:space="0" w:color="FFFFFF"/>
              <w:left w:val="single" w:sz="4" w:space="0" w:color="000000"/>
              <w:bottom w:val="single" w:sz="6" w:space="0" w:color="FFFFFF"/>
              <w:right w:val="single" w:sz="4" w:space="0" w:color="000000"/>
            </w:tcBorders>
          </w:tcPr>
          <w:p>
            <w:pPr>
              <w:pStyle w:val="TableParagraph"/>
              <w:spacing w:before="13"/>
              <w:ind w:left="66" w:right="73"/>
              <w:jc w:val="center"/>
              <w:rPr>
                <w:sz w:val="16"/>
              </w:rPr>
            </w:pPr>
            <w:r>
              <w:rPr>
                <w:sz w:val="16"/>
              </w:rPr>
              <w:t>57</w:t>
            </w:r>
          </w:p>
        </w:tc>
      </w:tr>
      <w:tr>
        <w:trPr>
          <w:trHeight w:val="308" w:hRule="exact"/>
        </w:trPr>
        <w:tc>
          <w:tcPr>
            <w:tcW w:w="990" w:type="dxa"/>
            <w:tcBorders>
              <w:top w:val="single" w:sz="6" w:space="0" w:color="FFFFFF"/>
              <w:left w:val="single" w:sz="4" w:space="0" w:color="000000"/>
            </w:tcBorders>
          </w:tcPr>
          <w:p>
            <w:pPr>
              <w:pStyle w:val="TableParagraph"/>
              <w:spacing w:before="3"/>
              <w:ind w:left="91" w:right="45"/>
              <w:rPr>
                <w:sz w:val="16"/>
              </w:rPr>
            </w:pPr>
            <w:r>
              <w:rPr>
                <w:sz w:val="16"/>
              </w:rPr>
              <w:t>Evaluación</w:t>
            </w:r>
          </w:p>
        </w:tc>
        <w:tc>
          <w:tcPr>
            <w:tcW w:w="7796" w:type="dxa"/>
            <w:gridSpan w:val="8"/>
            <w:tcBorders>
              <w:top w:val="single" w:sz="6" w:space="0" w:color="FFFFFF"/>
              <w:right w:val="single" w:sz="4" w:space="0" w:color="000000"/>
            </w:tcBorders>
          </w:tcPr>
          <w:p>
            <w:pPr>
              <w:pStyle w:val="TableParagraph"/>
              <w:spacing w:before="1"/>
              <w:ind w:left="9"/>
              <w:rPr>
                <w:b/>
                <w:sz w:val="16"/>
              </w:rPr>
            </w:pPr>
            <w:r>
              <w:rPr>
                <w:sz w:val="16"/>
              </w:rPr>
              <w:t>Suma de % (e) 47.67% entre 2 partidos = 23.83% entre 12 = </w:t>
            </w:r>
            <w:r>
              <w:rPr>
                <w:b/>
                <w:sz w:val="16"/>
              </w:rPr>
              <w:t>1.98% (3.0) altamente apegados a la</w:t>
            </w:r>
          </w:p>
        </w:tc>
      </w:tr>
    </w:tbl>
    <w:p>
      <w:pPr>
        <w:spacing w:after="0"/>
        <w:rPr>
          <w:sz w:val="16"/>
        </w:rPr>
        <w:sectPr>
          <w:pgSz w:w="12240" w:h="15840"/>
          <w:pgMar w:header="749" w:footer="1003" w:top="960" w:bottom="1200" w:left="1580" w:right="1600"/>
        </w:sectPr>
      </w:pPr>
    </w:p>
    <w:p>
      <w:pPr>
        <w:pStyle w:val="BodyText"/>
        <w:rPr>
          <w:b/>
          <w:sz w:val="20"/>
        </w:rPr>
      </w:pPr>
    </w:p>
    <w:p>
      <w:pPr>
        <w:pStyle w:val="BodyText"/>
        <w:spacing w:before="8"/>
        <w:rPr>
          <w:b/>
          <w:sz w:val="19"/>
        </w:rPr>
      </w:pPr>
    </w:p>
    <w:tbl>
      <w:tblPr>
        <w:tblW w:w="0" w:type="auto"/>
        <w:jc w:val="left"/>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90"/>
        <w:gridCol w:w="7796"/>
      </w:tblGrid>
      <w:tr>
        <w:trPr>
          <w:trHeight w:val="312" w:hRule="exact"/>
        </w:trPr>
        <w:tc>
          <w:tcPr>
            <w:tcW w:w="990" w:type="dxa"/>
            <w:tcBorders>
              <w:top w:val="single" w:sz="6" w:space="0" w:color="FFFFFF"/>
              <w:bottom w:val="double" w:sz="3" w:space="0" w:color="000000"/>
              <w:right w:val="double" w:sz="3" w:space="0" w:color="000000"/>
            </w:tcBorders>
          </w:tcPr>
          <w:p>
            <w:pPr>
              <w:pStyle w:val="TableParagraph"/>
              <w:spacing w:before="7"/>
              <w:ind w:left="215" w:right="62"/>
              <w:rPr>
                <w:sz w:val="16"/>
              </w:rPr>
            </w:pPr>
            <w:r>
              <w:rPr>
                <w:sz w:val="16"/>
              </w:rPr>
              <w:t>general</w:t>
            </w:r>
          </w:p>
        </w:tc>
        <w:tc>
          <w:tcPr>
            <w:tcW w:w="7796" w:type="dxa"/>
            <w:tcBorders>
              <w:top w:val="single" w:sz="6" w:space="0" w:color="FFFFFF"/>
              <w:left w:val="double" w:sz="3" w:space="0" w:color="000000"/>
              <w:bottom w:val="double" w:sz="3" w:space="0" w:color="000000"/>
            </w:tcBorders>
          </w:tcPr>
          <w:p>
            <w:pPr>
              <w:pStyle w:val="TableParagraph"/>
              <w:spacing w:before="4"/>
              <w:ind w:left="9"/>
              <w:rPr>
                <w:b/>
                <w:sz w:val="16"/>
              </w:rPr>
            </w:pPr>
            <w:r>
              <w:rPr>
                <w:b/>
                <w:sz w:val="16"/>
              </w:rPr>
              <w:t>legalidad)</w:t>
            </w:r>
          </w:p>
        </w:tc>
      </w:tr>
    </w:tbl>
    <w:p>
      <w:pPr>
        <w:spacing w:line="240" w:lineRule="auto" w:before="0"/>
        <w:ind w:left="122" w:right="114" w:firstLine="0"/>
        <w:jc w:val="both"/>
        <w:rPr>
          <w:sz w:val="20"/>
        </w:rPr>
      </w:pPr>
      <w:r>
        <w:rPr>
          <w:sz w:val="20"/>
        </w:rPr>
        <w:t>Fuente: las columnas (a), (b), (c) y (d) fueron tomadas de Robles (2012: 66-67), la (e) es de elaboración propia. Notas: GP= giros pendientes de efectuarse hasta en tanto se acrediten las publicaciones previstas en el artículo 135 del Código Electoral. En el caso de la Coalición Montes de Oca Unida, la suma pendiente corresponde solamente al partido Humanista de Montes de  Oca;</w:t>
      </w:r>
    </w:p>
    <w:p>
      <w:pPr>
        <w:spacing w:before="0"/>
        <w:ind w:left="122" w:right="117" w:firstLine="0"/>
        <w:jc w:val="both"/>
        <w:rPr>
          <w:sz w:val="20"/>
        </w:rPr>
      </w:pPr>
      <w:r>
        <w:rPr>
          <w:sz w:val="20"/>
        </w:rPr>
        <w:t>** suma que corresponde al 81,47% de la revisión efectuada, que se reconoce y ordena girar como monto parcial a título de contribución estatal, habiendo rubros pendientes de revisión. Las filas sin color corresponden a partidos de provincias distintas a la de San José, las cuatro filas sombreadas corresponden a partidos que participaron en las elecciones en la Provincia de San José, de estas sólo dos filas cuentan con datos concluyentes, siendo estas las únicas tomadas en cuenta para la calificación; %(d) se refiere al porcentaje comprobado por los partidos sobre el aprobado por el TSE. %(e) se refiere al porcentaje de diferencia entre lo comprobado y lo aprobado. En todas las columnas se hizo conversión a números enteros.</w:t>
      </w:r>
    </w:p>
    <w:p>
      <w:pPr>
        <w:pStyle w:val="BodyText"/>
        <w:rPr>
          <w:sz w:val="20"/>
        </w:rPr>
      </w:pPr>
    </w:p>
    <w:p>
      <w:pPr>
        <w:pStyle w:val="BodyText"/>
        <w:rPr>
          <w:sz w:val="16"/>
        </w:rPr>
      </w:pPr>
    </w:p>
    <w:p>
      <w:pPr>
        <w:pStyle w:val="BodyText"/>
        <w:spacing w:line="360" w:lineRule="auto"/>
        <w:ind w:left="122" w:right="117" w:firstLine="707"/>
        <w:jc w:val="both"/>
      </w:pPr>
      <w:r>
        <w:rPr/>
        <w:t>Robles señala que el financiamiento estatal para el proceso municipal es sólo para gastos de campaña, de acuerdo con lo aprobado por el legislador artículos 91 y 101 del Código Electoral y sentencia número 5738-E8-2010 (2012: 58); por lo tanto el financiamiento sobrante no se destina para los gastos de organización y capacitación de los partidos políticos provinciales o cantonales durante el período no electoral a diferencia de lo señalado en el cuadro 3.11; situación que no permite el fortalecimiento y la permanencia de los partidos políticos cantonales al no contar con recursos durante los periodos no electorales (entre una elección y otra).</w:t>
      </w:r>
    </w:p>
    <w:p>
      <w:pPr>
        <w:pStyle w:val="BodyText"/>
        <w:spacing w:line="360" w:lineRule="auto" w:before="5"/>
        <w:ind w:left="122" w:right="121" w:firstLine="707"/>
        <w:jc w:val="both"/>
      </w:pPr>
      <w:r>
        <w:rPr/>
        <w:t>Existen notas periodísticas que hacen referencia a los montos aprobados por el TSE para los partidos que participaron en las elecciones cantonales, sin embargo, no señalan las fuentes de las cuales obtuvieron dicho datos, por lo tanto no se les puede dar pleno valor probatorio y sólo se mencionan como información complementaria. Las siguientes notas aluden al financiamiento público, que es materia del presente estudio:</w:t>
      </w:r>
    </w:p>
    <w:p>
      <w:pPr>
        <w:pStyle w:val="BodyText"/>
        <w:spacing w:line="360" w:lineRule="auto" w:before="5"/>
        <w:ind w:left="122" w:right="119"/>
        <w:jc w:val="both"/>
      </w:pPr>
      <w:r>
        <w:rPr/>
        <w:t>-El PIN recibió ¢450.000,00 colones ($899 USD) de los 43 millones de colones ($85,905.50 USD), a que tenía derecho pues el TSE señaló un dudoso manejo de los cheques utilizados para justificar los gastos de campaña (Oviedo, 2011a).</w:t>
      </w:r>
    </w:p>
    <w:p>
      <w:pPr>
        <w:pStyle w:val="BodyText"/>
        <w:spacing w:line="360" w:lineRule="auto" w:before="2"/>
        <w:ind w:left="122" w:right="114"/>
        <w:jc w:val="both"/>
      </w:pPr>
      <w:r>
        <w:rPr/>
        <w:t>-El TSE le reembolso al PLN el 95 % de los gastos de la elección de alcaldes, el Partido Liberación Nacional (PLN) pidió el reconocimiento de ¢1.544 millones ($3,084,606.93 USD) y el tribunal le concedió poco más de ¢1.460 millones ($2,916,791.52 USD). El PLN, que ganó 59 de las 81 alcaldías en    disputa, podía</w:t>
      </w:r>
    </w:p>
    <w:p>
      <w:pPr>
        <w:spacing w:after="0" w:line="360" w:lineRule="auto"/>
        <w:jc w:val="both"/>
        <w:sectPr>
          <w:pgSz w:w="12240" w:h="15840"/>
          <w:pgMar w:header="749" w:footer="1003" w:top="960" w:bottom="1200" w:left="1580" w:right="1580"/>
        </w:sectPr>
      </w:pPr>
    </w:p>
    <w:p>
      <w:pPr>
        <w:pStyle w:val="BodyText"/>
        <w:rPr>
          <w:sz w:val="20"/>
        </w:rPr>
      </w:pPr>
    </w:p>
    <w:p>
      <w:pPr>
        <w:pStyle w:val="BodyText"/>
        <w:spacing w:line="362" w:lineRule="auto" w:before="214"/>
        <w:ind w:left="102" w:right="125"/>
        <w:jc w:val="both"/>
      </w:pPr>
      <w:r>
        <w:rPr/>
        <w:t>reclamar hasta ¢2.075 millones ($4,145,440.01 USD) debido a la cantidad de votos</w:t>
      </w:r>
      <w:r>
        <w:rPr>
          <w:spacing w:val="-3"/>
        </w:rPr>
        <w:t> </w:t>
      </w:r>
      <w:r>
        <w:rPr/>
        <w:t>recibidos.</w:t>
      </w:r>
    </w:p>
    <w:p>
      <w:pPr>
        <w:pStyle w:val="BodyText"/>
        <w:spacing w:line="360" w:lineRule="auto"/>
        <w:ind w:left="102" w:right="117"/>
        <w:jc w:val="both"/>
      </w:pPr>
      <w:r>
        <w:rPr/>
        <w:t>-Esta es la primera vez que el Estado les reconoce a los partidos políticos gastos hechos para elecciones municipales. Un total de 31 agrupaciones cobraron deuda política por este proceso electoral. Al Partido Accesibilidad Sin Exclusión (PASE)  el TSE también le reconoció gastos por ¢42 millones ($83,907.70 USD), que corresponden al 26% de lo solicitado, ya que esta agrupación presentó una liquidación por ¢161 millones. El tribunal, además, le reconoció casi ¢11 millones ($21,975.82 USD) a cada uno de los partidos cantonales Todo por Flores y Unión Ateniense. Entre tanto, le retribuyó ¢5 millones ($9,989.01 USD) a la agrupación Independiente Belemita y ¢4 millones ($7,991.20 USD) a El Puente y los Caminos de Mora. Todavía está por definirse la liquidación de partidos nacionales como Acción Ciudadana (PAC), Unidad Social Cristiana (PUSC) y Movimiento Libertario. El PAC reclama ¢295 millones ($589,351.71 USD), el PUSC ¢700 millones ($ 1,398,461.69 USD); y el Libertario ¢623 millones ($1,244,630.90 USD) (Oviedo, 2011b).</w:t>
      </w:r>
    </w:p>
    <w:p>
      <w:pPr>
        <w:pStyle w:val="BodyText"/>
        <w:spacing w:line="360" w:lineRule="auto" w:before="2"/>
        <w:ind w:left="102" w:right="116" w:firstLine="707"/>
        <w:jc w:val="both"/>
      </w:pPr>
      <w:r>
        <w:rPr/>
        <w:t>Cabe señalar que en la aplicación del financiamiento privado si hubo irregularidades (aunque no en la provincia objeto de estudio), sin embargo, no son materia del presente estudio; pero a manera de referencia menciono algunas:</w:t>
      </w:r>
    </w:p>
    <w:p>
      <w:pPr>
        <w:pStyle w:val="BodyText"/>
        <w:spacing w:before="5"/>
        <w:ind w:left="102"/>
        <w:jc w:val="both"/>
      </w:pPr>
      <w:r>
        <w:rPr/>
        <w:t>1.- Mediante acta número 0036-DGRE-2011 (TSE, 2013) se impuso una multa  de</w:t>
      </w:r>
    </w:p>
    <w:p>
      <w:pPr>
        <w:pStyle w:val="BodyText"/>
        <w:spacing w:line="360" w:lineRule="auto" w:before="137"/>
        <w:ind w:left="102" w:right="124"/>
        <w:jc w:val="both"/>
      </w:pPr>
      <w:r>
        <w:rPr/>
        <w:t>¢ 100.000.00, (cien mil colones) ($199.78 USD) al Partido Renovemos Alajuela (partido del cantón de Alajuela, correspondiente a la provincia del mismo nombre) por recibir donaciones en dinero de la empresa Refrescos La Mundial S.A.</w:t>
      </w:r>
    </w:p>
    <w:p>
      <w:pPr>
        <w:pStyle w:val="BodyText"/>
        <w:spacing w:line="360" w:lineRule="auto" w:before="5"/>
        <w:ind w:left="102" w:right="116"/>
        <w:jc w:val="both"/>
      </w:pPr>
      <w:r>
        <w:rPr/>
        <w:t>2.- Mediante acta número 6302-E10-2012 (TSE, 2012) se resolvió la impugnación en contra del partido nacional Alianza Patriótica relativa a supuestas aportaciones en especie por parte de la empresa Grupo Tecni Center S.A, misma que quedó sin efecto al no existir elementos suficientes para acreditar que fue una donación en especie y no una prestación de servicios remunerados. No procedió su envió al Ministerio Público.</w:t>
      </w:r>
    </w:p>
    <w:p>
      <w:pPr>
        <w:spacing w:after="0" w:line="360" w:lineRule="auto"/>
        <w:jc w:val="both"/>
        <w:sectPr>
          <w:pgSz w:w="12240" w:h="15840"/>
          <w:pgMar w:header="749" w:footer="1003" w:top="960" w:bottom="1200" w:left="1600" w:right="1580"/>
        </w:sectPr>
      </w:pPr>
    </w:p>
    <w:p>
      <w:pPr>
        <w:pStyle w:val="BodyText"/>
        <w:rPr>
          <w:sz w:val="20"/>
        </w:rPr>
      </w:pPr>
    </w:p>
    <w:p>
      <w:pPr>
        <w:pStyle w:val="BodyText"/>
        <w:spacing w:line="360" w:lineRule="auto" w:before="214"/>
        <w:ind w:left="102" w:right="116" w:firstLine="707"/>
        <w:jc w:val="both"/>
      </w:pPr>
      <w:r>
        <w:rPr/>
        <w:t>A diferencia de las notas que hacen referencia al financiamiento público, las relativas al financiamiento privado si señalan la fuente de la cual se obtuvo la información señalando el acta respectiva.</w:t>
      </w:r>
    </w:p>
    <w:p>
      <w:pPr>
        <w:pStyle w:val="BodyText"/>
        <w:spacing w:line="360" w:lineRule="auto" w:before="5"/>
        <w:ind w:left="102" w:right="115" w:firstLine="707"/>
        <w:jc w:val="both"/>
      </w:pPr>
      <w:r>
        <w:rPr/>
        <w:t>Continuando con las notas de prensa Soto (2012) señala que hasta el momento continúan las investigaciones por irregularidades en el financiamiento privado en contra de diez partidos políticos: el Partido Liberación Nacional (PLN), el Movimiento Libertario (ML), Partido Integración Nacional (PIN), Unidad Social Cristiana (PUSC), Acción Ciudadana (PAC), Renovación Costarricense (PRC), Accesibilidad Sin Exclusión (PASE), Alianza Patriótica, Partido del Sol y Coalición Unidos por San Carlos. De éstos, el TSE estableció acusaciones penales en  contra del PLN, ML y PRC mismas que fueron remitidas al Ministerio</w:t>
      </w:r>
      <w:r>
        <w:rPr>
          <w:spacing w:val="-18"/>
        </w:rPr>
        <w:t> </w:t>
      </w:r>
      <w:r>
        <w:rPr/>
        <w:t>Público.</w:t>
      </w:r>
    </w:p>
    <w:p>
      <w:pPr>
        <w:pStyle w:val="BodyText"/>
        <w:spacing w:line="360" w:lineRule="auto" w:before="5"/>
        <w:ind w:left="102" w:right="118" w:firstLine="707"/>
        <w:jc w:val="both"/>
      </w:pPr>
      <w:r>
        <w:rPr/>
        <w:t>De acuerdo con datos de Oviedo (2012) y Soto (2012) el PLN tiene denuncias relativas a tres causas: la primera, relativa a la supuesta donación en especie de un inmueble propiedad de la sociedad jurídica Chicharrín S.A., cuyo propietario es el diputado Oscar Alfaro. Lugar donde se instaló el club de campaña liberacionista La Casa de la Victoria. La Fiscalía investiga este caso y de comprobarse que efectivamente existe la donación, Alfaro habría incurrido en la violación del artículo 288 del código electoral, que prohíbe </w:t>
      </w:r>
      <w:r>
        <w:rPr>
          <w:spacing w:val="2"/>
        </w:rPr>
        <w:t>las </w:t>
      </w:r>
      <w:r>
        <w:rPr/>
        <w:t>donaciones en especie de sociedades jurídicas a Partidos Políticos. La segunda causa es relativa al gasto de ¢1.550,00 millones ($3,096,593.74 USD) en las elecciones municipales, de los cuales el 40% equivalentes a ¢650 millones ($1,298,571.57 USD) los consiguió a través de préstamos personales con intereses altos (20% anual, tres veces mayor a la tasa de interés aplicable), por lo que pretendía cobrarle al TSE los intereses para pagarle a 93 de sus prestamistas, lo cual no fue posible ya que los préstamos se debían requerir a instituciones financieras y no a diputados, candidatos a alcaldes o dirigentes. La tercera trata de una supuesta cuenta paralela, de nombre “Laura hacia el 2010”, donde el Partido podría haber recibido donaciones no reportadas ante el</w:t>
      </w:r>
      <w:r>
        <w:rPr>
          <w:spacing w:val="-14"/>
        </w:rPr>
        <w:t> </w:t>
      </w:r>
      <w:r>
        <w:rPr/>
        <w:t>Tribunal.</w:t>
      </w:r>
    </w:p>
    <w:p>
      <w:pPr>
        <w:pStyle w:val="BodyText"/>
        <w:spacing w:line="360" w:lineRule="auto" w:before="2"/>
        <w:ind w:left="102" w:right="119" w:firstLine="707"/>
        <w:jc w:val="both"/>
      </w:pPr>
      <w:r>
        <w:rPr/>
        <w:t>Por su parte el ML tiene problemas con la Fiscalía de Delitos Económicos (FDE) desde 2007, cuando el Ministerio Público identificó un importante flujo de dinero entrando de Estados Unidos a las cuentas de Olman Rímola, uno de los</w:t>
      </w:r>
    </w:p>
    <w:p>
      <w:pPr>
        <w:spacing w:after="0" w:line="360" w:lineRule="auto"/>
        <w:jc w:val="both"/>
        <w:sectPr>
          <w:pgSz w:w="12240" w:h="15840"/>
          <w:pgMar w:header="749" w:footer="1003" w:top="960" w:bottom="1200" w:left="1600" w:right="1580"/>
        </w:sectPr>
      </w:pPr>
    </w:p>
    <w:p>
      <w:pPr>
        <w:pStyle w:val="BodyText"/>
        <w:rPr>
          <w:sz w:val="20"/>
        </w:rPr>
      </w:pPr>
    </w:p>
    <w:p>
      <w:pPr>
        <w:pStyle w:val="BodyText"/>
        <w:spacing w:line="360" w:lineRule="auto" w:before="214"/>
        <w:ind w:left="102" w:right="116"/>
        <w:jc w:val="both"/>
      </w:pPr>
      <w:r>
        <w:rPr/>
        <w:t>principales financistas del ML durante la campaña política. La sospecha del exfiscal de la FDE, Guillermo Hernández, era que este dinero se dirigía al partido como donaciones y afirmó que “sí hay un sustento técnico, a partir del informe del TSE, de que estamos en presencia de un modelo de lavado de dinero. Esta investigación tiene dos ámbitos importantes, el origen y destino de fondos que, de acuerdo a las pruebas, es dudoso”. Además en la investigación surgió un nuevo cuestionamiento acerca del cobro de supuestas charlas ficticias ante el  TSE, donde el partido reportó el gasto de 200 millones de colones ($399,560.48 USD) relacionados con las actividades. Por este caso, se realizaron dos allanamientos y la detención del ex tesorero del partido, Ronaldo Alfaro y del ex contador Roger Segura(Oviedo, 2012 y Soto,</w:t>
      </w:r>
      <w:r>
        <w:rPr>
          <w:spacing w:val="-11"/>
        </w:rPr>
        <w:t> </w:t>
      </w:r>
      <w:r>
        <w:rPr/>
        <w:t>2012).</w:t>
      </w:r>
    </w:p>
    <w:p>
      <w:pPr>
        <w:pStyle w:val="BodyText"/>
        <w:spacing w:line="360" w:lineRule="auto" w:before="5"/>
        <w:ind w:left="102" w:right="117" w:firstLine="707"/>
        <w:jc w:val="both"/>
      </w:pPr>
      <w:r>
        <w:rPr/>
        <w:t>De lo anterior se desprende que las irregularidades en cuanto al financiamiento de los partidos políticos se dan en el financiamiento privado y no en el público, lo que es de esperarse ya que del financiamiento privado el tribunal no tiene el mismo control que con respecto al público, y no por causas imputables al tribunal sino porque los partidos políticos no reportan muchos de sus ingresos privados.</w:t>
      </w:r>
    </w:p>
    <w:p>
      <w:pPr>
        <w:pStyle w:val="BodyText"/>
        <w:spacing w:line="360" w:lineRule="auto" w:before="5"/>
        <w:ind w:left="102" w:right="115" w:firstLine="707"/>
        <w:jc w:val="both"/>
      </w:pPr>
      <w:r>
        <w:rPr/>
        <w:t>Cabe aclarar que si al momento de realizar el reembolso a los partidos políticos el TSE señala que el partido no pudo acreditar el total del gasto de los recursos (a satisfacción del tribunal), entonces el tribunal sólo le entrega la cantidad que el partido acreditó. De acuerdo con lo anterior se estableció el porcentaje de reducción en los reembolsos restando a la cantidad solicitada por el partido la cantidad entregada por el TSE y posteriormente se dividió entre doce meses para obtener el porcentaje promedio.</w:t>
      </w:r>
    </w:p>
    <w:p>
      <w:pPr>
        <w:pStyle w:val="BodyText"/>
        <w:spacing w:line="360" w:lineRule="auto" w:before="2"/>
        <w:ind w:left="102" w:right="114" w:firstLine="707"/>
        <w:jc w:val="both"/>
      </w:pPr>
      <w:r>
        <w:rPr/>
        <w:t>En conclusión, tomando como base en el cuadro 3.13 en promedio el porcentaje de reducción mensual del monto del reembolso por partido político es de 1.98%, lo que dio una alta evaluación a los partidos cantonales (3.0), ubicándolos como altamente apegados a la legalidad.</w:t>
      </w:r>
    </w:p>
    <w:p>
      <w:pPr>
        <w:spacing w:after="0" w:line="360" w:lineRule="auto"/>
        <w:jc w:val="both"/>
        <w:sectPr>
          <w:pgSz w:w="12240" w:h="15840"/>
          <w:pgMar w:header="749" w:footer="1003" w:top="960" w:bottom="1200" w:left="1600" w:right="1580"/>
        </w:sectPr>
      </w:pPr>
    </w:p>
    <w:p>
      <w:pPr>
        <w:pStyle w:val="BodyText"/>
        <w:rPr>
          <w:sz w:val="20"/>
        </w:rPr>
      </w:pPr>
    </w:p>
    <w:p>
      <w:pPr>
        <w:pStyle w:val="ListParagraph"/>
        <w:numPr>
          <w:ilvl w:val="0"/>
          <w:numId w:val="34"/>
        </w:numPr>
        <w:tabs>
          <w:tab w:pos="1537" w:val="left" w:leader="none"/>
          <w:tab w:pos="1538" w:val="left" w:leader="none"/>
        </w:tabs>
        <w:spacing w:line="240" w:lineRule="auto" w:before="212" w:after="0"/>
        <w:ind w:left="1538" w:right="0" w:hanging="708"/>
        <w:jc w:val="left"/>
        <w:rPr>
          <w:i/>
          <w:sz w:val="24"/>
        </w:rPr>
      </w:pPr>
      <w:r>
        <w:rPr>
          <w:i/>
          <w:sz w:val="24"/>
        </w:rPr>
        <w:t>Rebase de montos</w:t>
      </w:r>
      <w:r>
        <w:rPr>
          <w:i/>
          <w:spacing w:val="-12"/>
          <w:sz w:val="24"/>
        </w:rPr>
        <w:t> </w:t>
      </w:r>
      <w:r>
        <w:rPr>
          <w:i/>
          <w:sz w:val="24"/>
        </w:rPr>
        <w:t>máximos</w:t>
      </w:r>
    </w:p>
    <w:p>
      <w:pPr>
        <w:pStyle w:val="BodyText"/>
        <w:rPr>
          <w:i/>
        </w:rPr>
      </w:pPr>
    </w:p>
    <w:p>
      <w:pPr>
        <w:pStyle w:val="BodyText"/>
        <w:spacing w:before="2"/>
        <w:rPr>
          <w:i/>
        </w:rPr>
      </w:pPr>
    </w:p>
    <w:p>
      <w:pPr>
        <w:pStyle w:val="BodyText"/>
        <w:spacing w:line="360" w:lineRule="auto" w:before="1"/>
        <w:ind w:left="122" w:right="116"/>
        <w:jc w:val="both"/>
      </w:pPr>
      <w:r>
        <w:rPr/>
        <w:t>En las elecciones cantonales de diciembre de 2010 dos partidos políticos rebasaron los montos máximos (Partido Independiente Belemita y el Partido Acción Naranjeña), pero dichos partidos no son de la Provincia de San José (que es mi objeto de estudio en esta variable); por lo tanto los partidos que participaron en las elecciones municipales en dicha provincia obtuvieron una alta evaluación (3.0) al respetar los montos</w:t>
      </w:r>
      <w:r>
        <w:rPr>
          <w:spacing w:val="-8"/>
        </w:rPr>
        <w:t> </w:t>
      </w:r>
      <w:r>
        <w:rPr/>
        <w:t>establecidos.</w:t>
      </w:r>
    </w:p>
    <w:p>
      <w:pPr>
        <w:pStyle w:val="BodyText"/>
        <w:spacing w:line="360" w:lineRule="auto" w:before="2"/>
        <w:ind w:left="122" w:right="115" w:firstLine="707"/>
        <w:jc w:val="both"/>
      </w:pPr>
      <w:r>
        <w:rPr/>
        <w:t>El cuadro 3.14 señala los montos máximos establecidos por partido político participante en las elecciones cantonales, así como los montos liquidados por el TSE:</w:t>
      </w:r>
    </w:p>
    <w:p>
      <w:pPr>
        <w:pStyle w:val="BodyText"/>
      </w:pPr>
    </w:p>
    <w:p>
      <w:pPr>
        <w:pStyle w:val="Heading2"/>
        <w:ind w:left="1350" w:right="1347"/>
      </w:pPr>
      <w:r>
        <w:rPr/>
        <w:t>Cuadro 3.14</w:t>
      </w:r>
    </w:p>
    <w:p>
      <w:pPr>
        <w:spacing w:line="242" w:lineRule="auto" w:before="137"/>
        <w:ind w:left="1350" w:right="1352" w:firstLine="0"/>
        <w:jc w:val="center"/>
        <w:rPr>
          <w:b/>
          <w:sz w:val="24"/>
        </w:rPr>
      </w:pPr>
      <w:r>
        <w:rPr>
          <w:b/>
          <w:sz w:val="24"/>
        </w:rPr>
        <w:t>Respeto a los montos máximos establecidos por el TSE (Elecciones cantonales 2010)</w:t>
      </w:r>
    </w:p>
    <w:p>
      <w:pPr>
        <w:pStyle w:val="BodyText"/>
        <w:rPr>
          <w:b/>
          <w:sz w:val="20"/>
        </w:rPr>
      </w:pPr>
    </w:p>
    <w:p>
      <w:pPr>
        <w:pStyle w:val="BodyText"/>
        <w:spacing w:before="6"/>
        <w:rPr>
          <w:b/>
          <w:sz w:val="28"/>
        </w:rPr>
      </w:pPr>
    </w:p>
    <w:tbl>
      <w:tblPr>
        <w:tblW w:w="0" w:type="auto"/>
        <w:jc w:val="left"/>
        <w:tblInd w:w="119" w:type="dxa"/>
        <w:tblBorders>
          <w:top w:val="double" w:sz="3" w:space="0" w:color="000000"/>
          <w:left w:val="double" w:sz="3" w:space="0" w:color="000000"/>
          <w:bottom w:val="double" w:sz="3" w:space="0" w:color="000000"/>
          <w:right w:val="double" w:sz="3" w:space="0" w:color="000000"/>
          <w:insideH w:val="double" w:sz="3" w:space="0" w:color="000000"/>
          <w:insideV w:val="double" w:sz="3" w:space="0" w:color="000000"/>
        </w:tblBorders>
        <w:tblLayout w:type="fixed"/>
        <w:tblCellMar>
          <w:top w:w="0" w:type="dxa"/>
          <w:left w:w="0" w:type="dxa"/>
          <w:bottom w:w="0" w:type="dxa"/>
          <w:right w:w="0" w:type="dxa"/>
        </w:tblCellMar>
        <w:tblLook w:val="01E0"/>
      </w:tblPr>
      <w:tblGrid>
        <w:gridCol w:w="1273"/>
        <w:gridCol w:w="1419"/>
        <w:gridCol w:w="1417"/>
        <w:gridCol w:w="1559"/>
        <w:gridCol w:w="1277"/>
        <w:gridCol w:w="708"/>
        <w:gridCol w:w="419"/>
        <w:gridCol w:w="713"/>
      </w:tblGrid>
      <w:tr>
        <w:trPr>
          <w:trHeight w:val="654" w:hRule="exact"/>
        </w:trPr>
        <w:tc>
          <w:tcPr>
            <w:tcW w:w="1273" w:type="dxa"/>
            <w:tcBorders>
              <w:left w:val="single" w:sz="4" w:space="0" w:color="000000"/>
              <w:bottom w:val="single" w:sz="13" w:space="0" w:color="FFFFFF"/>
            </w:tcBorders>
            <w:shd w:val="clear" w:color="auto" w:fill="D9D9D9"/>
          </w:tcPr>
          <w:p>
            <w:pPr>
              <w:pStyle w:val="TableParagraph"/>
              <w:spacing w:before="102"/>
              <w:ind w:left="299" w:right="288" w:firstLine="14"/>
              <w:rPr>
                <w:b/>
                <w:sz w:val="18"/>
              </w:rPr>
            </w:pPr>
            <w:r>
              <w:rPr>
                <w:b/>
                <w:sz w:val="18"/>
              </w:rPr>
              <w:t>Partido Político</w:t>
            </w:r>
          </w:p>
        </w:tc>
        <w:tc>
          <w:tcPr>
            <w:tcW w:w="1419" w:type="dxa"/>
            <w:tcBorders>
              <w:bottom w:val="single" w:sz="4" w:space="0" w:color="000000"/>
            </w:tcBorders>
            <w:shd w:val="clear" w:color="auto" w:fill="D9D9D9"/>
          </w:tcPr>
          <w:p>
            <w:pPr>
              <w:pStyle w:val="TableParagraph"/>
              <w:ind w:left="47" w:right="57"/>
              <w:jc w:val="center"/>
              <w:rPr>
                <w:b/>
                <w:sz w:val="18"/>
              </w:rPr>
            </w:pPr>
            <w:r>
              <w:rPr>
                <w:b/>
                <w:sz w:val="18"/>
              </w:rPr>
              <w:t>Monto máximo a que tuvo derecho (a)</w:t>
            </w:r>
          </w:p>
        </w:tc>
        <w:tc>
          <w:tcPr>
            <w:tcW w:w="1417" w:type="dxa"/>
            <w:tcBorders>
              <w:bottom w:val="single" w:sz="4" w:space="0" w:color="000000"/>
              <w:right w:val="single" w:sz="8" w:space="0" w:color="000000"/>
            </w:tcBorders>
            <w:shd w:val="clear" w:color="auto" w:fill="D9D9D9"/>
          </w:tcPr>
          <w:p>
            <w:pPr>
              <w:pStyle w:val="TableParagraph"/>
              <w:spacing w:line="206" w:lineRule="exact"/>
              <w:ind w:left="60" w:right="65"/>
              <w:jc w:val="center"/>
              <w:rPr>
                <w:b/>
                <w:sz w:val="18"/>
              </w:rPr>
            </w:pPr>
            <w:r>
              <w:rPr>
                <w:b/>
                <w:sz w:val="18"/>
              </w:rPr>
              <w:t>Monto en USD</w:t>
            </w:r>
          </w:p>
        </w:tc>
        <w:tc>
          <w:tcPr>
            <w:tcW w:w="1559" w:type="dxa"/>
            <w:tcBorders>
              <w:left w:val="single" w:sz="8" w:space="0" w:color="000000"/>
              <w:bottom w:val="single" w:sz="4" w:space="0" w:color="000000"/>
            </w:tcBorders>
            <w:shd w:val="clear" w:color="auto" w:fill="D9D9D9"/>
          </w:tcPr>
          <w:p>
            <w:pPr>
              <w:pStyle w:val="TableParagraph"/>
              <w:ind w:left="47" w:right="41" w:firstLine="19"/>
              <w:rPr>
                <w:b/>
                <w:sz w:val="18"/>
              </w:rPr>
            </w:pPr>
            <w:r>
              <w:rPr>
                <w:b/>
                <w:sz w:val="18"/>
              </w:rPr>
              <w:t>Monto liquidado por el partido (b)</w:t>
            </w:r>
          </w:p>
        </w:tc>
        <w:tc>
          <w:tcPr>
            <w:tcW w:w="1277" w:type="dxa"/>
            <w:tcBorders>
              <w:bottom w:val="single" w:sz="4" w:space="0" w:color="000000"/>
            </w:tcBorders>
            <w:shd w:val="clear" w:color="auto" w:fill="D9D9D9"/>
          </w:tcPr>
          <w:p>
            <w:pPr>
              <w:pStyle w:val="TableParagraph"/>
              <w:ind w:left="431" w:right="213" w:hanging="209"/>
              <w:rPr>
                <w:b/>
                <w:sz w:val="18"/>
              </w:rPr>
            </w:pPr>
            <w:r>
              <w:rPr>
                <w:b/>
                <w:sz w:val="18"/>
              </w:rPr>
              <w:t>Monto en USD</w:t>
            </w:r>
          </w:p>
        </w:tc>
        <w:tc>
          <w:tcPr>
            <w:tcW w:w="708" w:type="dxa"/>
            <w:tcBorders>
              <w:bottom w:val="single" w:sz="4" w:space="0" w:color="000000"/>
            </w:tcBorders>
            <w:shd w:val="clear" w:color="auto" w:fill="D9D9D9"/>
          </w:tcPr>
          <w:p>
            <w:pPr>
              <w:pStyle w:val="TableParagraph"/>
              <w:spacing w:line="206" w:lineRule="exact"/>
              <w:ind w:left="0" w:right="10"/>
              <w:jc w:val="center"/>
              <w:rPr>
                <w:b/>
                <w:sz w:val="18"/>
              </w:rPr>
            </w:pPr>
            <w:r>
              <w:rPr>
                <w:b/>
                <w:w w:val="99"/>
                <w:sz w:val="18"/>
              </w:rPr>
              <w:t>%</w:t>
            </w:r>
          </w:p>
          <w:p>
            <w:pPr>
              <w:pStyle w:val="TableParagraph"/>
              <w:spacing w:before="2"/>
              <w:ind w:left="207" w:right="219"/>
              <w:jc w:val="center"/>
              <w:rPr>
                <w:b/>
                <w:sz w:val="18"/>
              </w:rPr>
            </w:pPr>
            <w:r>
              <w:rPr>
                <w:b/>
                <w:sz w:val="18"/>
              </w:rPr>
              <w:t>(c)</w:t>
            </w:r>
          </w:p>
        </w:tc>
        <w:tc>
          <w:tcPr>
            <w:tcW w:w="419" w:type="dxa"/>
            <w:tcBorders>
              <w:bottom w:val="single" w:sz="4" w:space="0" w:color="000000"/>
            </w:tcBorders>
            <w:shd w:val="clear" w:color="auto" w:fill="D9D9D9"/>
          </w:tcPr>
          <w:p>
            <w:pPr>
              <w:pStyle w:val="TableParagraph"/>
              <w:spacing w:line="206" w:lineRule="exact"/>
              <w:ind w:left="55"/>
              <w:rPr>
                <w:b/>
                <w:sz w:val="18"/>
              </w:rPr>
            </w:pPr>
            <w:r>
              <w:rPr>
                <w:b/>
                <w:sz w:val="18"/>
              </w:rPr>
              <w:t>RM</w:t>
            </w:r>
          </w:p>
          <w:p>
            <w:pPr>
              <w:pStyle w:val="TableParagraph"/>
              <w:spacing w:before="2"/>
              <w:ind w:left="81"/>
              <w:rPr>
                <w:b/>
                <w:sz w:val="18"/>
              </w:rPr>
            </w:pPr>
            <w:r>
              <w:rPr>
                <w:b/>
                <w:sz w:val="18"/>
              </w:rPr>
              <w:t>(d)</w:t>
            </w:r>
          </w:p>
        </w:tc>
        <w:tc>
          <w:tcPr>
            <w:tcW w:w="713" w:type="dxa"/>
            <w:tcBorders>
              <w:bottom w:val="single" w:sz="13" w:space="0" w:color="FFFFFF"/>
              <w:right w:val="single" w:sz="4" w:space="0" w:color="000000"/>
            </w:tcBorders>
            <w:shd w:val="clear" w:color="auto" w:fill="D9D9D9"/>
          </w:tcPr>
          <w:p>
            <w:pPr>
              <w:pStyle w:val="TableParagraph"/>
              <w:ind w:left="219" w:right="52" w:hanging="154"/>
              <w:rPr>
                <w:b/>
                <w:sz w:val="18"/>
              </w:rPr>
            </w:pPr>
            <w:r>
              <w:rPr>
                <w:b/>
                <w:sz w:val="18"/>
              </w:rPr>
              <w:t>Provin cia (e)</w:t>
            </w:r>
          </w:p>
        </w:tc>
      </w:tr>
      <w:tr>
        <w:trPr>
          <w:trHeight w:val="473" w:hRule="exact"/>
        </w:trPr>
        <w:tc>
          <w:tcPr>
            <w:tcW w:w="1273" w:type="dxa"/>
            <w:tcBorders>
              <w:top w:val="single" w:sz="6" w:space="0" w:color="FFFFFF"/>
              <w:left w:val="single" w:sz="4" w:space="0" w:color="000000"/>
              <w:bottom w:val="single" w:sz="13" w:space="0" w:color="FFFFFF"/>
            </w:tcBorders>
          </w:tcPr>
          <w:p>
            <w:pPr>
              <w:pStyle w:val="TableParagraph"/>
              <w:spacing w:before="26"/>
              <w:ind w:left="11" w:right="5"/>
              <w:rPr>
                <w:sz w:val="18"/>
              </w:rPr>
            </w:pPr>
            <w:r>
              <w:rPr>
                <w:sz w:val="18"/>
              </w:rPr>
              <w:t>Partido Unión Ateniense</w:t>
            </w:r>
          </w:p>
        </w:tc>
        <w:tc>
          <w:tcPr>
            <w:tcW w:w="1419" w:type="dxa"/>
            <w:tcBorders>
              <w:top w:val="single" w:sz="13" w:space="0" w:color="D9D9D9"/>
              <w:bottom w:val="single" w:sz="8" w:space="0" w:color="000000"/>
            </w:tcBorders>
          </w:tcPr>
          <w:p>
            <w:pPr>
              <w:pStyle w:val="TableParagraph"/>
              <w:spacing w:before="16"/>
              <w:ind w:left="67" w:right="34"/>
              <w:rPr>
                <w:sz w:val="18"/>
              </w:rPr>
            </w:pPr>
            <w:r>
              <w:rPr>
                <w:sz w:val="18"/>
              </w:rPr>
              <w:t>¢11.866.863,60</w:t>
            </w:r>
          </w:p>
        </w:tc>
        <w:tc>
          <w:tcPr>
            <w:tcW w:w="1417" w:type="dxa"/>
            <w:tcBorders>
              <w:top w:val="single" w:sz="13" w:space="0" w:color="D9D9D9"/>
              <w:bottom w:val="single" w:sz="8" w:space="0" w:color="000000"/>
              <w:right w:val="single" w:sz="8" w:space="0" w:color="000000"/>
            </w:tcBorders>
          </w:tcPr>
          <w:p>
            <w:pPr>
              <w:pStyle w:val="TableParagraph"/>
              <w:spacing w:before="16"/>
              <w:ind w:left="59" w:right="65"/>
              <w:jc w:val="center"/>
              <w:rPr>
                <w:sz w:val="18"/>
              </w:rPr>
            </w:pPr>
            <w:r>
              <w:rPr>
                <w:sz w:val="18"/>
              </w:rPr>
              <w:t>$ 23,592.17</w:t>
            </w:r>
          </w:p>
        </w:tc>
        <w:tc>
          <w:tcPr>
            <w:tcW w:w="1559" w:type="dxa"/>
            <w:tcBorders>
              <w:top w:val="single" w:sz="13" w:space="0" w:color="D9D9D9"/>
              <w:left w:val="single" w:sz="8" w:space="0" w:color="000000"/>
              <w:bottom w:val="single" w:sz="8" w:space="0" w:color="000000"/>
            </w:tcBorders>
          </w:tcPr>
          <w:p>
            <w:pPr>
              <w:pStyle w:val="TableParagraph"/>
              <w:spacing w:before="16"/>
              <w:ind w:left="0" w:right="7"/>
              <w:jc w:val="center"/>
              <w:rPr>
                <w:sz w:val="18"/>
              </w:rPr>
            </w:pPr>
            <w:r>
              <w:rPr>
                <w:sz w:val="18"/>
              </w:rPr>
              <w:t>¢10.851.420,00</w:t>
            </w:r>
          </w:p>
        </w:tc>
        <w:tc>
          <w:tcPr>
            <w:tcW w:w="1277" w:type="dxa"/>
            <w:tcBorders>
              <w:top w:val="single" w:sz="13" w:space="0" w:color="D9D9D9"/>
              <w:bottom w:val="single" w:sz="8" w:space="0" w:color="000000"/>
            </w:tcBorders>
          </w:tcPr>
          <w:p>
            <w:pPr>
              <w:pStyle w:val="TableParagraph"/>
              <w:spacing w:before="16"/>
              <w:ind w:left="16" w:right="25"/>
              <w:jc w:val="center"/>
              <w:rPr>
                <w:sz w:val="18"/>
              </w:rPr>
            </w:pPr>
            <w:r>
              <w:rPr>
                <w:sz w:val="18"/>
              </w:rPr>
              <w:t>$ 21,573.39</w:t>
            </w:r>
          </w:p>
        </w:tc>
        <w:tc>
          <w:tcPr>
            <w:tcW w:w="708" w:type="dxa"/>
            <w:tcBorders>
              <w:top w:val="single" w:sz="13" w:space="0" w:color="D9D9D9"/>
              <w:bottom w:val="single" w:sz="8" w:space="0" w:color="000000"/>
              <w:right w:val="thickThinMediumGap" w:sz="6" w:space="0" w:color="000000"/>
            </w:tcBorders>
          </w:tcPr>
          <w:p>
            <w:pPr>
              <w:pStyle w:val="TableParagraph"/>
              <w:spacing w:before="16"/>
              <w:ind w:left="0" w:right="116"/>
              <w:jc w:val="right"/>
              <w:rPr>
                <w:sz w:val="18"/>
              </w:rPr>
            </w:pPr>
            <w:r>
              <w:rPr>
                <w:w w:val="95"/>
                <w:sz w:val="18"/>
              </w:rPr>
              <w:t>91,44</w:t>
            </w:r>
          </w:p>
        </w:tc>
        <w:tc>
          <w:tcPr>
            <w:tcW w:w="419" w:type="dxa"/>
            <w:tcBorders>
              <w:top w:val="single" w:sz="4" w:space="0" w:color="000000"/>
              <w:bottom w:val="single" w:sz="13" w:space="0" w:color="A6A6A6"/>
            </w:tcBorders>
            <w:shd w:val="clear" w:color="auto" w:fill="D9D9D9"/>
          </w:tcPr>
          <w:p>
            <w:pPr>
              <w:pStyle w:val="TableParagraph"/>
              <w:spacing w:before="28"/>
              <w:ind w:left="9"/>
              <w:rPr>
                <w:sz w:val="18"/>
              </w:rPr>
            </w:pPr>
            <w:r>
              <w:rPr>
                <w:sz w:val="18"/>
              </w:rPr>
              <w:t>No</w:t>
            </w:r>
          </w:p>
        </w:tc>
        <w:tc>
          <w:tcPr>
            <w:tcW w:w="713" w:type="dxa"/>
            <w:tcBorders>
              <w:top w:val="single" w:sz="6" w:space="0" w:color="FFFFFF"/>
              <w:left w:val="triple" w:sz="4" w:space="0" w:color="000000"/>
              <w:bottom w:val="single" w:sz="13" w:space="0" w:color="FFFFFF"/>
              <w:right w:val="single" w:sz="4" w:space="0" w:color="000000"/>
            </w:tcBorders>
          </w:tcPr>
          <w:p>
            <w:pPr>
              <w:pStyle w:val="TableParagraph"/>
              <w:spacing w:before="26"/>
              <w:ind w:left="3" w:right="19"/>
              <w:jc w:val="center"/>
              <w:rPr>
                <w:sz w:val="18"/>
              </w:rPr>
            </w:pPr>
            <w:r>
              <w:rPr>
                <w:sz w:val="18"/>
              </w:rPr>
              <w:t>Alajuela</w:t>
            </w:r>
          </w:p>
        </w:tc>
      </w:tr>
      <w:tr>
        <w:trPr>
          <w:trHeight w:val="737" w:hRule="exact"/>
        </w:trPr>
        <w:tc>
          <w:tcPr>
            <w:tcW w:w="1273" w:type="dxa"/>
            <w:tcBorders>
              <w:top w:val="single" w:sz="13" w:space="0" w:color="FFFFFF"/>
              <w:left w:val="single" w:sz="4" w:space="0" w:color="000000"/>
              <w:bottom w:val="single" w:sz="13" w:space="0" w:color="FFFFFF"/>
            </w:tcBorders>
          </w:tcPr>
          <w:p>
            <w:pPr>
              <w:pStyle w:val="TableParagraph"/>
              <w:spacing w:before="143"/>
              <w:ind w:left="11" w:right="5"/>
              <w:rPr>
                <w:sz w:val="18"/>
              </w:rPr>
            </w:pPr>
            <w:r>
              <w:rPr>
                <w:sz w:val="18"/>
              </w:rPr>
              <w:t>Partido Acción Naranjeña</w:t>
            </w:r>
          </w:p>
        </w:tc>
        <w:tc>
          <w:tcPr>
            <w:tcW w:w="1419" w:type="dxa"/>
            <w:tcBorders>
              <w:top w:val="single" w:sz="8" w:space="0" w:color="000000"/>
              <w:bottom w:val="single" w:sz="8" w:space="0" w:color="000000"/>
            </w:tcBorders>
          </w:tcPr>
          <w:p>
            <w:pPr>
              <w:pStyle w:val="TableParagraph"/>
              <w:spacing w:line="207" w:lineRule="exact" w:before="13"/>
              <w:ind w:left="47" w:right="58"/>
              <w:jc w:val="center"/>
              <w:rPr>
                <w:sz w:val="18"/>
              </w:rPr>
            </w:pPr>
            <w:r>
              <w:rPr>
                <w:sz w:val="18"/>
              </w:rPr>
              <w:t>¢95.889.480,45</w:t>
            </w:r>
          </w:p>
          <w:p>
            <w:pPr>
              <w:pStyle w:val="TableParagraph"/>
              <w:spacing w:line="207" w:lineRule="exact"/>
              <w:ind w:left="47" w:right="57"/>
              <w:jc w:val="center"/>
              <w:rPr>
                <w:sz w:val="18"/>
              </w:rPr>
            </w:pPr>
            <w:r>
              <w:rPr>
                <w:sz w:val="18"/>
              </w:rPr>
              <w:t>(f)</w:t>
            </w:r>
          </w:p>
        </w:tc>
        <w:tc>
          <w:tcPr>
            <w:tcW w:w="1417" w:type="dxa"/>
            <w:tcBorders>
              <w:top w:val="single" w:sz="8" w:space="0" w:color="000000"/>
              <w:bottom w:val="single" w:sz="8" w:space="0" w:color="000000"/>
              <w:right w:val="single" w:sz="8" w:space="0" w:color="000000"/>
            </w:tcBorders>
          </w:tcPr>
          <w:p>
            <w:pPr>
              <w:pStyle w:val="TableParagraph"/>
              <w:spacing w:before="13"/>
              <w:ind w:left="58" w:right="65"/>
              <w:jc w:val="center"/>
              <w:rPr>
                <w:sz w:val="18"/>
              </w:rPr>
            </w:pPr>
            <w:r>
              <w:rPr>
                <w:sz w:val="18"/>
              </w:rPr>
              <w:t>$ 190,635.15</w:t>
            </w:r>
          </w:p>
        </w:tc>
        <w:tc>
          <w:tcPr>
            <w:tcW w:w="1559" w:type="dxa"/>
            <w:tcBorders>
              <w:top w:val="single" w:sz="8" w:space="0" w:color="000000"/>
              <w:left w:val="single" w:sz="8" w:space="0" w:color="000000"/>
              <w:bottom w:val="single" w:sz="8" w:space="0" w:color="000000"/>
            </w:tcBorders>
          </w:tcPr>
          <w:p>
            <w:pPr>
              <w:pStyle w:val="TableParagraph"/>
              <w:spacing w:before="13"/>
              <w:ind w:left="0" w:right="9"/>
              <w:jc w:val="center"/>
              <w:rPr>
                <w:sz w:val="18"/>
              </w:rPr>
            </w:pPr>
            <w:r>
              <w:rPr>
                <w:sz w:val="18"/>
              </w:rPr>
              <w:t>¢8.401.289,00</w:t>
            </w:r>
          </w:p>
        </w:tc>
        <w:tc>
          <w:tcPr>
            <w:tcW w:w="1277" w:type="dxa"/>
            <w:tcBorders>
              <w:top w:val="single" w:sz="8" w:space="0" w:color="000000"/>
              <w:bottom w:val="single" w:sz="8" w:space="0" w:color="000000"/>
            </w:tcBorders>
          </w:tcPr>
          <w:p>
            <w:pPr>
              <w:pStyle w:val="TableParagraph"/>
              <w:spacing w:before="13"/>
              <w:ind w:left="16" w:right="25"/>
              <w:jc w:val="center"/>
              <w:rPr>
                <w:sz w:val="18"/>
              </w:rPr>
            </w:pPr>
            <w:r>
              <w:rPr>
                <w:sz w:val="18"/>
              </w:rPr>
              <w:t>$ 16,702.36</w:t>
            </w:r>
          </w:p>
        </w:tc>
        <w:tc>
          <w:tcPr>
            <w:tcW w:w="708" w:type="dxa"/>
            <w:tcBorders>
              <w:top w:val="single" w:sz="8" w:space="0" w:color="000000"/>
              <w:bottom w:val="single" w:sz="8" w:space="0" w:color="000000"/>
            </w:tcBorders>
          </w:tcPr>
          <w:p>
            <w:pPr>
              <w:pStyle w:val="TableParagraph"/>
              <w:spacing w:before="13"/>
              <w:ind w:left="0" w:right="71"/>
              <w:jc w:val="right"/>
              <w:rPr>
                <w:sz w:val="18"/>
              </w:rPr>
            </w:pPr>
            <w:r>
              <w:rPr>
                <w:sz w:val="18"/>
              </w:rPr>
              <w:t>142,65</w:t>
            </w:r>
          </w:p>
        </w:tc>
        <w:tc>
          <w:tcPr>
            <w:tcW w:w="419" w:type="dxa"/>
            <w:tcBorders>
              <w:top w:val="single" w:sz="13" w:space="0" w:color="D9D9D9"/>
              <w:bottom w:val="single" w:sz="13" w:space="0" w:color="D9D9D9"/>
            </w:tcBorders>
            <w:shd w:val="clear" w:color="auto" w:fill="A6A6A6"/>
          </w:tcPr>
          <w:p>
            <w:pPr>
              <w:pStyle w:val="TableParagraph"/>
              <w:spacing w:before="6"/>
              <w:ind w:left="9"/>
              <w:rPr>
                <w:sz w:val="18"/>
              </w:rPr>
            </w:pPr>
            <w:r>
              <w:rPr>
                <w:sz w:val="18"/>
              </w:rPr>
              <w:t>Sí</w:t>
            </w:r>
          </w:p>
        </w:tc>
        <w:tc>
          <w:tcPr>
            <w:tcW w:w="713" w:type="dxa"/>
            <w:tcBorders>
              <w:top w:val="single" w:sz="13" w:space="0" w:color="FFFFFF"/>
              <w:bottom w:val="single" w:sz="13" w:space="0" w:color="FFFFFF"/>
              <w:right w:val="single" w:sz="4" w:space="0" w:color="000000"/>
            </w:tcBorders>
          </w:tcPr>
          <w:p>
            <w:pPr>
              <w:pStyle w:val="TableParagraph"/>
              <w:spacing w:before="6"/>
              <w:ind w:left="0" w:right="22"/>
              <w:jc w:val="center"/>
              <w:rPr>
                <w:sz w:val="18"/>
              </w:rPr>
            </w:pPr>
            <w:r>
              <w:rPr>
                <w:sz w:val="18"/>
              </w:rPr>
              <w:t>Alajuela</w:t>
            </w:r>
          </w:p>
        </w:tc>
      </w:tr>
      <w:tr>
        <w:trPr>
          <w:trHeight w:val="466" w:hRule="exact"/>
        </w:trPr>
        <w:tc>
          <w:tcPr>
            <w:tcW w:w="1273" w:type="dxa"/>
            <w:tcBorders>
              <w:top w:val="single" w:sz="13" w:space="0" w:color="FFFFFF"/>
              <w:left w:val="single" w:sz="4" w:space="0" w:color="000000"/>
              <w:bottom w:val="single" w:sz="13" w:space="0" w:color="FFFFFF"/>
            </w:tcBorders>
          </w:tcPr>
          <w:p>
            <w:pPr>
              <w:pStyle w:val="TableParagraph"/>
              <w:spacing w:before="8"/>
              <w:ind w:left="11" w:right="5"/>
              <w:rPr>
                <w:sz w:val="18"/>
              </w:rPr>
            </w:pPr>
            <w:r>
              <w:rPr>
                <w:sz w:val="18"/>
              </w:rPr>
              <w:t>Partido Todos Por Flores</w:t>
            </w:r>
          </w:p>
        </w:tc>
        <w:tc>
          <w:tcPr>
            <w:tcW w:w="1419" w:type="dxa"/>
            <w:tcBorders>
              <w:top w:val="single" w:sz="8" w:space="0" w:color="000000"/>
              <w:bottom w:val="single" w:sz="4" w:space="0" w:color="000000"/>
            </w:tcBorders>
          </w:tcPr>
          <w:p>
            <w:pPr>
              <w:pStyle w:val="TableParagraph"/>
              <w:spacing w:before="16"/>
              <w:ind w:left="67" w:right="34"/>
              <w:rPr>
                <w:sz w:val="18"/>
              </w:rPr>
            </w:pPr>
            <w:r>
              <w:rPr>
                <w:sz w:val="18"/>
              </w:rPr>
              <w:t>¢10.730.190,84</w:t>
            </w:r>
          </w:p>
        </w:tc>
        <w:tc>
          <w:tcPr>
            <w:tcW w:w="1417" w:type="dxa"/>
            <w:tcBorders>
              <w:top w:val="single" w:sz="8" w:space="0" w:color="000000"/>
              <w:bottom w:val="single" w:sz="4" w:space="0" w:color="000000"/>
              <w:right w:val="single" w:sz="8" w:space="0" w:color="000000"/>
            </w:tcBorders>
          </w:tcPr>
          <w:p>
            <w:pPr>
              <w:pStyle w:val="TableParagraph"/>
              <w:spacing w:before="16"/>
              <w:ind w:left="59" w:right="65"/>
              <w:jc w:val="center"/>
              <w:rPr>
                <w:sz w:val="18"/>
              </w:rPr>
            </w:pPr>
            <w:r>
              <w:rPr>
                <w:sz w:val="18"/>
              </w:rPr>
              <w:t>$ 21,332.38</w:t>
            </w:r>
          </w:p>
        </w:tc>
        <w:tc>
          <w:tcPr>
            <w:tcW w:w="1559" w:type="dxa"/>
            <w:tcBorders>
              <w:top w:val="single" w:sz="8" w:space="0" w:color="000000"/>
              <w:left w:val="single" w:sz="8" w:space="0" w:color="000000"/>
              <w:bottom w:val="single" w:sz="4" w:space="0" w:color="000000"/>
            </w:tcBorders>
          </w:tcPr>
          <w:p>
            <w:pPr>
              <w:pStyle w:val="TableParagraph"/>
              <w:spacing w:before="16"/>
              <w:ind w:left="0" w:right="7"/>
              <w:jc w:val="center"/>
              <w:rPr>
                <w:sz w:val="18"/>
              </w:rPr>
            </w:pPr>
            <w:r>
              <w:rPr>
                <w:sz w:val="18"/>
              </w:rPr>
              <w:t>¢10.681.065,56</w:t>
            </w:r>
          </w:p>
        </w:tc>
        <w:tc>
          <w:tcPr>
            <w:tcW w:w="1277" w:type="dxa"/>
            <w:tcBorders>
              <w:top w:val="single" w:sz="8" w:space="0" w:color="000000"/>
              <w:bottom w:val="single" w:sz="4" w:space="0" w:color="000000"/>
            </w:tcBorders>
          </w:tcPr>
          <w:p>
            <w:pPr>
              <w:pStyle w:val="TableParagraph"/>
              <w:spacing w:before="16"/>
              <w:ind w:left="16" w:right="25"/>
              <w:jc w:val="center"/>
              <w:rPr>
                <w:sz w:val="18"/>
              </w:rPr>
            </w:pPr>
            <w:r>
              <w:rPr>
                <w:sz w:val="18"/>
              </w:rPr>
              <w:t>$ 21,234.72</w:t>
            </w:r>
          </w:p>
        </w:tc>
        <w:tc>
          <w:tcPr>
            <w:tcW w:w="708" w:type="dxa"/>
            <w:tcBorders>
              <w:top w:val="single" w:sz="8" w:space="0" w:color="000000"/>
              <w:bottom w:val="single" w:sz="4" w:space="0" w:color="000000"/>
            </w:tcBorders>
          </w:tcPr>
          <w:p>
            <w:pPr>
              <w:pStyle w:val="TableParagraph"/>
              <w:spacing w:before="16"/>
              <w:ind w:left="0" w:right="121"/>
              <w:jc w:val="right"/>
              <w:rPr>
                <w:sz w:val="18"/>
              </w:rPr>
            </w:pPr>
            <w:r>
              <w:rPr>
                <w:w w:val="95"/>
                <w:sz w:val="18"/>
              </w:rPr>
              <w:t>99,54</w:t>
            </w:r>
          </w:p>
        </w:tc>
        <w:tc>
          <w:tcPr>
            <w:tcW w:w="419" w:type="dxa"/>
            <w:tcBorders>
              <w:top w:val="single" w:sz="13" w:space="0" w:color="A6A6A6"/>
              <w:bottom w:val="single" w:sz="4" w:space="0" w:color="000000"/>
            </w:tcBorders>
            <w:shd w:val="clear" w:color="auto" w:fill="D9D9D9"/>
          </w:tcPr>
          <w:p>
            <w:pPr>
              <w:pStyle w:val="TableParagraph"/>
              <w:spacing w:before="8"/>
              <w:ind w:left="9"/>
              <w:rPr>
                <w:sz w:val="18"/>
              </w:rPr>
            </w:pPr>
            <w:r>
              <w:rPr>
                <w:sz w:val="18"/>
              </w:rPr>
              <w:t>No</w:t>
            </w:r>
          </w:p>
        </w:tc>
        <w:tc>
          <w:tcPr>
            <w:tcW w:w="713" w:type="dxa"/>
            <w:tcBorders>
              <w:top w:val="single" w:sz="13" w:space="0" w:color="FFFFFF"/>
              <w:bottom w:val="single" w:sz="13" w:space="0" w:color="FFFFFF"/>
              <w:right w:val="single" w:sz="4" w:space="0" w:color="000000"/>
            </w:tcBorders>
          </w:tcPr>
          <w:p>
            <w:pPr>
              <w:pStyle w:val="TableParagraph"/>
              <w:spacing w:before="8"/>
              <w:ind w:left="0" w:right="31"/>
              <w:jc w:val="center"/>
              <w:rPr>
                <w:sz w:val="18"/>
              </w:rPr>
            </w:pPr>
            <w:r>
              <w:rPr>
                <w:sz w:val="18"/>
              </w:rPr>
              <w:t>Heredia</w:t>
            </w:r>
          </w:p>
        </w:tc>
      </w:tr>
      <w:tr>
        <w:trPr>
          <w:trHeight w:val="670" w:hRule="exact"/>
        </w:trPr>
        <w:tc>
          <w:tcPr>
            <w:tcW w:w="1273" w:type="dxa"/>
            <w:tcBorders>
              <w:top w:val="single" w:sz="13" w:space="0" w:color="FFFFFF"/>
              <w:left w:val="single" w:sz="4" w:space="0" w:color="000000"/>
              <w:bottom w:val="single" w:sz="13" w:space="0" w:color="FFFFFF"/>
            </w:tcBorders>
          </w:tcPr>
          <w:p>
            <w:pPr>
              <w:pStyle w:val="TableParagraph"/>
              <w:spacing w:before="6"/>
              <w:ind w:left="11" w:right="16"/>
              <w:jc w:val="both"/>
              <w:rPr>
                <w:sz w:val="18"/>
              </w:rPr>
            </w:pPr>
            <w:r>
              <w:rPr>
                <w:sz w:val="18"/>
              </w:rPr>
              <w:t>El Puente y los Caminos de Mora</w:t>
            </w:r>
          </w:p>
        </w:tc>
        <w:tc>
          <w:tcPr>
            <w:tcW w:w="1419" w:type="dxa"/>
            <w:tcBorders>
              <w:top w:val="single" w:sz="4" w:space="0" w:color="000000"/>
              <w:bottom w:val="single" w:sz="8" w:space="0" w:color="000000"/>
            </w:tcBorders>
          </w:tcPr>
          <w:p>
            <w:pPr>
              <w:pStyle w:val="TableParagraph"/>
              <w:spacing w:before="18"/>
              <w:ind w:left="117" w:right="34"/>
              <w:rPr>
                <w:sz w:val="18"/>
              </w:rPr>
            </w:pPr>
            <w:r>
              <w:rPr>
                <w:sz w:val="18"/>
              </w:rPr>
              <w:t>¢8.762.989,19</w:t>
            </w:r>
          </w:p>
        </w:tc>
        <w:tc>
          <w:tcPr>
            <w:tcW w:w="1417" w:type="dxa"/>
            <w:tcBorders>
              <w:top w:val="single" w:sz="4" w:space="0" w:color="000000"/>
              <w:bottom w:val="single" w:sz="8" w:space="0" w:color="000000"/>
              <w:right w:val="single" w:sz="8" w:space="0" w:color="000000"/>
            </w:tcBorders>
          </w:tcPr>
          <w:p>
            <w:pPr>
              <w:pStyle w:val="TableParagraph"/>
              <w:spacing w:before="18"/>
              <w:ind w:left="59" w:right="65"/>
              <w:jc w:val="center"/>
              <w:rPr>
                <w:sz w:val="18"/>
              </w:rPr>
            </w:pPr>
            <w:r>
              <w:rPr>
                <w:sz w:val="18"/>
              </w:rPr>
              <w:t>$ 17,421.44</w:t>
            </w:r>
          </w:p>
        </w:tc>
        <w:tc>
          <w:tcPr>
            <w:tcW w:w="1559" w:type="dxa"/>
            <w:tcBorders>
              <w:top w:val="single" w:sz="4" w:space="0" w:color="000000"/>
              <w:left w:val="single" w:sz="8" w:space="0" w:color="000000"/>
              <w:bottom w:val="single" w:sz="8" w:space="0" w:color="000000"/>
            </w:tcBorders>
          </w:tcPr>
          <w:p>
            <w:pPr>
              <w:pStyle w:val="TableParagraph"/>
              <w:spacing w:before="18"/>
              <w:ind w:left="0" w:right="9"/>
              <w:jc w:val="center"/>
              <w:rPr>
                <w:sz w:val="18"/>
              </w:rPr>
            </w:pPr>
            <w:r>
              <w:rPr>
                <w:sz w:val="18"/>
              </w:rPr>
              <w:t>¢7.746.420,00</w:t>
            </w:r>
          </w:p>
        </w:tc>
        <w:tc>
          <w:tcPr>
            <w:tcW w:w="1277" w:type="dxa"/>
            <w:tcBorders>
              <w:top w:val="single" w:sz="4" w:space="0" w:color="000000"/>
              <w:bottom w:val="single" w:sz="8" w:space="0" w:color="000000"/>
            </w:tcBorders>
          </w:tcPr>
          <w:p>
            <w:pPr>
              <w:pStyle w:val="TableParagraph"/>
              <w:spacing w:before="18"/>
              <w:ind w:left="16" w:right="25"/>
              <w:jc w:val="center"/>
              <w:rPr>
                <w:sz w:val="18"/>
              </w:rPr>
            </w:pPr>
            <w:r>
              <w:rPr>
                <w:sz w:val="18"/>
              </w:rPr>
              <w:t>$ 15,400.43</w:t>
            </w:r>
          </w:p>
        </w:tc>
        <w:tc>
          <w:tcPr>
            <w:tcW w:w="708" w:type="dxa"/>
            <w:tcBorders>
              <w:top w:val="single" w:sz="4" w:space="0" w:color="000000"/>
              <w:bottom w:val="single" w:sz="8" w:space="0" w:color="000000"/>
            </w:tcBorders>
          </w:tcPr>
          <w:p>
            <w:pPr>
              <w:pStyle w:val="TableParagraph"/>
              <w:spacing w:before="18"/>
              <w:ind w:left="0" w:right="121"/>
              <w:jc w:val="right"/>
              <w:rPr>
                <w:sz w:val="18"/>
              </w:rPr>
            </w:pPr>
            <w:r>
              <w:rPr>
                <w:w w:val="95"/>
                <w:sz w:val="18"/>
              </w:rPr>
              <w:t>88,40</w:t>
            </w:r>
          </w:p>
        </w:tc>
        <w:tc>
          <w:tcPr>
            <w:tcW w:w="419" w:type="dxa"/>
            <w:tcBorders>
              <w:top w:val="single" w:sz="4" w:space="0" w:color="000000"/>
              <w:bottom w:val="single" w:sz="8" w:space="0" w:color="000000"/>
            </w:tcBorders>
            <w:shd w:val="clear" w:color="auto" w:fill="D9D9D9"/>
          </w:tcPr>
          <w:p>
            <w:pPr>
              <w:pStyle w:val="TableParagraph"/>
              <w:spacing w:before="18"/>
              <w:ind w:left="9"/>
              <w:rPr>
                <w:sz w:val="18"/>
              </w:rPr>
            </w:pPr>
            <w:r>
              <w:rPr>
                <w:sz w:val="18"/>
              </w:rPr>
              <w:t>No</w:t>
            </w:r>
          </w:p>
        </w:tc>
        <w:tc>
          <w:tcPr>
            <w:tcW w:w="713" w:type="dxa"/>
            <w:tcBorders>
              <w:top w:val="single" w:sz="13" w:space="0" w:color="FFFFFF"/>
              <w:bottom w:val="single" w:sz="13" w:space="0" w:color="FFFFFF"/>
              <w:right w:val="single" w:sz="4" w:space="0" w:color="000000"/>
            </w:tcBorders>
          </w:tcPr>
          <w:p>
            <w:pPr>
              <w:pStyle w:val="TableParagraph"/>
              <w:spacing w:before="6"/>
              <w:ind w:left="15" w:right="282"/>
              <w:rPr>
                <w:sz w:val="18"/>
              </w:rPr>
            </w:pPr>
            <w:r>
              <w:rPr>
                <w:sz w:val="18"/>
              </w:rPr>
              <w:t>San José</w:t>
            </w:r>
          </w:p>
        </w:tc>
      </w:tr>
      <w:tr>
        <w:trPr>
          <w:trHeight w:val="463" w:hRule="exact"/>
        </w:trPr>
        <w:tc>
          <w:tcPr>
            <w:tcW w:w="1273" w:type="dxa"/>
            <w:tcBorders>
              <w:top w:val="single" w:sz="13" w:space="0" w:color="FFFFFF"/>
              <w:left w:val="single" w:sz="4" w:space="0" w:color="000000"/>
              <w:bottom w:val="single" w:sz="13" w:space="0" w:color="FFFFFF"/>
            </w:tcBorders>
          </w:tcPr>
          <w:p>
            <w:pPr>
              <w:pStyle w:val="TableParagraph"/>
              <w:spacing w:before="8"/>
              <w:ind w:left="11" w:right="5"/>
              <w:rPr>
                <w:sz w:val="18"/>
              </w:rPr>
            </w:pPr>
            <w:r>
              <w:rPr>
                <w:sz w:val="18"/>
              </w:rPr>
              <w:t>Unión Agrícola Cartaginés</w:t>
            </w:r>
          </w:p>
        </w:tc>
        <w:tc>
          <w:tcPr>
            <w:tcW w:w="1419" w:type="dxa"/>
            <w:tcBorders>
              <w:top w:val="single" w:sz="8" w:space="0" w:color="000000"/>
              <w:bottom w:val="single" w:sz="8" w:space="0" w:color="000000"/>
            </w:tcBorders>
          </w:tcPr>
          <w:p>
            <w:pPr>
              <w:pStyle w:val="TableParagraph"/>
              <w:spacing w:before="16"/>
              <w:ind w:left="67" w:right="34"/>
              <w:rPr>
                <w:sz w:val="18"/>
              </w:rPr>
            </w:pPr>
            <w:r>
              <w:rPr>
                <w:sz w:val="18"/>
              </w:rPr>
              <w:t>¢22.587.961,06</w:t>
            </w:r>
          </w:p>
        </w:tc>
        <w:tc>
          <w:tcPr>
            <w:tcW w:w="1417" w:type="dxa"/>
            <w:tcBorders>
              <w:top w:val="single" w:sz="8" w:space="0" w:color="000000"/>
              <w:bottom w:val="single" w:sz="8" w:space="0" w:color="000000"/>
              <w:right w:val="single" w:sz="8" w:space="0" w:color="000000"/>
            </w:tcBorders>
          </w:tcPr>
          <w:p>
            <w:pPr>
              <w:pStyle w:val="TableParagraph"/>
              <w:spacing w:before="16"/>
              <w:ind w:left="59" w:right="65"/>
              <w:jc w:val="center"/>
              <w:rPr>
                <w:sz w:val="18"/>
              </w:rPr>
            </w:pPr>
            <w:r>
              <w:rPr>
                <w:sz w:val="18"/>
              </w:rPr>
              <w:t>$ 44,906.48</w:t>
            </w:r>
          </w:p>
        </w:tc>
        <w:tc>
          <w:tcPr>
            <w:tcW w:w="1559" w:type="dxa"/>
            <w:tcBorders>
              <w:top w:val="single" w:sz="8" w:space="0" w:color="000000"/>
              <w:left w:val="single" w:sz="8" w:space="0" w:color="000000"/>
              <w:bottom w:val="single" w:sz="8" w:space="0" w:color="000000"/>
            </w:tcBorders>
          </w:tcPr>
          <w:p>
            <w:pPr>
              <w:pStyle w:val="TableParagraph"/>
              <w:spacing w:before="16"/>
              <w:ind w:left="0" w:right="9"/>
              <w:jc w:val="center"/>
              <w:rPr>
                <w:sz w:val="18"/>
              </w:rPr>
            </w:pPr>
            <w:r>
              <w:rPr>
                <w:sz w:val="18"/>
              </w:rPr>
              <w:t>¢2.572.822,88</w:t>
            </w:r>
          </w:p>
        </w:tc>
        <w:tc>
          <w:tcPr>
            <w:tcW w:w="1277" w:type="dxa"/>
            <w:tcBorders>
              <w:top w:val="single" w:sz="8" w:space="0" w:color="000000"/>
              <w:bottom w:val="single" w:sz="8" w:space="0" w:color="000000"/>
            </w:tcBorders>
          </w:tcPr>
          <w:p>
            <w:pPr>
              <w:pStyle w:val="TableParagraph"/>
              <w:spacing w:before="16"/>
              <w:ind w:left="16" w:right="22"/>
              <w:jc w:val="center"/>
              <w:rPr>
                <w:sz w:val="18"/>
              </w:rPr>
            </w:pPr>
            <w:r>
              <w:rPr>
                <w:sz w:val="18"/>
              </w:rPr>
              <w:t>$ 5,114.95</w:t>
            </w:r>
          </w:p>
        </w:tc>
        <w:tc>
          <w:tcPr>
            <w:tcW w:w="708" w:type="dxa"/>
            <w:tcBorders>
              <w:top w:val="single" w:sz="8" w:space="0" w:color="000000"/>
              <w:bottom w:val="single" w:sz="8" w:space="0" w:color="000000"/>
            </w:tcBorders>
          </w:tcPr>
          <w:p>
            <w:pPr>
              <w:pStyle w:val="TableParagraph"/>
              <w:spacing w:before="16"/>
              <w:ind w:left="0" w:right="121"/>
              <w:jc w:val="right"/>
              <w:rPr>
                <w:sz w:val="18"/>
              </w:rPr>
            </w:pPr>
            <w:r>
              <w:rPr>
                <w:w w:val="95"/>
                <w:sz w:val="18"/>
              </w:rPr>
              <w:t>11,39</w:t>
            </w:r>
          </w:p>
        </w:tc>
        <w:tc>
          <w:tcPr>
            <w:tcW w:w="419" w:type="dxa"/>
            <w:tcBorders>
              <w:top w:val="single" w:sz="13" w:space="0" w:color="D9D9D9"/>
              <w:bottom w:val="single" w:sz="8" w:space="0" w:color="000000"/>
            </w:tcBorders>
          </w:tcPr>
          <w:p>
            <w:pPr>
              <w:pStyle w:val="TableParagraph"/>
              <w:spacing w:before="8"/>
              <w:ind w:left="9"/>
              <w:rPr>
                <w:sz w:val="18"/>
              </w:rPr>
            </w:pPr>
            <w:r>
              <w:rPr>
                <w:sz w:val="18"/>
              </w:rPr>
              <w:t>GP</w:t>
            </w:r>
          </w:p>
        </w:tc>
        <w:tc>
          <w:tcPr>
            <w:tcW w:w="713" w:type="dxa"/>
            <w:tcBorders>
              <w:top w:val="single" w:sz="13" w:space="0" w:color="FFFFFF"/>
              <w:bottom w:val="single" w:sz="13" w:space="0" w:color="FFFFFF"/>
              <w:right w:val="single" w:sz="4" w:space="0" w:color="000000"/>
            </w:tcBorders>
          </w:tcPr>
          <w:p>
            <w:pPr>
              <w:pStyle w:val="TableParagraph"/>
              <w:spacing w:before="8"/>
              <w:ind w:left="0" w:right="22"/>
              <w:jc w:val="center"/>
              <w:rPr>
                <w:sz w:val="18"/>
              </w:rPr>
            </w:pPr>
            <w:r>
              <w:rPr>
                <w:sz w:val="18"/>
              </w:rPr>
              <w:t>Cartago</w:t>
            </w:r>
          </w:p>
        </w:tc>
      </w:tr>
      <w:tr>
        <w:trPr>
          <w:trHeight w:val="1261" w:hRule="exact"/>
        </w:trPr>
        <w:tc>
          <w:tcPr>
            <w:tcW w:w="1273" w:type="dxa"/>
            <w:tcBorders>
              <w:top w:val="single" w:sz="13" w:space="0" w:color="FFFFFF"/>
              <w:left w:val="single" w:sz="4" w:space="0" w:color="000000"/>
              <w:bottom w:val="single" w:sz="13" w:space="0" w:color="FFFFFF"/>
            </w:tcBorders>
          </w:tcPr>
          <w:p>
            <w:pPr>
              <w:pStyle w:val="TableParagraph"/>
              <w:spacing w:before="2"/>
              <w:ind w:left="0"/>
              <w:rPr>
                <w:b/>
                <w:sz w:val="17"/>
              </w:rPr>
            </w:pPr>
          </w:p>
          <w:p>
            <w:pPr>
              <w:pStyle w:val="TableParagraph"/>
              <w:spacing w:before="1"/>
              <w:ind w:left="11" w:right="5"/>
              <w:rPr>
                <w:sz w:val="18"/>
              </w:rPr>
            </w:pPr>
            <w:r>
              <w:rPr>
                <w:sz w:val="18"/>
              </w:rPr>
              <w:t>Partido Movimiento de Trabajadores y Campesinos</w:t>
            </w:r>
          </w:p>
        </w:tc>
        <w:tc>
          <w:tcPr>
            <w:tcW w:w="1419" w:type="dxa"/>
            <w:tcBorders>
              <w:top w:val="single" w:sz="8" w:space="0" w:color="000000"/>
              <w:bottom w:val="single" w:sz="4" w:space="0" w:color="000000"/>
            </w:tcBorders>
          </w:tcPr>
          <w:p>
            <w:pPr>
              <w:pStyle w:val="TableParagraph"/>
              <w:spacing w:before="16"/>
              <w:ind w:left="117" w:right="34"/>
              <w:rPr>
                <w:sz w:val="18"/>
              </w:rPr>
            </w:pPr>
            <w:r>
              <w:rPr>
                <w:sz w:val="18"/>
              </w:rPr>
              <w:t>¢7.644.503,19</w:t>
            </w:r>
          </w:p>
        </w:tc>
        <w:tc>
          <w:tcPr>
            <w:tcW w:w="1417" w:type="dxa"/>
            <w:tcBorders>
              <w:top w:val="single" w:sz="8" w:space="0" w:color="000000"/>
              <w:bottom w:val="single" w:sz="4" w:space="0" w:color="000000"/>
              <w:right w:val="single" w:sz="8" w:space="0" w:color="000000"/>
            </w:tcBorders>
          </w:tcPr>
          <w:p>
            <w:pPr>
              <w:pStyle w:val="TableParagraph"/>
              <w:spacing w:before="16"/>
              <w:ind w:left="59" w:right="65"/>
              <w:jc w:val="center"/>
              <w:rPr>
                <w:sz w:val="18"/>
              </w:rPr>
            </w:pPr>
            <w:r>
              <w:rPr>
                <w:sz w:val="18"/>
              </w:rPr>
              <w:t>$ 15,197.81</w:t>
            </w:r>
          </w:p>
        </w:tc>
        <w:tc>
          <w:tcPr>
            <w:tcW w:w="1559" w:type="dxa"/>
            <w:tcBorders>
              <w:top w:val="single" w:sz="8" w:space="0" w:color="000000"/>
              <w:left w:val="single" w:sz="8" w:space="0" w:color="000000"/>
              <w:bottom w:val="single" w:sz="4" w:space="0" w:color="000000"/>
            </w:tcBorders>
          </w:tcPr>
          <w:p>
            <w:pPr>
              <w:pStyle w:val="TableParagraph"/>
              <w:spacing w:before="16"/>
              <w:ind w:left="0" w:right="9"/>
              <w:jc w:val="center"/>
              <w:rPr>
                <w:sz w:val="18"/>
              </w:rPr>
            </w:pPr>
            <w:r>
              <w:rPr>
                <w:sz w:val="18"/>
              </w:rPr>
              <w:t>¢2.425.674,51</w:t>
            </w:r>
          </w:p>
        </w:tc>
        <w:tc>
          <w:tcPr>
            <w:tcW w:w="1277" w:type="dxa"/>
            <w:tcBorders>
              <w:top w:val="single" w:sz="8" w:space="0" w:color="000000"/>
              <w:bottom w:val="single" w:sz="4" w:space="0" w:color="000000"/>
            </w:tcBorders>
          </w:tcPr>
          <w:p>
            <w:pPr>
              <w:pStyle w:val="TableParagraph"/>
              <w:spacing w:before="16"/>
              <w:ind w:left="16" w:right="22"/>
              <w:jc w:val="center"/>
              <w:rPr>
                <w:sz w:val="18"/>
              </w:rPr>
            </w:pPr>
            <w:r>
              <w:rPr>
                <w:sz w:val="18"/>
              </w:rPr>
              <w:t>$ 4,822.41</w:t>
            </w:r>
          </w:p>
        </w:tc>
        <w:tc>
          <w:tcPr>
            <w:tcW w:w="708" w:type="dxa"/>
            <w:tcBorders>
              <w:top w:val="single" w:sz="8" w:space="0" w:color="000000"/>
              <w:bottom w:val="single" w:sz="4" w:space="0" w:color="000000"/>
            </w:tcBorders>
          </w:tcPr>
          <w:p>
            <w:pPr>
              <w:pStyle w:val="TableParagraph"/>
              <w:spacing w:before="16"/>
              <w:ind w:left="0" w:right="121"/>
              <w:jc w:val="right"/>
              <w:rPr>
                <w:sz w:val="18"/>
              </w:rPr>
            </w:pPr>
            <w:r>
              <w:rPr>
                <w:w w:val="95"/>
                <w:sz w:val="18"/>
              </w:rPr>
              <w:t>31,73</w:t>
            </w:r>
          </w:p>
        </w:tc>
        <w:tc>
          <w:tcPr>
            <w:tcW w:w="419" w:type="dxa"/>
            <w:tcBorders>
              <w:top w:val="single" w:sz="8" w:space="0" w:color="000000"/>
              <w:bottom w:val="single" w:sz="13" w:space="0" w:color="D9D9D9"/>
            </w:tcBorders>
          </w:tcPr>
          <w:p>
            <w:pPr>
              <w:pStyle w:val="TableParagraph"/>
              <w:spacing w:before="16"/>
              <w:ind w:left="9"/>
              <w:rPr>
                <w:sz w:val="18"/>
              </w:rPr>
            </w:pPr>
            <w:r>
              <w:rPr>
                <w:sz w:val="18"/>
              </w:rPr>
              <w:t>GP</w:t>
            </w:r>
          </w:p>
        </w:tc>
        <w:tc>
          <w:tcPr>
            <w:tcW w:w="713" w:type="dxa"/>
            <w:tcBorders>
              <w:top w:val="single" w:sz="13" w:space="0" w:color="FFFFFF"/>
              <w:bottom w:val="single" w:sz="13" w:space="0" w:color="FFFFFF"/>
              <w:right w:val="single" w:sz="4" w:space="0" w:color="000000"/>
            </w:tcBorders>
          </w:tcPr>
          <w:p>
            <w:pPr>
              <w:pStyle w:val="TableParagraph"/>
              <w:spacing w:before="8"/>
              <w:ind w:left="0" w:right="173"/>
              <w:jc w:val="center"/>
              <w:rPr>
                <w:sz w:val="18"/>
              </w:rPr>
            </w:pPr>
            <w:r>
              <w:rPr>
                <w:sz w:val="18"/>
              </w:rPr>
              <w:t>Limón</w:t>
            </w:r>
          </w:p>
        </w:tc>
      </w:tr>
      <w:tr>
        <w:trPr>
          <w:trHeight w:val="672" w:hRule="exact"/>
        </w:trPr>
        <w:tc>
          <w:tcPr>
            <w:tcW w:w="1273" w:type="dxa"/>
            <w:tcBorders>
              <w:top w:val="single" w:sz="13" w:space="0" w:color="FFFFFF"/>
              <w:left w:val="single" w:sz="4" w:space="0" w:color="000000"/>
              <w:bottom w:val="single" w:sz="13" w:space="0" w:color="FFFFFF"/>
            </w:tcBorders>
          </w:tcPr>
          <w:p>
            <w:pPr>
              <w:pStyle w:val="TableParagraph"/>
              <w:spacing w:before="8"/>
              <w:ind w:left="11" w:right="266"/>
              <w:rPr>
                <w:sz w:val="18"/>
              </w:rPr>
            </w:pPr>
            <w:r>
              <w:rPr>
                <w:sz w:val="18"/>
              </w:rPr>
              <w:t>Partido Renovemos Alajuela</w:t>
            </w:r>
          </w:p>
        </w:tc>
        <w:tc>
          <w:tcPr>
            <w:tcW w:w="1419" w:type="dxa"/>
            <w:tcBorders>
              <w:top w:val="single" w:sz="4" w:space="0" w:color="000000"/>
              <w:bottom w:val="single" w:sz="8" w:space="0" w:color="000000"/>
            </w:tcBorders>
          </w:tcPr>
          <w:p>
            <w:pPr>
              <w:pStyle w:val="TableParagraph"/>
              <w:spacing w:before="20"/>
              <w:ind w:left="67" w:right="34"/>
              <w:rPr>
                <w:sz w:val="18"/>
              </w:rPr>
            </w:pPr>
            <w:r>
              <w:rPr>
                <w:sz w:val="18"/>
              </w:rPr>
              <w:t>¢50.462.208,23</w:t>
            </w:r>
          </w:p>
        </w:tc>
        <w:tc>
          <w:tcPr>
            <w:tcW w:w="1417" w:type="dxa"/>
            <w:tcBorders>
              <w:top w:val="single" w:sz="4" w:space="0" w:color="000000"/>
              <w:bottom w:val="single" w:sz="8" w:space="0" w:color="000000"/>
              <w:right w:val="single" w:sz="8" w:space="0" w:color="000000"/>
            </w:tcBorders>
          </w:tcPr>
          <w:p>
            <w:pPr>
              <w:pStyle w:val="TableParagraph"/>
              <w:spacing w:before="20"/>
              <w:ind w:left="58" w:right="65"/>
              <w:jc w:val="center"/>
              <w:rPr>
                <w:sz w:val="18"/>
              </w:rPr>
            </w:pPr>
            <w:r>
              <w:rPr>
                <w:sz w:val="18"/>
              </w:rPr>
              <w:t>$ 100,322.48</w:t>
            </w:r>
          </w:p>
        </w:tc>
        <w:tc>
          <w:tcPr>
            <w:tcW w:w="1559" w:type="dxa"/>
            <w:tcBorders>
              <w:top w:val="single" w:sz="4" w:space="0" w:color="000000"/>
              <w:left w:val="single" w:sz="8" w:space="0" w:color="000000"/>
              <w:bottom w:val="single" w:sz="8" w:space="0" w:color="000000"/>
            </w:tcBorders>
          </w:tcPr>
          <w:p>
            <w:pPr>
              <w:pStyle w:val="TableParagraph"/>
              <w:spacing w:before="20"/>
              <w:ind w:left="0" w:right="7"/>
              <w:jc w:val="center"/>
              <w:rPr>
                <w:sz w:val="18"/>
              </w:rPr>
            </w:pPr>
            <w:r>
              <w:rPr>
                <w:sz w:val="18"/>
              </w:rPr>
              <w:t>¢31.231.297,87</w:t>
            </w:r>
          </w:p>
        </w:tc>
        <w:tc>
          <w:tcPr>
            <w:tcW w:w="1277" w:type="dxa"/>
            <w:tcBorders>
              <w:top w:val="single" w:sz="4" w:space="0" w:color="000000"/>
              <w:bottom w:val="single" w:sz="8" w:space="0" w:color="000000"/>
            </w:tcBorders>
          </w:tcPr>
          <w:p>
            <w:pPr>
              <w:pStyle w:val="TableParagraph"/>
              <w:spacing w:before="20"/>
              <w:ind w:left="16" w:right="25"/>
              <w:jc w:val="center"/>
              <w:rPr>
                <w:sz w:val="18"/>
              </w:rPr>
            </w:pPr>
            <w:r>
              <w:rPr>
                <w:sz w:val="18"/>
              </w:rPr>
              <w:t>$ 62,090.05</w:t>
            </w:r>
          </w:p>
        </w:tc>
        <w:tc>
          <w:tcPr>
            <w:tcW w:w="708" w:type="dxa"/>
            <w:tcBorders>
              <w:top w:val="single" w:sz="4" w:space="0" w:color="000000"/>
              <w:bottom w:val="single" w:sz="8" w:space="0" w:color="000000"/>
            </w:tcBorders>
          </w:tcPr>
          <w:p>
            <w:pPr>
              <w:pStyle w:val="TableParagraph"/>
              <w:spacing w:before="20"/>
              <w:ind w:left="0" w:right="121"/>
              <w:jc w:val="right"/>
              <w:rPr>
                <w:sz w:val="18"/>
              </w:rPr>
            </w:pPr>
            <w:r>
              <w:rPr>
                <w:w w:val="95"/>
                <w:sz w:val="18"/>
              </w:rPr>
              <w:t>61,89</w:t>
            </w:r>
          </w:p>
        </w:tc>
        <w:tc>
          <w:tcPr>
            <w:tcW w:w="419" w:type="dxa"/>
            <w:tcBorders>
              <w:top w:val="single" w:sz="4" w:space="0" w:color="000000"/>
              <w:bottom w:val="single" w:sz="8" w:space="0" w:color="000000"/>
            </w:tcBorders>
            <w:shd w:val="clear" w:color="auto" w:fill="D9D9D9"/>
          </w:tcPr>
          <w:p>
            <w:pPr>
              <w:pStyle w:val="TableParagraph"/>
              <w:spacing w:before="20"/>
              <w:ind w:left="9"/>
              <w:rPr>
                <w:sz w:val="18"/>
              </w:rPr>
            </w:pPr>
            <w:r>
              <w:rPr>
                <w:sz w:val="18"/>
              </w:rPr>
              <w:t>No</w:t>
            </w:r>
          </w:p>
        </w:tc>
        <w:tc>
          <w:tcPr>
            <w:tcW w:w="713" w:type="dxa"/>
            <w:tcBorders>
              <w:top w:val="single" w:sz="13" w:space="0" w:color="FFFFFF"/>
              <w:bottom w:val="single" w:sz="13" w:space="0" w:color="FFFFFF"/>
              <w:right w:val="single" w:sz="4" w:space="0" w:color="000000"/>
            </w:tcBorders>
          </w:tcPr>
          <w:p>
            <w:pPr>
              <w:pStyle w:val="TableParagraph"/>
              <w:spacing w:before="8"/>
              <w:ind w:left="0" w:right="22"/>
              <w:jc w:val="center"/>
              <w:rPr>
                <w:sz w:val="18"/>
              </w:rPr>
            </w:pPr>
            <w:r>
              <w:rPr>
                <w:sz w:val="18"/>
              </w:rPr>
              <w:t>Alajuela</w:t>
            </w:r>
          </w:p>
        </w:tc>
      </w:tr>
      <w:tr>
        <w:trPr>
          <w:trHeight w:val="463" w:hRule="exact"/>
        </w:trPr>
        <w:tc>
          <w:tcPr>
            <w:tcW w:w="1273" w:type="dxa"/>
            <w:tcBorders>
              <w:top w:val="single" w:sz="13" w:space="0" w:color="FFFFFF"/>
              <w:left w:val="single" w:sz="4" w:space="0" w:color="000000"/>
              <w:bottom w:val="single" w:sz="13" w:space="0" w:color="FFFFFF"/>
            </w:tcBorders>
          </w:tcPr>
          <w:p>
            <w:pPr>
              <w:pStyle w:val="TableParagraph"/>
              <w:spacing w:before="6"/>
              <w:ind w:left="11" w:right="236"/>
              <w:rPr>
                <w:sz w:val="18"/>
              </w:rPr>
            </w:pPr>
            <w:r>
              <w:rPr>
                <w:sz w:val="18"/>
              </w:rPr>
              <w:t>Coalición Barva Unida</w:t>
            </w:r>
          </w:p>
        </w:tc>
        <w:tc>
          <w:tcPr>
            <w:tcW w:w="1419" w:type="dxa"/>
            <w:tcBorders>
              <w:top w:val="single" w:sz="8" w:space="0" w:color="000000"/>
              <w:bottom w:val="single" w:sz="4" w:space="0" w:color="000000"/>
            </w:tcBorders>
          </w:tcPr>
          <w:p>
            <w:pPr>
              <w:pStyle w:val="TableParagraph"/>
              <w:spacing w:before="13"/>
              <w:ind w:left="117" w:right="34"/>
              <w:rPr>
                <w:sz w:val="18"/>
              </w:rPr>
            </w:pPr>
            <w:r>
              <w:rPr>
                <w:sz w:val="18"/>
              </w:rPr>
              <w:t>¢5.343.877,53</w:t>
            </w:r>
          </w:p>
        </w:tc>
        <w:tc>
          <w:tcPr>
            <w:tcW w:w="1417" w:type="dxa"/>
            <w:tcBorders>
              <w:top w:val="single" w:sz="8" w:space="0" w:color="000000"/>
              <w:bottom w:val="single" w:sz="4" w:space="0" w:color="000000"/>
              <w:right w:val="single" w:sz="8" w:space="0" w:color="000000"/>
            </w:tcBorders>
          </w:tcPr>
          <w:p>
            <w:pPr>
              <w:pStyle w:val="TableParagraph"/>
              <w:spacing w:before="13"/>
              <w:ind w:left="59" w:right="65"/>
              <w:jc w:val="center"/>
              <w:rPr>
                <w:sz w:val="18"/>
              </w:rPr>
            </w:pPr>
            <w:r>
              <w:rPr>
                <w:sz w:val="18"/>
              </w:rPr>
              <w:t>$ 10,624.01</w:t>
            </w:r>
          </w:p>
        </w:tc>
        <w:tc>
          <w:tcPr>
            <w:tcW w:w="1559" w:type="dxa"/>
            <w:tcBorders>
              <w:top w:val="single" w:sz="8" w:space="0" w:color="000000"/>
              <w:left w:val="single" w:sz="8" w:space="0" w:color="000000"/>
              <w:bottom w:val="single" w:sz="4" w:space="0" w:color="000000"/>
            </w:tcBorders>
          </w:tcPr>
          <w:p>
            <w:pPr>
              <w:pStyle w:val="TableParagraph"/>
              <w:spacing w:before="13"/>
              <w:ind w:left="0" w:right="7"/>
              <w:jc w:val="center"/>
              <w:rPr>
                <w:sz w:val="18"/>
              </w:rPr>
            </w:pPr>
            <w:r>
              <w:rPr>
                <w:sz w:val="18"/>
              </w:rPr>
              <w:t>¢503.099,00</w:t>
            </w:r>
          </w:p>
        </w:tc>
        <w:tc>
          <w:tcPr>
            <w:tcW w:w="1277" w:type="dxa"/>
            <w:tcBorders>
              <w:top w:val="single" w:sz="8" w:space="0" w:color="000000"/>
              <w:bottom w:val="single" w:sz="4" w:space="0" w:color="000000"/>
            </w:tcBorders>
          </w:tcPr>
          <w:p>
            <w:pPr>
              <w:pStyle w:val="TableParagraph"/>
              <w:spacing w:before="13"/>
              <w:ind w:left="16" w:right="25"/>
              <w:jc w:val="center"/>
              <w:rPr>
                <w:sz w:val="18"/>
              </w:rPr>
            </w:pPr>
            <w:r>
              <w:rPr>
                <w:sz w:val="18"/>
              </w:rPr>
              <w:t>$ 1000.19</w:t>
            </w:r>
          </w:p>
        </w:tc>
        <w:tc>
          <w:tcPr>
            <w:tcW w:w="708" w:type="dxa"/>
            <w:tcBorders>
              <w:top w:val="single" w:sz="8" w:space="0" w:color="000000"/>
              <w:bottom w:val="single" w:sz="4" w:space="0" w:color="000000"/>
            </w:tcBorders>
          </w:tcPr>
          <w:p>
            <w:pPr>
              <w:pStyle w:val="TableParagraph"/>
              <w:spacing w:before="13"/>
              <w:ind w:left="0" w:right="171"/>
              <w:jc w:val="right"/>
              <w:rPr>
                <w:sz w:val="18"/>
              </w:rPr>
            </w:pPr>
            <w:r>
              <w:rPr>
                <w:w w:val="95"/>
                <w:sz w:val="18"/>
              </w:rPr>
              <w:t>9,41</w:t>
            </w:r>
          </w:p>
        </w:tc>
        <w:tc>
          <w:tcPr>
            <w:tcW w:w="419" w:type="dxa"/>
            <w:tcBorders>
              <w:top w:val="single" w:sz="8" w:space="0" w:color="000000"/>
              <w:bottom w:val="single" w:sz="4" w:space="0" w:color="000000"/>
            </w:tcBorders>
            <w:shd w:val="clear" w:color="auto" w:fill="D9D9D9"/>
          </w:tcPr>
          <w:p>
            <w:pPr>
              <w:pStyle w:val="TableParagraph"/>
              <w:spacing w:before="13"/>
              <w:ind w:left="9"/>
              <w:rPr>
                <w:sz w:val="18"/>
              </w:rPr>
            </w:pPr>
            <w:r>
              <w:rPr>
                <w:sz w:val="18"/>
              </w:rPr>
              <w:t>No</w:t>
            </w:r>
          </w:p>
        </w:tc>
        <w:tc>
          <w:tcPr>
            <w:tcW w:w="713" w:type="dxa"/>
            <w:tcBorders>
              <w:top w:val="single" w:sz="13" w:space="0" w:color="FFFFFF"/>
              <w:bottom w:val="single" w:sz="13" w:space="0" w:color="FFFFFF"/>
              <w:right w:val="single" w:sz="4" w:space="0" w:color="000000"/>
            </w:tcBorders>
          </w:tcPr>
          <w:p>
            <w:pPr>
              <w:pStyle w:val="TableParagraph"/>
              <w:spacing w:before="6"/>
              <w:ind w:left="0" w:right="31"/>
              <w:jc w:val="center"/>
              <w:rPr>
                <w:sz w:val="18"/>
              </w:rPr>
            </w:pPr>
            <w:r>
              <w:rPr>
                <w:sz w:val="18"/>
              </w:rPr>
              <w:t>Heredia</w:t>
            </w:r>
          </w:p>
        </w:tc>
      </w:tr>
      <w:tr>
        <w:trPr>
          <w:trHeight w:val="464" w:hRule="exact"/>
        </w:trPr>
        <w:tc>
          <w:tcPr>
            <w:tcW w:w="1273" w:type="dxa"/>
            <w:tcBorders>
              <w:top w:val="single" w:sz="13" w:space="0" w:color="FFFFFF"/>
              <w:left w:val="single" w:sz="4" w:space="0" w:color="000000"/>
            </w:tcBorders>
          </w:tcPr>
          <w:p>
            <w:pPr>
              <w:pStyle w:val="TableParagraph"/>
              <w:spacing w:before="8"/>
              <w:ind w:left="11" w:right="15"/>
              <w:rPr>
                <w:sz w:val="18"/>
              </w:rPr>
            </w:pPr>
            <w:r>
              <w:rPr>
                <w:sz w:val="18"/>
              </w:rPr>
              <w:t>Coalición Partido Alianza</w:t>
            </w:r>
          </w:p>
        </w:tc>
        <w:tc>
          <w:tcPr>
            <w:tcW w:w="1419" w:type="dxa"/>
            <w:tcBorders>
              <w:top w:val="single" w:sz="4" w:space="0" w:color="000000"/>
            </w:tcBorders>
          </w:tcPr>
          <w:p>
            <w:pPr>
              <w:pStyle w:val="TableParagraph"/>
              <w:spacing w:before="20"/>
              <w:ind w:left="117" w:right="34"/>
              <w:rPr>
                <w:sz w:val="18"/>
              </w:rPr>
            </w:pPr>
            <w:r>
              <w:rPr>
                <w:sz w:val="18"/>
              </w:rPr>
              <w:t>¢3.840.438,36</w:t>
            </w:r>
          </w:p>
        </w:tc>
        <w:tc>
          <w:tcPr>
            <w:tcW w:w="1417" w:type="dxa"/>
            <w:tcBorders>
              <w:top w:val="single" w:sz="4" w:space="0" w:color="000000"/>
              <w:right w:val="single" w:sz="8" w:space="0" w:color="000000"/>
            </w:tcBorders>
          </w:tcPr>
          <w:p>
            <w:pPr>
              <w:pStyle w:val="TableParagraph"/>
              <w:spacing w:before="20"/>
              <w:ind w:left="56" w:right="65"/>
              <w:jc w:val="center"/>
              <w:rPr>
                <w:sz w:val="18"/>
              </w:rPr>
            </w:pPr>
            <w:r>
              <w:rPr>
                <w:sz w:val="18"/>
              </w:rPr>
              <w:t>$ 7,635.06</w:t>
            </w:r>
          </w:p>
        </w:tc>
        <w:tc>
          <w:tcPr>
            <w:tcW w:w="1559" w:type="dxa"/>
            <w:tcBorders>
              <w:top w:val="single" w:sz="4" w:space="0" w:color="000000"/>
              <w:left w:val="single" w:sz="8" w:space="0" w:color="000000"/>
            </w:tcBorders>
          </w:tcPr>
          <w:p>
            <w:pPr>
              <w:pStyle w:val="TableParagraph"/>
              <w:spacing w:before="20"/>
              <w:ind w:left="0" w:right="9"/>
              <w:jc w:val="center"/>
              <w:rPr>
                <w:sz w:val="18"/>
              </w:rPr>
            </w:pPr>
            <w:r>
              <w:rPr>
                <w:sz w:val="18"/>
              </w:rPr>
              <w:t>¢1.724.676,00</w:t>
            </w:r>
          </w:p>
        </w:tc>
        <w:tc>
          <w:tcPr>
            <w:tcW w:w="1277" w:type="dxa"/>
            <w:tcBorders>
              <w:top w:val="single" w:sz="4" w:space="0" w:color="000000"/>
            </w:tcBorders>
          </w:tcPr>
          <w:p>
            <w:pPr>
              <w:pStyle w:val="TableParagraph"/>
              <w:spacing w:before="20"/>
              <w:ind w:left="16" w:right="22"/>
              <w:jc w:val="center"/>
              <w:rPr>
                <w:sz w:val="18"/>
              </w:rPr>
            </w:pPr>
            <w:r>
              <w:rPr>
                <w:sz w:val="18"/>
              </w:rPr>
              <w:t>$ 3,428.77</w:t>
            </w:r>
          </w:p>
        </w:tc>
        <w:tc>
          <w:tcPr>
            <w:tcW w:w="708" w:type="dxa"/>
            <w:tcBorders>
              <w:top w:val="single" w:sz="4" w:space="0" w:color="000000"/>
            </w:tcBorders>
          </w:tcPr>
          <w:p>
            <w:pPr>
              <w:pStyle w:val="TableParagraph"/>
              <w:spacing w:before="20"/>
              <w:ind w:left="0" w:right="121"/>
              <w:jc w:val="right"/>
              <w:rPr>
                <w:sz w:val="18"/>
              </w:rPr>
            </w:pPr>
            <w:r>
              <w:rPr>
                <w:w w:val="95"/>
                <w:sz w:val="18"/>
              </w:rPr>
              <w:t>44,91</w:t>
            </w:r>
          </w:p>
        </w:tc>
        <w:tc>
          <w:tcPr>
            <w:tcW w:w="419" w:type="dxa"/>
            <w:tcBorders>
              <w:top w:val="single" w:sz="4" w:space="0" w:color="000000"/>
            </w:tcBorders>
            <w:shd w:val="clear" w:color="auto" w:fill="D9D9D9"/>
          </w:tcPr>
          <w:p>
            <w:pPr>
              <w:pStyle w:val="TableParagraph"/>
              <w:spacing w:before="20"/>
              <w:ind w:left="9"/>
              <w:rPr>
                <w:sz w:val="18"/>
              </w:rPr>
            </w:pPr>
            <w:r>
              <w:rPr>
                <w:sz w:val="18"/>
              </w:rPr>
              <w:t>No</w:t>
            </w:r>
          </w:p>
        </w:tc>
        <w:tc>
          <w:tcPr>
            <w:tcW w:w="713" w:type="dxa"/>
            <w:tcBorders>
              <w:top w:val="single" w:sz="13" w:space="0" w:color="FFFFFF"/>
              <w:right w:val="single" w:sz="4" w:space="0" w:color="000000"/>
            </w:tcBorders>
          </w:tcPr>
          <w:p>
            <w:pPr>
              <w:pStyle w:val="TableParagraph"/>
              <w:spacing w:before="8"/>
              <w:ind w:left="0" w:right="22"/>
              <w:jc w:val="center"/>
              <w:rPr>
                <w:sz w:val="18"/>
              </w:rPr>
            </w:pPr>
            <w:r>
              <w:rPr>
                <w:sz w:val="18"/>
              </w:rPr>
              <w:t>Alajuela</w:t>
            </w:r>
          </w:p>
        </w:tc>
      </w:tr>
    </w:tbl>
    <w:p>
      <w:pPr>
        <w:spacing w:after="0"/>
        <w:jc w:val="center"/>
        <w:rPr>
          <w:sz w:val="18"/>
        </w:rPr>
        <w:sectPr>
          <w:pgSz w:w="12240" w:h="15840"/>
          <w:pgMar w:header="749" w:footer="1003" w:top="960" w:bottom="1200" w:left="1580" w:right="1580"/>
        </w:sectPr>
      </w:pPr>
    </w:p>
    <w:p>
      <w:pPr>
        <w:pStyle w:val="BodyText"/>
        <w:rPr>
          <w:b/>
          <w:sz w:val="20"/>
        </w:rPr>
      </w:pPr>
    </w:p>
    <w:p>
      <w:pPr>
        <w:pStyle w:val="BodyText"/>
        <w:spacing w:before="9"/>
        <w:rPr>
          <w:b/>
          <w:sz w:val="18"/>
        </w:rPr>
      </w:pPr>
    </w:p>
    <w:tbl>
      <w:tblPr>
        <w:tblW w:w="0" w:type="auto"/>
        <w:jc w:val="left"/>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73"/>
        <w:gridCol w:w="1419"/>
        <w:gridCol w:w="1417"/>
        <w:gridCol w:w="1559"/>
        <w:gridCol w:w="1277"/>
        <w:gridCol w:w="708"/>
        <w:gridCol w:w="425"/>
        <w:gridCol w:w="707"/>
      </w:tblGrid>
      <w:tr>
        <w:trPr>
          <w:trHeight w:val="321" w:hRule="exact"/>
        </w:trPr>
        <w:tc>
          <w:tcPr>
            <w:tcW w:w="1273" w:type="dxa"/>
            <w:tcBorders>
              <w:top w:val="single" w:sz="6" w:space="0" w:color="FFFFFF"/>
              <w:bottom w:val="single" w:sz="6" w:space="0" w:color="FFFFFF"/>
              <w:right w:val="double" w:sz="3" w:space="0" w:color="000000"/>
            </w:tcBorders>
          </w:tcPr>
          <w:p>
            <w:pPr>
              <w:pStyle w:val="TableParagraph"/>
              <w:spacing w:before="17"/>
              <w:ind w:left="11" w:right="5"/>
              <w:rPr>
                <w:sz w:val="18"/>
              </w:rPr>
            </w:pPr>
            <w:r>
              <w:rPr>
                <w:sz w:val="18"/>
              </w:rPr>
              <w:t>Zarcereña**</w:t>
            </w:r>
          </w:p>
        </w:tc>
        <w:tc>
          <w:tcPr>
            <w:tcW w:w="1419" w:type="dxa"/>
            <w:tcBorders>
              <w:top w:val="double" w:sz="3" w:space="0" w:color="000000"/>
              <w:left w:val="double" w:sz="3" w:space="0" w:color="000000"/>
              <w:bottom w:val="single" w:sz="8" w:space="0" w:color="000000"/>
              <w:right w:val="double" w:sz="3" w:space="0" w:color="000000"/>
            </w:tcBorders>
          </w:tcPr>
          <w:p>
            <w:pPr/>
          </w:p>
        </w:tc>
        <w:tc>
          <w:tcPr>
            <w:tcW w:w="1417" w:type="dxa"/>
            <w:tcBorders>
              <w:top w:val="double" w:sz="3" w:space="0" w:color="000000"/>
              <w:left w:val="double" w:sz="3" w:space="0" w:color="000000"/>
              <w:bottom w:val="single" w:sz="8" w:space="0" w:color="000000"/>
              <w:right w:val="single" w:sz="8" w:space="0" w:color="000000"/>
            </w:tcBorders>
          </w:tcPr>
          <w:p>
            <w:pPr/>
          </w:p>
        </w:tc>
        <w:tc>
          <w:tcPr>
            <w:tcW w:w="1559" w:type="dxa"/>
            <w:tcBorders>
              <w:top w:val="double" w:sz="3" w:space="0" w:color="000000"/>
              <w:left w:val="single" w:sz="8" w:space="0" w:color="000000"/>
              <w:bottom w:val="single" w:sz="8" w:space="0" w:color="000000"/>
              <w:right w:val="double" w:sz="3" w:space="0" w:color="000000"/>
            </w:tcBorders>
          </w:tcPr>
          <w:p>
            <w:pPr/>
          </w:p>
        </w:tc>
        <w:tc>
          <w:tcPr>
            <w:tcW w:w="1277" w:type="dxa"/>
            <w:tcBorders>
              <w:top w:val="double" w:sz="3" w:space="0" w:color="000000"/>
              <w:left w:val="double" w:sz="3" w:space="0" w:color="000000"/>
              <w:bottom w:val="single" w:sz="8" w:space="0" w:color="000000"/>
              <w:right w:val="double" w:sz="3" w:space="0" w:color="000000"/>
            </w:tcBorders>
          </w:tcPr>
          <w:p>
            <w:pPr/>
          </w:p>
        </w:tc>
        <w:tc>
          <w:tcPr>
            <w:tcW w:w="708" w:type="dxa"/>
            <w:tcBorders>
              <w:top w:val="double" w:sz="3" w:space="0" w:color="000000"/>
              <w:left w:val="double" w:sz="3" w:space="0" w:color="000000"/>
              <w:bottom w:val="single" w:sz="8" w:space="0" w:color="000000"/>
              <w:right w:val="double" w:sz="3" w:space="0" w:color="000000"/>
            </w:tcBorders>
          </w:tcPr>
          <w:p>
            <w:pPr/>
          </w:p>
        </w:tc>
        <w:tc>
          <w:tcPr>
            <w:tcW w:w="425" w:type="dxa"/>
            <w:tcBorders>
              <w:top w:val="double" w:sz="3" w:space="0" w:color="000000"/>
              <w:left w:val="double" w:sz="3" w:space="0" w:color="000000"/>
              <w:bottom w:val="single" w:sz="6" w:space="0" w:color="A6A6A6"/>
              <w:right w:val="double" w:sz="3" w:space="0" w:color="000000"/>
            </w:tcBorders>
            <w:shd w:val="clear" w:color="auto" w:fill="D9D9D9"/>
          </w:tcPr>
          <w:p>
            <w:pPr/>
          </w:p>
        </w:tc>
        <w:tc>
          <w:tcPr>
            <w:tcW w:w="707" w:type="dxa"/>
            <w:tcBorders>
              <w:top w:val="single" w:sz="6" w:space="0" w:color="FFFFFF"/>
              <w:left w:val="double" w:sz="3" w:space="0" w:color="000000"/>
              <w:bottom w:val="single" w:sz="6" w:space="0" w:color="FFFFFF"/>
            </w:tcBorders>
          </w:tcPr>
          <w:p>
            <w:pPr/>
          </w:p>
        </w:tc>
      </w:tr>
      <w:tr>
        <w:trPr>
          <w:trHeight w:val="670" w:hRule="exact"/>
        </w:trPr>
        <w:tc>
          <w:tcPr>
            <w:tcW w:w="1273" w:type="dxa"/>
            <w:tcBorders>
              <w:top w:val="single" w:sz="6" w:space="0" w:color="FFFFFF"/>
              <w:bottom w:val="single" w:sz="13" w:space="0" w:color="FFFFFF"/>
              <w:right w:val="double" w:sz="3" w:space="0" w:color="000000"/>
            </w:tcBorders>
          </w:tcPr>
          <w:p>
            <w:pPr>
              <w:pStyle w:val="TableParagraph"/>
              <w:spacing w:before="16"/>
              <w:ind w:left="11" w:right="85"/>
              <w:rPr>
                <w:sz w:val="18"/>
              </w:rPr>
            </w:pPr>
            <w:r>
              <w:rPr>
                <w:sz w:val="18"/>
              </w:rPr>
              <w:t>Partido Independiente Belemita</w:t>
            </w:r>
          </w:p>
        </w:tc>
        <w:tc>
          <w:tcPr>
            <w:tcW w:w="1419" w:type="dxa"/>
            <w:tcBorders>
              <w:top w:val="single" w:sz="8" w:space="0" w:color="000000"/>
              <w:left w:val="double" w:sz="3" w:space="0" w:color="000000"/>
              <w:bottom w:val="single" w:sz="8" w:space="0" w:color="000000"/>
              <w:right w:val="double" w:sz="3" w:space="0" w:color="000000"/>
            </w:tcBorders>
          </w:tcPr>
          <w:p>
            <w:pPr>
              <w:pStyle w:val="TableParagraph"/>
              <w:spacing w:before="13"/>
              <w:ind w:left="47" w:right="54"/>
              <w:jc w:val="center"/>
              <w:rPr>
                <w:sz w:val="18"/>
              </w:rPr>
            </w:pPr>
            <w:r>
              <w:rPr>
                <w:sz w:val="18"/>
              </w:rPr>
              <w:t>¢4.928.613,08</w:t>
            </w:r>
          </w:p>
        </w:tc>
        <w:tc>
          <w:tcPr>
            <w:tcW w:w="1417" w:type="dxa"/>
            <w:tcBorders>
              <w:top w:val="single" w:sz="8" w:space="0" w:color="000000"/>
              <w:left w:val="double" w:sz="3" w:space="0" w:color="000000"/>
              <w:bottom w:val="single" w:sz="8" w:space="0" w:color="000000"/>
              <w:right w:val="single" w:sz="8" w:space="0" w:color="000000"/>
            </w:tcBorders>
          </w:tcPr>
          <w:p>
            <w:pPr>
              <w:pStyle w:val="TableParagraph"/>
              <w:spacing w:before="13"/>
              <w:ind w:left="56" w:right="65"/>
              <w:jc w:val="center"/>
              <w:rPr>
                <w:sz w:val="18"/>
              </w:rPr>
            </w:pPr>
            <w:r>
              <w:rPr>
                <w:sz w:val="18"/>
              </w:rPr>
              <w:t>$ 9,798.43</w:t>
            </w:r>
          </w:p>
        </w:tc>
        <w:tc>
          <w:tcPr>
            <w:tcW w:w="1559" w:type="dxa"/>
            <w:tcBorders>
              <w:top w:val="single" w:sz="8" w:space="0" w:color="000000"/>
              <w:left w:val="single" w:sz="8" w:space="0" w:color="000000"/>
              <w:bottom w:val="single" w:sz="8" w:space="0" w:color="000000"/>
              <w:right w:val="double" w:sz="3" w:space="0" w:color="000000"/>
            </w:tcBorders>
          </w:tcPr>
          <w:p>
            <w:pPr>
              <w:pStyle w:val="TableParagraph"/>
              <w:spacing w:before="13"/>
              <w:ind w:left="0" w:right="9"/>
              <w:jc w:val="center"/>
              <w:rPr>
                <w:sz w:val="18"/>
              </w:rPr>
            </w:pPr>
            <w:r>
              <w:rPr>
                <w:sz w:val="18"/>
              </w:rPr>
              <w:t>¢5.752.062,75</w:t>
            </w:r>
          </w:p>
        </w:tc>
        <w:tc>
          <w:tcPr>
            <w:tcW w:w="1277" w:type="dxa"/>
            <w:tcBorders>
              <w:top w:val="single" w:sz="8" w:space="0" w:color="000000"/>
              <w:left w:val="double" w:sz="3" w:space="0" w:color="000000"/>
              <w:bottom w:val="single" w:sz="8" w:space="0" w:color="000000"/>
              <w:right w:val="double" w:sz="3" w:space="0" w:color="000000"/>
            </w:tcBorders>
          </w:tcPr>
          <w:p>
            <w:pPr>
              <w:pStyle w:val="TableParagraph"/>
              <w:spacing w:before="13"/>
              <w:ind w:left="146" w:right="52"/>
              <w:rPr>
                <w:sz w:val="18"/>
              </w:rPr>
            </w:pPr>
            <w:r>
              <w:rPr>
                <w:sz w:val="18"/>
              </w:rPr>
              <w:t>$ 11,435.51</w:t>
            </w:r>
          </w:p>
        </w:tc>
        <w:tc>
          <w:tcPr>
            <w:tcW w:w="708" w:type="dxa"/>
            <w:tcBorders>
              <w:top w:val="single" w:sz="8" w:space="0" w:color="000000"/>
              <w:left w:val="double" w:sz="3" w:space="0" w:color="000000"/>
              <w:bottom w:val="single" w:sz="8" w:space="0" w:color="000000"/>
              <w:right w:val="double" w:sz="3" w:space="0" w:color="000000"/>
            </w:tcBorders>
          </w:tcPr>
          <w:p>
            <w:pPr>
              <w:pStyle w:val="TableParagraph"/>
              <w:spacing w:before="13"/>
              <w:ind w:left="0" w:right="71"/>
              <w:jc w:val="right"/>
              <w:rPr>
                <w:sz w:val="18"/>
              </w:rPr>
            </w:pPr>
            <w:r>
              <w:rPr>
                <w:sz w:val="18"/>
              </w:rPr>
              <w:t>116,71</w:t>
            </w:r>
          </w:p>
        </w:tc>
        <w:tc>
          <w:tcPr>
            <w:tcW w:w="425" w:type="dxa"/>
            <w:tcBorders>
              <w:top w:val="single" w:sz="14" w:space="0" w:color="D9D9D9"/>
              <w:left w:val="double" w:sz="3" w:space="0" w:color="000000"/>
              <w:bottom w:val="single" w:sz="8" w:space="0" w:color="000000"/>
              <w:right w:val="double" w:sz="3" w:space="0" w:color="000000"/>
            </w:tcBorders>
            <w:shd w:val="clear" w:color="auto" w:fill="A6A6A6"/>
          </w:tcPr>
          <w:p>
            <w:pPr>
              <w:pStyle w:val="TableParagraph"/>
              <w:spacing w:before="6"/>
              <w:ind w:left="9" w:right="114"/>
              <w:rPr>
                <w:sz w:val="18"/>
              </w:rPr>
            </w:pPr>
            <w:r>
              <w:rPr>
                <w:sz w:val="18"/>
              </w:rPr>
              <w:t>Sí/ GP</w:t>
            </w:r>
          </w:p>
        </w:tc>
        <w:tc>
          <w:tcPr>
            <w:tcW w:w="707" w:type="dxa"/>
            <w:tcBorders>
              <w:top w:val="single" w:sz="6" w:space="0" w:color="FFFFFF"/>
              <w:left w:val="double" w:sz="3" w:space="0" w:color="000000"/>
              <w:bottom w:val="single" w:sz="13" w:space="0" w:color="FFFFFF"/>
            </w:tcBorders>
          </w:tcPr>
          <w:p>
            <w:pPr>
              <w:pStyle w:val="TableParagraph"/>
              <w:spacing w:before="16"/>
              <w:ind w:left="0" w:right="37"/>
              <w:jc w:val="center"/>
              <w:rPr>
                <w:sz w:val="18"/>
              </w:rPr>
            </w:pPr>
            <w:r>
              <w:rPr>
                <w:sz w:val="18"/>
              </w:rPr>
              <w:t>Heredia</w:t>
            </w:r>
          </w:p>
        </w:tc>
      </w:tr>
      <w:tr>
        <w:trPr>
          <w:trHeight w:val="672" w:hRule="exact"/>
        </w:trPr>
        <w:tc>
          <w:tcPr>
            <w:tcW w:w="1273" w:type="dxa"/>
            <w:tcBorders>
              <w:top w:val="single" w:sz="13" w:space="0" w:color="FFFFFF"/>
              <w:bottom w:val="single" w:sz="13" w:space="0" w:color="FFFFFF"/>
              <w:right w:val="double" w:sz="3" w:space="0" w:color="000000"/>
            </w:tcBorders>
          </w:tcPr>
          <w:p>
            <w:pPr>
              <w:pStyle w:val="TableParagraph"/>
              <w:spacing w:before="8"/>
              <w:ind w:left="11" w:right="5"/>
              <w:rPr>
                <w:sz w:val="18"/>
              </w:rPr>
            </w:pPr>
            <w:r>
              <w:rPr>
                <w:sz w:val="18"/>
              </w:rPr>
              <w:t>Coalición Montes de Oca Unida*</w:t>
            </w:r>
          </w:p>
        </w:tc>
        <w:tc>
          <w:tcPr>
            <w:tcW w:w="1419" w:type="dxa"/>
            <w:tcBorders>
              <w:top w:val="single" w:sz="8" w:space="0" w:color="000000"/>
              <w:left w:val="double" w:sz="3" w:space="0" w:color="000000"/>
              <w:bottom w:val="single" w:sz="8" w:space="0" w:color="000000"/>
              <w:right w:val="double" w:sz="3" w:space="0" w:color="000000"/>
            </w:tcBorders>
          </w:tcPr>
          <w:p>
            <w:pPr>
              <w:pStyle w:val="TableParagraph"/>
              <w:spacing w:before="16"/>
              <w:ind w:left="47" w:right="54"/>
              <w:jc w:val="center"/>
              <w:rPr>
                <w:sz w:val="18"/>
              </w:rPr>
            </w:pPr>
            <w:r>
              <w:rPr>
                <w:sz w:val="18"/>
              </w:rPr>
              <w:t>¢7.750.592,65</w:t>
            </w:r>
          </w:p>
        </w:tc>
        <w:tc>
          <w:tcPr>
            <w:tcW w:w="1417" w:type="dxa"/>
            <w:tcBorders>
              <w:top w:val="single" w:sz="8" w:space="0" w:color="000000"/>
              <w:left w:val="double" w:sz="3" w:space="0" w:color="000000"/>
              <w:bottom w:val="single" w:sz="8" w:space="0" w:color="000000"/>
              <w:right w:val="single" w:sz="8" w:space="0" w:color="000000"/>
            </w:tcBorders>
          </w:tcPr>
          <w:p>
            <w:pPr>
              <w:pStyle w:val="TableParagraph"/>
              <w:spacing w:before="16"/>
              <w:ind w:left="59" w:right="65"/>
              <w:jc w:val="center"/>
              <w:rPr>
                <w:sz w:val="18"/>
              </w:rPr>
            </w:pPr>
            <w:r>
              <w:rPr>
                <w:sz w:val="18"/>
              </w:rPr>
              <w:t>$ 15,408.73</w:t>
            </w:r>
          </w:p>
        </w:tc>
        <w:tc>
          <w:tcPr>
            <w:tcW w:w="1559" w:type="dxa"/>
            <w:tcBorders>
              <w:top w:val="single" w:sz="8" w:space="0" w:color="000000"/>
              <w:left w:val="single" w:sz="8" w:space="0" w:color="000000"/>
              <w:bottom w:val="single" w:sz="8" w:space="0" w:color="000000"/>
              <w:right w:val="double" w:sz="3" w:space="0" w:color="000000"/>
            </w:tcBorders>
          </w:tcPr>
          <w:p>
            <w:pPr>
              <w:pStyle w:val="TableParagraph"/>
              <w:spacing w:before="16"/>
              <w:ind w:left="0" w:right="7"/>
              <w:jc w:val="center"/>
              <w:rPr>
                <w:sz w:val="18"/>
              </w:rPr>
            </w:pPr>
            <w:r>
              <w:rPr>
                <w:sz w:val="18"/>
              </w:rPr>
              <w:t>¢760.193,00</w:t>
            </w:r>
          </w:p>
        </w:tc>
        <w:tc>
          <w:tcPr>
            <w:tcW w:w="1277" w:type="dxa"/>
            <w:tcBorders>
              <w:top w:val="single" w:sz="8" w:space="0" w:color="000000"/>
              <w:left w:val="double" w:sz="3" w:space="0" w:color="000000"/>
              <w:bottom w:val="single" w:sz="8" w:space="0" w:color="000000"/>
              <w:right w:val="double" w:sz="3" w:space="0" w:color="000000"/>
            </w:tcBorders>
          </w:tcPr>
          <w:p>
            <w:pPr>
              <w:pStyle w:val="TableParagraph"/>
              <w:spacing w:before="16"/>
              <w:ind w:left="196" w:right="52"/>
              <w:rPr>
                <w:sz w:val="18"/>
              </w:rPr>
            </w:pPr>
            <w:r>
              <w:rPr>
                <w:sz w:val="18"/>
              </w:rPr>
              <w:t>$ 1,511.31</w:t>
            </w:r>
          </w:p>
        </w:tc>
        <w:tc>
          <w:tcPr>
            <w:tcW w:w="708" w:type="dxa"/>
            <w:tcBorders>
              <w:top w:val="single" w:sz="8" w:space="0" w:color="000000"/>
              <w:left w:val="double" w:sz="3" w:space="0" w:color="000000"/>
              <w:bottom w:val="single" w:sz="8" w:space="0" w:color="000000"/>
              <w:right w:val="double" w:sz="3" w:space="0" w:color="000000"/>
            </w:tcBorders>
          </w:tcPr>
          <w:p>
            <w:pPr>
              <w:pStyle w:val="TableParagraph"/>
              <w:spacing w:before="16"/>
              <w:ind w:left="0" w:right="171"/>
              <w:jc w:val="right"/>
              <w:rPr>
                <w:sz w:val="18"/>
              </w:rPr>
            </w:pPr>
            <w:r>
              <w:rPr>
                <w:w w:val="95"/>
                <w:sz w:val="18"/>
              </w:rPr>
              <w:t>9,81</w:t>
            </w:r>
          </w:p>
        </w:tc>
        <w:tc>
          <w:tcPr>
            <w:tcW w:w="425" w:type="dxa"/>
            <w:tcBorders>
              <w:top w:val="single" w:sz="6" w:space="0" w:color="A6A6A6"/>
              <w:left w:val="double" w:sz="3" w:space="0" w:color="000000"/>
              <w:bottom w:val="single" w:sz="13" w:space="0" w:color="D9D9D9"/>
              <w:right w:val="double" w:sz="3" w:space="0" w:color="000000"/>
            </w:tcBorders>
          </w:tcPr>
          <w:p>
            <w:pPr>
              <w:pStyle w:val="TableParagraph"/>
              <w:spacing w:before="18"/>
              <w:ind w:left="9"/>
              <w:rPr>
                <w:sz w:val="18"/>
              </w:rPr>
            </w:pPr>
            <w:r>
              <w:rPr>
                <w:sz w:val="18"/>
              </w:rPr>
              <w:t>GP</w:t>
            </w:r>
          </w:p>
        </w:tc>
        <w:tc>
          <w:tcPr>
            <w:tcW w:w="707" w:type="dxa"/>
            <w:tcBorders>
              <w:top w:val="single" w:sz="13" w:space="0" w:color="FFFFFF"/>
              <w:left w:val="double" w:sz="3" w:space="0" w:color="000000"/>
              <w:bottom w:val="single" w:sz="13" w:space="0" w:color="FFFFFF"/>
            </w:tcBorders>
          </w:tcPr>
          <w:p>
            <w:pPr>
              <w:pStyle w:val="TableParagraph"/>
              <w:spacing w:before="8"/>
              <w:ind w:left="9" w:right="282"/>
              <w:rPr>
                <w:sz w:val="18"/>
              </w:rPr>
            </w:pPr>
            <w:r>
              <w:rPr>
                <w:sz w:val="18"/>
              </w:rPr>
              <w:t>San José</w:t>
            </w:r>
          </w:p>
        </w:tc>
      </w:tr>
      <w:tr>
        <w:trPr>
          <w:trHeight w:val="672" w:hRule="exact"/>
        </w:trPr>
        <w:tc>
          <w:tcPr>
            <w:tcW w:w="1273" w:type="dxa"/>
            <w:tcBorders>
              <w:top w:val="single" w:sz="13" w:space="0" w:color="FFFFFF"/>
              <w:bottom w:val="single" w:sz="13" w:space="0" w:color="FFFFFF"/>
              <w:right w:val="double" w:sz="3" w:space="0" w:color="000000"/>
            </w:tcBorders>
          </w:tcPr>
          <w:p>
            <w:pPr>
              <w:pStyle w:val="TableParagraph"/>
              <w:spacing w:before="6"/>
              <w:ind w:left="11" w:right="255"/>
              <w:rPr>
                <w:sz w:val="18"/>
              </w:rPr>
            </w:pPr>
            <w:r>
              <w:rPr>
                <w:sz w:val="18"/>
              </w:rPr>
              <w:t>Coalición Ramonense PFA/PAC</w:t>
            </w:r>
          </w:p>
        </w:tc>
        <w:tc>
          <w:tcPr>
            <w:tcW w:w="1419" w:type="dxa"/>
            <w:tcBorders>
              <w:top w:val="single" w:sz="8" w:space="0" w:color="000000"/>
              <w:left w:val="double" w:sz="3" w:space="0" w:color="000000"/>
              <w:right w:val="double" w:sz="3" w:space="0" w:color="000000"/>
            </w:tcBorders>
          </w:tcPr>
          <w:p>
            <w:pPr>
              <w:pStyle w:val="TableParagraph"/>
              <w:spacing w:before="13"/>
              <w:ind w:left="47" w:right="58"/>
              <w:jc w:val="center"/>
              <w:rPr>
                <w:sz w:val="18"/>
              </w:rPr>
            </w:pPr>
            <w:r>
              <w:rPr>
                <w:sz w:val="18"/>
              </w:rPr>
              <w:t>¢28.031.865,79</w:t>
            </w:r>
          </w:p>
        </w:tc>
        <w:tc>
          <w:tcPr>
            <w:tcW w:w="1417" w:type="dxa"/>
            <w:tcBorders>
              <w:top w:val="single" w:sz="8" w:space="0" w:color="000000"/>
              <w:left w:val="double" w:sz="3" w:space="0" w:color="000000"/>
              <w:right w:val="single" w:sz="8" w:space="0" w:color="000000"/>
            </w:tcBorders>
          </w:tcPr>
          <w:p>
            <w:pPr>
              <w:pStyle w:val="TableParagraph"/>
              <w:spacing w:before="13"/>
              <w:ind w:left="59" w:right="65"/>
              <w:jc w:val="center"/>
              <w:rPr>
                <w:sz w:val="18"/>
              </w:rPr>
            </w:pPr>
            <w:r>
              <w:rPr>
                <w:sz w:val="18"/>
              </w:rPr>
              <w:t>$ 55,729.35</w:t>
            </w:r>
          </w:p>
        </w:tc>
        <w:tc>
          <w:tcPr>
            <w:tcW w:w="1559" w:type="dxa"/>
            <w:tcBorders>
              <w:top w:val="single" w:sz="8" w:space="0" w:color="000000"/>
              <w:left w:val="single" w:sz="8" w:space="0" w:color="000000"/>
              <w:right w:val="double" w:sz="3" w:space="0" w:color="000000"/>
            </w:tcBorders>
          </w:tcPr>
          <w:p>
            <w:pPr>
              <w:pStyle w:val="TableParagraph"/>
              <w:spacing w:before="13"/>
              <w:ind w:left="0" w:right="9"/>
              <w:jc w:val="center"/>
              <w:rPr>
                <w:sz w:val="18"/>
              </w:rPr>
            </w:pPr>
            <w:r>
              <w:rPr>
                <w:sz w:val="18"/>
              </w:rPr>
              <w:t>¢5.011.705,84</w:t>
            </w:r>
          </w:p>
        </w:tc>
        <w:tc>
          <w:tcPr>
            <w:tcW w:w="1277" w:type="dxa"/>
            <w:tcBorders>
              <w:top w:val="single" w:sz="8" w:space="0" w:color="000000"/>
              <w:left w:val="double" w:sz="3" w:space="0" w:color="000000"/>
              <w:right w:val="double" w:sz="3" w:space="0" w:color="000000"/>
            </w:tcBorders>
          </w:tcPr>
          <w:p>
            <w:pPr>
              <w:pStyle w:val="TableParagraph"/>
              <w:spacing w:before="13"/>
              <w:ind w:left="196" w:right="52"/>
              <w:rPr>
                <w:sz w:val="18"/>
              </w:rPr>
            </w:pPr>
            <w:r>
              <w:rPr>
                <w:sz w:val="18"/>
              </w:rPr>
              <w:t>$ 9,963.62</w:t>
            </w:r>
          </w:p>
        </w:tc>
        <w:tc>
          <w:tcPr>
            <w:tcW w:w="708" w:type="dxa"/>
            <w:tcBorders>
              <w:top w:val="single" w:sz="8" w:space="0" w:color="000000"/>
              <w:left w:val="double" w:sz="3" w:space="0" w:color="000000"/>
              <w:right w:val="double" w:sz="3" w:space="0" w:color="000000"/>
            </w:tcBorders>
          </w:tcPr>
          <w:p>
            <w:pPr>
              <w:pStyle w:val="TableParagraph"/>
              <w:spacing w:before="13"/>
              <w:ind w:left="0" w:right="121"/>
              <w:jc w:val="right"/>
              <w:rPr>
                <w:sz w:val="18"/>
              </w:rPr>
            </w:pPr>
            <w:r>
              <w:rPr>
                <w:w w:val="95"/>
                <w:sz w:val="18"/>
              </w:rPr>
              <w:t>17,88</w:t>
            </w:r>
          </w:p>
        </w:tc>
        <w:tc>
          <w:tcPr>
            <w:tcW w:w="425" w:type="dxa"/>
            <w:tcBorders>
              <w:top w:val="single" w:sz="8" w:space="0" w:color="000000"/>
              <w:left w:val="double" w:sz="3" w:space="0" w:color="000000"/>
              <w:right w:val="double" w:sz="3" w:space="0" w:color="000000"/>
            </w:tcBorders>
            <w:shd w:val="clear" w:color="auto" w:fill="D9D9D9"/>
          </w:tcPr>
          <w:p>
            <w:pPr>
              <w:pStyle w:val="TableParagraph"/>
              <w:spacing w:before="13"/>
              <w:ind w:left="9" w:right="114"/>
              <w:rPr>
                <w:sz w:val="18"/>
              </w:rPr>
            </w:pPr>
            <w:r>
              <w:rPr>
                <w:sz w:val="18"/>
              </w:rPr>
              <w:t>No</w:t>
            </w:r>
          </w:p>
        </w:tc>
        <w:tc>
          <w:tcPr>
            <w:tcW w:w="707" w:type="dxa"/>
            <w:tcBorders>
              <w:top w:val="single" w:sz="13" w:space="0" w:color="FFFFFF"/>
              <w:left w:val="double" w:sz="3" w:space="0" w:color="000000"/>
              <w:bottom w:val="single" w:sz="13" w:space="0" w:color="FFFFFF"/>
            </w:tcBorders>
          </w:tcPr>
          <w:p>
            <w:pPr>
              <w:pStyle w:val="TableParagraph"/>
              <w:spacing w:before="6"/>
              <w:ind w:left="0" w:right="28"/>
              <w:jc w:val="center"/>
              <w:rPr>
                <w:sz w:val="18"/>
              </w:rPr>
            </w:pPr>
            <w:r>
              <w:rPr>
                <w:sz w:val="18"/>
              </w:rPr>
              <w:t>Alajuela</w:t>
            </w:r>
          </w:p>
        </w:tc>
      </w:tr>
      <w:tr>
        <w:trPr>
          <w:trHeight w:val="670" w:hRule="exact"/>
        </w:trPr>
        <w:tc>
          <w:tcPr>
            <w:tcW w:w="1273" w:type="dxa"/>
            <w:tcBorders>
              <w:top w:val="single" w:sz="13" w:space="0" w:color="FFFFFF"/>
              <w:bottom w:val="single" w:sz="6" w:space="0" w:color="FFFFFF"/>
              <w:right w:val="double" w:sz="3" w:space="0" w:color="000000"/>
            </w:tcBorders>
          </w:tcPr>
          <w:p>
            <w:pPr>
              <w:pStyle w:val="TableParagraph"/>
              <w:spacing w:before="6"/>
              <w:ind w:left="11" w:right="175"/>
              <w:rPr>
                <w:sz w:val="18"/>
              </w:rPr>
            </w:pPr>
            <w:r>
              <w:rPr>
                <w:sz w:val="18"/>
              </w:rPr>
              <w:t>Partido Accesibilidad sin Exclusión</w:t>
            </w:r>
          </w:p>
        </w:tc>
        <w:tc>
          <w:tcPr>
            <w:tcW w:w="1419" w:type="dxa"/>
            <w:tcBorders>
              <w:left w:val="double" w:sz="3" w:space="0" w:color="000000"/>
              <w:bottom w:val="single" w:sz="8" w:space="0" w:color="000000"/>
              <w:right w:val="double" w:sz="3" w:space="0" w:color="000000"/>
            </w:tcBorders>
          </w:tcPr>
          <w:p>
            <w:pPr>
              <w:pStyle w:val="TableParagraph"/>
              <w:spacing w:before="18"/>
              <w:ind w:left="0" w:right="10"/>
              <w:jc w:val="center"/>
              <w:rPr>
                <w:sz w:val="18"/>
              </w:rPr>
            </w:pPr>
            <w:r>
              <w:rPr>
                <w:sz w:val="18"/>
              </w:rPr>
              <w:t>¢157.664.089,45</w:t>
            </w:r>
          </w:p>
        </w:tc>
        <w:tc>
          <w:tcPr>
            <w:tcW w:w="1417" w:type="dxa"/>
            <w:tcBorders>
              <w:left w:val="double" w:sz="3" w:space="0" w:color="000000"/>
              <w:bottom w:val="single" w:sz="8" w:space="0" w:color="000000"/>
              <w:right w:val="single" w:sz="8" w:space="0" w:color="000000"/>
            </w:tcBorders>
          </w:tcPr>
          <w:p>
            <w:pPr>
              <w:pStyle w:val="TableParagraph"/>
              <w:spacing w:before="18"/>
              <w:ind w:left="58" w:right="65"/>
              <w:jc w:val="center"/>
              <w:rPr>
                <w:sz w:val="18"/>
              </w:rPr>
            </w:pPr>
            <w:r>
              <w:rPr>
                <w:sz w:val="18"/>
              </w:rPr>
              <w:t>$ 313,447.49</w:t>
            </w:r>
          </w:p>
        </w:tc>
        <w:tc>
          <w:tcPr>
            <w:tcW w:w="1559" w:type="dxa"/>
            <w:tcBorders>
              <w:left w:val="single" w:sz="8" w:space="0" w:color="000000"/>
              <w:bottom w:val="single" w:sz="8" w:space="0" w:color="000000"/>
              <w:right w:val="double" w:sz="3" w:space="0" w:color="000000"/>
            </w:tcBorders>
          </w:tcPr>
          <w:p>
            <w:pPr>
              <w:pStyle w:val="TableParagraph"/>
              <w:spacing w:before="18"/>
              <w:ind w:left="0" w:right="8"/>
              <w:jc w:val="center"/>
              <w:rPr>
                <w:sz w:val="18"/>
              </w:rPr>
            </w:pPr>
            <w:r>
              <w:rPr>
                <w:sz w:val="18"/>
              </w:rPr>
              <w:t>¢147.321.501,50</w:t>
            </w:r>
          </w:p>
        </w:tc>
        <w:tc>
          <w:tcPr>
            <w:tcW w:w="1277" w:type="dxa"/>
            <w:tcBorders>
              <w:left w:val="double" w:sz="3" w:space="0" w:color="000000"/>
              <w:bottom w:val="single" w:sz="8" w:space="0" w:color="000000"/>
              <w:right w:val="double" w:sz="3" w:space="0" w:color="000000"/>
            </w:tcBorders>
          </w:tcPr>
          <w:p>
            <w:pPr>
              <w:pStyle w:val="TableParagraph"/>
              <w:spacing w:before="18"/>
              <w:ind w:left="95" w:right="52"/>
              <w:rPr>
                <w:sz w:val="18"/>
              </w:rPr>
            </w:pPr>
            <w:r>
              <w:rPr>
                <w:sz w:val="18"/>
              </w:rPr>
              <w:t>$ 292,885.68</w:t>
            </w:r>
          </w:p>
        </w:tc>
        <w:tc>
          <w:tcPr>
            <w:tcW w:w="708" w:type="dxa"/>
            <w:tcBorders>
              <w:left w:val="double" w:sz="3" w:space="0" w:color="000000"/>
              <w:bottom w:val="single" w:sz="8" w:space="0" w:color="000000"/>
              <w:right w:val="double" w:sz="3" w:space="0" w:color="000000"/>
            </w:tcBorders>
          </w:tcPr>
          <w:p>
            <w:pPr>
              <w:pStyle w:val="TableParagraph"/>
              <w:spacing w:before="18"/>
              <w:ind w:left="0" w:right="121"/>
              <w:jc w:val="right"/>
              <w:rPr>
                <w:sz w:val="18"/>
              </w:rPr>
            </w:pPr>
            <w:r>
              <w:rPr>
                <w:w w:val="95"/>
                <w:sz w:val="18"/>
              </w:rPr>
              <w:t>93,44</w:t>
            </w:r>
          </w:p>
        </w:tc>
        <w:tc>
          <w:tcPr>
            <w:tcW w:w="425" w:type="dxa"/>
            <w:tcBorders>
              <w:top w:val="single" w:sz="13" w:space="0" w:color="D9D9D9"/>
              <w:left w:val="double" w:sz="3" w:space="0" w:color="000000"/>
              <w:bottom w:val="single" w:sz="8" w:space="0" w:color="000000"/>
              <w:right w:val="double" w:sz="3" w:space="0" w:color="000000"/>
            </w:tcBorders>
          </w:tcPr>
          <w:p>
            <w:pPr>
              <w:pStyle w:val="TableParagraph"/>
              <w:spacing w:before="6"/>
              <w:ind w:left="9"/>
              <w:rPr>
                <w:sz w:val="18"/>
              </w:rPr>
            </w:pPr>
            <w:r>
              <w:rPr>
                <w:sz w:val="18"/>
              </w:rPr>
              <w:t>GP</w:t>
            </w:r>
          </w:p>
        </w:tc>
        <w:tc>
          <w:tcPr>
            <w:tcW w:w="707" w:type="dxa"/>
            <w:tcBorders>
              <w:top w:val="single" w:sz="13" w:space="0" w:color="FFFFFF"/>
              <w:left w:val="double" w:sz="3" w:space="0" w:color="000000"/>
              <w:bottom w:val="single" w:sz="6" w:space="0" w:color="FFFFFF"/>
            </w:tcBorders>
          </w:tcPr>
          <w:p>
            <w:pPr>
              <w:pStyle w:val="TableParagraph"/>
              <w:spacing w:before="6"/>
              <w:ind w:left="0" w:right="170"/>
              <w:jc w:val="center"/>
              <w:rPr>
                <w:sz w:val="18"/>
              </w:rPr>
            </w:pPr>
            <w:r>
              <w:rPr>
                <w:sz w:val="18"/>
              </w:rPr>
              <w:t>Todas</w:t>
            </w:r>
          </w:p>
        </w:tc>
      </w:tr>
      <w:tr>
        <w:trPr>
          <w:trHeight w:val="463" w:hRule="exact"/>
        </w:trPr>
        <w:tc>
          <w:tcPr>
            <w:tcW w:w="1273" w:type="dxa"/>
            <w:tcBorders>
              <w:top w:val="single" w:sz="6" w:space="0" w:color="FFFFFF"/>
              <w:bottom w:val="single" w:sz="13" w:space="0" w:color="FFFFFF"/>
              <w:right w:val="double" w:sz="3" w:space="0" w:color="000000"/>
            </w:tcBorders>
          </w:tcPr>
          <w:p>
            <w:pPr>
              <w:pStyle w:val="TableParagraph"/>
              <w:spacing w:before="18"/>
              <w:ind w:left="11" w:right="356"/>
              <w:rPr>
                <w:sz w:val="18"/>
              </w:rPr>
            </w:pPr>
            <w:r>
              <w:rPr>
                <w:sz w:val="18"/>
              </w:rPr>
              <w:t>Unión Palmareña</w:t>
            </w:r>
          </w:p>
        </w:tc>
        <w:tc>
          <w:tcPr>
            <w:tcW w:w="1419" w:type="dxa"/>
            <w:tcBorders>
              <w:top w:val="single" w:sz="8" w:space="0" w:color="000000"/>
              <w:left w:val="double" w:sz="3" w:space="0" w:color="000000"/>
              <w:right w:val="double" w:sz="3" w:space="0" w:color="000000"/>
            </w:tcBorders>
          </w:tcPr>
          <w:p>
            <w:pPr>
              <w:pStyle w:val="TableParagraph"/>
              <w:spacing w:before="16"/>
              <w:ind w:left="47" w:right="58"/>
              <w:jc w:val="center"/>
              <w:rPr>
                <w:sz w:val="18"/>
              </w:rPr>
            </w:pPr>
            <w:r>
              <w:rPr>
                <w:sz w:val="18"/>
              </w:rPr>
              <w:t>¢14.340.263,52</w:t>
            </w:r>
          </w:p>
        </w:tc>
        <w:tc>
          <w:tcPr>
            <w:tcW w:w="1417" w:type="dxa"/>
            <w:tcBorders>
              <w:top w:val="single" w:sz="8" w:space="0" w:color="000000"/>
              <w:left w:val="double" w:sz="3" w:space="0" w:color="000000"/>
              <w:right w:val="single" w:sz="8" w:space="0" w:color="000000"/>
            </w:tcBorders>
          </w:tcPr>
          <w:p>
            <w:pPr>
              <w:pStyle w:val="TableParagraph"/>
              <w:spacing w:before="16"/>
              <w:ind w:left="59" w:right="65"/>
              <w:jc w:val="center"/>
              <w:rPr>
                <w:sz w:val="18"/>
              </w:rPr>
            </w:pPr>
            <w:r>
              <w:rPr>
                <w:sz w:val="18"/>
              </w:rPr>
              <w:t>$ 28,509.47</w:t>
            </w:r>
          </w:p>
        </w:tc>
        <w:tc>
          <w:tcPr>
            <w:tcW w:w="1559" w:type="dxa"/>
            <w:tcBorders>
              <w:top w:val="single" w:sz="8" w:space="0" w:color="000000"/>
              <w:left w:val="single" w:sz="8" w:space="0" w:color="000000"/>
              <w:right w:val="double" w:sz="3" w:space="0" w:color="000000"/>
            </w:tcBorders>
          </w:tcPr>
          <w:p>
            <w:pPr>
              <w:pStyle w:val="TableParagraph"/>
              <w:spacing w:before="16"/>
              <w:ind w:left="0" w:right="9"/>
              <w:jc w:val="center"/>
              <w:rPr>
                <w:sz w:val="18"/>
              </w:rPr>
            </w:pPr>
            <w:r>
              <w:rPr>
                <w:sz w:val="18"/>
              </w:rPr>
              <w:t>¢7.027.372,00</w:t>
            </w:r>
          </w:p>
        </w:tc>
        <w:tc>
          <w:tcPr>
            <w:tcW w:w="1277" w:type="dxa"/>
            <w:tcBorders>
              <w:top w:val="single" w:sz="8" w:space="0" w:color="000000"/>
              <w:left w:val="double" w:sz="3" w:space="0" w:color="000000"/>
              <w:right w:val="double" w:sz="3" w:space="0" w:color="000000"/>
            </w:tcBorders>
          </w:tcPr>
          <w:p>
            <w:pPr>
              <w:pStyle w:val="TableParagraph"/>
              <w:spacing w:before="16"/>
              <w:ind w:left="146" w:right="52"/>
              <w:rPr>
                <w:sz w:val="18"/>
              </w:rPr>
            </w:pPr>
            <w:r>
              <w:rPr>
                <w:sz w:val="18"/>
              </w:rPr>
              <w:t>$ 13 970.91</w:t>
            </w:r>
          </w:p>
        </w:tc>
        <w:tc>
          <w:tcPr>
            <w:tcW w:w="708" w:type="dxa"/>
            <w:tcBorders>
              <w:top w:val="single" w:sz="8" w:space="0" w:color="000000"/>
              <w:left w:val="double" w:sz="3" w:space="0" w:color="000000"/>
              <w:right w:val="double" w:sz="3" w:space="0" w:color="000000"/>
            </w:tcBorders>
          </w:tcPr>
          <w:p>
            <w:pPr>
              <w:pStyle w:val="TableParagraph"/>
              <w:spacing w:before="16"/>
              <w:ind w:left="0" w:right="121"/>
              <w:jc w:val="right"/>
              <w:rPr>
                <w:sz w:val="18"/>
              </w:rPr>
            </w:pPr>
            <w:r>
              <w:rPr>
                <w:w w:val="95"/>
                <w:sz w:val="18"/>
              </w:rPr>
              <w:t>49,00</w:t>
            </w:r>
          </w:p>
        </w:tc>
        <w:tc>
          <w:tcPr>
            <w:tcW w:w="425" w:type="dxa"/>
            <w:tcBorders>
              <w:top w:val="single" w:sz="8" w:space="0" w:color="000000"/>
              <w:left w:val="double" w:sz="3" w:space="0" w:color="000000"/>
              <w:bottom w:val="single" w:sz="13" w:space="0" w:color="D9D9D9"/>
              <w:right w:val="double" w:sz="3" w:space="0" w:color="000000"/>
            </w:tcBorders>
          </w:tcPr>
          <w:p>
            <w:pPr>
              <w:pStyle w:val="TableParagraph"/>
              <w:spacing w:before="16"/>
              <w:ind w:left="9"/>
              <w:rPr>
                <w:sz w:val="18"/>
              </w:rPr>
            </w:pPr>
            <w:r>
              <w:rPr>
                <w:sz w:val="18"/>
              </w:rPr>
              <w:t>GP</w:t>
            </w:r>
          </w:p>
        </w:tc>
        <w:tc>
          <w:tcPr>
            <w:tcW w:w="707" w:type="dxa"/>
            <w:tcBorders>
              <w:top w:val="single" w:sz="6" w:space="0" w:color="FFFFFF"/>
              <w:left w:val="double" w:sz="3" w:space="0" w:color="000000"/>
              <w:bottom w:val="single" w:sz="13" w:space="0" w:color="FFFFFF"/>
            </w:tcBorders>
          </w:tcPr>
          <w:p>
            <w:pPr>
              <w:pStyle w:val="TableParagraph"/>
              <w:spacing w:before="18"/>
              <w:ind w:left="0" w:right="28"/>
              <w:jc w:val="center"/>
              <w:rPr>
                <w:sz w:val="18"/>
              </w:rPr>
            </w:pPr>
            <w:r>
              <w:rPr>
                <w:sz w:val="18"/>
              </w:rPr>
              <w:t>Alajuela</w:t>
            </w:r>
          </w:p>
        </w:tc>
      </w:tr>
      <w:tr>
        <w:trPr>
          <w:trHeight w:val="673" w:hRule="exact"/>
        </w:trPr>
        <w:tc>
          <w:tcPr>
            <w:tcW w:w="1273" w:type="dxa"/>
            <w:tcBorders>
              <w:top w:val="single" w:sz="13" w:space="0" w:color="FFFFFF"/>
              <w:bottom w:val="single" w:sz="13" w:space="0" w:color="FFFFFF"/>
              <w:right w:val="double" w:sz="3" w:space="0" w:color="000000"/>
            </w:tcBorders>
          </w:tcPr>
          <w:p>
            <w:pPr>
              <w:pStyle w:val="TableParagraph"/>
              <w:spacing w:before="8"/>
              <w:ind w:left="11" w:right="395"/>
              <w:rPr>
                <w:sz w:val="18"/>
              </w:rPr>
            </w:pPr>
            <w:r>
              <w:rPr>
                <w:sz w:val="18"/>
              </w:rPr>
              <w:t>Partido Liberación Nacional</w:t>
            </w:r>
          </w:p>
        </w:tc>
        <w:tc>
          <w:tcPr>
            <w:tcW w:w="1419" w:type="dxa"/>
            <w:tcBorders>
              <w:left w:val="double" w:sz="3" w:space="0" w:color="000000"/>
              <w:right w:val="double" w:sz="3" w:space="0" w:color="000000"/>
            </w:tcBorders>
          </w:tcPr>
          <w:p>
            <w:pPr>
              <w:pStyle w:val="TableParagraph"/>
              <w:spacing w:before="20"/>
              <w:ind w:left="592" w:right="34" w:hanging="550"/>
              <w:rPr>
                <w:sz w:val="18"/>
              </w:rPr>
            </w:pPr>
            <w:r>
              <w:rPr>
                <w:sz w:val="18"/>
              </w:rPr>
              <w:t>¢2.074.849.111, 34</w:t>
            </w:r>
          </w:p>
        </w:tc>
        <w:tc>
          <w:tcPr>
            <w:tcW w:w="1417" w:type="dxa"/>
            <w:tcBorders>
              <w:left w:val="double" w:sz="3" w:space="0" w:color="000000"/>
              <w:right w:val="single" w:sz="8" w:space="0" w:color="000000"/>
            </w:tcBorders>
          </w:tcPr>
          <w:p>
            <w:pPr>
              <w:pStyle w:val="TableParagraph"/>
              <w:spacing w:before="20"/>
              <w:ind w:left="56" w:right="65"/>
              <w:jc w:val="center"/>
              <w:rPr>
                <w:sz w:val="18"/>
              </w:rPr>
            </w:pPr>
            <w:r>
              <w:rPr>
                <w:sz w:val="18"/>
              </w:rPr>
              <w:t>$ 4,124,948.53</w:t>
            </w:r>
          </w:p>
        </w:tc>
        <w:tc>
          <w:tcPr>
            <w:tcW w:w="1559" w:type="dxa"/>
            <w:tcBorders>
              <w:left w:val="single" w:sz="8" w:space="0" w:color="000000"/>
              <w:right w:val="double" w:sz="3" w:space="0" w:color="000000"/>
            </w:tcBorders>
          </w:tcPr>
          <w:p>
            <w:pPr>
              <w:pStyle w:val="TableParagraph"/>
              <w:spacing w:before="20"/>
              <w:ind w:left="0" w:right="10"/>
              <w:jc w:val="center"/>
              <w:rPr>
                <w:sz w:val="18"/>
              </w:rPr>
            </w:pPr>
            <w:r>
              <w:rPr>
                <w:sz w:val="18"/>
              </w:rPr>
              <w:t>¢1.543.782.282,47</w:t>
            </w:r>
          </w:p>
        </w:tc>
        <w:tc>
          <w:tcPr>
            <w:tcW w:w="1277" w:type="dxa"/>
            <w:tcBorders>
              <w:left w:val="double" w:sz="3" w:space="0" w:color="000000"/>
              <w:right w:val="double" w:sz="3" w:space="0" w:color="000000"/>
            </w:tcBorders>
          </w:tcPr>
          <w:p>
            <w:pPr>
              <w:pStyle w:val="TableParagraph"/>
              <w:spacing w:before="20"/>
              <w:ind w:left="21"/>
              <w:rPr>
                <w:sz w:val="18"/>
              </w:rPr>
            </w:pPr>
            <w:r>
              <w:rPr>
                <w:sz w:val="18"/>
              </w:rPr>
              <w:t>$ 3,069,149,66</w:t>
            </w:r>
          </w:p>
        </w:tc>
        <w:tc>
          <w:tcPr>
            <w:tcW w:w="708" w:type="dxa"/>
            <w:tcBorders>
              <w:left w:val="double" w:sz="3" w:space="0" w:color="000000"/>
              <w:right w:val="double" w:sz="3" w:space="0" w:color="000000"/>
            </w:tcBorders>
          </w:tcPr>
          <w:p>
            <w:pPr>
              <w:pStyle w:val="TableParagraph"/>
              <w:spacing w:before="20"/>
              <w:ind w:left="0" w:right="121"/>
              <w:jc w:val="right"/>
              <w:rPr>
                <w:sz w:val="18"/>
              </w:rPr>
            </w:pPr>
            <w:r>
              <w:rPr>
                <w:w w:val="95"/>
                <w:sz w:val="18"/>
              </w:rPr>
              <w:t>74,40</w:t>
            </w:r>
          </w:p>
        </w:tc>
        <w:tc>
          <w:tcPr>
            <w:tcW w:w="425" w:type="dxa"/>
            <w:tcBorders>
              <w:left w:val="double" w:sz="3" w:space="0" w:color="000000"/>
              <w:right w:val="double" w:sz="3" w:space="0" w:color="000000"/>
            </w:tcBorders>
            <w:shd w:val="clear" w:color="auto" w:fill="D9D9D9"/>
          </w:tcPr>
          <w:p>
            <w:pPr>
              <w:pStyle w:val="TableParagraph"/>
              <w:spacing w:before="20"/>
              <w:ind w:left="9" w:right="114"/>
              <w:rPr>
                <w:sz w:val="18"/>
              </w:rPr>
            </w:pPr>
            <w:r>
              <w:rPr>
                <w:sz w:val="18"/>
              </w:rPr>
              <w:t>No</w:t>
            </w:r>
          </w:p>
        </w:tc>
        <w:tc>
          <w:tcPr>
            <w:tcW w:w="707" w:type="dxa"/>
            <w:tcBorders>
              <w:top w:val="single" w:sz="13" w:space="0" w:color="FFFFFF"/>
              <w:left w:val="double" w:sz="3" w:space="0" w:color="000000"/>
              <w:bottom w:val="single" w:sz="13" w:space="0" w:color="FFFFFF"/>
            </w:tcBorders>
          </w:tcPr>
          <w:p>
            <w:pPr>
              <w:pStyle w:val="TableParagraph"/>
              <w:spacing w:before="8"/>
              <w:ind w:left="0" w:right="170"/>
              <w:jc w:val="center"/>
              <w:rPr>
                <w:sz w:val="18"/>
              </w:rPr>
            </w:pPr>
            <w:r>
              <w:rPr>
                <w:sz w:val="18"/>
              </w:rPr>
              <w:t>Todas</w:t>
            </w:r>
          </w:p>
        </w:tc>
      </w:tr>
      <w:tr>
        <w:trPr>
          <w:trHeight w:val="877" w:hRule="exact"/>
        </w:trPr>
        <w:tc>
          <w:tcPr>
            <w:tcW w:w="1273" w:type="dxa"/>
            <w:tcBorders>
              <w:top w:val="single" w:sz="13" w:space="0" w:color="FFFFFF"/>
              <w:bottom w:val="double" w:sz="3" w:space="0" w:color="000000"/>
              <w:right w:val="double" w:sz="3" w:space="0" w:color="000000"/>
            </w:tcBorders>
          </w:tcPr>
          <w:p>
            <w:pPr>
              <w:pStyle w:val="TableParagraph"/>
              <w:spacing w:before="6"/>
              <w:ind w:left="11" w:right="5"/>
              <w:rPr>
                <w:sz w:val="18"/>
              </w:rPr>
            </w:pPr>
            <w:r>
              <w:rPr>
                <w:sz w:val="18"/>
              </w:rPr>
              <w:t>Partido Movimiento Avance Santo Domingo</w:t>
            </w:r>
          </w:p>
        </w:tc>
        <w:tc>
          <w:tcPr>
            <w:tcW w:w="1419" w:type="dxa"/>
            <w:tcBorders>
              <w:left w:val="double" w:sz="3" w:space="0" w:color="000000"/>
              <w:bottom w:val="double" w:sz="3" w:space="0" w:color="000000"/>
              <w:right w:val="double" w:sz="3" w:space="0" w:color="000000"/>
            </w:tcBorders>
          </w:tcPr>
          <w:p>
            <w:pPr>
              <w:pStyle w:val="TableParagraph"/>
              <w:spacing w:before="18"/>
              <w:ind w:left="47" w:right="58"/>
              <w:jc w:val="center"/>
              <w:rPr>
                <w:sz w:val="18"/>
              </w:rPr>
            </w:pPr>
            <w:r>
              <w:rPr>
                <w:sz w:val="18"/>
              </w:rPr>
              <w:t>¢13.449.112,08</w:t>
            </w:r>
          </w:p>
        </w:tc>
        <w:tc>
          <w:tcPr>
            <w:tcW w:w="1417" w:type="dxa"/>
            <w:tcBorders>
              <w:left w:val="double" w:sz="3" w:space="0" w:color="000000"/>
              <w:bottom w:val="double" w:sz="3" w:space="0" w:color="000000"/>
              <w:right w:val="single" w:sz="8" w:space="0" w:color="000000"/>
            </w:tcBorders>
          </w:tcPr>
          <w:p>
            <w:pPr>
              <w:pStyle w:val="TableParagraph"/>
              <w:spacing w:before="18"/>
              <w:ind w:left="59" w:right="65"/>
              <w:jc w:val="center"/>
              <w:rPr>
                <w:sz w:val="18"/>
              </w:rPr>
            </w:pPr>
            <w:r>
              <w:rPr>
                <w:sz w:val="18"/>
              </w:rPr>
              <w:t>$ 26,737.79</w:t>
            </w:r>
          </w:p>
        </w:tc>
        <w:tc>
          <w:tcPr>
            <w:tcW w:w="1559" w:type="dxa"/>
            <w:tcBorders>
              <w:left w:val="single" w:sz="8" w:space="0" w:color="000000"/>
              <w:bottom w:val="double" w:sz="3" w:space="0" w:color="000000"/>
              <w:right w:val="double" w:sz="3" w:space="0" w:color="000000"/>
            </w:tcBorders>
          </w:tcPr>
          <w:p>
            <w:pPr>
              <w:pStyle w:val="TableParagraph"/>
              <w:spacing w:before="18"/>
              <w:ind w:left="0" w:right="9"/>
              <w:jc w:val="center"/>
              <w:rPr>
                <w:sz w:val="18"/>
              </w:rPr>
            </w:pPr>
            <w:r>
              <w:rPr>
                <w:sz w:val="18"/>
              </w:rPr>
              <w:t>¢7.603.582,93</w:t>
            </w:r>
          </w:p>
        </w:tc>
        <w:tc>
          <w:tcPr>
            <w:tcW w:w="1277" w:type="dxa"/>
            <w:tcBorders>
              <w:left w:val="double" w:sz="3" w:space="0" w:color="000000"/>
              <w:bottom w:val="double" w:sz="3" w:space="0" w:color="000000"/>
              <w:right w:val="double" w:sz="3" w:space="0" w:color="000000"/>
            </w:tcBorders>
          </w:tcPr>
          <w:p>
            <w:pPr>
              <w:pStyle w:val="TableParagraph"/>
              <w:spacing w:before="18"/>
              <w:ind w:left="146" w:right="52"/>
              <w:rPr>
                <w:sz w:val="18"/>
              </w:rPr>
            </w:pPr>
            <w:r>
              <w:rPr>
                <w:sz w:val="18"/>
              </w:rPr>
              <w:t>$ 15,116.46</w:t>
            </w:r>
          </w:p>
        </w:tc>
        <w:tc>
          <w:tcPr>
            <w:tcW w:w="708" w:type="dxa"/>
            <w:tcBorders>
              <w:left w:val="double" w:sz="3" w:space="0" w:color="000000"/>
              <w:bottom w:val="double" w:sz="3" w:space="0" w:color="000000"/>
              <w:right w:val="double" w:sz="3" w:space="0" w:color="000000"/>
            </w:tcBorders>
          </w:tcPr>
          <w:p>
            <w:pPr>
              <w:pStyle w:val="TableParagraph"/>
              <w:spacing w:before="18"/>
              <w:ind w:left="0" w:right="121"/>
              <w:jc w:val="right"/>
              <w:rPr>
                <w:sz w:val="18"/>
              </w:rPr>
            </w:pPr>
            <w:r>
              <w:rPr>
                <w:w w:val="95"/>
                <w:sz w:val="18"/>
              </w:rPr>
              <w:t>56,54</w:t>
            </w:r>
          </w:p>
        </w:tc>
        <w:tc>
          <w:tcPr>
            <w:tcW w:w="425" w:type="dxa"/>
            <w:tcBorders>
              <w:left w:val="double" w:sz="3" w:space="0" w:color="000000"/>
              <w:bottom w:val="double" w:sz="3" w:space="0" w:color="000000"/>
              <w:right w:val="double" w:sz="3" w:space="0" w:color="000000"/>
            </w:tcBorders>
            <w:shd w:val="clear" w:color="auto" w:fill="D9D9D9"/>
          </w:tcPr>
          <w:p>
            <w:pPr>
              <w:pStyle w:val="TableParagraph"/>
              <w:spacing w:before="18"/>
              <w:ind w:left="9" w:right="114"/>
              <w:rPr>
                <w:sz w:val="18"/>
              </w:rPr>
            </w:pPr>
            <w:r>
              <w:rPr>
                <w:sz w:val="18"/>
              </w:rPr>
              <w:t>No</w:t>
            </w:r>
          </w:p>
        </w:tc>
        <w:tc>
          <w:tcPr>
            <w:tcW w:w="707" w:type="dxa"/>
            <w:tcBorders>
              <w:top w:val="single" w:sz="13" w:space="0" w:color="FFFFFF"/>
              <w:left w:val="double" w:sz="3" w:space="0" w:color="000000"/>
              <w:bottom w:val="double" w:sz="3" w:space="0" w:color="000000"/>
            </w:tcBorders>
          </w:tcPr>
          <w:p>
            <w:pPr>
              <w:pStyle w:val="TableParagraph"/>
              <w:spacing w:before="6"/>
              <w:ind w:left="0" w:right="37"/>
              <w:jc w:val="center"/>
              <w:rPr>
                <w:sz w:val="18"/>
              </w:rPr>
            </w:pPr>
            <w:r>
              <w:rPr>
                <w:sz w:val="18"/>
              </w:rPr>
              <w:t>Heredia</w:t>
            </w:r>
          </w:p>
        </w:tc>
      </w:tr>
    </w:tbl>
    <w:p>
      <w:pPr>
        <w:spacing w:line="240" w:lineRule="auto" w:before="0"/>
        <w:ind w:left="122" w:right="117" w:firstLine="0"/>
        <w:jc w:val="both"/>
        <w:rPr>
          <w:sz w:val="18"/>
        </w:rPr>
      </w:pPr>
      <w:r>
        <w:rPr>
          <w:sz w:val="20"/>
        </w:rPr>
        <w:t>Fuente: las columnas (a), (b) y (c) fueron tomadas de Robles (2012: 66-67), la (d) y (e) son de elaboración propia. Notas: GP= Giros pendientes, </w:t>
      </w:r>
      <w:r>
        <w:rPr>
          <w:sz w:val="18"/>
        </w:rPr>
        <w:t>RM= Rebaso monto, </w:t>
      </w:r>
      <w:r>
        <w:rPr>
          <w:sz w:val="20"/>
        </w:rPr>
        <w:t>(f) El dato es erróneo, de acuerdo con la resolución </w:t>
      </w:r>
      <w:r>
        <w:rPr>
          <w:b/>
          <w:sz w:val="20"/>
        </w:rPr>
        <w:t>4007-E10-2011 debe decir: </w:t>
      </w:r>
      <w:r>
        <w:rPr>
          <w:sz w:val="20"/>
        </w:rPr>
        <w:t>¢5.889.480,45; sin embargo, los demás datos de la fila son correctos.* Coalición integrada por los partidos: </w:t>
      </w:r>
      <w:r>
        <w:rPr>
          <w:sz w:val="18"/>
        </w:rPr>
        <w:t>Frente Amplio, Partido Verde Ecologista, PUSC, PAC, PAP y PASE. ** Coalición (COPAZ) integrada por los partidos: Frente Amplio y Acción</w:t>
      </w:r>
      <w:r>
        <w:rPr>
          <w:spacing w:val="-6"/>
          <w:sz w:val="18"/>
        </w:rPr>
        <w:t> </w:t>
      </w:r>
      <w:r>
        <w:rPr>
          <w:sz w:val="18"/>
        </w:rPr>
        <w:t>Ciudadana.</w:t>
      </w:r>
    </w:p>
    <w:p>
      <w:pPr>
        <w:pStyle w:val="BodyText"/>
        <w:spacing w:before="10"/>
        <w:rPr>
          <w:sz w:val="19"/>
        </w:rPr>
      </w:pPr>
    </w:p>
    <w:p>
      <w:pPr>
        <w:pStyle w:val="BodyText"/>
        <w:spacing w:line="360" w:lineRule="auto"/>
        <w:ind w:left="122" w:right="116" w:firstLine="707"/>
        <w:jc w:val="both"/>
      </w:pPr>
      <w:r>
        <w:rPr/>
        <w:t>De los 16 partidos a que hace referencia el cuadro anterior, seis tienen giros pendientes de evaluar por el TSE, entre ellos se encuentra el Partido Independiente Belemita que aún con giros pendientes rebasó el monto máximo; otro partido que rebaso el monto máximo asignado fue el Partido Acción Naranjeña.</w:t>
      </w:r>
    </w:p>
    <w:p>
      <w:pPr>
        <w:pStyle w:val="BodyText"/>
        <w:spacing w:line="360" w:lineRule="auto" w:before="2"/>
        <w:ind w:left="122" w:right="117" w:firstLine="707"/>
        <w:jc w:val="both"/>
      </w:pPr>
      <w:r>
        <w:rPr/>
        <w:t>Los partidos que participaron en las elecciones de la Provincia de San José fueron: Partido Liberación Nacional, Partido Accesibilidad Sin Exclusión, El Puente y los Caminos de Mora, así como la Coalición Montes de Oca Unida ―conformada por los partidos Frente Amplio, Verde Ecologista, Unidad Social Cristiana, Acción Ciudadana, Alianza Patriótica y Accesibildad Sin Exclusión. De dichos partidos ninguno rebaso los montos máximos.</w:t>
      </w:r>
    </w:p>
    <w:p>
      <w:pPr>
        <w:pStyle w:val="BodyText"/>
        <w:spacing w:line="360" w:lineRule="auto" w:before="5"/>
        <w:ind w:left="122" w:right="117" w:firstLine="707"/>
        <w:jc w:val="both"/>
      </w:pPr>
      <w:r>
        <w:rPr/>
        <w:t>Recapitulando, los partidos políticos registrados ante el TSE para participar en las elecciones cantonales fueron los más apegados a la legalidad (3.0)  seguidos de los partidos que compitieron en las elecciones cantonales en la Provincia</w:t>
      </w:r>
      <w:r>
        <w:rPr>
          <w:spacing w:val="36"/>
        </w:rPr>
        <w:t> </w:t>
      </w:r>
      <w:r>
        <w:rPr/>
        <w:t>de</w:t>
      </w:r>
      <w:r>
        <w:rPr>
          <w:spacing w:val="36"/>
        </w:rPr>
        <w:t> </w:t>
      </w:r>
      <w:r>
        <w:rPr/>
        <w:t>San</w:t>
      </w:r>
      <w:r>
        <w:rPr>
          <w:spacing w:val="36"/>
        </w:rPr>
        <w:t> </w:t>
      </w:r>
      <w:r>
        <w:rPr/>
        <w:t>José</w:t>
      </w:r>
      <w:r>
        <w:rPr>
          <w:spacing w:val="36"/>
        </w:rPr>
        <w:t> </w:t>
      </w:r>
      <w:r>
        <w:rPr/>
        <w:t>(2.66);</w:t>
      </w:r>
      <w:r>
        <w:rPr>
          <w:spacing w:val="35"/>
        </w:rPr>
        <w:t> </w:t>
      </w:r>
      <w:r>
        <w:rPr/>
        <w:t>ambos</w:t>
      </w:r>
      <w:r>
        <w:rPr>
          <w:spacing w:val="36"/>
        </w:rPr>
        <w:t> </w:t>
      </w:r>
      <w:r>
        <w:rPr/>
        <w:t>se</w:t>
      </w:r>
      <w:r>
        <w:rPr>
          <w:spacing w:val="34"/>
        </w:rPr>
        <w:t> </w:t>
      </w:r>
      <w:r>
        <w:rPr/>
        <w:t>ubicaron</w:t>
      </w:r>
      <w:r>
        <w:rPr>
          <w:spacing w:val="34"/>
        </w:rPr>
        <w:t> </w:t>
      </w:r>
      <w:r>
        <w:rPr/>
        <w:t>en</w:t>
      </w:r>
      <w:r>
        <w:rPr>
          <w:spacing w:val="34"/>
        </w:rPr>
        <w:t> </w:t>
      </w:r>
      <w:r>
        <w:rPr/>
        <w:t>promedio</w:t>
      </w:r>
      <w:r>
        <w:rPr>
          <w:spacing w:val="31"/>
        </w:rPr>
        <w:t> </w:t>
      </w:r>
      <w:r>
        <w:rPr/>
        <w:t>como</w:t>
      </w:r>
      <w:r>
        <w:rPr>
          <w:spacing w:val="34"/>
        </w:rPr>
        <w:t> </w:t>
      </w:r>
      <w:r>
        <w:rPr/>
        <w:t>altamente</w:t>
      </w:r>
    </w:p>
    <w:p>
      <w:pPr>
        <w:spacing w:after="0" w:line="360" w:lineRule="auto"/>
        <w:jc w:val="both"/>
        <w:sectPr>
          <w:pgSz w:w="12240" w:h="15840"/>
          <w:pgMar w:header="749" w:footer="1003" w:top="960" w:bottom="1200" w:left="1580" w:right="1580"/>
        </w:sectPr>
      </w:pPr>
    </w:p>
    <w:p>
      <w:pPr>
        <w:pStyle w:val="BodyText"/>
        <w:rPr>
          <w:sz w:val="20"/>
        </w:rPr>
      </w:pPr>
    </w:p>
    <w:p>
      <w:pPr>
        <w:pStyle w:val="BodyText"/>
        <w:spacing w:line="360" w:lineRule="auto" w:before="214"/>
        <w:ind w:left="102" w:right="121"/>
        <w:jc w:val="both"/>
      </w:pPr>
      <w:r>
        <w:rPr/>
        <w:t>apegados a la ley . Por su parte los partidos registrados ante el IEEM obtuvieron en promedio una mediana evaluación (2.33) seguidos de los que participaron en las elecciones organizadas por el IFE (2.0), ambos se ubicaron como medianamente a pegados a la</w:t>
      </w:r>
      <w:r>
        <w:rPr>
          <w:spacing w:val="-18"/>
        </w:rPr>
        <w:t> </w:t>
      </w:r>
      <w:r>
        <w:rPr/>
        <w:t>legalidad.</w:t>
      </w:r>
    </w:p>
    <w:p>
      <w:pPr>
        <w:pStyle w:val="BodyText"/>
        <w:spacing w:line="360" w:lineRule="auto" w:before="2"/>
        <w:ind w:left="102" w:right="115" w:firstLine="707"/>
        <w:jc w:val="both"/>
      </w:pPr>
      <w:r>
        <w:rPr/>
        <w:t>La alta evaluación de los partidos que participaron en las elecciones cantonales se debió a su bajo costo para el estado, toda vez que no se les da recursos para subsistir fuera del periodo electoral; el poco porcentaje de reducción a sus montos solicitados, toda vez que los partidos municipales al ser de reciente creación no hacen uso de los recursos públicos en sus campañas ante el “temor” de que no puedan acreditar sus gastos a satisfacción del tribunal y por lo tanto tampoco rebasan los montos máximos permitidos por la ley.</w:t>
      </w:r>
    </w:p>
    <w:p>
      <w:pPr>
        <w:pStyle w:val="BodyText"/>
        <w:spacing w:line="360" w:lineRule="auto" w:before="5"/>
        <w:ind w:left="102" w:right="119" w:firstLine="707"/>
        <w:jc w:val="both"/>
      </w:pPr>
      <w:r>
        <w:rPr/>
        <w:t>En cuanto a la baja evaluación de los partidos que participaron en las elecciones realizadas por el IFE, esta se debió en gran medida al alto porcentaje de irregularidades presentadas por los partidos políticos en la aplicación del financiamiento público y en menor grado al mediano costo que representan los partidos para el estado, el cual es superior al erogado por los partidos costarricenses.</w:t>
      </w:r>
    </w:p>
    <w:p>
      <w:pPr>
        <w:spacing w:after="0" w:line="360" w:lineRule="auto"/>
        <w:jc w:val="both"/>
        <w:sectPr>
          <w:footerReference w:type="default" r:id="rId547"/>
          <w:pgSz w:w="12240" w:h="15840"/>
          <w:pgMar w:footer="1003" w:header="749" w:top="960" w:bottom="1200" w:left="1600" w:right="1580"/>
          <w:pgNumType w:start="190"/>
        </w:sectPr>
      </w:pPr>
    </w:p>
    <w:p>
      <w:pPr>
        <w:pStyle w:val="BodyText"/>
        <w:rPr>
          <w:sz w:val="20"/>
        </w:rPr>
      </w:pPr>
    </w:p>
    <w:p>
      <w:pPr>
        <w:pStyle w:val="Heading1"/>
        <w:spacing w:line="362" w:lineRule="auto"/>
        <w:ind w:left="3329" w:right="380" w:hanging="2211"/>
      </w:pPr>
      <w:r>
        <w:rPr/>
        <w:t>IV EQUIDAD DE LOS MEDIOS DE COMUNICACIÓN EN EL PROCESO ELECTORAL</w:t>
      </w:r>
    </w:p>
    <w:p>
      <w:pPr>
        <w:pStyle w:val="BodyText"/>
        <w:spacing w:before="1"/>
        <w:rPr>
          <w:sz w:val="36"/>
        </w:rPr>
      </w:pPr>
    </w:p>
    <w:p>
      <w:pPr>
        <w:pStyle w:val="BodyText"/>
        <w:spacing w:line="360" w:lineRule="auto"/>
        <w:ind w:left="122" w:right="112"/>
        <w:jc w:val="both"/>
      </w:pPr>
      <w:r>
        <w:rPr/>
        <w:t>En el presente capítulo analizo la equidad de los medios de comunicación en la cobertura de los procesos electorales celebrados en México (2006) y Costa Rica (2010), a través de dos variables: monitoreo cuantitativo de espacios noticiosos y monitoreo cuantitativo de promocionales. La primera determina el porcentaje de menciones o notas en noticiaros de radio y televisión durante la etapa de campañas y la segunda, el porcentaje de promocionales en espacios publicitarios en radio y televisión durante la misma etapa. También se estudiaron los monitoreos cualitativos, pero estos sólo en México toda vez que en Costa Rica no se realizan este tipo de monitoreos. Por lo tanto los resultados del monitoreo cualitativo no se tomaron en cuenta para la evaluación general, pues no tienen equivalente en Costa Rica; sólo se utilizan para hacer comparaciones entre el IFE y el IEEM. Los monitoreos cualitativos evalúan la neutralidad de las notas para determinar en qué porcentaje fueron positivas, negativas o</w:t>
      </w:r>
      <w:r>
        <w:rPr>
          <w:spacing w:val="-25"/>
        </w:rPr>
        <w:t> </w:t>
      </w:r>
      <w:r>
        <w:rPr/>
        <w:t>neutras.</w:t>
      </w:r>
    </w:p>
    <w:p>
      <w:pPr>
        <w:pStyle w:val="BodyText"/>
        <w:spacing w:line="345" w:lineRule="auto" w:before="5"/>
        <w:ind w:left="122" w:right="118" w:firstLine="707"/>
        <w:jc w:val="both"/>
      </w:pPr>
      <w:r>
        <w:rPr/>
        <w:t>En las elecciones objeto de estudio el IFE no administraba los tiempos del Estado en radio y televisión</w:t>
      </w:r>
      <w:r>
        <w:rPr>
          <w:position w:val="11"/>
          <w:sz w:val="16"/>
        </w:rPr>
        <w:t>34 </w:t>
      </w:r>
      <w:r>
        <w:rPr/>
        <w:t>al igual que el TSE; por lo tanto los partidos políticos compraban sus espacios publicitarios.</w:t>
      </w:r>
    </w:p>
    <w:p>
      <w:pPr>
        <w:pStyle w:val="BodyText"/>
        <w:spacing w:line="360" w:lineRule="auto" w:before="19"/>
        <w:ind w:left="122" w:right="116" w:firstLine="707"/>
        <w:jc w:val="both"/>
      </w:pPr>
      <w:r>
        <w:rPr/>
        <w:t>Para realizar el análisis dividí los medios de comunicación, de acuerdo con la elección que cubrieron, en cuatro grupos: a) medios mexicanos que cubrieron las elecciones organizadas por el IFE, b) medios mexicanos o mexiquenses que hicieron la cobertura de las elecciones organizadas por el IEEM, c) medios costarricenses que cubrieron las elecciones nacionales y d) medios costarricenses que hicieron la cobertura de las elecciones cantonales en la Provincia de San José.</w:t>
      </w:r>
    </w:p>
    <w:p>
      <w:pPr>
        <w:pStyle w:val="BodyText"/>
        <w:spacing w:line="360" w:lineRule="auto" w:before="5"/>
        <w:ind w:left="122" w:right="116" w:firstLine="707"/>
        <w:jc w:val="both"/>
      </w:pPr>
      <w:r>
        <w:rPr/>
        <w:pict>
          <v:line style="position:absolute;mso-position-horizontal-relative:page;mso-position-vertical-relative:paragraph;z-index:2512;mso-wrap-distance-left:0;mso-wrap-distance-right:0" from="85.103996pt,65.505875pt" to="229.123996pt,65.505875pt" stroked="true" strokeweight=".71997pt" strokecolor="#000000">
            <w10:wrap type="topAndBottom"/>
          </v:line>
        </w:pict>
      </w:r>
      <w:r>
        <w:rPr/>
        <w:t>De acuerdo con la evaluación a la presente dimensión, los medios de comunicación que cubrieron las elecciones organizadas por el TSE para elegir Presidente de la República fueron los mejor evaluados (3.0) resultando </w:t>
      </w:r>
      <w:r>
        <w:rPr>
          <w:spacing w:val="57"/>
        </w:rPr>
        <w:t> </w:t>
      </w:r>
      <w:r>
        <w:rPr/>
        <w:t>altamente</w:t>
      </w:r>
    </w:p>
    <w:p>
      <w:pPr>
        <w:spacing w:before="36"/>
        <w:ind w:left="122" w:right="119" w:firstLine="0"/>
        <w:jc w:val="both"/>
        <w:rPr>
          <w:sz w:val="20"/>
        </w:rPr>
      </w:pPr>
      <w:r>
        <w:rPr>
          <w:position w:val="10"/>
          <w:sz w:val="13"/>
        </w:rPr>
        <w:t>34</w:t>
      </w:r>
      <w:r>
        <w:rPr>
          <w:sz w:val="20"/>
        </w:rPr>
        <w:t>Desde la reforma electoral de 2007 el IFE tiene la facultad de administrar los tiempos en radio y televisión, por ello actualmente los partidos políticos mexicanos ya no compran tiempos; sin embargo, en Costa Rica los partidos políticos continúan con dicha práctica.</w:t>
      </w:r>
    </w:p>
    <w:p>
      <w:pPr>
        <w:spacing w:after="0"/>
        <w:jc w:val="both"/>
        <w:rPr>
          <w:sz w:val="20"/>
        </w:rPr>
        <w:sectPr>
          <w:pgSz w:w="12240" w:h="15840"/>
          <w:pgMar w:header="749" w:footer="1003" w:top="960" w:bottom="1200" w:left="1580" w:right="1580"/>
        </w:sectPr>
      </w:pPr>
    </w:p>
    <w:p>
      <w:pPr>
        <w:pStyle w:val="BodyText"/>
        <w:rPr>
          <w:sz w:val="20"/>
        </w:rPr>
      </w:pPr>
    </w:p>
    <w:p>
      <w:pPr>
        <w:pStyle w:val="BodyText"/>
        <w:spacing w:line="360" w:lineRule="auto" w:before="214"/>
        <w:ind w:left="102" w:right="118"/>
        <w:jc w:val="both"/>
      </w:pPr>
      <w:r>
        <w:rPr/>
        <w:t>equitativos; seguidos de los medios mexicanos que hicieron la cobertura de las elecciones organizadas por el IFE (2.5) los cuales se ubicaron también como altamente equitativos. En cambio, los medios mexicanos que cubrieron la elección organizada por el IEEM (1.0), así como los costarricenses que cubrieron las elecciones cantonales (1.5) de acuerdo con su resultado global se ubicaron como bajamente equitativos. Por lo tanto los medios mexicanos que cubrieron las elecciones organizadas por el IEEM fueron los menos equitativos de los cuatro grupos de medios, pues mostraron falta de equidad al presentar parcialidad a  favor de la coalición PRI-PVEM la cual obtuvo el 55.12% del total de las</w:t>
      </w:r>
      <w:r>
        <w:rPr>
          <w:spacing w:val="-23"/>
        </w:rPr>
        <w:t> </w:t>
      </w:r>
      <w:r>
        <w:rPr/>
        <w:t>notas.</w:t>
      </w:r>
    </w:p>
    <w:p>
      <w:pPr>
        <w:pStyle w:val="BodyText"/>
        <w:spacing w:line="360" w:lineRule="auto" w:before="5"/>
        <w:ind w:left="102" w:right="115" w:firstLine="707"/>
        <w:jc w:val="both"/>
      </w:pPr>
      <w:r>
        <w:rPr/>
        <w:t>Por lo que respecta al monitoreo cualitativo, los medios que cubrieron la elección organizada por el IFE obtuvieron una evaluación alta (3.0) ya que el 96% de sus notas fueron neutras (3% negativas y 1% positivas); por su parte los medios que dieron seguimiento a la elección organizada por el IEEM recibieron una calificación baja (1.0) pues el 88.46% de sus menciones fueron consideradas como neutras (7.19% negativas y 4.35 %</w:t>
      </w:r>
      <w:r>
        <w:rPr>
          <w:spacing w:val="-20"/>
        </w:rPr>
        <w:t> </w:t>
      </w:r>
      <w:r>
        <w:rPr/>
        <w:t>positivas).</w:t>
      </w:r>
    </w:p>
    <w:p>
      <w:pPr>
        <w:pStyle w:val="BodyText"/>
        <w:spacing w:line="360" w:lineRule="auto" w:before="5"/>
        <w:ind w:left="102" w:right="116" w:firstLine="707"/>
        <w:jc w:val="both"/>
      </w:pPr>
      <w:r>
        <w:rPr/>
        <w:t>Para iniciar el desarrollo del presente capitulo resulta importante definir el concepto de equidad. Dicho concepto tiene dos definiciones, una amplia y otra restringida; la primera se puede consultar en el Diccionario de la Real Academia Española, el cual define a la equidad como la “disposición del ánimo que mueve a dar a cada uno lo que merece” (RAE, 2001); la segunda es la que señala Ávila:</w:t>
      </w:r>
    </w:p>
    <w:p>
      <w:pPr>
        <w:pStyle w:val="BodyText"/>
      </w:pPr>
    </w:p>
    <w:p>
      <w:pPr>
        <w:spacing w:line="360" w:lineRule="auto" w:before="141"/>
        <w:ind w:left="810" w:right="117" w:firstLine="0"/>
        <w:jc w:val="both"/>
        <w:rPr>
          <w:sz w:val="22"/>
        </w:rPr>
      </w:pPr>
      <w:r>
        <w:rPr>
          <w:sz w:val="22"/>
        </w:rPr>
        <w:t>la equidad en la competencia electoral se vincula a condiciones, reglas (jurídicas, políticas, económicas, etc.) o principios que se establecen para que ningún contendiente tenga ventajas sobre otros; procura generar, en la medida de lo posible, que cualquier partido o candidato cuando así lo disponga la ley pueda acceder al poder en similares condiciones, aclarando que estas reglas no se refieren a la idea de igualdad, sino que obedecen a condiciones particulares que buscan el mismo fin, esto es, un equilibrio de circunstancias democráticas (2008: 39 y 40).</w:t>
      </w:r>
    </w:p>
    <w:p>
      <w:pPr>
        <w:pStyle w:val="BodyText"/>
        <w:rPr>
          <w:sz w:val="22"/>
        </w:rPr>
      </w:pPr>
    </w:p>
    <w:p>
      <w:pPr>
        <w:pStyle w:val="BodyText"/>
        <w:spacing w:line="360" w:lineRule="auto" w:before="132"/>
        <w:ind w:left="102" w:right="119" w:firstLine="707"/>
        <w:jc w:val="both"/>
      </w:pPr>
      <w:r>
        <w:rPr/>
        <w:t>Partiendo del concepto antes citado se estudió la equidad de la contienda electoral en México (2006) y Costa Rica (2010), en cuanto a la cobertura de los</w:t>
      </w:r>
    </w:p>
    <w:p>
      <w:pPr>
        <w:spacing w:after="0" w:line="360" w:lineRule="auto"/>
        <w:jc w:val="both"/>
        <w:sectPr>
          <w:pgSz w:w="12240" w:h="15840"/>
          <w:pgMar w:header="749" w:footer="1003" w:top="960" w:bottom="1200" w:left="1600" w:right="1580"/>
        </w:sectPr>
      </w:pPr>
    </w:p>
    <w:p>
      <w:pPr>
        <w:pStyle w:val="BodyText"/>
        <w:rPr>
          <w:sz w:val="20"/>
        </w:rPr>
      </w:pPr>
    </w:p>
    <w:p>
      <w:pPr>
        <w:pStyle w:val="BodyText"/>
        <w:spacing w:line="360" w:lineRule="auto" w:before="214"/>
        <w:ind w:left="102" w:right="117"/>
        <w:jc w:val="both"/>
      </w:pPr>
      <w:r>
        <w:rPr/>
        <w:t>procesos electorales por parte de los medios de comunicación. Lo anterior para establecer el grado de equidad de los medios para determinar cuáles fueron más equitativos, teniendo en cuenta que entre mayor sea el grado de equidad mayor es el grado de calidad de las elecciones.</w:t>
      </w:r>
    </w:p>
    <w:p>
      <w:pPr>
        <w:pStyle w:val="BodyText"/>
        <w:spacing w:line="360" w:lineRule="auto" w:before="2"/>
        <w:ind w:left="102" w:right="114" w:firstLine="707"/>
        <w:jc w:val="both"/>
      </w:pPr>
      <w:r>
        <w:rPr/>
        <w:t>Los monitoreos son herramientas técnicas que utilizan los órganos electorales para tener una muestra de las notas en medios y así poder contarlas y clasificarlas. El glosario electoral del IFE al respecto señala “la ley faculta al IFE para realizar monitoreos muéstrales de los tiempos de transmisión de las campañas de los partidos políticos en los medios de comunicación. Debe verificar que se transmite el número acordado de promocionales por los partidos políticos y coaliciones en radio y TV y el tratamiento que se da en los espacios noticiosos a la información relacionada con las campañas de los partidos políticos. Los resultados de estos monitoreos permiten verificar el cumplimiento de las pautas de transmisión de los promocionales de los partidos por parte de los concesionarios y permisionarios de radio y TV; además de vigilar que se cumpla la prohibición legal de vender tiempos de transmisión para propaganda partidista a cualquier persona” (IFE, 2013); cabe aclarar que la prohibición de vender tiempos fue posterior a la reforma electoral de 2007, por lo que dicha prohibición no aplica para la elección objeto de estudio.</w:t>
      </w:r>
    </w:p>
    <w:p>
      <w:pPr>
        <w:pStyle w:val="BodyText"/>
      </w:pPr>
    </w:p>
    <w:p>
      <w:pPr>
        <w:pStyle w:val="Heading1"/>
        <w:numPr>
          <w:ilvl w:val="0"/>
          <w:numId w:val="35"/>
        </w:numPr>
        <w:tabs>
          <w:tab w:pos="1250" w:val="left" w:leader="none"/>
        </w:tabs>
        <w:spacing w:line="240" w:lineRule="auto" w:before="210" w:after="0"/>
        <w:ind w:left="1249" w:right="0" w:hanging="439"/>
        <w:jc w:val="left"/>
      </w:pPr>
      <w:r>
        <w:rPr/>
        <w:t>México</w:t>
      </w:r>
    </w:p>
    <w:p>
      <w:pPr>
        <w:pStyle w:val="BodyText"/>
        <w:rPr>
          <w:sz w:val="28"/>
        </w:rPr>
      </w:pPr>
    </w:p>
    <w:p>
      <w:pPr>
        <w:pStyle w:val="BodyText"/>
        <w:rPr>
          <w:sz w:val="28"/>
        </w:rPr>
      </w:pPr>
    </w:p>
    <w:p>
      <w:pPr>
        <w:pStyle w:val="BodyText"/>
        <w:spacing w:line="360" w:lineRule="auto" w:before="175"/>
        <w:ind w:left="102" w:right="120"/>
        <w:jc w:val="both"/>
      </w:pPr>
      <w:r>
        <w:rPr/>
        <w:t>El sistema jurídico mexicano contempla el principio de equidad en los procesos electorales a través de diversos ordenamientos: la Constitución Política de los Estados Unidos Mexicanos, el Código Federal de Instituciones y Procedimientos Electorales (COFIPE), las constituciones locales y los códigos electorales de cada uno de los estados que integran la República Mexicana, sin embargo, para  obtener datos generales sólo hago alusión a la fuente principal, la Constitución federal, de la cual emanan los ordenamientos antes mencionados. En la Constitución federal el principio  de  equidad se  encuentra  contemplado  de   </w:t>
      </w:r>
      <w:r>
        <w:rPr>
          <w:spacing w:val="1"/>
        </w:rPr>
        <w:t> </w:t>
      </w:r>
      <w:r>
        <w:rPr/>
        <w:t>dos</w:t>
      </w:r>
    </w:p>
    <w:p>
      <w:pPr>
        <w:spacing w:after="0" w:line="360" w:lineRule="auto"/>
        <w:jc w:val="both"/>
        <w:sectPr>
          <w:pgSz w:w="12240" w:h="15840"/>
          <w:pgMar w:header="749" w:footer="1003" w:top="960" w:bottom="1200" w:left="1600" w:right="1580"/>
        </w:sectPr>
      </w:pPr>
    </w:p>
    <w:p>
      <w:pPr>
        <w:pStyle w:val="BodyText"/>
        <w:rPr>
          <w:sz w:val="20"/>
        </w:rPr>
      </w:pPr>
    </w:p>
    <w:p>
      <w:pPr>
        <w:pStyle w:val="BodyText"/>
        <w:spacing w:line="360" w:lineRule="auto" w:before="214"/>
        <w:ind w:left="102" w:right="115"/>
        <w:jc w:val="both"/>
      </w:pPr>
      <w:r>
        <w:rPr/>
        <w:t>formas: “la primera es de manera expresa; esto quiere decir que la palabra equidad se encuentra plasmada en la ley; la segunda forma de manifestarse es implícitamente, es decir que aun cuando la ley no lo señale expresamente, atendiendo a la interpretación de la ley, se presume que la ley entraña el principio de equidad” (Ávila, 2008:</w:t>
      </w:r>
      <w:r>
        <w:rPr>
          <w:spacing w:val="-13"/>
        </w:rPr>
        <w:t> </w:t>
      </w:r>
      <w:r>
        <w:rPr/>
        <w:t>42).</w:t>
      </w:r>
    </w:p>
    <w:p>
      <w:pPr>
        <w:pStyle w:val="BodyText"/>
        <w:tabs>
          <w:tab w:pos="610" w:val="left" w:leader="none"/>
          <w:tab w:pos="1679" w:val="left" w:leader="none"/>
          <w:tab w:pos="2269" w:val="left" w:leader="none"/>
          <w:tab w:pos="3739" w:val="left" w:leader="none"/>
          <w:tab w:pos="4528" w:val="left" w:leader="none"/>
          <w:tab w:pos="6077" w:val="left" w:leader="none"/>
          <w:tab w:pos="6866" w:val="left" w:leader="none"/>
        </w:tabs>
        <w:spacing w:line="360" w:lineRule="auto" w:before="5"/>
        <w:ind w:left="102" w:right="115" w:firstLine="707"/>
        <w:jc w:val="right"/>
      </w:pPr>
      <w:r>
        <w:rPr/>
        <w:t>La Constitución Política de los Estados Unidos Mexicanos</w:t>
      </w:r>
      <w:r>
        <w:rPr>
          <w:spacing w:val="51"/>
        </w:rPr>
        <w:t> </w:t>
      </w:r>
      <w:r>
        <w:rPr/>
        <w:t>hace</w:t>
      </w:r>
      <w:r>
        <w:rPr>
          <w:spacing w:val="29"/>
        </w:rPr>
        <w:t> </w:t>
      </w:r>
      <w:r>
        <w:rPr/>
        <w:t>referencia</w:t>
      </w:r>
      <w:r>
        <w:rPr>
          <w:w w:val="99"/>
        </w:rPr>
        <w:t> </w:t>
      </w:r>
      <w:r>
        <w:rPr/>
        <w:t>al principio de equidad en varios ámbitos, en este caso se estudia</w:t>
      </w:r>
      <w:r>
        <w:rPr>
          <w:spacing w:val="19"/>
        </w:rPr>
        <w:t> </w:t>
      </w:r>
      <w:r>
        <w:rPr/>
        <w:t>únicamente</w:t>
      </w:r>
      <w:r>
        <w:rPr>
          <w:spacing w:val="19"/>
        </w:rPr>
        <w:t> </w:t>
      </w:r>
      <w:r>
        <w:rPr/>
        <w:t>lo</w:t>
      </w:r>
      <w:r>
        <w:rPr>
          <w:w w:val="99"/>
        </w:rPr>
        <w:t> </w:t>
      </w:r>
      <w:r>
        <w:rPr/>
        <w:t>referente a la materia electoral; así tenemos que la constitución plasma</w:t>
      </w:r>
      <w:r>
        <w:rPr>
          <w:spacing w:val="53"/>
        </w:rPr>
        <w:t> </w:t>
      </w:r>
      <w:r>
        <w:rPr/>
        <w:t>de</w:t>
      </w:r>
      <w:r>
        <w:rPr>
          <w:spacing w:val="15"/>
        </w:rPr>
        <w:t> </w:t>
      </w:r>
      <w:r>
        <w:rPr/>
        <w:t>forma</w:t>
      </w:r>
      <w:r>
        <w:rPr>
          <w:w w:val="99"/>
        </w:rPr>
        <w:t> </w:t>
      </w:r>
      <w:r>
        <w:rPr/>
        <w:t>expresa</w:t>
      </w:r>
      <w:r>
        <w:rPr>
          <w:spacing w:val="39"/>
        </w:rPr>
        <w:t> </w:t>
      </w:r>
      <w:r>
        <w:rPr/>
        <w:t>el</w:t>
      </w:r>
      <w:r>
        <w:rPr>
          <w:spacing w:val="37"/>
        </w:rPr>
        <w:t> </w:t>
      </w:r>
      <w:r>
        <w:rPr/>
        <w:t>principio</w:t>
      </w:r>
      <w:r>
        <w:rPr>
          <w:spacing w:val="39"/>
        </w:rPr>
        <w:t> </w:t>
      </w:r>
      <w:r>
        <w:rPr/>
        <w:t>de</w:t>
      </w:r>
      <w:r>
        <w:rPr>
          <w:spacing w:val="39"/>
        </w:rPr>
        <w:t> </w:t>
      </w:r>
      <w:r>
        <w:rPr/>
        <w:t>equidad</w:t>
      </w:r>
      <w:r>
        <w:rPr>
          <w:spacing w:val="36"/>
        </w:rPr>
        <w:t> </w:t>
      </w:r>
      <w:r>
        <w:rPr/>
        <w:t>en</w:t>
      </w:r>
      <w:r>
        <w:rPr>
          <w:spacing w:val="39"/>
        </w:rPr>
        <w:t> </w:t>
      </w:r>
      <w:r>
        <w:rPr/>
        <w:t>los</w:t>
      </w:r>
      <w:r>
        <w:rPr>
          <w:spacing w:val="36"/>
        </w:rPr>
        <w:t> </w:t>
      </w:r>
      <w:r>
        <w:rPr/>
        <w:t>artículos</w:t>
      </w:r>
      <w:r>
        <w:rPr>
          <w:spacing w:val="38"/>
        </w:rPr>
        <w:t> </w:t>
      </w:r>
      <w:r>
        <w:rPr/>
        <w:t>41</w:t>
      </w:r>
      <w:r>
        <w:rPr>
          <w:spacing w:val="39"/>
        </w:rPr>
        <w:t> </w:t>
      </w:r>
      <w:r>
        <w:rPr/>
        <w:t>y</w:t>
      </w:r>
      <w:r>
        <w:rPr>
          <w:spacing w:val="36"/>
        </w:rPr>
        <w:t> </w:t>
      </w:r>
      <w:r>
        <w:rPr/>
        <w:t>116</w:t>
      </w:r>
      <w:r>
        <w:rPr>
          <w:spacing w:val="39"/>
        </w:rPr>
        <w:t> </w:t>
      </w:r>
      <w:r>
        <w:rPr/>
        <w:t>(reformados</w:t>
      </w:r>
      <w:r>
        <w:rPr>
          <w:spacing w:val="36"/>
        </w:rPr>
        <w:t> </w:t>
      </w:r>
      <w:r>
        <w:rPr/>
        <w:t>el</w:t>
      </w:r>
      <w:r>
        <w:rPr>
          <w:spacing w:val="37"/>
        </w:rPr>
        <w:t> </w:t>
      </w:r>
      <w:r>
        <w:rPr/>
        <w:t>22</w:t>
      </w:r>
      <w:r>
        <w:rPr>
          <w:spacing w:val="34"/>
        </w:rPr>
        <w:t> </w:t>
      </w:r>
      <w:r>
        <w:rPr/>
        <w:t>de</w:t>
      </w:r>
      <w:r>
        <w:rPr>
          <w:w w:val="99"/>
        </w:rPr>
        <w:t> </w:t>
      </w:r>
      <w:r>
        <w:rPr/>
        <w:t>agosto de 1996); los cuales señalan lo siguiente: artículo 41 base II</w:t>
      </w:r>
      <w:r>
        <w:rPr>
          <w:spacing w:val="66"/>
        </w:rPr>
        <w:t> </w:t>
      </w:r>
      <w:r>
        <w:rPr/>
        <w:t>“la</w:t>
      </w:r>
      <w:r>
        <w:rPr>
          <w:spacing w:val="6"/>
        </w:rPr>
        <w:t> </w:t>
      </w:r>
      <w:r>
        <w:rPr/>
        <w:t>ley</w:t>
      </w:r>
      <w:r>
        <w:rPr>
          <w:w w:val="99"/>
        </w:rPr>
        <w:t> </w:t>
      </w:r>
      <w:r>
        <w:rPr/>
        <w:t>garantizará que los partidos políticos nacionales cuenten de manera</w:t>
      </w:r>
      <w:r>
        <w:rPr>
          <w:spacing w:val="-5"/>
        </w:rPr>
        <w:t> </w:t>
      </w:r>
      <w:r>
        <w:rPr/>
        <w:t>equitativa con</w:t>
      </w:r>
      <w:r>
        <w:rPr>
          <w:w w:val="99"/>
        </w:rPr>
        <w:t> </w:t>
      </w:r>
      <w:r>
        <w:rPr/>
        <w:t>elementos para llevar a cabo sus actividades. Por tanto, tendrán derecho al</w:t>
      </w:r>
      <w:r>
        <w:rPr>
          <w:spacing w:val="-9"/>
        </w:rPr>
        <w:t> </w:t>
      </w:r>
      <w:r>
        <w:rPr/>
        <w:t>uso</w:t>
      </w:r>
      <w:r>
        <w:rPr>
          <w:spacing w:val="-3"/>
        </w:rPr>
        <w:t> </w:t>
      </w:r>
      <w:r>
        <w:rPr/>
        <w:t>en</w:t>
      </w:r>
      <w:r>
        <w:rPr>
          <w:w w:val="99"/>
        </w:rPr>
        <w:t> </w:t>
      </w:r>
      <w:r>
        <w:rPr/>
        <w:t>forma permanente de los medios de comunicación social, de acuerdo</w:t>
      </w:r>
      <w:r>
        <w:rPr>
          <w:spacing w:val="6"/>
        </w:rPr>
        <w:t> </w:t>
      </w:r>
      <w:r>
        <w:rPr/>
        <w:t>con</w:t>
      </w:r>
      <w:r>
        <w:rPr>
          <w:spacing w:val="54"/>
        </w:rPr>
        <w:t> </w:t>
      </w:r>
      <w:r>
        <w:rPr/>
        <w:t>las</w:t>
      </w:r>
      <w:r>
        <w:rPr>
          <w:w w:val="99"/>
        </w:rPr>
        <w:t> </w:t>
      </w:r>
      <w:r>
        <w:rPr/>
        <w:t>formas</w:t>
      </w:r>
      <w:r>
        <w:rPr>
          <w:spacing w:val="36"/>
        </w:rPr>
        <w:t> </w:t>
      </w:r>
      <w:r>
        <w:rPr/>
        <w:t>y</w:t>
      </w:r>
      <w:r>
        <w:rPr>
          <w:spacing w:val="36"/>
        </w:rPr>
        <w:t> </w:t>
      </w:r>
      <w:r>
        <w:rPr/>
        <w:t>procedimientos</w:t>
      </w:r>
      <w:r>
        <w:rPr>
          <w:spacing w:val="38"/>
        </w:rPr>
        <w:t> </w:t>
      </w:r>
      <w:r>
        <w:rPr/>
        <w:t>que</w:t>
      </w:r>
      <w:r>
        <w:rPr>
          <w:spacing w:val="39"/>
        </w:rPr>
        <w:t> </w:t>
      </w:r>
      <w:r>
        <w:rPr/>
        <w:t>establezca</w:t>
      </w:r>
      <w:r>
        <w:rPr>
          <w:spacing w:val="39"/>
        </w:rPr>
        <w:t> </w:t>
      </w:r>
      <w:r>
        <w:rPr/>
        <w:t>la</w:t>
      </w:r>
      <w:r>
        <w:rPr>
          <w:spacing w:val="36"/>
        </w:rPr>
        <w:t> </w:t>
      </w:r>
      <w:r>
        <w:rPr/>
        <w:t>misma.</w:t>
      </w:r>
      <w:r>
        <w:rPr>
          <w:spacing w:val="38"/>
        </w:rPr>
        <w:t> </w:t>
      </w:r>
      <w:r>
        <w:rPr/>
        <w:t>Además,</w:t>
      </w:r>
      <w:r>
        <w:rPr>
          <w:spacing w:val="36"/>
        </w:rPr>
        <w:t> </w:t>
      </w:r>
      <w:r>
        <w:rPr/>
        <w:t>la</w:t>
      </w:r>
      <w:r>
        <w:rPr>
          <w:spacing w:val="38"/>
        </w:rPr>
        <w:t> </w:t>
      </w:r>
      <w:r>
        <w:rPr/>
        <w:t>ley</w:t>
      </w:r>
      <w:r>
        <w:rPr>
          <w:spacing w:val="36"/>
        </w:rPr>
        <w:t> </w:t>
      </w:r>
      <w:r>
        <w:rPr/>
        <w:t>señalará</w:t>
      </w:r>
      <w:r>
        <w:rPr>
          <w:spacing w:val="39"/>
        </w:rPr>
        <w:t> </w:t>
      </w:r>
      <w:r>
        <w:rPr/>
        <w:t>las reglas</w:t>
      </w:r>
      <w:r>
        <w:rPr>
          <w:spacing w:val="25"/>
        </w:rPr>
        <w:t> </w:t>
      </w:r>
      <w:r>
        <w:rPr/>
        <w:t>a</w:t>
      </w:r>
      <w:r>
        <w:rPr>
          <w:spacing w:val="25"/>
        </w:rPr>
        <w:t> </w:t>
      </w:r>
      <w:r>
        <w:rPr/>
        <w:t>que</w:t>
      </w:r>
      <w:r>
        <w:rPr>
          <w:spacing w:val="25"/>
        </w:rPr>
        <w:t> </w:t>
      </w:r>
      <w:r>
        <w:rPr/>
        <w:t>se</w:t>
      </w:r>
      <w:r>
        <w:rPr>
          <w:spacing w:val="25"/>
        </w:rPr>
        <w:t> </w:t>
      </w:r>
      <w:r>
        <w:rPr/>
        <w:t>sujetará</w:t>
      </w:r>
      <w:r>
        <w:rPr>
          <w:spacing w:val="24"/>
        </w:rPr>
        <w:t> </w:t>
      </w:r>
      <w:r>
        <w:rPr/>
        <w:t>el</w:t>
      </w:r>
      <w:r>
        <w:rPr>
          <w:spacing w:val="21"/>
        </w:rPr>
        <w:t> </w:t>
      </w:r>
      <w:r>
        <w:rPr/>
        <w:t>financiamiento</w:t>
      </w:r>
      <w:r>
        <w:rPr>
          <w:spacing w:val="25"/>
        </w:rPr>
        <w:t> </w:t>
      </w:r>
      <w:r>
        <w:rPr/>
        <w:t>de</w:t>
      </w:r>
      <w:r>
        <w:rPr>
          <w:spacing w:val="25"/>
        </w:rPr>
        <w:t> </w:t>
      </w:r>
      <w:r>
        <w:rPr/>
        <w:t>los</w:t>
      </w:r>
      <w:r>
        <w:rPr>
          <w:spacing w:val="25"/>
        </w:rPr>
        <w:t> </w:t>
      </w:r>
      <w:r>
        <w:rPr/>
        <w:t>propios</w:t>
      </w:r>
      <w:r>
        <w:rPr>
          <w:spacing w:val="25"/>
        </w:rPr>
        <w:t> </w:t>
      </w:r>
      <w:r>
        <w:rPr/>
        <w:t>partidos</w:t>
      </w:r>
      <w:r>
        <w:rPr>
          <w:spacing w:val="24"/>
        </w:rPr>
        <w:t> </w:t>
      </w:r>
      <w:r>
        <w:rPr/>
        <w:t>políticos</w:t>
      </w:r>
      <w:r>
        <w:rPr>
          <w:spacing w:val="24"/>
        </w:rPr>
        <w:t> </w:t>
      </w:r>
      <w:r>
        <w:rPr/>
        <w:t>y</w:t>
      </w:r>
      <w:r>
        <w:rPr>
          <w:spacing w:val="22"/>
        </w:rPr>
        <w:t> </w:t>
      </w:r>
      <w:r>
        <w:rPr/>
        <w:t>sus campañas electorales, debiendo garantizar que los recursos</w:t>
      </w:r>
      <w:r>
        <w:rPr>
          <w:spacing w:val="6"/>
        </w:rPr>
        <w:t> </w:t>
      </w:r>
      <w:r>
        <w:rPr/>
        <w:t>públicos</w:t>
      </w:r>
      <w:r>
        <w:rPr>
          <w:spacing w:val="11"/>
        </w:rPr>
        <w:t> </w:t>
      </w:r>
      <w:r>
        <w:rPr/>
        <w:t>prevalezcan</w:t>
      </w:r>
      <w:r>
        <w:rPr>
          <w:w w:val="99"/>
        </w:rPr>
        <w:t> </w:t>
      </w:r>
      <w:r>
        <w:rPr/>
        <w:t>sobre los de origen privado”; el artículo 116 fracción IV señala que</w:t>
      </w:r>
      <w:r>
        <w:rPr>
          <w:spacing w:val="45"/>
        </w:rPr>
        <w:t> </w:t>
      </w:r>
      <w:r>
        <w:rPr>
          <w:spacing w:val="2"/>
        </w:rPr>
        <w:t>“…f)</w:t>
      </w:r>
      <w:r>
        <w:rPr>
          <w:spacing w:val="65"/>
        </w:rPr>
        <w:t> </w:t>
      </w:r>
      <w:r>
        <w:rPr/>
        <w:t>De</w:t>
      </w:r>
      <w:r>
        <w:rPr>
          <w:w w:val="99"/>
        </w:rPr>
        <w:t> </w:t>
      </w:r>
      <w:r>
        <w:rPr/>
        <w:t>acuerdo con las disponibilidades presupuestales, los partidos políticos</w:t>
      </w:r>
      <w:r>
        <w:rPr>
          <w:spacing w:val="4"/>
        </w:rPr>
        <w:t> </w:t>
      </w:r>
      <w:r>
        <w:rPr/>
        <w:t>reciban,</w:t>
      </w:r>
      <w:r>
        <w:rPr>
          <w:spacing w:val="8"/>
        </w:rPr>
        <w:t> </w:t>
      </w:r>
      <w:r>
        <w:rPr/>
        <w:t>en</w:t>
      </w:r>
      <w:r>
        <w:rPr>
          <w:w w:val="99"/>
        </w:rPr>
        <w:t> </w:t>
      </w:r>
      <w:r>
        <w:rPr/>
        <w:t>forma equitativa, financiamiento público para su sostenimiento y</w:t>
      </w:r>
      <w:r>
        <w:rPr>
          <w:spacing w:val="39"/>
        </w:rPr>
        <w:t> </w:t>
      </w:r>
      <w:r>
        <w:rPr/>
        <w:t>cuenten</w:t>
      </w:r>
      <w:r>
        <w:rPr>
          <w:spacing w:val="20"/>
        </w:rPr>
        <w:t> </w:t>
      </w:r>
      <w:r>
        <w:rPr/>
        <w:t>durante</w:t>
      </w:r>
      <w:r>
        <w:rPr>
          <w:w w:val="100"/>
        </w:rPr>
        <w:t> </w:t>
      </w:r>
      <w:r>
        <w:rPr/>
        <w:t>los procesos electorales con apoyos para sus actividades tendientes</w:t>
      </w:r>
      <w:r>
        <w:rPr>
          <w:spacing w:val="14"/>
        </w:rPr>
        <w:t> </w:t>
      </w:r>
      <w:r>
        <w:rPr/>
        <w:t>a</w:t>
      </w:r>
      <w:r>
        <w:rPr>
          <w:spacing w:val="39"/>
        </w:rPr>
        <w:t> </w:t>
      </w:r>
      <w:r>
        <w:rPr/>
        <w:t>la</w:t>
      </w:r>
      <w:r>
        <w:rPr>
          <w:w w:val="99"/>
        </w:rPr>
        <w:t> </w:t>
      </w:r>
      <w:r>
        <w:rPr/>
        <w:t>obtención</w:t>
      </w:r>
      <w:r>
        <w:rPr>
          <w:spacing w:val="25"/>
        </w:rPr>
        <w:t> </w:t>
      </w:r>
      <w:r>
        <w:rPr/>
        <w:t>del</w:t>
      </w:r>
      <w:r>
        <w:rPr>
          <w:spacing w:val="26"/>
        </w:rPr>
        <w:t> </w:t>
      </w:r>
      <w:r>
        <w:rPr/>
        <w:t>sufragio</w:t>
      </w:r>
      <w:r>
        <w:rPr>
          <w:spacing w:val="25"/>
        </w:rPr>
        <w:t> </w:t>
      </w:r>
      <w:r>
        <w:rPr/>
        <w:t>universal;</w:t>
      </w:r>
      <w:r>
        <w:rPr>
          <w:spacing w:val="31"/>
        </w:rPr>
        <w:t> </w:t>
      </w:r>
      <w:r>
        <w:rPr/>
        <w:t>g)</w:t>
      </w:r>
      <w:r>
        <w:rPr>
          <w:spacing w:val="26"/>
        </w:rPr>
        <w:t> </w:t>
      </w:r>
      <w:r>
        <w:rPr/>
        <w:t>Se</w:t>
      </w:r>
      <w:r>
        <w:rPr>
          <w:spacing w:val="27"/>
        </w:rPr>
        <w:t> </w:t>
      </w:r>
      <w:r>
        <w:rPr/>
        <w:t>propicien</w:t>
      </w:r>
      <w:r>
        <w:rPr>
          <w:spacing w:val="27"/>
        </w:rPr>
        <w:t> </w:t>
      </w:r>
      <w:r>
        <w:rPr/>
        <w:t>condiciones</w:t>
      </w:r>
      <w:r>
        <w:rPr>
          <w:spacing w:val="24"/>
        </w:rPr>
        <w:t> </w:t>
      </w:r>
      <w:r>
        <w:rPr/>
        <w:t>de</w:t>
      </w:r>
      <w:r>
        <w:rPr>
          <w:spacing w:val="32"/>
        </w:rPr>
        <w:t> </w:t>
      </w:r>
      <w:r>
        <w:rPr/>
        <w:t>equidad</w:t>
      </w:r>
      <w:r>
        <w:rPr>
          <w:spacing w:val="27"/>
        </w:rPr>
        <w:t> </w:t>
      </w:r>
      <w:r>
        <w:rPr/>
        <w:t>para</w:t>
      </w:r>
      <w:r>
        <w:rPr>
          <w:spacing w:val="24"/>
        </w:rPr>
        <w:t> </w:t>
      </w:r>
      <w:r>
        <w:rPr/>
        <w:t>el</w:t>
      </w:r>
      <w:r>
        <w:rPr>
          <w:w w:val="99"/>
        </w:rPr>
        <w:t> </w:t>
      </w:r>
      <w:r>
        <w:rPr/>
        <w:t>acceso de los partidos políticos a los medios de comunicación social”</w:t>
      </w:r>
      <w:r>
        <w:rPr>
          <w:spacing w:val="-21"/>
        </w:rPr>
        <w:t> </w:t>
      </w:r>
      <w:r>
        <w:rPr/>
        <w:t>(PE,</w:t>
      </w:r>
      <w:r>
        <w:rPr>
          <w:spacing w:val="-1"/>
        </w:rPr>
        <w:t> </w:t>
      </w:r>
      <w:r>
        <w:rPr/>
        <w:t>1996a).</w:t>
      </w:r>
      <w:r>
        <w:rPr>
          <w:w w:val="100"/>
        </w:rPr>
        <w:t> </w:t>
      </w:r>
      <w:r>
        <w:rPr/>
        <w:t>De</w:t>
        <w:tab/>
        <w:t>acuerdo</w:t>
        <w:tab/>
        <w:t>con</w:t>
        <w:tab/>
        <w:t>lo </w:t>
      </w:r>
      <w:r>
        <w:rPr>
          <w:spacing w:val="64"/>
        </w:rPr>
        <w:t> </w:t>
      </w:r>
      <w:r>
        <w:rPr/>
        <w:t>anterior,</w:t>
        <w:tab/>
        <w:t>todos</w:t>
        <w:tab/>
        <w:t>los </w:t>
      </w:r>
      <w:r>
        <w:rPr>
          <w:spacing w:val="65"/>
        </w:rPr>
        <w:t> </w:t>
      </w:r>
      <w:r>
        <w:rPr/>
        <w:t>estados</w:t>
        <w:tab/>
        <w:t>están</w:t>
        <w:tab/>
        <w:t>obligados </w:t>
      </w:r>
      <w:r>
        <w:rPr>
          <w:spacing w:val="58"/>
        </w:rPr>
        <w:t> </w:t>
      </w:r>
      <w:r>
        <w:rPr/>
        <w:t>a</w:t>
      </w:r>
      <w:r>
        <w:rPr>
          <w:w w:val="99"/>
        </w:rPr>
        <w:t> </w:t>
      </w:r>
      <w:r>
        <w:rPr/>
        <w:t>salvaguardar el principio de equidad entre los partidos políticos que</w:t>
      </w:r>
      <w:r>
        <w:rPr>
          <w:spacing w:val="27"/>
        </w:rPr>
        <w:t> </w:t>
      </w:r>
      <w:r>
        <w:rPr/>
        <w:t>cuenten</w:t>
      </w:r>
      <w:r>
        <w:rPr>
          <w:spacing w:val="21"/>
        </w:rPr>
        <w:t> </w:t>
      </w:r>
      <w:r>
        <w:rPr/>
        <w:t>con</w:t>
      </w:r>
      <w:r>
        <w:rPr>
          <w:w w:val="99"/>
        </w:rPr>
        <w:t> </w:t>
      </w:r>
      <w:r>
        <w:rPr/>
        <w:t>registro, otorgándoles condiciones (equitativas) para acceder al</w:t>
      </w:r>
      <w:r>
        <w:rPr>
          <w:spacing w:val="46"/>
        </w:rPr>
        <w:t> </w:t>
      </w:r>
      <w:r>
        <w:rPr/>
        <w:t>financiamiento</w:t>
      </w:r>
      <w:r>
        <w:rPr>
          <w:spacing w:val="8"/>
        </w:rPr>
        <w:t> </w:t>
      </w:r>
      <w:r>
        <w:rPr/>
        <w:t>así</w:t>
      </w:r>
      <w:r>
        <w:rPr>
          <w:w w:val="100"/>
        </w:rPr>
        <w:t> </w:t>
      </w:r>
      <w:r>
        <w:rPr/>
        <w:t>como a los medios de comunicación social. Según Reyes “con base</w:t>
      </w:r>
      <w:r>
        <w:rPr>
          <w:spacing w:val="63"/>
        </w:rPr>
        <w:t> </w:t>
      </w:r>
      <w:r>
        <w:rPr/>
        <w:t>en</w:t>
      </w:r>
      <w:r>
        <w:rPr>
          <w:spacing w:val="4"/>
        </w:rPr>
        <w:t> </w:t>
      </w:r>
      <w:r>
        <w:rPr/>
        <w:t>los monitoreos realizados por el IFE, en el proceso electoral federal del año</w:t>
      </w:r>
      <w:r>
        <w:rPr>
          <w:spacing w:val="24"/>
        </w:rPr>
        <w:t> </w:t>
      </w:r>
      <w:r>
        <w:rPr/>
        <w:t>2006,</w:t>
      </w:r>
      <w:r>
        <w:rPr>
          <w:spacing w:val="8"/>
        </w:rPr>
        <w:t> </w:t>
      </w:r>
      <w:r>
        <w:rPr/>
        <w:t>los partidos políticos transfirieron recursos públicos por 1mil millones</w:t>
      </w:r>
      <w:r>
        <w:rPr>
          <w:spacing w:val="13"/>
        </w:rPr>
        <w:t> </w:t>
      </w:r>
      <w:r>
        <w:rPr/>
        <w:t>de</w:t>
      </w:r>
      <w:r>
        <w:rPr>
          <w:spacing w:val="17"/>
        </w:rPr>
        <w:t> </w:t>
      </w:r>
      <w:r>
        <w:rPr/>
        <w:t>pesos,</w:t>
      </w:r>
      <w:r>
        <w:rPr>
          <w:w w:val="100"/>
        </w:rPr>
        <w:t> </w:t>
      </w:r>
      <w:r>
        <w:rPr/>
        <w:t>únicamente</w:t>
      </w:r>
      <w:r>
        <w:rPr>
          <w:spacing w:val="31"/>
        </w:rPr>
        <w:t> </w:t>
      </w:r>
      <w:r>
        <w:rPr/>
        <w:t>en</w:t>
      </w:r>
      <w:r>
        <w:rPr>
          <w:spacing w:val="31"/>
        </w:rPr>
        <w:t> </w:t>
      </w:r>
      <w:r>
        <w:rPr/>
        <w:t>la</w:t>
      </w:r>
      <w:r>
        <w:rPr>
          <w:spacing w:val="30"/>
        </w:rPr>
        <w:t> </w:t>
      </w:r>
      <w:r>
        <w:rPr/>
        <w:t>elección</w:t>
      </w:r>
      <w:r>
        <w:rPr>
          <w:spacing w:val="31"/>
        </w:rPr>
        <w:t> </w:t>
      </w:r>
      <w:r>
        <w:rPr/>
        <w:t>para</w:t>
      </w:r>
      <w:r>
        <w:rPr>
          <w:spacing w:val="30"/>
        </w:rPr>
        <w:t> </w:t>
      </w:r>
      <w:r>
        <w:rPr/>
        <w:t>Presidente</w:t>
      </w:r>
      <w:r>
        <w:rPr>
          <w:spacing w:val="29"/>
        </w:rPr>
        <w:t> </w:t>
      </w:r>
      <w:r>
        <w:rPr/>
        <w:t>de</w:t>
      </w:r>
      <w:r>
        <w:rPr>
          <w:spacing w:val="31"/>
        </w:rPr>
        <w:t> </w:t>
      </w:r>
      <w:r>
        <w:rPr/>
        <w:t>la</w:t>
      </w:r>
      <w:r>
        <w:rPr>
          <w:spacing w:val="30"/>
        </w:rPr>
        <w:t> </w:t>
      </w:r>
      <w:r>
        <w:rPr/>
        <w:t>República,</w:t>
      </w:r>
      <w:r>
        <w:rPr>
          <w:spacing w:val="30"/>
        </w:rPr>
        <w:t> </w:t>
      </w:r>
      <w:r>
        <w:rPr/>
        <w:t>lo</w:t>
      </w:r>
      <w:r>
        <w:rPr>
          <w:spacing w:val="30"/>
        </w:rPr>
        <w:t> </w:t>
      </w:r>
      <w:r>
        <w:rPr/>
        <w:t>que</w:t>
      </w:r>
      <w:r>
        <w:rPr>
          <w:spacing w:val="31"/>
        </w:rPr>
        <w:t> </w:t>
      </w:r>
      <w:r>
        <w:rPr/>
        <w:t>significa</w:t>
      </w:r>
      <w:r>
        <w:rPr>
          <w:spacing w:val="30"/>
        </w:rPr>
        <w:t> </w:t>
      </w:r>
      <w:r>
        <w:rPr/>
        <w:t>que</w:t>
      </w:r>
      <w:r>
        <w:rPr>
          <w:w w:val="99"/>
        </w:rPr>
        <w:t> </w:t>
      </w:r>
      <w:r>
        <w:rPr/>
        <w:t>casi</w:t>
      </w:r>
      <w:r>
        <w:rPr>
          <w:spacing w:val="31"/>
        </w:rPr>
        <w:t> </w:t>
      </w:r>
      <w:r>
        <w:rPr/>
        <w:t>el</w:t>
      </w:r>
      <w:r>
        <w:rPr>
          <w:spacing w:val="31"/>
        </w:rPr>
        <w:t> </w:t>
      </w:r>
      <w:r>
        <w:rPr/>
        <w:t>50%</w:t>
      </w:r>
      <w:r>
        <w:rPr>
          <w:spacing w:val="29"/>
        </w:rPr>
        <w:t> </w:t>
      </w:r>
      <w:r>
        <w:rPr/>
        <w:t>del</w:t>
      </w:r>
      <w:r>
        <w:rPr>
          <w:spacing w:val="29"/>
        </w:rPr>
        <w:t> </w:t>
      </w:r>
      <w:r>
        <w:rPr/>
        <w:t>financiamiento</w:t>
      </w:r>
      <w:r>
        <w:rPr>
          <w:spacing w:val="30"/>
        </w:rPr>
        <w:t> </w:t>
      </w:r>
      <w:r>
        <w:rPr/>
        <w:t>público</w:t>
      </w:r>
      <w:r>
        <w:rPr>
          <w:spacing w:val="30"/>
        </w:rPr>
        <w:t> </w:t>
      </w:r>
      <w:r>
        <w:rPr/>
        <w:t>que</w:t>
      </w:r>
      <w:r>
        <w:rPr>
          <w:spacing w:val="30"/>
        </w:rPr>
        <w:t> </w:t>
      </w:r>
      <w:r>
        <w:rPr/>
        <w:t>obtuvieron</w:t>
      </w:r>
      <w:r>
        <w:rPr>
          <w:spacing w:val="30"/>
        </w:rPr>
        <w:t> </w:t>
      </w:r>
      <w:r>
        <w:rPr/>
        <w:t>estas</w:t>
      </w:r>
      <w:r>
        <w:rPr>
          <w:spacing w:val="27"/>
        </w:rPr>
        <w:t> </w:t>
      </w:r>
      <w:r>
        <w:rPr/>
        <w:t>fuerzas</w:t>
      </w:r>
      <w:r>
        <w:rPr>
          <w:spacing w:val="32"/>
        </w:rPr>
        <w:t> </w:t>
      </w:r>
      <w:r>
        <w:rPr/>
        <w:t>políticas</w:t>
      </w:r>
      <w:r>
        <w:rPr>
          <w:spacing w:val="29"/>
        </w:rPr>
        <w:t> </w:t>
      </w:r>
      <w:r>
        <w:rPr/>
        <w:t>se</w:t>
      </w:r>
      <w:r>
        <w:rPr>
          <w:w w:val="99"/>
        </w:rPr>
        <w:t> </w:t>
      </w:r>
      <w:r>
        <w:rPr/>
        <w:t>gastaron en publicidad electrónica” (2007 :28); de lo anterior se desprende que </w:t>
      </w:r>
      <w:r>
        <w:rPr>
          <w:spacing w:val="3"/>
        </w:rPr>
        <w:t> en</w:t>
      </w:r>
    </w:p>
    <w:p>
      <w:pPr>
        <w:spacing w:after="0" w:line="360" w:lineRule="auto"/>
        <w:jc w:val="right"/>
        <w:sectPr>
          <w:pgSz w:w="12240" w:h="15840"/>
          <w:pgMar w:header="749" w:footer="1003" w:top="960" w:bottom="1200" w:left="1600" w:right="1580"/>
        </w:sectPr>
      </w:pPr>
    </w:p>
    <w:p>
      <w:pPr>
        <w:pStyle w:val="BodyText"/>
        <w:rPr>
          <w:sz w:val="20"/>
        </w:rPr>
      </w:pPr>
    </w:p>
    <w:p>
      <w:pPr>
        <w:pStyle w:val="BodyText"/>
        <w:spacing w:line="360" w:lineRule="auto" w:before="214"/>
        <w:ind w:left="122" w:right="120"/>
        <w:jc w:val="both"/>
      </w:pPr>
      <w:r>
        <w:rPr/>
        <w:t>los comicios de 2006 gran parte del financiamiento público se aplicó a la compra de espacios publicitarios. Con las Reformas al artículo 41 Constitucional, de 2007, se prohibió que los partidos políticos compraran tiempos en radio y televisión y se le otorgó al IFE la facultad de administrar los tiempos del Estado en radio y</w:t>
      </w:r>
      <w:r>
        <w:rPr>
          <w:spacing w:val="-24"/>
        </w:rPr>
        <w:t> </w:t>
      </w:r>
      <w:r>
        <w:rPr/>
        <w:t>TV.</w:t>
      </w:r>
    </w:p>
    <w:p>
      <w:pPr>
        <w:pStyle w:val="BodyText"/>
        <w:spacing w:line="355" w:lineRule="auto" w:before="2"/>
        <w:ind w:left="122" w:right="116" w:firstLine="707"/>
        <w:jc w:val="both"/>
      </w:pPr>
      <w:r>
        <w:rPr/>
        <w:t>El artículo 48 párrafo 10 del COFIPE (CDHCU L LIX, 2005) establecía que la Comisión de Radiodifusión realizaría monitoreos muéstrales de los tiempos de transmisión sobre las campañas de los partidos políticos en los espacios noticiosos, para informar al Consejo General)</w:t>
      </w:r>
      <w:r>
        <w:rPr>
          <w:position w:val="11"/>
          <w:sz w:val="16"/>
        </w:rPr>
        <w:t>35</w:t>
      </w:r>
      <w:r>
        <w:rPr/>
        <w:t>. Estos monitoreos se basaban en aspectos cuantitativos, sin embargo, también se realizaron estudios cualitativos al respecto</w:t>
      </w:r>
    </w:p>
    <w:p>
      <w:pPr>
        <w:pStyle w:val="BodyText"/>
      </w:pPr>
    </w:p>
    <w:p>
      <w:pPr>
        <w:pStyle w:val="Heading2"/>
        <w:numPr>
          <w:ilvl w:val="1"/>
          <w:numId w:val="35"/>
        </w:numPr>
        <w:tabs>
          <w:tab w:pos="2258" w:val="left" w:leader="none"/>
        </w:tabs>
        <w:spacing w:line="240" w:lineRule="auto" w:before="147" w:after="0"/>
        <w:ind w:left="2258" w:right="0" w:hanging="360"/>
        <w:jc w:val="left"/>
      </w:pPr>
      <w:r>
        <w:rPr/>
        <w:t>Monitoreo cuantitativo de espacios noticiosos</w:t>
      </w:r>
      <w:r>
        <w:rPr>
          <w:spacing w:val="-9"/>
        </w:rPr>
        <w:t> </w:t>
      </w:r>
      <w:r>
        <w:rPr/>
        <w:t>IFE</w:t>
      </w:r>
    </w:p>
    <w:p>
      <w:pPr>
        <w:pStyle w:val="BodyText"/>
        <w:rPr>
          <w:b/>
        </w:rPr>
      </w:pPr>
    </w:p>
    <w:p>
      <w:pPr>
        <w:pStyle w:val="BodyText"/>
        <w:rPr>
          <w:b/>
        </w:rPr>
      </w:pPr>
    </w:p>
    <w:p>
      <w:pPr>
        <w:pStyle w:val="BodyText"/>
        <w:spacing w:line="360" w:lineRule="auto" w:before="199"/>
        <w:ind w:left="122" w:right="115"/>
        <w:jc w:val="both"/>
      </w:pPr>
      <w:r>
        <w:rPr/>
        <w:t>El IFE realizó monitoreos muéstrales en tres tipos de medios: electrónicos (radio y televisión), escritos (inserciones en prensa) y alternos (anuncios espectaculares). En todos los casos los medios observados son de ámbito tanto nacional como local. Los medios alternos son los promocionales que no se encuentran incluidos dentro de los medios electrónicos ni escritos, como pueden ser: anuncios espectaculares; pinta de bardas, postes, unidades de servicio público, y todo tipo de equipamiento utilizado para difundir mensajes (como gallardetes o pancartas).</w:t>
      </w:r>
    </w:p>
    <w:p>
      <w:pPr>
        <w:pStyle w:val="BodyText"/>
        <w:spacing w:line="360" w:lineRule="auto" w:before="2"/>
        <w:ind w:left="122" w:right="119" w:firstLine="707"/>
        <w:jc w:val="both"/>
      </w:pPr>
      <w:r>
        <w:rPr/>
        <w:pict>
          <v:line style="position:absolute;mso-position-horizontal-relative:page;mso-position-vertical-relative:paragraph;z-index:2536;mso-wrap-distance-left:0;mso-wrap-distance-right:0" from="85.103996pt,48.555885pt" to="229.123996pt,48.555885pt" stroked="true" strokeweight=".71997pt" strokecolor="#000000">
            <w10:wrap type="topAndBottom"/>
          </v:line>
        </w:pict>
      </w:r>
      <w:r>
        <w:rPr/>
        <w:t>Para realizar el monitoreo de espacios noticiosos, en medios electrónicos: radio</w:t>
      </w:r>
      <w:r>
        <w:rPr>
          <w:spacing w:val="56"/>
        </w:rPr>
        <w:t> </w:t>
      </w:r>
      <w:r>
        <w:rPr/>
        <w:t>y</w:t>
      </w:r>
      <w:r>
        <w:rPr>
          <w:spacing w:val="53"/>
        </w:rPr>
        <w:t> </w:t>
      </w:r>
      <w:r>
        <w:rPr/>
        <w:t>televisión,</w:t>
      </w:r>
      <w:r>
        <w:rPr>
          <w:spacing w:val="58"/>
        </w:rPr>
        <w:t> </w:t>
      </w:r>
      <w:r>
        <w:rPr/>
        <w:t>el</w:t>
      </w:r>
      <w:r>
        <w:rPr>
          <w:spacing w:val="55"/>
        </w:rPr>
        <w:t> </w:t>
      </w:r>
      <w:r>
        <w:rPr/>
        <w:t>IFE</w:t>
      </w:r>
      <w:r>
        <w:rPr>
          <w:spacing w:val="56"/>
        </w:rPr>
        <w:t> </w:t>
      </w:r>
      <w:r>
        <w:rPr/>
        <w:t>contrató</w:t>
      </w:r>
      <w:r>
        <w:rPr>
          <w:spacing w:val="59"/>
        </w:rPr>
        <w:t> </w:t>
      </w:r>
      <w:r>
        <w:rPr/>
        <w:t>a</w:t>
      </w:r>
      <w:r>
        <w:rPr>
          <w:spacing w:val="56"/>
        </w:rPr>
        <w:t> </w:t>
      </w:r>
      <w:r>
        <w:rPr/>
        <w:t>la</w:t>
      </w:r>
      <w:r>
        <w:rPr>
          <w:spacing w:val="54"/>
        </w:rPr>
        <w:t> </w:t>
      </w:r>
      <w:r>
        <w:rPr/>
        <w:t>empresa</w:t>
      </w:r>
      <w:r>
        <w:rPr>
          <w:spacing w:val="58"/>
        </w:rPr>
        <w:t> </w:t>
      </w:r>
      <w:r>
        <w:rPr/>
        <w:t>Instituto</w:t>
      </w:r>
      <w:r>
        <w:rPr>
          <w:spacing w:val="56"/>
        </w:rPr>
        <w:t> </w:t>
      </w:r>
      <w:r>
        <w:rPr/>
        <w:t>Brasileño</w:t>
      </w:r>
      <w:r>
        <w:rPr>
          <w:spacing w:val="56"/>
        </w:rPr>
        <w:t> </w:t>
      </w:r>
      <w:r>
        <w:rPr/>
        <w:t>de</w:t>
      </w:r>
      <w:r>
        <w:rPr>
          <w:spacing w:val="54"/>
        </w:rPr>
        <w:t> </w:t>
      </w:r>
      <w:r>
        <w:rPr/>
        <w:t>Opinión</w:t>
      </w:r>
    </w:p>
    <w:p>
      <w:pPr>
        <w:spacing w:before="36"/>
        <w:ind w:left="122" w:right="118" w:firstLine="0"/>
        <w:jc w:val="both"/>
        <w:rPr>
          <w:sz w:val="20"/>
        </w:rPr>
      </w:pPr>
      <w:r>
        <w:rPr>
          <w:position w:val="10"/>
          <w:sz w:val="13"/>
        </w:rPr>
        <w:t>35 </w:t>
      </w:r>
      <w:r>
        <w:rPr>
          <w:sz w:val="20"/>
        </w:rPr>
        <w:t>Durante el desarrollo de la campaña electoral federal de 2012 (la inmediata posterior a la elección en estudio) el candidato a la Presidencia de la República por parte de la alianza Compromiso por México, el Lic. Enrique Peña Nieto, fue acusado por el PRD ante el IFE de comprar espacios noticiosos para favorecer su campaña, finalmente el IFE absolvió al candidato por no contar con elementos ni indicios de dicha acusación, consultado en: </w:t>
      </w:r>
      <w:hyperlink r:id="rId548">
        <w:r>
          <w:rPr>
            <w:color w:val="0000FF"/>
            <w:sz w:val="20"/>
            <w:u w:val="single" w:color="0000FF"/>
          </w:rPr>
          <w:t>http://www.eluniversal.com.mx/notas/864754.html</w:t>
        </w:r>
      </w:hyperlink>
      <w:r>
        <w:rPr>
          <w:color w:val="0000FF"/>
          <w:sz w:val="20"/>
          <w:u w:val="single" w:color="0000FF"/>
        </w:rPr>
        <w:t> </w:t>
      </w:r>
      <w:r>
        <w:rPr>
          <w:sz w:val="20"/>
        </w:rPr>
        <w:t>el 18 de febrero de 2013. Sin embargo, la situación genero especulaciones y meses más tarde al tomar posesión de su cargo el Lic. Peña Nieto firmó un acuerdo con otros líderes denominado “Pacto por México”, el cual en su apartado Acuerdos para la Gobernabilidad Democrática, en el punto de acuerdo </w:t>
      </w:r>
      <w:r>
        <w:rPr>
          <w:i/>
          <w:sz w:val="20"/>
        </w:rPr>
        <w:t>1.3. Partidos Políticos y </w:t>
      </w:r>
      <w:r>
        <w:rPr>
          <w:i/>
          <w:sz w:val="20"/>
        </w:rPr>
        <w:t>Elecciones </w:t>
      </w:r>
      <w:r>
        <w:rPr>
          <w:sz w:val="20"/>
        </w:rPr>
        <w:t>señaló que </w:t>
      </w:r>
      <w:r>
        <w:rPr>
          <w:spacing w:val="2"/>
          <w:sz w:val="20"/>
        </w:rPr>
        <w:t>se </w:t>
      </w:r>
      <w:r>
        <w:rPr>
          <w:sz w:val="20"/>
        </w:rPr>
        <w:t>impulsaría una reforma electoral (compromiso 90) que atienda la incorporación a las causales de nulidad de una elección lo siguiente: “…3) la compra de cobertura informativa en cualquiera de sus modalidades periodísticas, con la correspondiente sanción al medio de que se trate”, consultado en </w:t>
      </w:r>
      <w:hyperlink r:id="rId549">
        <w:r>
          <w:rPr>
            <w:color w:val="0000FF"/>
            <w:sz w:val="20"/>
            <w:u w:val="single" w:color="0000FF"/>
          </w:rPr>
          <w:t>http://pactopormexico.org/</w:t>
        </w:r>
      </w:hyperlink>
      <w:r>
        <w:rPr>
          <w:color w:val="0000FF"/>
          <w:sz w:val="20"/>
          <w:u w:val="single" w:color="0000FF"/>
        </w:rPr>
        <w:t> </w:t>
      </w:r>
      <w:r>
        <w:rPr>
          <w:sz w:val="20"/>
        </w:rPr>
        <w:t>el 18 de febrero de 2013. Lo anterior nos señala que existe y ha existido la posibilidad de comprar cobertura informativa por parte de los partidos políticos ya que hasta el momento no se ha regulado dicha</w:t>
      </w:r>
      <w:r>
        <w:rPr>
          <w:spacing w:val="-26"/>
          <w:sz w:val="20"/>
        </w:rPr>
        <w:t> </w:t>
      </w:r>
      <w:r>
        <w:rPr>
          <w:sz w:val="20"/>
        </w:rPr>
        <w:t>situación.</w:t>
      </w:r>
    </w:p>
    <w:p>
      <w:pPr>
        <w:spacing w:after="0"/>
        <w:jc w:val="both"/>
        <w:rPr>
          <w:sz w:val="20"/>
        </w:rPr>
        <w:sectPr>
          <w:pgSz w:w="12240" w:h="15840"/>
          <w:pgMar w:header="749" w:footer="1003" w:top="960" w:bottom="1200" w:left="1580" w:right="1580"/>
        </w:sectPr>
      </w:pPr>
    </w:p>
    <w:p>
      <w:pPr>
        <w:pStyle w:val="BodyText"/>
        <w:rPr>
          <w:sz w:val="20"/>
        </w:rPr>
      </w:pPr>
    </w:p>
    <w:p>
      <w:pPr>
        <w:pStyle w:val="BodyText"/>
        <w:spacing w:line="360" w:lineRule="auto" w:before="214"/>
        <w:ind w:left="102" w:right="113"/>
        <w:jc w:val="both"/>
      </w:pPr>
      <w:r>
        <w:rPr/>
        <w:t>Pública y Estadística (IBOPE) AGB México, la cual del 19 de enero al 30 de junio de 2006 realizó el monitoreo de las campañas electorales federales en radio y televisión. El monitoreo se realizó a 120 noticiarios y 21 programas de televisión, así como a 195 noticiarios y 11 programas de radio, para un total de 347 espacios noticiosos.</w:t>
      </w:r>
    </w:p>
    <w:p>
      <w:pPr>
        <w:pStyle w:val="BodyText"/>
      </w:pPr>
    </w:p>
    <w:p>
      <w:pPr>
        <w:pStyle w:val="Heading2"/>
        <w:ind w:right="24"/>
      </w:pPr>
      <w:r>
        <w:rPr/>
        <w:t>Cuadro 4.1</w:t>
      </w:r>
    </w:p>
    <w:p>
      <w:pPr>
        <w:spacing w:before="139"/>
        <w:ind w:left="714" w:right="25" w:firstLine="0"/>
        <w:jc w:val="center"/>
        <w:rPr>
          <w:b/>
          <w:sz w:val="24"/>
        </w:rPr>
      </w:pPr>
      <w:r>
        <w:rPr>
          <w:b/>
          <w:sz w:val="24"/>
        </w:rPr>
        <w:t>Monitoreo de noticias por partido político (IFE 2006)</w:t>
      </w:r>
    </w:p>
    <w:p>
      <w:pPr>
        <w:pStyle w:val="BodyText"/>
        <w:rPr>
          <w:b/>
          <w:sz w:val="20"/>
        </w:rPr>
      </w:pPr>
    </w:p>
    <w:p>
      <w:pPr>
        <w:pStyle w:val="BodyText"/>
        <w:spacing w:before="2"/>
        <w:rPr>
          <w:b/>
          <w:sz w:val="28"/>
        </w:rPr>
      </w:pPr>
    </w:p>
    <w:tbl>
      <w:tblPr>
        <w:tblW w:w="0" w:type="auto"/>
        <w:jc w:val="left"/>
        <w:tblInd w:w="22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81"/>
        <w:gridCol w:w="1776"/>
        <w:gridCol w:w="1491"/>
      </w:tblGrid>
      <w:tr>
        <w:trPr>
          <w:trHeight w:val="517" w:hRule="exact"/>
        </w:trPr>
        <w:tc>
          <w:tcPr>
            <w:tcW w:w="1181" w:type="dxa"/>
            <w:shd w:val="clear" w:color="auto" w:fill="F1F1F1"/>
          </w:tcPr>
          <w:p>
            <w:pPr>
              <w:pStyle w:val="TableParagraph"/>
              <w:spacing w:line="249" w:lineRule="exact"/>
              <w:ind w:left="100"/>
              <w:rPr>
                <w:b/>
                <w:sz w:val="22"/>
              </w:rPr>
            </w:pPr>
            <w:r>
              <w:rPr>
                <w:b/>
                <w:sz w:val="22"/>
              </w:rPr>
              <w:t>Partido</w:t>
            </w:r>
          </w:p>
        </w:tc>
        <w:tc>
          <w:tcPr>
            <w:tcW w:w="1776" w:type="dxa"/>
            <w:shd w:val="clear" w:color="auto" w:fill="F1F1F1"/>
          </w:tcPr>
          <w:p>
            <w:pPr>
              <w:pStyle w:val="TableParagraph"/>
              <w:tabs>
                <w:tab w:pos="1406" w:val="left" w:leader="none"/>
              </w:tabs>
              <w:spacing w:line="248" w:lineRule="exact"/>
              <w:ind w:left="100"/>
              <w:rPr>
                <w:b/>
                <w:sz w:val="22"/>
              </w:rPr>
            </w:pPr>
            <w:r>
              <w:rPr>
                <w:b/>
                <w:sz w:val="22"/>
              </w:rPr>
              <w:t>No.</w:t>
              <w:tab/>
              <w:t>de</w:t>
            </w:r>
          </w:p>
          <w:p>
            <w:pPr>
              <w:pStyle w:val="TableParagraph"/>
              <w:spacing w:line="252" w:lineRule="exact"/>
              <w:ind w:left="100"/>
              <w:rPr>
                <w:b/>
                <w:sz w:val="22"/>
              </w:rPr>
            </w:pPr>
            <w:r>
              <w:rPr>
                <w:b/>
                <w:sz w:val="22"/>
              </w:rPr>
              <w:t>menciones</w:t>
            </w:r>
          </w:p>
        </w:tc>
        <w:tc>
          <w:tcPr>
            <w:tcW w:w="1491" w:type="dxa"/>
            <w:shd w:val="clear" w:color="auto" w:fill="F1F1F1"/>
          </w:tcPr>
          <w:p>
            <w:pPr>
              <w:pStyle w:val="TableParagraph"/>
              <w:spacing w:line="249" w:lineRule="exact"/>
              <w:rPr>
                <w:b/>
                <w:sz w:val="22"/>
              </w:rPr>
            </w:pPr>
            <w:r>
              <w:rPr>
                <w:b/>
                <w:w w:val="100"/>
                <w:sz w:val="22"/>
              </w:rPr>
              <w:t>%</w:t>
            </w:r>
          </w:p>
        </w:tc>
      </w:tr>
      <w:tr>
        <w:trPr>
          <w:trHeight w:val="262" w:hRule="exact"/>
        </w:trPr>
        <w:tc>
          <w:tcPr>
            <w:tcW w:w="1181" w:type="dxa"/>
          </w:tcPr>
          <w:p>
            <w:pPr>
              <w:pStyle w:val="TableParagraph"/>
              <w:spacing w:line="251" w:lineRule="exact"/>
              <w:ind w:left="100"/>
              <w:rPr>
                <w:sz w:val="22"/>
              </w:rPr>
            </w:pPr>
            <w:r>
              <w:rPr>
                <w:sz w:val="22"/>
              </w:rPr>
              <w:t>PAN</w:t>
            </w:r>
          </w:p>
        </w:tc>
        <w:tc>
          <w:tcPr>
            <w:tcW w:w="1776" w:type="dxa"/>
          </w:tcPr>
          <w:p>
            <w:pPr>
              <w:pStyle w:val="TableParagraph"/>
              <w:spacing w:line="251" w:lineRule="exact"/>
              <w:ind w:left="100"/>
              <w:rPr>
                <w:sz w:val="22"/>
              </w:rPr>
            </w:pPr>
            <w:r>
              <w:rPr>
                <w:sz w:val="22"/>
              </w:rPr>
              <w:t>39,620</w:t>
            </w:r>
          </w:p>
        </w:tc>
        <w:tc>
          <w:tcPr>
            <w:tcW w:w="1491" w:type="dxa"/>
          </w:tcPr>
          <w:p>
            <w:pPr>
              <w:pStyle w:val="TableParagraph"/>
              <w:spacing w:line="251" w:lineRule="exact"/>
              <w:rPr>
                <w:sz w:val="22"/>
              </w:rPr>
            </w:pPr>
            <w:r>
              <w:rPr>
                <w:sz w:val="22"/>
              </w:rPr>
              <w:t>18.5</w:t>
            </w:r>
          </w:p>
        </w:tc>
      </w:tr>
      <w:tr>
        <w:trPr>
          <w:trHeight w:val="264" w:hRule="exact"/>
        </w:trPr>
        <w:tc>
          <w:tcPr>
            <w:tcW w:w="1181" w:type="dxa"/>
          </w:tcPr>
          <w:p>
            <w:pPr>
              <w:pStyle w:val="TableParagraph"/>
              <w:ind w:left="100"/>
              <w:rPr>
                <w:sz w:val="22"/>
              </w:rPr>
            </w:pPr>
            <w:r>
              <w:rPr>
                <w:sz w:val="22"/>
              </w:rPr>
              <w:t>APM</w:t>
            </w:r>
          </w:p>
        </w:tc>
        <w:tc>
          <w:tcPr>
            <w:tcW w:w="1776" w:type="dxa"/>
          </w:tcPr>
          <w:p>
            <w:pPr>
              <w:pStyle w:val="TableParagraph"/>
              <w:ind w:left="100"/>
              <w:rPr>
                <w:sz w:val="22"/>
              </w:rPr>
            </w:pPr>
            <w:r>
              <w:rPr>
                <w:sz w:val="22"/>
              </w:rPr>
              <w:t>43,814</w:t>
            </w:r>
          </w:p>
        </w:tc>
        <w:tc>
          <w:tcPr>
            <w:tcW w:w="1491" w:type="dxa"/>
          </w:tcPr>
          <w:p>
            <w:pPr>
              <w:pStyle w:val="TableParagraph"/>
              <w:rPr>
                <w:sz w:val="22"/>
              </w:rPr>
            </w:pPr>
            <w:r>
              <w:rPr>
                <w:sz w:val="22"/>
              </w:rPr>
              <w:t>20.46</w:t>
            </w:r>
          </w:p>
        </w:tc>
      </w:tr>
      <w:tr>
        <w:trPr>
          <w:trHeight w:val="262" w:hRule="exact"/>
        </w:trPr>
        <w:tc>
          <w:tcPr>
            <w:tcW w:w="1181" w:type="dxa"/>
          </w:tcPr>
          <w:p>
            <w:pPr>
              <w:pStyle w:val="TableParagraph"/>
              <w:spacing w:line="251" w:lineRule="exact"/>
              <w:ind w:left="100"/>
              <w:rPr>
                <w:sz w:val="22"/>
              </w:rPr>
            </w:pPr>
            <w:r>
              <w:rPr>
                <w:sz w:val="22"/>
              </w:rPr>
              <w:t>CPBT</w:t>
            </w:r>
          </w:p>
        </w:tc>
        <w:tc>
          <w:tcPr>
            <w:tcW w:w="1776" w:type="dxa"/>
          </w:tcPr>
          <w:p>
            <w:pPr>
              <w:pStyle w:val="TableParagraph"/>
              <w:spacing w:line="251" w:lineRule="exact"/>
              <w:ind w:left="100"/>
              <w:rPr>
                <w:sz w:val="22"/>
              </w:rPr>
            </w:pPr>
            <w:r>
              <w:rPr>
                <w:sz w:val="22"/>
              </w:rPr>
              <w:t>51,902</w:t>
            </w:r>
          </w:p>
        </w:tc>
        <w:tc>
          <w:tcPr>
            <w:tcW w:w="1491" w:type="dxa"/>
          </w:tcPr>
          <w:p>
            <w:pPr>
              <w:pStyle w:val="TableParagraph"/>
              <w:spacing w:line="251" w:lineRule="exact"/>
              <w:rPr>
                <w:sz w:val="22"/>
              </w:rPr>
            </w:pPr>
            <w:r>
              <w:rPr>
                <w:sz w:val="22"/>
              </w:rPr>
              <w:t>24.24</w:t>
            </w:r>
          </w:p>
        </w:tc>
      </w:tr>
      <w:tr>
        <w:trPr>
          <w:trHeight w:val="264" w:hRule="exact"/>
        </w:trPr>
        <w:tc>
          <w:tcPr>
            <w:tcW w:w="1181" w:type="dxa"/>
          </w:tcPr>
          <w:p>
            <w:pPr>
              <w:pStyle w:val="TableParagraph"/>
              <w:ind w:left="100"/>
              <w:rPr>
                <w:sz w:val="22"/>
              </w:rPr>
            </w:pPr>
            <w:r>
              <w:rPr>
                <w:sz w:val="22"/>
              </w:rPr>
              <w:t>PASC</w:t>
            </w:r>
          </w:p>
        </w:tc>
        <w:tc>
          <w:tcPr>
            <w:tcW w:w="1776" w:type="dxa"/>
          </w:tcPr>
          <w:p>
            <w:pPr>
              <w:pStyle w:val="TableParagraph"/>
              <w:ind w:left="100"/>
              <w:rPr>
                <w:sz w:val="22"/>
              </w:rPr>
            </w:pPr>
            <w:r>
              <w:rPr>
                <w:sz w:val="22"/>
              </w:rPr>
              <w:t>9,195</w:t>
            </w:r>
          </w:p>
        </w:tc>
        <w:tc>
          <w:tcPr>
            <w:tcW w:w="1491" w:type="dxa"/>
          </w:tcPr>
          <w:p>
            <w:pPr>
              <w:pStyle w:val="TableParagraph"/>
              <w:rPr>
                <w:sz w:val="22"/>
              </w:rPr>
            </w:pPr>
            <w:r>
              <w:rPr>
                <w:sz w:val="22"/>
              </w:rPr>
              <w:t>4.29</w:t>
            </w:r>
          </w:p>
        </w:tc>
      </w:tr>
      <w:tr>
        <w:trPr>
          <w:trHeight w:val="264" w:hRule="exact"/>
        </w:trPr>
        <w:tc>
          <w:tcPr>
            <w:tcW w:w="1181" w:type="dxa"/>
          </w:tcPr>
          <w:p>
            <w:pPr>
              <w:pStyle w:val="TableParagraph"/>
              <w:spacing w:line="251" w:lineRule="exact"/>
              <w:ind w:left="100"/>
              <w:rPr>
                <w:sz w:val="22"/>
              </w:rPr>
            </w:pPr>
            <w:r>
              <w:rPr>
                <w:sz w:val="22"/>
              </w:rPr>
              <w:t>PNA</w:t>
            </w:r>
          </w:p>
        </w:tc>
        <w:tc>
          <w:tcPr>
            <w:tcW w:w="1776" w:type="dxa"/>
          </w:tcPr>
          <w:p>
            <w:pPr>
              <w:pStyle w:val="TableParagraph"/>
              <w:spacing w:line="251" w:lineRule="exact"/>
              <w:ind w:left="100"/>
              <w:rPr>
                <w:sz w:val="22"/>
              </w:rPr>
            </w:pPr>
            <w:r>
              <w:rPr>
                <w:sz w:val="22"/>
              </w:rPr>
              <w:t>9,064</w:t>
            </w:r>
          </w:p>
        </w:tc>
        <w:tc>
          <w:tcPr>
            <w:tcW w:w="1491" w:type="dxa"/>
          </w:tcPr>
          <w:p>
            <w:pPr>
              <w:pStyle w:val="TableParagraph"/>
              <w:spacing w:line="251" w:lineRule="exact"/>
              <w:rPr>
                <w:sz w:val="22"/>
              </w:rPr>
            </w:pPr>
            <w:r>
              <w:rPr>
                <w:sz w:val="22"/>
              </w:rPr>
              <w:t>4.23</w:t>
            </w:r>
          </w:p>
        </w:tc>
      </w:tr>
      <w:tr>
        <w:trPr>
          <w:trHeight w:val="262" w:hRule="exact"/>
        </w:trPr>
        <w:tc>
          <w:tcPr>
            <w:tcW w:w="1181" w:type="dxa"/>
          </w:tcPr>
          <w:p>
            <w:pPr>
              <w:pStyle w:val="TableParagraph"/>
              <w:spacing w:line="251" w:lineRule="exact"/>
              <w:ind w:left="100"/>
              <w:rPr>
                <w:sz w:val="22"/>
              </w:rPr>
            </w:pPr>
            <w:r>
              <w:rPr>
                <w:sz w:val="22"/>
              </w:rPr>
              <w:t>Varios</w:t>
            </w:r>
          </w:p>
        </w:tc>
        <w:tc>
          <w:tcPr>
            <w:tcW w:w="1776" w:type="dxa"/>
          </w:tcPr>
          <w:p>
            <w:pPr>
              <w:pStyle w:val="TableParagraph"/>
              <w:spacing w:line="251" w:lineRule="exact"/>
              <w:ind w:left="100"/>
              <w:rPr>
                <w:sz w:val="22"/>
              </w:rPr>
            </w:pPr>
            <w:r>
              <w:rPr>
                <w:sz w:val="22"/>
              </w:rPr>
              <w:t>26,953</w:t>
            </w:r>
          </w:p>
        </w:tc>
        <w:tc>
          <w:tcPr>
            <w:tcW w:w="1491" w:type="dxa"/>
          </w:tcPr>
          <w:p>
            <w:pPr>
              <w:pStyle w:val="TableParagraph"/>
              <w:spacing w:line="251" w:lineRule="exact"/>
              <w:rPr>
                <w:sz w:val="22"/>
              </w:rPr>
            </w:pPr>
            <w:r>
              <w:rPr>
                <w:sz w:val="22"/>
              </w:rPr>
              <w:t>12.58</w:t>
            </w:r>
          </w:p>
        </w:tc>
      </w:tr>
      <w:tr>
        <w:trPr>
          <w:trHeight w:val="264" w:hRule="exact"/>
        </w:trPr>
        <w:tc>
          <w:tcPr>
            <w:tcW w:w="1181" w:type="dxa"/>
          </w:tcPr>
          <w:p>
            <w:pPr>
              <w:pStyle w:val="TableParagraph"/>
              <w:spacing w:line="251" w:lineRule="exact"/>
              <w:ind w:left="100"/>
              <w:rPr>
                <w:sz w:val="22"/>
              </w:rPr>
            </w:pPr>
            <w:r>
              <w:rPr>
                <w:sz w:val="22"/>
              </w:rPr>
              <w:t>PEF</w:t>
            </w:r>
          </w:p>
        </w:tc>
        <w:tc>
          <w:tcPr>
            <w:tcW w:w="1776" w:type="dxa"/>
          </w:tcPr>
          <w:p>
            <w:pPr>
              <w:pStyle w:val="TableParagraph"/>
              <w:spacing w:line="251" w:lineRule="exact"/>
              <w:ind w:left="100"/>
              <w:rPr>
                <w:sz w:val="22"/>
              </w:rPr>
            </w:pPr>
            <w:r>
              <w:rPr>
                <w:sz w:val="22"/>
              </w:rPr>
              <w:t>33, 559</w:t>
            </w:r>
          </w:p>
        </w:tc>
        <w:tc>
          <w:tcPr>
            <w:tcW w:w="1491" w:type="dxa"/>
          </w:tcPr>
          <w:p>
            <w:pPr>
              <w:pStyle w:val="TableParagraph"/>
              <w:spacing w:line="251" w:lineRule="exact"/>
              <w:rPr>
                <w:sz w:val="22"/>
              </w:rPr>
            </w:pPr>
            <w:r>
              <w:rPr>
                <w:sz w:val="22"/>
              </w:rPr>
              <w:t>15.67</w:t>
            </w:r>
          </w:p>
        </w:tc>
      </w:tr>
      <w:tr>
        <w:trPr>
          <w:trHeight w:val="262" w:hRule="exact"/>
        </w:trPr>
        <w:tc>
          <w:tcPr>
            <w:tcW w:w="1181" w:type="dxa"/>
          </w:tcPr>
          <w:p>
            <w:pPr>
              <w:pStyle w:val="TableParagraph"/>
              <w:spacing w:line="251" w:lineRule="exact"/>
              <w:ind w:left="100"/>
              <w:rPr>
                <w:sz w:val="22"/>
              </w:rPr>
            </w:pPr>
            <w:r>
              <w:rPr>
                <w:sz w:val="22"/>
              </w:rPr>
              <w:t>Total</w:t>
            </w:r>
          </w:p>
        </w:tc>
        <w:tc>
          <w:tcPr>
            <w:tcW w:w="1776" w:type="dxa"/>
          </w:tcPr>
          <w:p>
            <w:pPr>
              <w:pStyle w:val="TableParagraph"/>
              <w:spacing w:line="251" w:lineRule="exact"/>
              <w:ind w:left="100"/>
              <w:rPr>
                <w:sz w:val="22"/>
              </w:rPr>
            </w:pPr>
            <w:r>
              <w:rPr>
                <w:sz w:val="22"/>
              </w:rPr>
              <w:t>214,107</w:t>
            </w:r>
          </w:p>
        </w:tc>
        <w:tc>
          <w:tcPr>
            <w:tcW w:w="1491" w:type="dxa"/>
          </w:tcPr>
          <w:p>
            <w:pPr>
              <w:pStyle w:val="TableParagraph"/>
              <w:spacing w:line="251" w:lineRule="exact"/>
              <w:rPr>
                <w:sz w:val="22"/>
              </w:rPr>
            </w:pPr>
            <w:r>
              <w:rPr>
                <w:sz w:val="22"/>
              </w:rPr>
              <w:t>100</w:t>
            </w:r>
          </w:p>
        </w:tc>
      </w:tr>
    </w:tbl>
    <w:p>
      <w:pPr>
        <w:spacing w:before="0"/>
        <w:ind w:left="2403" w:right="2421" w:firstLine="0"/>
        <w:jc w:val="both"/>
        <w:rPr>
          <w:sz w:val="22"/>
        </w:rPr>
      </w:pPr>
      <w:r>
        <w:rPr>
          <w:sz w:val="22"/>
        </w:rPr>
        <w:t>Nota: PEF= Proceso Electoral Federal, Varios= dos o más partidos de los citados. Fuente: elaboración propia tomando datos del Análisis General de los Resultados del Monitoreo de Noticias (CRIFE, 2006).</w:t>
      </w:r>
    </w:p>
    <w:p>
      <w:pPr>
        <w:pStyle w:val="BodyText"/>
        <w:rPr>
          <w:sz w:val="20"/>
        </w:rPr>
      </w:pPr>
    </w:p>
    <w:p>
      <w:pPr>
        <w:pStyle w:val="BodyText"/>
        <w:spacing w:line="360" w:lineRule="auto" w:before="184"/>
        <w:ind w:left="102" w:right="120" w:firstLine="707"/>
      </w:pPr>
      <w:r>
        <w:rPr/>
        <w:t>En total se realizaron 214,107 menciones, de las cuales el PAN obtuvo 36,920  menciones  (lo  que  equivale  al  18.5%);  APM  43,814  (20.46%);   CPBT</w:t>
      </w:r>
    </w:p>
    <w:p>
      <w:pPr>
        <w:pStyle w:val="BodyText"/>
        <w:spacing w:before="2"/>
        <w:ind w:left="102"/>
        <w:jc w:val="both"/>
      </w:pPr>
      <w:r>
        <w:rPr/>
        <w:t>51,902 (24.24%); PASC 9,195 (4.29%); PNA 9,064 (4.23%); varios (cuando se</w:t>
      </w:r>
    </w:p>
    <w:p>
      <w:pPr>
        <w:pStyle w:val="BodyText"/>
        <w:spacing w:line="360" w:lineRule="auto" w:before="139"/>
        <w:ind w:left="102" w:right="115"/>
        <w:jc w:val="both"/>
      </w:pPr>
      <w:r>
        <w:rPr/>
        <w:t>hace referencia a dos o más partidos) 26,953 (12.58%); PEF (Proceso Electoral Federal) 33,559 (15.67%) (ver cuadro 4.1). De los datos anteriores se desprende que los tres partidos o coaliciones mayoritarios obtuvieron porcentajes de menciones similares los cuales oscilaron entre el 18.50% y el 24.24%, sin embargo, el hecho de que la CPBT haya tenido un porcentaje mayor de  menciones no repercutió en los resultados electorales pues no gano la Presidencia de la República; por el contrario el partido que menos presencia tuvo en los medios (de los tres mayoritarios) el PAN con el 18.50% de las menciones fue el que</w:t>
      </w:r>
      <w:r>
        <w:rPr>
          <w:spacing w:val="27"/>
        </w:rPr>
        <w:t> </w:t>
      </w:r>
      <w:r>
        <w:rPr/>
        <w:t>gano</w:t>
      </w:r>
      <w:r>
        <w:rPr>
          <w:spacing w:val="27"/>
        </w:rPr>
        <w:t> </w:t>
      </w:r>
      <w:r>
        <w:rPr/>
        <w:t>la</w:t>
      </w:r>
      <w:r>
        <w:rPr>
          <w:spacing w:val="27"/>
        </w:rPr>
        <w:t> </w:t>
      </w:r>
      <w:r>
        <w:rPr/>
        <w:t>presidencia.</w:t>
      </w:r>
      <w:r>
        <w:rPr>
          <w:spacing w:val="27"/>
        </w:rPr>
        <w:t> </w:t>
      </w:r>
      <w:r>
        <w:rPr/>
        <w:t>La</w:t>
      </w:r>
      <w:r>
        <w:rPr>
          <w:spacing w:val="27"/>
        </w:rPr>
        <w:t> </w:t>
      </w:r>
      <w:r>
        <w:rPr/>
        <w:t>diferencia</w:t>
      </w:r>
      <w:r>
        <w:rPr>
          <w:spacing w:val="27"/>
        </w:rPr>
        <w:t> </w:t>
      </w:r>
      <w:r>
        <w:rPr/>
        <w:t>entre</w:t>
      </w:r>
      <w:r>
        <w:rPr>
          <w:spacing w:val="25"/>
        </w:rPr>
        <w:t> </w:t>
      </w:r>
      <w:r>
        <w:rPr/>
        <w:t>el</w:t>
      </w:r>
      <w:r>
        <w:rPr>
          <w:spacing w:val="26"/>
        </w:rPr>
        <w:t> </w:t>
      </w:r>
      <w:r>
        <w:rPr/>
        <w:t>porcentaje</w:t>
      </w:r>
      <w:r>
        <w:rPr>
          <w:spacing w:val="27"/>
        </w:rPr>
        <w:t> </w:t>
      </w:r>
      <w:r>
        <w:rPr/>
        <w:t>mayor</w:t>
      </w:r>
      <w:r>
        <w:rPr>
          <w:spacing w:val="28"/>
        </w:rPr>
        <w:t> </w:t>
      </w:r>
      <w:r>
        <w:rPr/>
        <w:t>y</w:t>
      </w:r>
      <w:r>
        <w:rPr>
          <w:spacing w:val="24"/>
        </w:rPr>
        <w:t> </w:t>
      </w:r>
      <w:r>
        <w:rPr/>
        <w:t>el</w:t>
      </w:r>
      <w:r>
        <w:rPr>
          <w:spacing w:val="28"/>
        </w:rPr>
        <w:t> </w:t>
      </w:r>
      <w:r>
        <w:rPr/>
        <w:t>porcentaje</w:t>
      </w:r>
    </w:p>
    <w:p>
      <w:pPr>
        <w:spacing w:after="0" w:line="360" w:lineRule="auto"/>
        <w:jc w:val="both"/>
        <w:sectPr>
          <w:pgSz w:w="12240" w:h="15840"/>
          <w:pgMar w:header="749" w:footer="1003" w:top="960" w:bottom="1200" w:left="1600" w:right="1580"/>
        </w:sectPr>
      </w:pPr>
    </w:p>
    <w:p>
      <w:pPr>
        <w:pStyle w:val="BodyText"/>
        <w:rPr>
          <w:sz w:val="20"/>
        </w:rPr>
      </w:pPr>
    </w:p>
    <w:p>
      <w:pPr>
        <w:pStyle w:val="BodyText"/>
        <w:spacing w:line="360" w:lineRule="auto" w:before="214"/>
        <w:ind w:left="102" w:right="127"/>
        <w:jc w:val="both"/>
      </w:pPr>
      <w:r>
        <w:rPr/>
        <w:t>menor de menciones por partido político en la elección objeto de estudio fue del 5.74%, lo que ubica a los medios que cubrieron dicha elección como altamente equitativos (3.0) pues es poco el porcentaje de diferencia de menciones que recibió el PAN con respecto a la</w:t>
      </w:r>
      <w:r>
        <w:rPr>
          <w:spacing w:val="-8"/>
        </w:rPr>
        <w:t> </w:t>
      </w:r>
      <w:r>
        <w:rPr/>
        <w:t>CPBT.</w:t>
      </w:r>
    </w:p>
    <w:p>
      <w:pPr>
        <w:pStyle w:val="BodyText"/>
      </w:pPr>
    </w:p>
    <w:p>
      <w:pPr>
        <w:pStyle w:val="Heading2"/>
        <w:tabs>
          <w:tab w:pos="1517" w:val="left" w:leader="none"/>
        </w:tabs>
        <w:ind w:left="810" w:right="120"/>
        <w:jc w:val="left"/>
      </w:pPr>
      <w:r>
        <w:rPr/>
        <w:t>2</w:t>
        <w:tab/>
        <w:t>Monitoreo cuantitativo de promocionales</w:t>
      </w:r>
      <w:r>
        <w:rPr>
          <w:spacing w:val="-7"/>
        </w:rPr>
        <w:t> </w:t>
      </w:r>
      <w:r>
        <w:rPr/>
        <w:t>IFE</w:t>
      </w:r>
    </w:p>
    <w:p>
      <w:pPr>
        <w:pStyle w:val="BodyText"/>
        <w:rPr>
          <w:b/>
        </w:rPr>
      </w:pPr>
    </w:p>
    <w:p>
      <w:pPr>
        <w:pStyle w:val="BodyText"/>
        <w:rPr>
          <w:b/>
        </w:rPr>
      </w:pPr>
    </w:p>
    <w:p>
      <w:pPr>
        <w:pStyle w:val="BodyText"/>
        <w:spacing w:line="360" w:lineRule="auto"/>
        <w:ind w:left="102" w:right="119"/>
        <w:jc w:val="both"/>
      </w:pPr>
      <w:r>
        <w:rPr/>
        <w:t>Del 19 de enero al 28 de junio de 2006, IBOPE realizó el monitoreo muestral de promocionales en radio y televisión, para ello se procesaron 1, 391, 166 horas en más de 150 canales de televisión y alrededor de 240 estaciones de radio. Se detectaron 704, 502 </w:t>
      </w:r>
      <w:r>
        <w:rPr>
          <w:i/>
        </w:rPr>
        <w:t>spots</w:t>
      </w:r>
      <w:r>
        <w:rPr/>
        <w:t>.</w:t>
      </w:r>
    </w:p>
    <w:p>
      <w:pPr>
        <w:pStyle w:val="BodyText"/>
        <w:spacing w:line="360" w:lineRule="auto" w:before="5"/>
        <w:ind w:left="102" w:right="115" w:firstLine="707"/>
        <w:jc w:val="both"/>
      </w:pPr>
      <w:r>
        <w:rPr/>
        <w:t>Por promocionales de radio y tv se entienden “aquellos </w:t>
      </w:r>
      <w:r>
        <w:rPr>
          <w:i/>
        </w:rPr>
        <w:t>spots, </w:t>
      </w:r>
      <w:r>
        <w:rPr/>
        <w:t>también conocidos como comerciales, que tienen un soporte visual, auditivo o audiovisual de breve duración que transmiten un hecho básico o una idea, generalmente de carácter publicitario, es decir, que forman parte de una publicidad, promoción o propaganda. Por lo anterior, la contabilización de promocionales no incluye programas informativos, radiofónicos o televisivos, de ningún tipo” (CFRPAP, 2006b). Para el análisis del monitoreo de promocionales se tomaron en cuenta los comerciales de radio y tv, además de las inserciones en prensa que tenían como finalidad promocionar al partido o candidato, de ahí que se descartaron las notas informativas dadas a conocer por los programas noticiosos ya que no tienen la característica principal de un comercial: hacer publicidad. Los monitoreos son muéstrales por lo que no representan la totalidad del espectro.</w:t>
      </w:r>
    </w:p>
    <w:p>
      <w:pPr>
        <w:pStyle w:val="BodyText"/>
        <w:spacing w:line="360" w:lineRule="auto" w:before="5"/>
        <w:ind w:left="102" w:right="118" w:firstLine="707"/>
        <w:jc w:val="both"/>
      </w:pPr>
      <w:r>
        <w:rPr/>
        <w:t>El siguiente cuadro muestra los resultados del monitoreo cuantitativo de promocionales por partido político realizado durante la campaña electoral de 2006:</w:t>
      </w:r>
    </w:p>
    <w:p>
      <w:pPr>
        <w:spacing w:after="0" w:line="360" w:lineRule="auto"/>
        <w:jc w:val="both"/>
        <w:sectPr>
          <w:pgSz w:w="12240" w:h="15840"/>
          <w:pgMar w:header="749" w:footer="1003" w:top="960" w:bottom="1200" w:left="1600" w:right="1580"/>
        </w:sectPr>
      </w:pPr>
    </w:p>
    <w:p>
      <w:pPr>
        <w:pStyle w:val="BodyText"/>
        <w:spacing w:before="4"/>
        <w:rPr>
          <w:rFonts w:ascii="Times New Roman"/>
          <w:sz w:val="17"/>
        </w:rPr>
      </w:pPr>
    </w:p>
    <w:p>
      <w:pPr>
        <w:spacing w:after="0"/>
        <w:rPr>
          <w:rFonts w:ascii="Times New Roman"/>
          <w:sz w:val="17"/>
        </w:rPr>
        <w:sectPr>
          <w:pgSz w:w="12240" w:h="15840"/>
          <w:pgMar w:header="749" w:footer="1003" w:top="960" w:bottom="1200" w:left="1720" w:right="1720"/>
        </w:sectPr>
      </w:pPr>
    </w:p>
    <w:p>
      <w:pPr>
        <w:pStyle w:val="BodyText"/>
        <w:rPr>
          <w:rFonts w:ascii="Times New Roman"/>
          <w:sz w:val="20"/>
        </w:rPr>
      </w:pPr>
    </w:p>
    <w:p>
      <w:pPr>
        <w:pStyle w:val="BodyText"/>
        <w:spacing w:line="360" w:lineRule="auto" w:before="214"/>
        <w:ind w:left="102" w:right="116" w:firstLine="707"/>
        <w:jc w:val="both"/>
      </w:pPr>
      <w:r>
        <w:rPr/>
        <w:t>De acuerdo con el cuadro 4.2 de los 720,081 promocionales presentados  en televisión (142,358), radio (562,144) y prensa (15,579); el 34.05% fueron para el PAN, 38.05% para la coalición APM, 20.89% para la CPBT, 0.74% para el PASC, 4.67% para el PNA, 0.12% para el PRI (sólo, sin coalición), 0.57% para el PRD (sólo, sin coalición), 0.02% para el PVEM, 0.88% para C y 0.0% para el PT. Lo que señala que la diferencia entre el porcentaje mayor y el porcentaje menor de menciones por partido político en la elección objeto de estudio fue del 17.16%, lo que ubica a los medios que cubrieron dicha elección como medianamente equitativos (2.0) pues el porcentaje de diferencia de promocionales que recibió la CAPM es considerablemente mayor que el porcentaje de promocionales de la CPBT; sin embargo, no repercutió en el proceso electoral toda vez que el partido ganador (PAN) no fue el que más promocionales tuvo, ni tampoco el que menos; pues se ubicó en un rango</w:t>
      </w:r>
      <w:r>
        <w:rPr>
          <w:spacing w:val="-12"/>
        </w:rPr>
        <w:t> </w:t>
      </w:r>
      <w:r>
        <w:rPr/>
        <w:t>medio.</w:t>
      </w:r>
    </w:p>
    <w:p>
      <w:pPr>
        <w:pStyle w:val="BodyText"/>
        <w:spacing w:line="360" w:lineRule="auto" w:before="5"/>
        <w:ind w:left="102" w:right="116" w:firstLine="707"/>
        <w:jc w:val="both"/>
      </w:pPr>
      <w:r>
        <w:rPr/>
        <w:t>Por lo que respecta al monitoreo de medios alternos éste únicamente lo realizaba el IFE, pero a partir de 2006 también fue elaborado por el IEEM; sin embargo, al no hacer públicos sus resultados el órgano estatal no fue posible realizar comparaciones entre dichos institutos. El monitoreo de medios alternos se realizó a través del órgano electoral el cual contrato personal para hacer las labores de monitoristas, los cuales recabaron la información en campo misma que fue procesada por el instituto. El monitoreo a medios alternos efectuado por el IFE se basó en el registro de los anuncios espectaculares que se colocaron en las principales avenidas de 20 plazas del país, detectándose 5,722 anuncios en la vía pública.</w:t>
      </w:r>
    </w:p>
    <w:p>
      <w:pPr>
        <w:pStyle w:val="BodyText"/>
        <w:spacing w:line="360" w:lineRule="auto" w:before="5"/>
        <w:ind w:left="102" w:right="128" w:firstLine="707"/>
        <w:jc w:val="both"/>
      </w:pPr>
      <w:r>
        <w:rPr/>
        <w:t>En el siguiente cuadro (4.3) se observan los resultados del análisis a los monitoreos de medios alterno por partido político:</w:t>
      </w:r>
    </w:p>
    <w:p>
      <w:pPr>
        <w:spacing w:after="0" w:line="360" w:lineRule="auto"/>
        <w:jc w:val="both"/>
        <w:sectPr>
          <w:pgSz w:w="12240" w:h="15840"/>
          <w:pgMar w:header="749" w:footer="1003" w:top="960" w:bottom="1200" w:left="1600" w:right="1580"/>
        </w:sectPr>
      </w:pPr>
    </w:p>
    <w:p>
      <w:pPr>
        <w:pStyle w:val="BodyText"/>
        <w:rPr>
          <w:sz w:val="20"/>
        </w:rPr>
      </w:pPr>
    </w:p>
    <w:p>
      <w:pPr>
        <w:pStyle w:val="BodyText"/>
        <w:rPr>
          <w:sz w:val="20"/>
        </w:rPr>
      </w:pPr>
    </w:p>
    <w:p>
      <w:pPr>
        <w:pStyle w:val="BodyText"/>
        <w:spacing w:before="8"/>
        <w:rPr>
          <w:sz w:val="28"/>
        </w:rPr>
      </w:pPr>
    </w:p>
    <w:p>
      <w:pPr>
        <w:pStyle w:val="Heading2"/>
        <w:spacing w:before="70"/>
        <w:ind w:right="24"/>
      </w:pPr>
      <w:r>
        <w:rPr/>
        <w:t>Cuadro 4.3</w:t>
      </w:r>
    </w:p>
    <w:p>
      <w:pPr>
        <w:spacing w:before="137"/>
        <w:ind w:left="714" w:right="27" w:firstLine="0"/>
        <w:jc w:val="center"/>
        <w:rPr>
          <w:b/>
          <w:sz w:val="24"/>
        </w:rPr>
      </w:pPr>
      <w:r>
        <w:rPr>
          <w:b/>
          <w:sz w:val="24"/>
        </w:rPr>
        <w:t>Monitoreo de medios alternos por partido político (IFE 2006)</w:t>
      </w:r>
    </w:p>
    <w:p>
      <w:pPr>
        <w:pStyle w:val="BodyText"/>
        <w:rPr>
          <w:b/>
          <w:sz w:val="20"/>
        </w:rPr>
      </w:pPr>
    </w:p>
    <w:p>
      <w:pPr>
        <w:pStyle w:val="BodyText"/>
        <w:spacing w:before="3"/>
        <w:rPr>
          <w:b/>
          <w:sz w:val="28"/>
        </w:rPr>
      </w:pPr>
    </w:p>
    <w:tbl>
      <w:tblPr>
        <w:tblW w:w="0" w:type="auto"/>
        <w:jc w:val="left"/>
        <w:tblInd w:w="27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81"/>
        <w:gridCol w:w="1776"/>
        <w:gridCol w:w="1186"/>
      </w:tblGrid>
      <w:tr>
        <w:trPr>
          <w:trHeight w:val="469" w:hRule="exact"/>
        </w:trPr>
        <w:tc>
          <w:tcPr>
            <w:tcW w:w="1181" w:type="dxa"/>
            <w:shd w:val="clear" w:color="auto" w:fill="D9D9D9"/>
          </w:tcPr>
          <w:p>
            <w:pPr>
              <w:pStyle w:val="TableParagraph"/>
              <w:spacing w:line="226" w:lineRule="exact"/>
              <w:rPr>
                <w:b/>
                <w:sz w:val="20"/>
              </w:rPr>
            </w:pPr>
            <w:r>
              <w:rPr>
                <w:b/>
                <w:sz w:val="20"/>
              </w:rPr>
              <w:t>Partido</w:t>
            </w:r>
          </w:p>
        </w:tc>
        <w:tc>
          <w:tcPr>
            <w:tcW w:w="1776" w:type="dxa"/>
            <w:shd w:val="clear" w:color="auto" w:fill="D9D9D9"/>
          </w:tcPr>
          <w:p>
            <w:pPr>
              <w:pStyle w:val="TableParagraph"/>
              <w:tabs>
                <w:tab w:pos="1429" w:val="left" w:leader="none"/>
              </w:tabs>
              <w:spacing w:line="225" w:lineRule="exact"/>
              <w:rPr>
                <w:b/>
                <w:sz w:val="20"/>
              </w:rPr>
            </w:pPr>
            <w:r>
              <w:rPr>
                <w:b/>
                <w:sz w:val="20"/>
              </w:rPr>
              <w:t>No.</w:t>
              <w:tab/>
              <w:t>de</w:t>
            </w:r>
          </w:p>
          <w:p>
            <w:pPr>
              <w:pStyle w:val="TableParagraph"/>
              <w:spacing w:line="229" w:lineRule="exact"/>
              <w:rPr>
                <w:b/>
                <w:sz w:val="20"/>
              </w:rPr>
            </w:pPr>
            <w:r>
              <w:rPr>
                <w:b/>
                <w:sz w:val="20"/>
              </w:rPr>
              <w:t>espectaculares</w:t>
            </w:r>
          </w:p>
        </w:tc>
        <w:tc>
          <w:tcPr>
            <w:tcW w:w="1186" w:type="dxa"/>
            <w:shd w:val="clear" w:color="auto" w:fill="D9D9D9"/>
          </w:tcPr>
          <w:p>
            <w:pPr>
              <w:pStyle w:val="TableParagraph"/>
              <w:spacing w:line="226" w:lineRule="exact"/>
              <w:rPr>
                <w:b/>
                <w:sz w:val="20"/>
              </w:rPr>
            </w:pPr>
            <w:r>
              <w:rPr>
                <w:b/>
                <w:w w:val="99"/>
                <w:sz w:val="20"/>
              </w:rPr>
              <w:t>%</w:t>
            </w:r>
          </w:p>
        </w:tc>
      </w:tr>
      <w:tr>
        <w:trPr>
          <w:trHeight w:val="389" w:hRule="exact"/>
        </w:trPr>
        <w:tc>
          <w:tcPr>
            <w:tcW w:w="1181" w:type="dxa"/>
          </w:tcPr>
          <w:p>
            <w:pPr>
              <w:pStyle w:val="TableParagraph"/>
              <w:spacing w:line="251" w:lineRule="exact"/>
              <w:rPr>
                <w:sz w:val="22"/>
              </w:rPr>
            </w:pPr>
            <w:r>
              <w:rPr>
                <w:sz w:val="22"/>
              </w:rPr>
              <w:t>PAN</w:t>
            </w:r>
          </w:p>
        </w:tc>
        <w:tc>
          <w:tcPr>
            <w:tcW w:w="1776" w:type="dxa"/>
          </w:tcPr>
          <w:p>
            <w:pPr>
              <w:pStyle w:val="TableParagraph"/>
              <w:spacing w:line="251" w:lineRule="exact"/>
              <w:ind w:left="0" w:right="98"/>
              <w:jc w:val="right"/>
              <w:rPr>
                <w:sz w:val="22"/>
              </w:rPr>
            </w:pPr>
            <w:r>
              <w:rPr>
                <w:sz w:val="22"/>
              </w:rPr>
              <w:t>1,715</w:t>
            </w:r>
          </w:p>
        </w:tc>
        <w:tc>
          <w:tcPr>
            <w:tcW w:w="1186" w:type="dxa"/>
          </w:tcPr>
          <w:p>
            <w:pPr>
              <w:pStyle w:val="TableParagraph"/>
              <w:spacing w:line="251" w:lineRule="exact"/>
              <w:ind w:left="0" w:right="98"/>
              <w:jc w:val="right"/>
              <w:rPr>
                <w:sz w:val="22"/>
              </w:rPr>
            </w:pPr>
            <w:r>
              <w:rPr>
                <w:sz w:val="22"/>
              </w:rPr>
              <w:t>29.97</w:t>
            </w:r>
          </w:p>
        </w:tc>
      </w:tr>
      <w:tr>
        <w:trPr>
          <w:trHeight w:val="391" w:hRule="exact"/>
        </w:trPr>
        <w:tc>
          <w:tcPr>
            <w:tcW w:w="1181" w:type="dxa"/>
          </w:tcPr>
          <w:p>
            <w:pPr>
              <w:pStyle w:val="TableParagraph"/>
              <w:rPr>
                <w:sz w:val="22"/>
              </w:rPr>
            </w:pPr>
            <w:r>
              <w:rPr>
                <w:sz w:val="22"/>
              </w:rPr>
              <w:t>APM</w:t>
            </w:r>
          </w:p>
        </w:tc>
        <w:tc>
          <w:tcPr>
            <w:tcW w:w="1776" w:type="dxa"/>
          </w:tcPr>
          <w:p>
            <w:pPr>
              <w:pStyle w:val="TableParagraph"/>
              <w:ind w:left="0" w:right="101"/>
              <w:jc w:val="right"/>
              <w:rPr>
                <w:sz w:val="22"/>
              </w:rPr>
            </w:pPr>
            <w:r>
              <w:rPr>
                <w:sz w:val="22"/>
              </w:rPr>
              <w:t>3242</w:t>
            </w:r>
          </w:p>
        </w:tc>
        <w:tc>
          <w:tcPr>
            <w:tcW w:w="1186" w:type="dxa"/>
          </w:tcPr>
          <w:p>
            <w:pPr>
              <w:pStyle w:val="TableParagraph"/>
              <w:ind w:left="0" w:right="98"/>
              <w:jc w:val="right"/>
              <w:rPr>
                <w:sz w:val="22"/>
              </w:rPr>
            </w:pPr>
            <w:r>
              <w:rPr>
                <w:sz w:val="22"/>
              </w:rPr>
              <w:t>56.65</w:t>
            </w:r>
          </w:p>
        </w:tc>
      </w:tr>
      <w:tr>
        <w:trPr>
          <w:trHeight w:val="389" w:hRule="exact"/>
        </w:trPr>
        <w:tc>
          <w:tcPr>
            <w:tcW w:w="1181" w:type="dxa"/>
          </w:tcPr>
          <w:p>
            <w:pPr>
              <w:pStyle w:val="TableParagraph"/>
              <w:spacing w:line="251" w:lineRule="exact"/>
              <w:rPr>
                <w:sz w:val="22"/>
              </w:rPr>
            </w:pPr>
            <w:r>
              <w:rPr>
                <w:sz w:val="22"/>
              </w:rPr>
              <w:t>CPBT</w:t>
            </w:r>
          </w:p>
        </w:tc>
        <w:tc>
          <w:tcPr>
            <w:tcW w:w="1776" w:type="dxa"/>
          </w:tcPr>
          <w:p>
            <w:pPr>
              <w:pStyle w:val="TableParagraph"/>
              <w:spacing w:line="251" w:lineRule="exact"/>
              <w:ind w:left="0" w:right="101"/>
              <w:jc w:val="right"/>
              <w:rPr>
                <w:sz w:val="22"/>
              </w:rPr>
            </w:pPr>
            <w:r>
              <w:rPr>
                <w:sz w:val="22"/>
              </w:rPr>
              <w:t>321</w:t>
            </w:r>
          </w:p>
        </w:tc>
        <w:tc>
          <w:tcPr>
            <w:tcW w:w="1186" w:type="dxa"/>
          </w:tcPr>
          <w:p>
            <w:pPr>
              <w:pStyle w:val="TableParagraph"/>
              <w:spacing w:line="251" w:lineRule="exact"/>
              <w:ind w:left="0" w:right="99"/>
              <w:jc w:val="right"/>
              <w:rPr>
                <w:sz w:val="22"/>
              </w:rPr>
            </w:pPr>
            <w:r>
              <w:rPr>
                <w:sz w:val="22"/>
              </w:rPr>
              <w:t>5.6</w:t>
            </w:r>
          </w:p>
        </w:tc>
      </w:tr>
      <w:tr>
        <w:trPr>
          <w:trHeight w:val="389" w:hRule="exact"/>
        </w:trPr>
        <w:tc>
          <w:tcPr>
            <w:tcW w:w="1181" w:type="dxa"/>
          </w:tcPr>
          <w:p>
            <w:pPr>
              <w:pStyle w:val="TableParagraph"/>
              <w:spacing w:line="251" w:lineRule="exact"/>
              <w:rPr>
                <w:sz w:val="22"/>
              </w:rPr>
            </w:pPr>
            <w:r>
              <w:rPr>
                <w:sz w:val="22"/>
              </w:rPr>
              <w:t>PASC</w:t>
            </w:r>
          </w:p>
        </w:tc>
        <w:tc>
          <w:tcPr>
            <w:tcW w:w="1776" w:type="dxa"/>
          </w:tcPr>
          <w:p>
            <w:pPr>
              <w:pStyle w:val="TableParagraph"/>
              <w:spacing w:line="251" w:lineRule="exact"/>
              <w:ind w:left="0" w:right="100"/>
              <w:jc w:val="right"/>
              <w:rPr>
                <w:sz w:val="22"/>
              </w:rPr>
            </w:pPr>
            <w:r>
              <w:rPr>
                <w:w w:val="100"/>
                <w:sz w:val="22"/>
              </w:rPr>
              <w:t>6</w:t>
            </w:r>
          </w:p>
        </w:tc>
        <w:tc>
          <w:tcPr>
            <w:tcW w:w="1186" w:type="dxa"/>
          </w:tcPr>
          <w:p>
            <w:pPr>
              <w:pStyle w:val="TableParagraph"/>
              <w:spacing w:line="251" w:lineRule="exact"/>
              <w:ind w:left="0" w:right="99"/>
              <w:jc w:val="right"/>
              <w:rPr>
                <w:sz w:val="22"/>
              </w:rPr>
            </w:pPr>
            <w:r>
              <w:rPr>
                <w:sz w:val="22"/>
              </w:rPr>
              <w:t>0.1</w:t>
            </w:r>
          </w:p>
        </w:tc>
      </w:tr>
      <w:tr>
        <w:trPr>
          <w:trHeight w:val="392" w:hRule="exact"/>
        </w:trPr>
        <w:tc>
          <w:tcPr>
            <w:tcW w:w="1181" w:type="dxa"/>
          </w:tcPr>
          <w:p>
            <w:pPr>
              <w:pStyle w:val="TableParagraph"/>
              <w:spacing w:line="251" w:lineRule="exact"/>
              <w:rPr>
                <w:sz w:val="22"/>
              </w:rPr>
            </w:pPr>
            <w:r>
              <w:rPr>
                <w:sz w:val="22"/>
              </w:rPr>
              <w:t>PNA</w:t>
            </w:r>
          </w:p>
        </w:tc>
        <w:tc>
          <w:tcPr>
            <w:tcW w:w="1776" w:type="dxa"/>
          </w:tcPr>
          <w:p>
            <w:pPr>
              <w:pStyle w:val="TableParagraph"/>
              <w:spacing w:line="251" w:lineRule="exact"/>
              <w:ind w:left="0" w:right="101"/>
              <w:jc w:val="right"/>
              <w:rPr>
                <w:sz w:val="22"/>
              </w:rPr>
            </w:pPr>
            <w:r>
              <w:rPr>
                <w:sz w:val="22"/>
              </w:rPr>
              <w:t>412</w:t>
            </w:r>
          </w:p>
        </w:tc>
        <w:tc>
          <w:tcPr>
            <w:tcW w:w="1186" w:type="dxa"/>
          </w:tcPr>
          <w:p>
            <w:pPr>
              <w:pStyle w:val="TableParagraph"/>
              <w:spacing w:line="251" w:lineRule="exact"/>
              <w:ind w:left="0" w:right="99"/>
              <w:jc w:val="right"/>
              <w:rPr>
                <w:sz w:val="22"/>
              </w:rPr>
            </w:pPr>
            <w:r>
              <w:rPr>
                <w:sz w:val="22"/>
              </w:rPr>
              <w:t>7.2</w:t>
            </w:r>
          </w:p>
        </w:tc>
      </w:tr>
      <w:tr>
        <w:trPr>
          <w:trHeight w:val="389" w:hRule="exact"/>
        </w:trPr>
        <w:tc>
          <w:tcPr>
            <w:tcW w:w="1181" w:type="dxa"/>
          </w:tcPr>
          <w:p>
            <w:pPr>
              <w:pStyle w:val="TableParagraph"/>
              <w:spacing w:line="251" w:lineRule="exact"/>
              <w:rPr>
                <w:sz w:val="22"/>
              </w:rPr>
            </w:pPr>
            <w:r>
              <w:rPr>
                <w:sz w:val="22"/>
              </w:rPr>
              <w:t>PRD</w:t>
            </w:r>
          </w:p>
        </w:tc>
        <w:tc>
          <w:tcPr>
            <w:tcW w:w="1776" w:type="dxa"/>
          </w:tcPr>
          <w:p>
            <w:pPr>
              <w:pStyle w:val="TableParagraph"/>
              <w:spacing w:line="251" w:lineRule="exact"/>
              <w:ind w:left="0" w:right="100"/>
              <w:jc w:val="right"/>
              <w:rPr>
                <w:sz w:val="22"/>
              </w:rPr>
            </w:pPr>
            <w:r>
              <w:rPr>
                <w:w w:val="100"/>
                <w:sz w:val="22"/>
              </w:rPr>
              <w:t>1</w:t>
            </w:r>
          </w:p>
        </w:tc>
        <w:tc>
          <w:tcPr>
            <w:tcW w:w="1186" w:type="dxa"/>
          </w:tcPr>
          <w:p>
            <w:pPr>
              <w:pStyle w:val="TableParagraph"/>
              <w:spacing w:line="251" w:lineRule="exact"/>
              <w:ind w:left="0" w:right="98"/>
              <w:jc w:val="right"/>
              <w:rPr>
                <w:sz w:val="22"/>
              </w:rPr>
            </w:pPr>
            <w:r>
              <w:rPr>
                <w:sz w:val="22"/>
              </w:rPr>
              <w:t>0.01</w:t>
            </w:r>
          </w:p>
        </w:tc>
      </w:tr>
      <w:tr>
        <w:trPr>
          <w:trHeight w:val="389" w:hRule="exact"/>
        </w:trPr>
        <w:tc>
          <w:tcPr>
            <w:tcW w:w="1181" w:type="dxa"/>
          </w:tcPr>
          <w:p>
            <w:pPr>
              <w:pStyle w:val="TableParagraph"/>
              <w:spacing w:line="251" w:lineRule="exact"/>
              <w:rPr>
                <w:sz w:val="22"/>
              </w:rPr>
            </w:pPr>
            <w:r>
              <w:rPr>
                <w:sz w:val="22"/>
              </w:rPr>
              <w:t>PT</w:t>
            </w:r>
          </w:p>
        </w:tc>
        <w:tc>
          <w:tcPr>
            <w:tcW w:w="1776" w:type="dxa"/>
          </w:tcPr>
          <w:p>
            <w:pPr>
              <w:pStyle w:val="TableParagraph"/>
              <w:spacing w:line="251" w:lineRule="exact"/>
              <w:ind w:left="0" w:right="100"/>
              <w:jc w:val="right"/>
              <w:rPr>
                <w:sz w:val="22"/>
              </w:rPr>
            </w:pPr>
            <w:r>
              <w:rPr>
                <w:w w:val="100"/>
                <w:sz w:val="22"/>
              </w:rPr>
              <w:t>8</w:t>
            </w:r>
          </w:p>
        </w:tc>
        <w:tc>
          <w:tcPr>
            <w:tcW w:w="1186" w:type="dxa"/>
          </w:tcPr>
          <w:p>
            <w:pPr>
              <w:pStyle w:val="TableParagraph"/>
              <w:spacing w:line="251" w:lineRule="exact"/>
              <w:ind w:left="0" w:right="98"/>
              <w:jc w:val="right"/>
              <w:rPr>
                <w:sz w:val="22"/>
              </w:rPr>
            </w:pPr>
            <w:r>
              <w:rPr>
                <w:sz w:val="22"/>
              </w:rPr>
              <w:t>0.13</w:t>
            </w:r>
          </w:p>
        </w:tc>
      </w:tr>
      <w:tr>
        <w:trPr>
          <w:trHeight w:val="389" w:hRule="exact"/>
        </w:trPr>
        <w:tc>
          <w:tcPr>
            <w:tcW w:w="1181" w:type="dxa"/>
          </w:tcPr>
          <w:p>
            <w:pPr>
              <w:pStyle w:val="TableParagraph"/>
              <w:spacing w:line="251" w:lineRule="exact"/>
              <w:rPr>
                <w:sz w:val="22"/>
              </w:rPr>
            </w:pPr>
            <w:r>
              <w:rPr>
                <w:w w:val="100"/>
                <w:sz w:val="22"/>
              </w:rPr>
              <w:t>C</w:t>
            </w:r>
          </w:p>
        </w:tc>
        <w:tc>
          <w:tcPr>
            <w:tcW w:w="1776" w:type="dxa"/>
          </w:tcPr>
          <w:p>
            <w:pPr>
              <w:pStyle w:val="TableParagraph"/>
              <w:spacing w:line="251" w:lineRule="exact"/>
              <w:ind w:left="0" w:right="101"/>
              <w:jc w:val="right"/>
              <w:rPr>
                <w:sz w:val="22"/>
              </w:rPr>
            </w:pPr>
            <w:r>
              <w:rPr>
                <w:sz w:val="22"/>
              </w:rPr>
              <w:t>17</w:t>
            </w:r>
          </w:p>
        </w:tc>
        <w:tc>
          <w:tcPr>
            <w:tcW w:w="1186" w:type="dxa"/>
          </w:tcPr>
          <w:p>
            <w:pPr>
              <w:pStyle w:val="TableParagraph"/>
              <w:spacing w:line="251" w:lineRule="exact"/>
              <w:ind w:left="0" w:right="98"/>
              <w:jc w:val="right"/>
              <w:rPr>
                <w:sz w:val="22"/>
              </w:rPr>
            </w:pPr>
            <w:r>
              <w:rPr>
                <w:sz w:val="22"/>
              </w:rPr>
              <w:t>0.29</w:t>
            </w:r>
          </w:p>
        </w:tc>
      </w:tr>
      <w:tr>
        <w:trPr>
          <w:trHeight w:val="391" w:hRule="exact"/>
        </w:trPr>
        <w:tc>
          <w:tcPr>
            <w:tcW w:w="1181" w:type="dxa"/>
          </w:tcPr>
          <w:p>
            <w:pPr>
              <w:pStyle w:val="TableParagraph"/>
              <w:rPr>
                <w:sz w:val="22"/>
              </w:rPr>
            </w:pPr>
            <w:r>
              <w:rPr>
                <w:sz w:val="22"/>
              </w:rPr>
              <w:t>Total</w:t>
            </w:r>
          </w:p>
        </w:tc>
        <w:tc>
          <w:tcPr>
            <w:tcW w:w="1776" w:type="dxa"/>
          </w:tcPr>
          <w:p>
            <w:pPr>
              <w:pStyle w:val="TableParagraph"/>
              <w:ind w:left="0" w:right="98"/>
              <w:jc w:val="right"/>
              <w:rPr>
                <w:sz w:val="22"/>
              </w:rPr>
            </w:pPr>
            <w:r>
              <w:rPr>
                <w:sz w:val="22"/>
              </w:rPr>
              <w:t>5,722</w:t>
            </w:r>
          </w:p>
        </w:tc>
        <w:tc>
          <w:tcPr>
            <w:tcW w:w="1186" w:type="dxa"/>
          </w:tcPr>
          <w:p>
            <w:pPr>
              <w:pStyle w:val="TableParagraph"/>
              <w:ind w:left="0" w:right="101"/>
              <w:jc w:val="right"/>
              <w:rPr>
                <w:sz w:val="22"/>
              </w:rPr>
            </w:pPr>
            <w:r>
              <w:rPr>
                <w:sz w:val="22"/>
              </w:rPr>
              <w:t>100</w:t>
            </w:r>
          </w:p>
        </w:tc>
      </w:tr>
    </w:tbl>
    <w:p>
      <w:pPr>
        <w:spacing w:line="240" w:lineRule="auto" w:before="0"/>
        <w:ind w:left="2872" w:right="2257" w:firstLine="0"/>
        <w:jc w:val="both"/>
        <w:rPr>
          <w:sz w:val="22"/>
        </w:rPr>
      </w:pPr>
      <w:r>
        <w:rPr>
          <w:sz w:val="22"/>
        </w:rPr>
        <w:t>Fuente: elaboración propia tomando datos del Reporte Final de los Monitoreos de Promocionales (CFRPAP, 2006b).</w:t>
      </w:r>
    </w:p>
    <w:p>
      <w:pPr>
        <w:pStyle w:val="BodyText"/>
        <w:rPr>
          <w:sz w:val="20"/>
        </w:rPr>
      </w:pPr>
    </w:p>
    <w:p>
      <w:pPr>
        <w:pStyle w:val="BodyText"/>
        <w:rPr>
          <w:sz w:val="20"/>
        </w:rPr>
      </w:pPr>
    </w:p>
    <w:p>
      <w:pPr>
        <w:pStyle w:val="BodyText"/>
        <w:spacing w:line="360" w:lineRule="auto" w:before="207"/>
        <w:ind w:left="102" w:right="115" w:firstLine="707"/>
        <w:jc w:val="both"/>
      </w:pPr>
      <w:r>
        <w:rPr/>
        <w:t>De acuerdo con el cuadro 4.3 el 56.65% de los espectaculares fueron de la coalición APM, el 29.97% del PAN, y el 5.6% de la CPBT lo que demostró la inequidad en la renta de espacios publicitarios pues la coalición APM fue la que tuvo un promedio significativamente más alto de anuncios espectaculares seguida del PAN, dejando a la CPBT en una situación de desventaja pues tuvo una diferencia de más del 51.05% en relación con los espacios adquiridos por la APM. Situación que ubicó como inequitativos a los medios alternos, pero dicho resultado no se contabilizó en el resultado global por no tener su equivalente con Costa Rica así como por carecer de datos del IEEM.</w:t>
      </w:r>
    </w:p>
    <w:p>
      <w:pPr>
        <w:pStyle w:val="BodyText"/>
        <w:spacing w:line="360" w:lineRule="auto" w:before="5"/>
        <w:ind w:left="102" w:right="116" w:firstLine="707"/>
        <w:jc w:val="both"/>
      </w:pPr>
      <w:r>
        <w:rPr/>
        <w:t>En cuanto a la neutralidad de los medios de comunicación en la cobertura de la campaña, es importante conocer el número de notas que tuvo cada partido (aspecto cuantitativo); así como el contenido de las mismas (aspecto cualitativo), así las notas se valoraron como: positivas, negativas y neutras. De las 214,107 menciones evaluadas sólo 197,140 fueron sujetas de valoración por la empresa</w:t>
      </w:r>
    </w:p>
    <w:p>
      <w:pPr>
        <w:spacing w:after="0" w:line="360" w:lineRule="auto"/>
        <w:jc w:val="both"/>
        <w:sectPr>
          <w:footerReference w:type="default" r:id="rId550"/>
          <w:pgSz w:w="12240" w:h="15840"/>
          <w:pgMar w:footer="1003" w:header="749" w:top="960" w:bottom="1200" w:left="1600" w:right="1580"/>
          <w:pgNumType w:start="200"/>
        </w:sectPr>
      </w:pPr>
    </w:p>
    <w:p>
      <w:pPr>
        <w:pStyle w:val="BodyText"/>
        <w:rPr>
          <w:sz w:val="20"/>
        </w:rPr>
      </w:pPr>
    </w:p>
    <w:p>
      <w:pPr>
        <w:pStyle w:val="BodyText"/>
        <w:spacing w:line="360" w:lineRule="auto" w:before="214"/>
        <w:ind w:left="222" w:right="158"/>
        <w:jc w:val="both"/>
      </w:pPr>
      <w:r>
        <w:rPr/>
        <w:t>contratada; estas piezas noticiosas se encuentran dentro de los géneros de nota informativa, reportaje, análisis, editorial o crítica política y crónica. Las 16,967 restantes no fueron valoradas debido a que se dieron en espacios de opinión, como son mesa de análisis, entrevista, encuestas, sondeos y estudios de opinión, sátira política y debate; los cuales no pueden ser valorados (cuadro 4.4).</w:t>
      </w:r>
    </w:p>
    <w:p>
      <w:pPr>
        <w:pStyle w:val="BodyText"/>
      </w:pPr>
    </w:p>
    <w:p>
      <w:pPr>
        <w:pStyle w:val="Heading2"/>
        <w:ind w:left="3744" w:right="4195"/>
      </w:pPr>
      <w:r>
        <w:rPr/>
        <w:t>Cuadro 4.4</w:t>
      </w:r>
    </w:p>
    <w:p>
      <w:pPr>
        <w:spacing w:before="139"/>
        <w:ind w:left="1539" w:right="0" w:firstLine="0"/>
        <w:jc w:val="left"/>
        <w:rPr>
          <w:b/>
          <w:sz w:val="24"/>
        </w:rPr>
      </w:pPr>
      <w:r>
        <w:rPr>
          <w:b/>
          <w:sz w:val="24"/>
        </w:rPr>
        <w:t>Monitoreo general cualitativo de menciones (IFE 2006)</w:t>
      </w:r>
    </w:p>
    <w:p>
      <w:pPr>
        <w:pStyle w:val="BodyText"/>
        <w:rPr>
          <w:b/>
          <w:sz w:val="20"/>
        </w:rPr>
      </w:pPr>
    </w:p>
    <w:p>
      <w:pPr>
        <w:pStyle w:val="BodyText"/>
        <w:spacing w:before="2"/>
        <w:rPr>
          <w:b/>
          <w:sz w:val="28"/>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44"/>
        <w:gridCol w:w="2245"/>
        <w:gridCol w:w="2244"/>
        <w:gridCol w:w="2247"/>
      </w:tblGrid>
      <w:tr>
        <w:trPr>
          <w:trHeight w:val="262" w:hRule="exact"/>
        </w:trPr>
        <w:tc>
          <w:tcPr>
            <w:tcW w:w="2244" w:type="dxa"/>
            <w:shd w:val="clear" w:color="auto" w:fill="D9D9D9"/>
          </w:tcPr>
          <w:p>
            <w:pPr>
              <w:pStyle w:val="TableParagraph"/>
              <w:spacing w:line="249" w:lineRule="exact"/>
              <w:ind w:left="858" w:right="858"/>
              <w:jc w:val="center"/>
              <w:rPr>
                <w:b/>
                <w:sz w:val="22"/>
              </w:rPr>
            </w:pPr>
            <w:r>
              <w:rPr>
                <w:b/>
                <w:sz w:val="22"/>
              </w:rPr>
              <w:t>MSV</w:t>
            </w:r>
          </w:p>
        </w:tc>
        <w:tc>
          <w:tcPr>
            <w:tcW w:w="2245" w:type="dxa"/>
            <w:shd w:val="clear" w:color="auto" w:fill="D9D9D9"/>
          </w:tcPr>
          <w:p>
            <w:pPr>
              <w:pStyle w:val="TableParagraph"/>
              <w:spacing w:line="249" w:lineRule="exact"/>
              <w:ind w:left="0"/>
              <w:jc w:val="center"/>
              <w:rPr>
                <w:b/>
                <w:sz w:val="22"/>
              </w:rPr>
            </w:pPr>
            <w:r>
              <w:rPr>
                <w:b/>
                <w:w w:val="100"/>
                <w:sz w:val="22"/>
              </w:rPr>
              <w:t>%</w:t>
            </w:r>
          </w:p>
        </w:tc>
        <w:tc>
          <w:tcPr>
            <w:tcW w:w="2244" w:type="dxa"/>
            <w:shd w:val="clear" w:color="auto" w:fill="D9D9D9"/>
          </w:tcPr>
          <w:p>
            <w:pPr>
              <w:pStyle w:val="TableParagraph"/>
              <w:spacing w:line="249" w:lineRule="exact"/>
              <w:ind w:left="779" w:right="779"/>
              <w:jc w:val="center"/>
              <w:rPr>
                <w:b/>
                <w:sz w:val="22"/>
              </w:rPr>
            </w:pPr>
            <w:r>
              <w:rPr>
                <w:b/>
                <w:sz w:val="22"/>
              </w:rPr>
              <w:t>MNSV</w:t>
            </w:r>
          </w:p>
        </w:tc>
        <w:tc>
          <w:tcPr>
            <w:tcW w:w="2247" w:type="dxa"/>
            <w:shd w:val="clear" w:color="auto" w:fill="D9D9D9"/>
          </w:tcPr>
          <w:p>
            <w:pPr>
              <w:pStyle w:val="TableParagraph"/>
              <w:spacing w:line="249" w:lineRule="exact"/>
              <w:ind w:left="0" w:right="3"/>
              <w:jc w:val="center"/>
              <w:rPr>
                <w:b/>
                <w:sz w:val="22"/>
              </w:rPr>
            </w:pPr>
            <w:r>
              <w:rPr>
                <w:b/>
                <w:w w:val="100"/>
                <w:sz w:val="22"/>
              </w:rPr>
              <w:t>%</w:t>
            </w:r>
          </w:p>
        </w:tc>
      </w:tr>
      <w:tr>
        <w:trPr>
          <w:trHeight w:val="391" w:hRule="exact"/>
        </w:trPr>
        <w:tc>
          <w:tcPr>
            <w:tcW w:w="2244" w:type="dxa"/>
          </w:tcPr>
          <w:p>
            <w:pPr>
              <w:pStyle w:val="TableParagraph"/>
              <w:rPr>
                <w:sz w:val="22"/>
              </w:rPr>
            </w:pPr>
            <w:r>
              <w:rPr>
                <w:sz w:val="22"/>
              </w:rPr>
              <w:t>197,140</w:t>
            </w:r>
          </w:p>
        </w:tc>
        <w:tc>
          <w:tcPr>
            <w:tcW w:w="2245" w:type="dxa"/>
          </w:tcPr>
          <w:p>
            <w:pPr>
              <w:pStyle w:val="TableParagraph"/>
              <w:rPr>
                <w:sz w:val="22"/>
              </w:rPr>
            </w:pPr>
            <w:r>
              <w:rPr>
                <w:sz w:val="22"/>
              </w:rPr>
              <w:t>92%</w:t>
            </w:r>
          </w:p>
        </w:tc>
        <w:tc>
          <w:tcPr>
            <w:tcW w:w="2244" w:type="dxa"/>
          </w:tcPr>
          <w:p>
            <w:pPr>
              <w:pStyle w:val="TableParagraph"/>
              <w:rPr>
                <w:sz w:val="22"/>
              </w:rPr>
            </w:pPr>
            <w:r>
              <w:rPr>
                <w:sz w:val="22"/>
              </w:rPr>
              <w:t>16,967</w:t>
            </w:r>
          </w:p>
        </w:tc>
        <w:tc>
          <w:tcPr>
            <w:tcW w:w="2247" w:type="dxa"/>
          </w:tcPr>
          <w:p>
            <w:pPr>
              <w:pStyle w:val="TableParagraph"/>
              <w:rPr>
                <w:sz w:val="22"/>
              </w:rPr>
            </w:pPr>
            <w:r>
              <w:rPr>
                <w:sz w:val="22"/>
              </w:rPr>
              <w:t>8%</w:t>
            </w:r>
          </w:p>
        </w:tc>
      </w:tr>
    </w:tbl>
    <w:p>
      <w:pPr>
        <w:spacing w:line="240" w:lineRule="auto" w:before="0"/>
        <w:ind w:left="222" w:right="157" w:firstLine="0"/>
        <w:jc w:val="both"/>
        <w:rPr>
          <w:sz w:val="22"/>
        </w:rPr>
      </w:pPr>
      <w:r>
        <w:rPr>
          <w:sz w:val="22"/>
        </w:rPr>
        <w:t>Nota: MSV= Menciones sujetas a valoración, MNSV= Menciones no sujetas a valoración. Fuente: elaboración propia tomando datos del Análisis General de los Resultados del Monitoreo de Noticias (CFRPAP, 2006c).</w:t>
      </w:r>
    </w:p>
    <w:p>
      <w:pPr>
        <w:pStyle w:val="BodyText"/>
        <w:spacing w:before="10"/>
        <w:rPr>
          <w:sz w:val="21"/>
        </w:rPr>
      </w:pPr>
    </w:p>
    <w:p>
      <w:pPr>
        <w:pStyle w:val="BodyText"/>
        <w:spacing w:line="360" w:lineRule="auto"/>
        <w:ind w:left="222" w:right="155" w:firstLine="707"/>
        <w:jc w:val="both"/>
      </w:pPr>
      <w:r>
        <w:rPr/>
        <w:t>De las 197,140 menciones sujetas a valoración 96% fueron neutras, 3%negativas y 1% positivas (ver cuadro 4.5) de acuerdo con ello los medios recibieron una alta evaluación (3.0) al mostrar un alto índice de neutralidad en sus notas.</w:t>
      </w:r>
    </w:p>
    <w:p>
      <w:pPr>
        <w:pStyle w:val="BodyText"/>
        <w:spacing w:before="2"/>
        <w:rPr>
          <w:sz w:val="22"/>
        </w:rPr>
      </w:pPr>
    </w:p>
    <w:p>
      <w:pPr>
        <w:pStyle w:val="Heading2"/>
        <w:spacing w:before="0"/>
        <w:ind w:left="3744" w:right="4195"/>
      </w:pPr>
      <w:r>
        <w:rPr/>
        <w:t>Cuadro 4.5</w:t>
      </w:r>
    </w:p>
    <w:p>
      <w:pPr>
        <w:spacing w:before="0"/>
        <w:ind w:left="1930" w:right="0" w:firstLine="0"/>
        <w:jc w:val="left"/>
        <w:rPr>
          <w:b/>
          <w:sz w:val="24"/>
        </w:rPr>
      </w:pPr>
      <w:r>
        <w:rPr>
          <w:b/>
          <w:sz w:val="24"/>
        </w:rPr>
        <w:t>Valoración general de las menciones (IFE 2006)</w:t>
      </w:r>
    </w:p>
    <w:p>
      <w:pPr>
        <w:pStyle w:val="BodyText"/>
        <w:rPr>
          <w:b/>
          <w:sz w:val="20"/>
        </w:rPr>
      </w:pPr>
    </w:p>
    <w:p>
      <w:pPr>
        <w:pStyle w:val="BodyText"/>
        <w:spacing w:before="6"/>
        <w:rPr>
          <w:b/>
          <w:sz w:val="13"/>
        </w:rPr>
      </w:pPr>
    </w:p>
    <w:tbl>
      <w:tblPr>
        <w:tblW w:w="0" w:type="auto"/>
        <w:jc w:val="left"/>
        <w:tblInd w:w="9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68"/>
        <w:gridCol w:w="2468"/>
        <w:gridCol w:w="2477"/>
      </w:tblGrid>
      <w:tr>
        <w:trPr>
          <w:trHeight w:val="262" w:hRule="exact"/>
        </w:trPr>
        <w:tc>
          <w:tcPr>
            <w:tcW w:w="2468" w:type="dxa"/>
            <w:shd w:val="clear" w:color="auto" w:fill="D9D9D9"/>
          </w:tcPr>
          <w:p>
            <w:pPr>
              <w:pStyle w:val="TableParagraph"/>
              <w:spacing w:line="248" w:lineRule="exact"/>
              <w:ind w:left="959"/>
              <w:rPr>
                <w:b/>
                <w:sz w:val="22"/>
              </w:rPr>
            </w:pPr>
            <w:r>
              <w:rPr>
                <w:b/>
                <w:sz w:val="22"/>
              </w:rPr>
              <w:t>%MN</w:t>
            </w:r>
          </w:p>
        </w:tc>
        <w:tc>
          <w:tcPr>
            <w:tcW w:w="2468" w:type="dxa"/>
            <w:shd w:val="clear" w:color="auto" w:fill="D9D9D9"/>
          </w:tcPr>
          <w:p>
            <w:pPr>
              <w:pStyle w:val="TableParagraph"/>
              <w:spacing w:line="248" w:lineRule="exact"/>
              <w:ind w:left="946" w:right="946"/>
              <w:jc w:val="center"/>
              <w:rPr>
                <w:b/>
                <w:sz w:val="22"/>
              </w:rPr>
            </w:pPr>
            <w:r>
              <w:rPr>
                <w:b/>
                <w:sz w:val="22"/>
              </w:rPr>
              <w:t>%MP</w:t>
            </w:r>
          </w:p>
        </w:tc>
        <w:tc>
          <w:tcPr>
            <w:tcW w:w="2477" w:type="dxa"/>
            <w:shd w:val="clear" w:color="auto" w:fill="D9D9D9"/>
          </w:tcPr>
          <w:p>
            <w:pPr>
              <w:pStyle w:val="TableParagraph"/>
              <w:spacing w:line="248" w:lineRule="exact"/>
              <w:ind w:left="817" w:right="815"/>
              <w:jc w:val="center"/>
              <w:rPr>
                <w:b/>
                <w:sz w:val="22"/>
              </w:rPr>
            </w:pPr>
            <w:r>
              <w:rPr>
                <w:b/>
                <w:sz w:val="22"/>
              </w:rPr>
              <w:t>%MNeg</w:t>
            </w:r>
          </w:p>
        </w:tc>
      </w:tr>
      <w:tr>
        <w:trPr>
          <w:trHeight w:val="264" w:hRule="exact"/>
        </w:trPr>
        <w:tc>
          <w:tcPr>
            <w:tcW w:w="2468" w:type="dxa"/>
          </w:tcPr>
          <w:p>
            <w:pPr>
              <w:pStyle w:val="TableParagraph"/>
              <w:ind w:left="1007"/>
              <w:rPr>
                <w:sz w:val="22"/>
              </w:rPr>
            </w:pPr>
            <w:r>
              <w:rPr>
                <w:sz w:val="22"/>
              </w:rPr>
              <w:t>96%</w:t>
            </w:r>
          </w:p>
        </w:tc>
        <w:tc>
          <w:tcPr>
            <w:tcW w:w="2468" w:type="dxa"/>
          </w:tcPr>
          <w:p>
            <w:pPr>
              <w:pStyle w:val="TableParagraph"/>
              <w:ind w:left="946" w:right="945"/>
              <w:jc w:val="center"/>
              <w:rPr>
                <w:sz w:val="22"/>
              </w:rPr>
            </w:pPr>
            <w:r>
              <w:rPr>
                <w:sz w:val="22"/>
              </w:rPr>
              <w:t>1%</w:t>
            </w:r>
          </w:p>
        </w:tc>
        <w:tc>
          <w:tcPr>
            <w:tcW w:w="2477" w:type="dxa"/>
          </w:tcPr>
          <w:p>
            <w:pPr>
              <w:pStyle w:val="TableParagraph"/>
              <w:ind w:left="815" w:right="815"/>
              <w:jc w:val="center"/>
              <w:rPr>
                <w:sz w:val="22"/>
              </w:rPr>
            </w:pPr>
            <w:r>
              <w:rPr>
                <w:sz w:val="22"/>
              </w:rPr>
              <w:t>3%</w:t>
            </w:r>
          </w:p>
        </w:tc>
      </w:tr>
    </w:tbl>
    <w:p>
      <w:pPr>
        <w:pStyle w:val="BodyText"/>
        <w:spacing w:before="10"/>
        <w:rPr>
          <w:b/>
          <w:sz w:val="31"/>
        </w:rPr>
      </w:pPr>
    </w:p>
    <w:p>
      <w:pPr>
        <w:spacing w:before="0"/>
        <w:ind w:left="222" w:right="154" w:firstLine="0"/>
        <w:jc w:val="both"/>
        <w:rPr>
          <w:sz w:val="22"/>
        </w:rPr>
      </w:pPr>
      <w:r>
        <w:rPr>
          <w:sz w:val="22"/>
        </w:rPr>
        <w:t>Nota: %MN= porcentaje de menciones neutras, %MP= porcentaje de menciones  positivas, %MNeg= porcentaje de menciones negativas. Fuente: elaboración propia tomando datos del Análisis General de los Resultados del Monitoreo de Noticias (CFRPAP,</w:t>
      </w:r>
      <w:r>
        <w:rPr>
          <w:spacing w:val="-3"/>
          <w:sz w:val="22"/>
        </w:rPr>
        <w:t> </w:t>
      </w:r>
      <w:r>
        <w:rPr>
          <w:sz w:val="22"/>
        </w:rPr>
        <w:t>2006c).</w:t>
      </w:r>
    </w:p>
    <w:p>
      <w:pPr>
        <w:pStyle w:val="BodyText"/>
        <w:spacing w:before="10"/>
        <w:rPr>
          <w:sz w:val="21"/>
        </w:rPr>
      </w:pPr>
    </w:p>
    <w:p>
      <w:pPr>
        <w:pStyle w:val="BodyText"/>
        <w:spacing w:line="360" w:lineRule="auto"/>
        <w:ind w:left="222" w:right="156" w:firstLine="707"/>
        <w:jc w:val="both"/>
      </w:pPr>
      <w:r>
        <w:rPr/>
        <w:t>Del total de menciones por partido político hubo algunas valoradas como positivas o negativas (ver cuadro 4.6): el 1% de las notas relativas a la CPBT fueron positivas y el 5% negativas, el 1% de las notas que hacían referencia a la APM fueron positivas y el 4% negativas, el 1% de las notas concernientes al PAN fueron positivas y el 3% negativas, el 1% de las notas inherentes al PASC fueron positivas y el 1% negativas, NA no tuvo menciones positivas sólo 2% de notas</w:t>
      </w:r>
    </w:p>
    <w:p>
      <w:pPr>
        <w:spacing w:after="0" w:line="360" w:lineRule="auto"/>
        <w:jc w:val="both"/>
        <w:sectPr>
          <w:pgSz w:w="12240" w:h="15840"/>
          <w:pgMar w:header="749" w:footer="1003" w:top="960" w:bottom="1200" w:left="1480" w:right="1540"/>
        </w:sectPr>
      </w:pPr>
    </w:p>
    <w:p>
      <w:pPr>
        <w:pStyle w:val="BodyText"/>
        <w:rPr>
          <w:sz w:val="20"/>
        </w:rPr>
      </w:pPr>
    </w:p>
    <w:p>
      <w:pPr>
        <w:pStyle w:val="BodyText"/>
        <w:spacing w:line="362" w:lineRule="auto" w:before="214"/>
        <w:ind w:left="102" w:right="120"/>
      </w:pPr>
      <w:r>
        <w:rPr/>
        <w:t>negativas, el rubro de varios aparece con 0% y el de PEF sólo tiene valoraciones negativas en el 1% de sus notas (CRIFE, 2006).</w:t>
      </w:r>
    </w:p>
    <w:p>
      <w:pPr>
        <w:pStyle w:val="BodyText"/>
      </w:pPr>
    </w:p>
    <w:p>
      <w:pPr>
        <w:pStyle w:val="Heading2"/>
        <w:spacing w:before="139"/>
        <w:ind w:right="23"/>
      </w:pPr>
      <w:r>
        <w:rPr/>
        <w:t>Cuadro 4.6</w:t>
      </w:r>
    </w:p>
    <w:p>
      <w:pPr>
        <w:spacing w:before="134"/>
        <w:ind w:left="2218" w:right="1533" w:firstLine="0"/>
        <w:jc w:val="center"/>
        <w:rPr>
          <w:b/>
          <w:sz w:val="24"/>
        </w:rPr>
      </w:pPr>
      <w:r>
        <w:rPr>
          <w:b/>
          <w:sz w:val="24"/>
        </w:rPr>
        <w:t>Valoración de menciones por partido político (IFE 2006)</w:t>
      </w:r>
    </w:p>
    <w:p>
      <w:pPr>
        <w:pStyle w:val="BodyText"/>
        <w:rPr>
          <w:b/>
          <w:sz w:val="20"/>
        </w:rPr>
      </w:pPr>
    </w:p>
    <w:p>
      <w:pPr>
        <w:pStyle w:val="BodyText"/>
        <w:spacing w:before="5"/>
        <w:rPr>
          <w:b/>
          <w:sz w:val="16"/>
        </w:rPr>
      </w:pPr>
    </w:p>
    <w:tbl>
      <w:tblPr>
        <w:tblW w:w="0" w:type="auto"/>
        <w:jc w:val="left"/>
        <w:tblInd w:w="18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41"/>
        <w:gridCol w:w="994"/>
        <w:gridCol w:w="850"/>
        <w:gridCol w:w="1136"/>
        <w:gridCol w:w="1133"/>
      </w:tblGrid>
      <w:tr>
        <w:trPr>
          <w:trHeight w:val="286" w:hRule="exact"/>
        </w:trPr>
        <w:tc>
          <w:tcPr>
            <w:tcW w:w="1241" w:type="dxa"/>
            <w:shd w:val="clear" w:color="auto" w:fill="D9D9D9"/>
          </w:tcPr>
          <w:p>
            <w:pPr>
              <w:pStyle w:val="TableParagraph"/>
              <w:spacing w:line="272" w:lineRule="exact"/>
              <w:ind w:left="201"/>
              <w:rPr>
                <w:b/>
                <w:sz w:val="24"/>
              </w:rPr>
            </w:pPr>
            <w:r>
              <w:rPr>
                <w:b/>
                <w:sz w:val="24"/>
              </w:rPr>
              <w:t>Partido</w:t>
            </w:r>
          </w:p>
        </w:tc>
        <w:tc>
          <w:tcPr>
            <w:tcW w:w="994" w:type="dxa"/>
            <w:shd w:val="clear" w:color="auto" w:fill="D9D9D9"/>
          </w:tcPr>
          <w:p>
            <w:pPr>
              <w:pStyle w:val="TableParagraph"/>
              <w:spacing w:line="272" w:lineRule="exact"/>
              <w:ind w:left="199" w:right="108"/>
              <w:rPr>
                <w:b/>
                <w:sz w:val="24"/>
              </w:rPr>
            </w:pPr>
            <w:r>
              <w:rPr>
                <w:b/>
                <w:sz w:val="24"/>
              </w:rPr>
              <w:t>%MN</w:t>
            </w:r>
          </w:p>
        </w:tc>
        <w:tc>
          <w:tcPr>
            <w:tcW w:w="850" w:type="dxa"/>
            <w:shd w:val="clear" w:color="auto" w:fill="D9D9D9"/>
          </w:tcPr>
          <w:p>
            <w:pPr>
              <w:pStyle w:val="TableParagraph"/>
              <w:spacing w:line="272" w:lineRule="exact"/>
              <w:ind w:left="131"/>
              <w:rPr>
                <w:b/>
                <w:sz w:val="24"/>
              </w:rPr>
            </w:pPr>
            <w:r>
              <w:rPr>
                <w:b/>
                <w:sz w:val="24"/>
              </w:rPr>
              <w:t>%MP</w:t>
            </w:r>
          </w:p>
        </w:tc>
        <w:tc>
          <w:tcPr>
            <w:tcW w:w="1136" w:type="dxa"/>
            <w:shd w:val="clear" w:color="auto" w:fill="D9D9D9"/>
          </w:tcPr>
          <w:p>
            <w:pPr>
              <w:pStyle w:val="TableParagraph"/>
              <w:spacing w:line="272" w:lineRule="exact"/>
              <w:ind w:left="127"/>
              <w:rPr>
                <w:b/>
                <w:sz w:val="24"/>
              </w:rPr>
            </w:pPr>
            <w:r>
              <w:rPr>
                <w:b/>
                <w:sz w:val="24"/>
              </w:rPr>
              <w:t>%MNeg</w:t>
            </w:r>
          </w:p>
        </w:tc>
        <w:tc>
          <w:tcPr>
            <w:tcW w:w="1133" w:type="dxa"/>
            <w:shd w:val="clear" w:color="auto" w:fill="D9D9D9"/>
          </w:tcPr>
          <w:p>
            <w:pPr>
              <w:pStyle w:val="TableParagraph"/>
              <w:spacing w:line="272" w:lineRule="exact"/>
              <w:ind w:left="167" w:right="101"/>
              <w:rPr>
                <w:b/>
                <w:sz w:val="24"/>
              </w:rPr>
            </w:pPr>
            <w:r>
              <w:rPr>
                <w:b/>
                <w:sz w:val="24"/>
              </w:rPr>
              <w:t>%Total</w:t>
            </w:r>
          </w:p>
        </w:tc>
      </w:tr>
      <w:tr>
        <w:trPr>
          <w:trHeight w:val="425" w:hRule="exact"/>
        </w:trPr>
        <w:tc>
          <w:tcPr>
            <w:tcW w:w="1241" w:type="dxa"/>
          </w:tcPr>
          <w:p>
            <w:pPr>
              <w:pStyle w:val="TableParagraph"/>
              <w:spacing w:line="274" w:lineRule="exact"/>
              <w:rPr>
                <w:sz w:val="24"/>
              </w:rPr>
            </w:pPr>
            <w:r>
              <w:rPr>
                <w:sz w:val="24"/>
              </w:rPr>
              <w:t>PAN</w:t>
            </w:r>
          </w:p>
        </w:tc>
        <w:tc>
          <w:tcPr>
            <w:tcW w:w="994" w:type="dxa"/>
          </w:tcPr>
          <w:p>
            <w:pPr>
              <w:pStyle w:val="TableParagraph"/>
              <w:spacing w:line="272" w:lineRule="exact"/>
              <w:ind w:right="108"/>
              <w:rPr>
                <w:sz w:val="24"/>
              </w:rPr>
            </w:pPr>
            <w:r>
              <w:rPr>
                <w:sz w:val="24"/>
              </w:rPr>
              <w:t>96%</w:t>
            </w:r>
          </w:p>
        </w:tc>
        <w:tc>
          <w:tcPr>
            <w:tcW w:w="850" w:type="dxa"/>
          </w:tcPr>
          <w:p>
            <w:pPr>
              <w:pStyle w:val="TableParagraph"/>
              <w:spacing w:line="272" w:lineRule="exact"/>
              <w:rPr>
                <w:sz w:val="24"/>
              </w:rPr>
            </w:pPr>
            <w:r>
              <w:rPr>
                <w:sz w:val="24"/>
              </w:rPr>
              <w:t>1%</w:t>
            </w:r>
          </w:p>
        </w:tc>
        <w:tc>
          <w:tcPr>
            <w:tcW w:w="1136" w:type="dxa"/>
          </w:tcPr>
          <w:p>
            <w:pPr>
              <w:pStyle w:val="TableParagraph"/>
              <w:spacing w:line="272" w:lineRule="exact"/>
              <w:rPr>
                <w:sz w:val="24"/>
              </w:rPr>
            </w:pPr>
            <w:r>
              <w:rPr>
                <w:sz w:val="24"/>
              </w:rPr>
              <w:t>3%</w:t>
            </w:r>
          </w:p>
        </w:tc>
        <w:tc>
          <w:tcPr>
            <w:tcW w:w="1133" w:type="dxa"/>
          </w:tcPr>
          <w:p>
            <w:pPr>
              <w:pStyle w:val="TableParagraph"/>
              <w:spacing w:line="272" w:lineRule="exact"/>
              <w:ind w:right="101"/>
              <w:rPr>
                <w:sz w:val="24"/>
              </w:rPr>
            </w:pPr>
            <w:r>
              <w:rPr>
                <w:sz w:val="24"/>
              </w:rPr>
              <w:t>100%</w:t>
            </w:r>
          </w:p>
        </w:tc>
      </w:tr>
      <w:tr>
        <w:trPr>
          <w:trHeight w:val="422" w:hRule="exact"/>
        </w:trPr>
        <w:tc>
          <w:tcPr>
            <w:tcW w:w="1241" w:type="dxa"/>
          </w:tcPr>
          <w:p>
            <w:pPr>
              <w:pStyle w:val="TableParagraph"/>
              <w:spacing w:line="274" w:lineRule="exact"/>
              <w:rPr>
                <w:sz w:val="24"/>
              </w:rPr>
            </w:pPr>
            <w:r>
              <w:rPr>
                <w:sz w:val="24"/>
              </w:rPr>
              <w:t>APM</w:t>
            </w:r>
          </w:p>
        </w:tc>
        <w:tc>
          <w:tcPr>
            <w:tcW w:w="994" w:type="dxa"/>
          </w:tcPr>
          <w:p>
            <w:pPr>
              <w:pStyle w:val="TableParagraph"/>
              <w:spacing w:line="272" w:lineRule="exact"/>
              <w:ind w:right="108"/>
              <w:rPr>
                <w:sz w:val="24"/>
              </w:rPr>
            </w:pPr>
            <w:r>
              <w:rPr>
                <w:sz w:val="24"/>
              </w:rPr>
              <w:t>95%</w:t>
            </w:r>
          </w:p>
        </w:tc>
        <w:tc>
          <w:tcPr>
            <w:tcW w:w="850" w:type="dxa"/>
          </w:tcPr>
          <w:p>
            <w:pPr>
              <w:pStyle w:val="TableParagraph"/>
              <w:spacing w:line="272" w:lineRule="exact"/>
              <w:rPr>
                <w:sz w:val="24"/>
              </w:rPr>
            </w:pPr>
            <w:r>
              <w:rPr>
                <w:sz w:val="24"/>
              </w:rPr>
              <w:t>1%</w:t>
            </w:r>
          </w:p>
        </w:tc>
        <w:tc>
          <w:tcPr>
            <w:tcW w:w="1136" w:type="dxa"/>
          </w:tcPr>
          <w:p>
            <w:pPr>
              <w:pStyle w:val="TableParagraph"/>
              <w:spacing w:line="272" w:lineRule="exact"/>
              <w:rPr>
                <w:sz w:val="24"/>
              </w:rPr>
            </w:pPr>
            <w:r>
              <w:rPr>
                <w:sz w:val="24"/>
              </w:rPr>
              <w:t>4%</w:t>
            </w:r>
          </w:p>
        </w:tc>
        <w:tc>
          <w:tcPr>
            <w:tcW w:w="1133" w:type="dxa"/>
          </w:tcPr>
          <w:p>
            <w:pPr>
              <w:pStyle w:val="TableParagraph"/>
              <w:spacing w:line="272" w:lineRule="exact"/>
              <w:ind w:right="101"/>
              <w:rPr>
                <w:sz w:val="24"/>
              </w:rPr>
            </w:pPr>
            <w:r>
              <w:rPr>
                <w:sz w:val="24"/>
              </w:rPr>
              <w:t>100%</w:t>
            </w:r>
          </w:p>
        </w:tc>
      </w:tr>
      <w:tr>
        <w:trPr>
          <w:trHeight w:val="425" w:hRule="exact"/>
        </w:trPr>
        <w:tc>
          <w:tcPr>
            <w:tcW w:w="1241" w:type="dxa"/>
          </w:tcPr>
          <w:p>
            <w:pPr>
              <w:pStyle w:val="TableParagraph"/>
              <w:spacing w:line="275" w:lineRule="exact"/>
              <w:rPr>
                <w:sz w:val="24"/>
              </w:rPr>
            </w:pPr>
            <w:r>
              <w:rPr>
                <w:sz w:val="24"/>
              </w:rPr>
              <w:t>CPBT</w:t>
            </w:r>
          </w:p>
        </w:tc>
        <w:tc>
          <w:tcPr>
            <w:tcW w:w="994" w:type="dxa"/>
          </w:tcPr>
          <w:p>
            <w:pPr>
              <w:pStyle w:val="TableParagraph"/>
              <w:spacing w:line="272" w:lineRule="exact"/>
              <w:ind w:right="108"/>
              <w:rPr>
                <w:sz w:val="24"/>
              </w:rPr>
            </w:pPr>
            <w:r>
              <w:rPr>
                <w:sz w:val="24"/>
              </w:rPr>
              <w:t>94%</w:t>
            </w:r>
          </w:p>
        </w:tc>
        <w:tc>
          <w:tcPr>
            <w:tcW w:w="850" w:type="dxa"/>
          </w:tcPr>
          <w:p>
            <w:pPr>
              <w:pStyle w:val="TableParagraph"/>
              <w:spacing w:line="272" w:lineRule="exact"/>
              <w:rPr>
                <w:sz w:val="24"/>
              </w:rPr>
            </w:pPr>
            <w:r>
              <w:rPr>
                <w:sz w:val="24"/>
              </w:rPr>
              <w:t>1%</w:t>
            </w:r>
          </w:p>
        </w:tc>
        <w:tc>
          <w:tcPr>
            <w:tcW w:w="1136" w:type="dxa"/>
          </w:tcPr>
          <w:p>
            <w:pPr>
              <w:pStyle w:val="TableParagraph"/>
              <w:spacing w:line="272" w:lineRule="exact"/>
              <w:rPr>
                <w:sz w:val="24"/>
              </w:rPr>
            </w:pPr>
            <w:r>
              <w:rPr>
                <w:sz w:val="24"/>
              </w:rPr>
              <w:t>5%</w:t>
            </w:r>
          </w:p>
        </w:tc>
        <w:tc>
          <w:tcPr>
            <w:tcW w:w="1133" w:type="dxa"/>
          </w:tcPr>
          <w:p>
            <w:pPr>
              <w:pStyle w:val="TableParagraph"/>
              <w:spacing w:line="272" w:lineRule="exact"/>
              <w:ind w:right="101"/>
              <w:rPr>
                <w:sz w:val="24"/>
              </w:rPr>
            </w:pPr>
            <w:r>
              <w:rPr>
                <w:sz w:val="24"/>
              </w:rPr>
              <w:t>100%</w:t>
            </w:r>
          </w:p>
        </w:tc>
      </w:tr>
      <w:tr>
        <w:trPr>
          <w:trHeight w:val="425" w:hRule="exact"/>
        </w:trPr>
        <w:tc>
          <w:tcPr>
            <w:tcW w:w="1241" w:type="dxa"/>
          </w:tcPr>
          <w:p>
            <w:pPr>
              <w:pStyle w:val="TableParagraph"/>
              <w:spacing w:line="274" w:lineRule="exact"/>
              <w:rPr>
                <w:sz w:val="24"/>
              </w:rPr>
            </w:pPr>
            <w:r>
              <w:rPr>
                <w:sz w:val="24"/>
              </w:rPr>
              <w:t>PASC</w:t>
            </w:r>
          </w:p>
        </w:tc>
        <w:tc>
          <w:tcPr>
            <w:tcW w:w="994" w:type="dxa"/>
          </w:tcPr>
          <w:p>
            <w:pPr>
              <w:pStyle w:val="TableParagraph"/>
              <w:spacing w:line="272" w:lineRule="exact"/>
              <w:ind w:right="108"/>
              <w:rPr>
                <w:sz w:val="24"/>
              </w:rPr>
            </w:pPr>
            <w:r>
              <w:rPr>
                <w:sz w:val="24"/>
              </w:rPr>
              <w:t>98%</w:t>
            </w:r>
          </w:p>
        </w:tc>
        <w:tc>
          <w:tcPr>
            <w:tcW w:w="850" w:type="dxa"/>
          </w:tcPr>
          <w:p>
            <w:pPr>
              <w:pStyle w:val="TableParagraph"/>
              <w:spacing w:line="272" w:lineRule="exact"/>
              <w:rPr>
                <w:sz w:val="24"/>
              </w:rPr>
            </w:pPr>
            <w:r>
              <w:rPr>
                <w:sz w:val="24"/>
              </w:rPr>
              <w:t>1%</w:t>
            </w:r>
          </w:p>
        </w:tc>
        <w:tc>
          <w:tcPr>
            <w:tcW w:w="1136" w:type="dxa"/>
          </w:tcPr>
          <w:p>
            <w:pPr>
              <w:pStyle w:val="TableParagraph"/>
              <w:spacing w:line="272" w:lineRule="exact"/>
              <w:rPr>
                <w:sz w:val="24"/>
              </w:rPr>
            </w:pPr>
            <w:r>
              <w:rPr>
                <w:sz w:val="24"/>
              </w:rPr>
              <w:t>1%</w:t>
            </w:r>
          </w:p>
        </w:tc>
        <w:tc>
          <w:tcPr>
            <w:tcW w:w="1133" w:type="dxa"/>
          </w:tcPr>
          <w:p>
            <w:pPr>
              <w:pStyle w:val="TableParagraph"/>
              <w:spacing w:line="272" w:lineRule="exact"/>
              <w:ind w:right="101"/>
              <w:rPr>
                <w:sz w:val="24"/>
              </w:rPr>
            </w:pPr>
            <w:r>
              <w:rPr>
                <w:sz w:val="24"/>
              </w:rPr>
              <w:t>100%</w:t>
            </w:r>
          </w:p>
        </w:tc>
      </w:tr>
      <w:tr>
        <w:trPr>
          <w:trHeight w:val="422" w:hRule="exact"/>
        </w:trPr>
        <w:tc>
          <w:tcPr>
            <w:tcW w:w="1241" w:type="dxa"/>
          </w:tcPr>
          <w:p>
            <w:pPr>
              <w:pStyle w:val="TableParagraph"/>
              <w:spacing w:line="274" w:lineRule="exact"/>
              <w:rPr>
                <w:sz w:val="24"/>
              </w:rPr>
            </w:pPr>
            <w:r>
              <w:rPr>
                <w:sz w:val="24"/>
              </w:rPr>
              <w:t>PNA</w:t>
            </w:r>
          </w:p>
        </w:tc>
        <w:tc>
          <w:tcPr>
            <w:tcW w:w="994" w:type="dxa"/>
          </w:tcPr>
          <w:p>
            <w:pPr>
              <w:pStyle w:val="TableParagraph"/>
              <w:spacing w:line="272" w:lineRule="exact"/>
              <w:ind w:right="108"/>
              <w:rPr>
                <w:sz w:val="24"/>
              </w:rPr>
            </w:pPr>
            <w:r>
              <w:rPr>
                <w:sz w:val="24"/>
              </w:rPr>
              <w:t>98%</w:t>
            </w:r>
          </w:p>
        </w:tc>
        <w:tc>
          <w:tcPr>
            <w:tcW w:w="850" w:type="dxa"/>
          </w:tcPr>
          <w:p>
            <w:pPr>
              <w:pStyle w:val="TableParagraph"/>
              <w:spacing w:line="272" w:lineRule="exact"/>
              <w:rPr>
                <w:sz w:val="24"/>
              </w:rPr>
            </w:pPr>
            <w:r>
              <w:rPr>
                <w:sz w:val="24"/>
              </w:rPr>
              <w:t>0%</w:t>
            </w:r>
          </w:p>
        </w:tc>
        <w:tc>
          <w:tcPr>
            <w:tcW w:w="1136" w:type="dxa"/>
          </w:tcPr>
          <w:p>
            <w:pPr>
              <w:pStyle w:val="TableParagraph"/>
              <w:spacing w:line="272" w:lineRule="exact"/>
              <w:rPr>
                <w:sz w:val="24"/>
              </w:rPr>
            </w:pPr>
            <w:r>
              <w:rPr>
                <w:sz w:val="24"/>
              </w:rPr>
              <w:t>2%</w:t>
            </w:r>
          </w:p>
        </w:tc>
        <w:tc>
          <w:tcPr>
            <w:tcW w:w="1133" w:type="dxa"/>
          </w:tcPr>
          <w:p>
            <w:pPr>
              <w:pStyle w:val="TableParagraph"/>
              <w:spacing w:line="272" w:lineRule="exact"/>
              <w:ind w:right="101"/>
              <w:rPr>
                <w:sz w:val="24"/>
              </w:rPr>
            </w:pPr>
            <w:r>
              <w:rPr>
                <w:sz w:val="24"/>
              </w:rPr>
              <w:t>100%</w:t>
            </w:r>
          </w:p>
        </w:tc>
      </w:tr>
      <w:tr>
        <w:trPr>
          <w:trHeight w:val="425" w:hRule="exact"/>
        </w:trPr>
        <w:tc>
          <w:tcPr>
            <w:tcW w:w="1241" w:type="dxa"/>
          </w:tcPr>
          <w:p>
            <w:pPr>
              <w:pStyle w:val="TableParagraph"/>
              <w:spacing w:line="274" w:lineRule="exact"/>
              <w:rPr>
                <w:sz w:val="24"/>
              </w:rPr>
            </w:pPr>
            <w:r>
              <w:rPr>
                <w:sz w:val="24"/>
              </w:rPr>
              <w:t>Varios</w:t>
            </w:r>
          </w:p>
        </w:tc>
        <w:tc>
          <w:tcPr>
            <w:tcW w:w="994" w:type="dxa"/>
          </w:tcPr>
          <w:p>
            <w:pPr>
              <w:pStyle w:val="TableParagraph"/>
              <w:spacing w:line="272" w:lineRule="exact"/>
              <w:ind w:right="108"/>
              <w:rPr>
                <w:sz w:val="24"/>
              </w:rPr>
            </w:pPr>
            <w:r>
              <w:rPr>
                <w:sz w:val="24"/>
              </w:rPr>
              <w:t>100%</w:t>
            </w:r>
          </w:p>
        </w:tc>
        <w:tc>
          <w:tcPr>
            <w:tcW w:w="850" w:type="dxa"/>
          </w:tcPr>
          <w:p>
            <w:pPr>
              <w:pStyle w:val="TableParagraph"/>
              <w:spacing w:line="272" w:lineRule="exact"/>
              <w:rPr>
                <w:sz w:val="24"/>
              </w:rPr>
            </w:pPr>
            <w:r>
              <w:rPr>
                <w:sz w:val="24"/>
              </w:rPr>
              <w:t>0%</w:t>
            </w:r>
          </w:p>
        </w:tc>
        <w:tc>
          <w:tcPr>
            <w:tcW w:w="1136" w:type="dxa"/>
          </w:tcPr>
          <w:p>
            <w:pPr>
              <w:pStyle w:val="TableParagraph"/>
              <w:spacing w:line="272" w:lineRule="exact"/>
              <w:rPr>
                <w:sz w:val="24"/>
              </w:rPr>
            </w:pPr>
            <w:r>
              <w:rPr>
                <w:sz w:val="24"/>
              </w:rPr>
              <w:t>0%</w:t>
            </w:r>
          </w:p>
        </w:tc>
        <w:tc>
          <w:tcPr>
            <w:tcW w:w="1133" w:type="dxa"/>
          </w:tcPr>
          <w:p>
            <w:pPr>
              <w:pStyle w:val="TableParagraph"/>
              <w:spacing w:line="272" w:lineRule="exact"/>
              <w:ind w:right="101"/>
              <w:rPr>
                <w:sz w:val="24"/>
              </w:rPr>
            </w:pPr>
            <w:r>
              <w:rPr>
                <w:sz w:val="24"/>
              </w:rPr>
              <w:t>100%</w:t>
            </w:r>
          </w:p>
        </w:tc>
      </w:tr>
      <w:tr>
        <w:trPr>
          <w:trHeight w:val="425" w:hRule="exact"/>
        </w:trPr>
        <w:tc>
          <w:tcPr>
            <w:tcW w:w="1241" w:type="dxa"/>
          </w:tcPr>
          <w:p>
            <w:pPr>
              <w:pStyle w:val="TableParagraph"/>
              <w:spacing w:line="274" w:lineRule="exact"/>
              <w:rPr>
                <w:sz w:val="24"/>
              </w:rPr>
            </w:pPr>
            <w:r>
              <w:rPr>
                <w:sz w:val="24"/>
              </w:rPr>
              <w:t>PEF</w:t>
            </w:r>
          </w:p>
        </w:tc>
        <w:tc>
          <w:tcPr>
            <w:tcW w:w="994" w:type="dxa"/>
          </w:tcPr>
          <w:p>
            <w:pPr>
              <w:pStyle w:val="TableParagraph"/>
              <w:spacing w:line="272" w:lineRule="exact"/>
              <w:ind w:right="108"/>
              <w:rPr>
                <w:sz w:val="24"/>
              </w:rPr>
            </w:pPr>
            <w:r>
              <w:rPr>
                <w:sz w:val="24"/>
              </w:rPr>
              <w:t>99%</w:t>
            </w:r>
          </w:p>
        </w:tc>
        <w:tc>
          <w:tcPr>
            <w:tcW w:w="850" w:type="dxa"/>
          </w:tcPr>
          <w:p>
            <w:pPr>
              <w:pStyle w:val="TableParagraph"/>
              <w:spacing w:line="272" w:lineRule="exact"/>
              <w:rPr>
                <w:sz w:val="24"/>
              </w:rPr>
            </w:pPr>
            <w:r>
              <w:rPr>
                <w:sz w:val="24"/>
              </w:rPr>
              <w:t>0%</w:t>
            </w:r>
          </w:p>
        </w:tc>
        <w:tc>
          <w:tcPr>
            <w:tcW w:w="1136" w:type="dxa"/>
          </w:tcPr>
          <w:p>
            <w:pPr>
              <w:pStyle w:val="TableParagraph"/>
              <w:spacing w:line="272" w:lineRule="exact"/>
              <w:rPr>
                <w:sz w:val="24"/>
              </w:rPr>
            </w:pPr>
            <w:r>
              <w:rPr>
                <w:sz w:val="24"/>
              </w:rPr>
              <w:t>1%</w:t>
            </w:r>
          </w:p>
        </w:tc>
        <w:tc>
          <w:tcPr>
            <w:tcW w:w="1133" w:type="dxa"/>
          </w:tcPr>
          <w:p>
            <w:pPr>
              <w:pStyle w:val="TableParagraph"/>
              <w:spacing w:line="272" w:lineRule="exact"/>
              <w:ind w:right="101"/>
              <w:rPr>
                <w:sz w:val="24"/>
              </w:rPr>
            </w:pPr>
            <w:r>
              <w:rPr>
                <w:sz w:val="24"/>
              </w:rPr>
              <w:t>100%</w:t>
            </w:r>
          </w:p>
        </w:tc>
      </w:tr>
    </w:tbl>
    <w:p>
      <w:pPr>
        <w:spacing w:line="240" w:lineRule="auto" w:before="0"/>
        <w:ind w:left="102" w:right="116" w:firstLine="0"/>
        <w:jc w:val="both"/>
        <w:rPr>
          <w:sz w:val="22"/>
        </w:rPr>
      </w:pPr>
      <w:r>
        <w:rPr>
          <w:sz w:val="22"/>
        </w:rPr>
        <w:t>Nota: %MN= porcentaje de menciones neutras (se deduce de restar al 100% las MP y las MNeg), %MP= porcentaje de menciones positivas, %MNeg= porcentaje de menciones negativas, PEF= Proceso Electoral Federal, Varios= dos o más partidos de los citados. Fuente: elaboración propia tomando datos del Análisis General de los Resultados del Monitoreo de Noticias (CFRPAP, 2006c).</w:t>
      </w:r>
    </w:p>
    <w:p>
      <w:pPr>
        <w:pStyle w:val="BodyText"/>
        <w:rPr>
          <w:sz w:val="22"/>
        </w:rPr>
      </w:pPr>
    </w:p>
    <w:p>
      <w:pPr>
        <w:pStyle w:val="BodyText"/>
        <w:spacing w:line="360" w:lineRule="auto" w:before="162"/>
        <w:ind w:left="102" w:right="115" w:firstLine="707"/>
        <w:jc w:val="both"/>
      </w:pPr>
      <w:r>
        <w:rPr/>
        <w:t>De los datos anteriores se desprende que los tres partidos o coaliciones mayoritarios obtuvieron el mismo porcentaje de notas positivas (1%);y por lo que respecta a las notas negativas se observa que la CPBT fue la que tuvo el porcentaje mayor de menciones negativas (5%), seguida de APM (4%) y el PAN (3%) con sólo un punto porcentual de diferencia entre cada uno de ellos, por lo  que se concluye que la cobertura de la campaña electoral por parte de los medios de comunicación fue altamente neutral (3.0) al no mostrar un alto porcentaje de diferencia entre un partido y</w:t>
      </w:r>
      <w:r>
        <w:rPr>
          <w:spacing w:val="-6"/>
        </w:rPr>
        <w:t> </w:t>
      </w:r>
      <w:r>
        <w:rPr/>
        <w:t>otro.</w:t>
      </w:r>
    </w:p>
    <w:p>
      <w:pPr>
        <w:pStyle w:val="BodyText"/>
        <w:spacing w:line="360" w:lineRule="auto" w:before="3"/>
        <w:ind w:left="102" w:right="126" w:firstLine="707"/>
        <w:jc w:val="both"/>
      </w:pPr>
      <w:r>
        <w:rPr/>
        <w:t>Estos datos corroboran el alto nivel de equidad de la contienda electoral en cuanto al acceso de los partidos a los medios de comunicación así como a la neutralidad mostrada por los medios con respecto a la cobertura de la campaña.</w:t>
      </w:r>
    </w:p>
    <w:p>
      <w:pPr>
        <w:spacing w:after="0" w:line="360" w:lineRule="auto"/>
        <w:jc w:val="both"/>
        <w:sectPr>
          <w:pgSz w:w="12240" w:h="15840"/>
          <w:pgMar w:header="749" w:footer="1003" w:top="960" w:bottom="1200" w:left="1600" w:right="1580"/>
        </w:sectPr>
      </w:pPr>
    </w:p>
    <w:p>
      <w:pPr>
        <w:pStyle w:val="BodyText"/>
        <w:rPr>
          <w:sz w:val="20"/>
        </w:rPr>
      </w:pPr>
    </w:p>
    <w:p>
      <w:pPr>
        <w:pStyle w:val="Heading2"/>
        <w:tabs>
          <w:tab w:pos="1517" w:val="left" w:leader="none"/>
        </w:tabs>
        <w:spacing w:before="214"/>
        <w:ind w:left="810" w:right="120"/>
        <w:jc w:val="left"/>
      </w:pPr>
      <w:r>
        <w:rPr/>
        <w:t>3.</w:t>
        <w:tab/>
        <w:t>Monitoreo cuantitativo de espacios noticiosos</w:t>
      </w:r>
      <w:r>
        <w:rPr>
          <w:spacing w:val="-11"/>
        </w:rPr>
        <w:t> </w:t>
      </w:r>
      <w:r>
        <w:rPr/>
        <w:t>IEEM</w:t>
      </w:r>
    </w:p>
    <w:p>
      <w:pPr>
        <w:pStyle w:val="BodyText"/>
        <w:spacing w:before="5"/>
        <w:rPr>
          <w:b/>
          <w:sz w:val="29"/>
        </w:rPr>
      </w:pPr>
    </w:p>
    <w:p>
      <w:pPr>
        <w:pStyle w:val="BodyText"/>
        <w:spacing w:line="360" w:lineRule="auto"/>
        <w:ind w:left="102" w:right="114"/>
        <w:jc w:val="both"/>
      </w:pPr>
      <w:r>
        <w:rPr/>
        <w:t>La Comisión de Radiodifusión y Propaganda del IEEM a través de la empresa Monitoreo y Auditoría de Medios S.A. de C.V. realizó el monitoreo de  comunicación de medios electrónicos e impresos para el proceso electoral de diputados y miembros de los ayuntamientos 2005-2006 (CGIEEM, 2005b). El monitoreo se realizó del 28 de diciembre de 2005 al 12 de marzo de 2006. Se monitorearon tanto medios locales como nacionales en un horario de 5:00 a 24:00 horas los siete días de la semana. Se contabilizó la cantidad de spots pagados y transmitidos por radio, televisión, internet o inserciones en medios impresos, y también se realizó una estimación de la inversión tomando en cuenta las tarifas publicadas por el IFE y no las negociadas por cada partido político o coalición (INFOEM,</w:t>
      </w:r>
      <w:r>
        <w:rPr>
          <w:spacing w:val="-4"/>
        </w:rPr>
        <w:t> </w:t>
      </w:r>
      <w:r>
        <w:rPr/>
        <w:t>2013).</w:t>
      </w:r>
    </w:p>
    <w:p>
      <w:pPr>
        <w:pStyle w:val="BodyText"/>
        <w:spacing w:line="360" w:lineRule="auto" w:before="5"/>
        <w:ind w:left="102" w:right="114" w:firstLine="707"/>
        <w:jc w:val="both"/>
      </w:pPr>
      <w:r>
        <w:rPr/>
        <w:t>El número de notas periodísticas que se encontraron en el periodo monitoreado fue de 5, 106 de las cuales 2, 613, más del 50%, fueron para la coalición PRI-PVEM (51.19%); y sólo el 19.11%, 976 notas, fueron para el PAN  así como 7.81%, 400 notas, para el PRD (ver cuadro 4.7). Lo que indica que el número de notas presentes en los espacios noticiosos por partido político fue inequitativo, ya que hubo un claro sesgo de mayor promoción a la coalición PRI- PVEM. En congruencia con lo anterior los medios de comunicación recibieron </w:t>
      </w:r>
      <w:r>
        <w:rPr>
          <w:spacing w:val="-2"/>
        </w:rPr>
        <w:t>una </w:t>
      </w:r>
      <w:r>
        <w:rPr/>
        <w:t>baja evaluación (1.0) (ver cuadro</w:t>
      </w:r>
      <w:r>
        <w:rPr>
          <w:spacing w:val="-10"/>
        </w:rPr>
        <w:t> </w:t>
      </w:r>
      <w:r>
        <w:rPr/>
        <w:t>4.7).</w:t>
      </w:r>
    </w:p>
    <w:p>
      <w:pPr>
        <w:spacing w:after="0" w:line="360" w:lineRule="auto"/>
        <w:jc w:val="both"/>
        <w:sectPr>
          <w:pgSz w:w="12240" w:h="15840"/>
          <w:pgMar w:header="749" w:footer="1003" w:top="960" w:bottom="1200" w:left="1600" w:right="1580"/>
        </w:sectPr>
      </w:pPr>
    </w:p>
    <w:p>
      <w:pPr>
        <w:pStyle w:val="BodyText"/>
        <w:rPr>
          <w:sz w:val="20"/>
        </w:rPr>
      </w:pPr>
    </w:p>
    <w:p>
      <w:pPr>
        <w:pStyle w:val="BodyText"/>
        <w:rPr>
          <w:sz w:val="20"/>
        </w:rPr>
      </w:pPr>
    </w:p>
    <w:p>
      <w:pPr>
        <w:pStyle w:val="BodyText"/>
        <w:rPr>
          <w:sz w:val="20"/>
        </w:rPr>
      </w:pPr>
    </w:p>
    <w:p>
      <w:pPr>
        <w:pStyle w:val="BodyText"/>
        <w:spacing w:before="1"/>
        <w:rPr>
          <w:sz w:val="26"/>
        </w:rPr>
      </w:pPr>
    </w:p>
    <w:p>
      <w:pPr>
        <w:pStyle w:val="Heading2"/>
        <w:spacing w:before="69"/>
        <w:ind w:right="731"/>
      </w:pPr>
      <w:r>
        <w:rPr/>
        <w:t>Cuadro 4.7</w:t>
      </w:r>
    </w:p>
    <w:p>
      <w:pPr>
        <w:pStyle w:val="BodyText"/>
        <w:spacing w:before="2"/>
        <w:rPr>
          <w:b/>
          <w:sz w:val="29"/>
        </w:rPr>
      </w:pPr>
    </w:p>
    <w:p>
      <w:pPr>
        <w:spacing w:before="0"/>
        <w:ind w:left="2217" w:right="2233" w:firstLine="0"/>
        <w:jc w:val="center"/>
        <w:rPr>
          <w:b/>
          <w:sz w:val="24"/>
        </w:rPr>
      </w:pPr>
      <w:r>
        <w:rPr>
          <w:b/>
          <w:sz w:val="24"/>
        </w:rPr>
        <w:t>Monitoreo cuantitativo de espacios noticiosos (IEEM 2006)</w:t>
      </w:r>
    </w:p>
    <w:p>
      <w:pPr>
        <w:pStyle w:val="BodyText"/>
        <w:spacing w:before="4"/>
        <w:rPr>
          <w:b/>
        </w:rPr>
      </w:pPr>
    </w:p>
    <w:tbl>
      <w:tblPr>
        <w:tblW w:w="0" w:type="auto"/>
        <w:jc w:val="left"/>
        <w:tblInd w:w="23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10"/>
        <w:gridCol w:w="2000"/>
        <w:gridCol w:w="1418"/>
      </w:tblGrid>
      <w:tr>
        <w:trPr>
          <w:trHeight w:val="264" w:hRule="exact"/>
        </w:trPr>
        <w:tc>
          <w:tcPr>
            <w:tcW w:w="1510" w:type="dxa"/>
            <w:shd w:val="clear" w:color="auto" w:fill="D9D9D9"/>
          </w:tcPr>
          <w:p>
            <w:pPr>
              <w:pStyle w:val="TableParagraph"/>
              <w:spacing w:line="248" w:lineRule="exact"/>
              <w:ind w:left="100"/>
              <w:rPr>
                <w:b/>
                <w:sz w:val="22"/>
              </w:rPr>
            </w:pPr>
            <w:r>
              <w:rPr>
                <w:b/>
                <w:sz w:val="22"/>
              </w:rPr>
              <w:t>Partido</w:t>
            </w:r>
          </w:p>
        </w:tc>
        <w:tc>
          <w:tcPr>
            <w:tcW w:w="2000" w:type="dxa"/>
            <w:shd w:val="clear" w:color="auto" w:fill="D9D9D9"/>
          </w:tcPr>
          <w:p>
            <w:pPr>
              <w:pStyle w:val="TableParagraph"/>
              <w:spacing w:line="248" w:lineRule="exact"/>
              <w:rPr>
                <w:b/>
                <w:sz w:val="22"/>
              </w:rPr>
            </w:pPr>
            <w:r>
              <w:rPr>
                <w:b/>
                <w:sz w:val="22"/>
              </w:rPr>
              <w:t>No. de notas</w:t>
            </w:r>
          </w:p>
        </w:tc>
        <w:tc>
          <w:tcPr>
            <w:tcW w:w="1418" w:type="dxa"/>
            <w:shd w:val="clear" w:color="auto" w:fill="D9D9D9"/>
          </w:tcPr>
          <w:p>
            <w:pPr>
              <w:pStyle w:val="TableParagraph"/>
              <w:spacing w:line="248" w:lineRule="exact"/>
              <w:rPr>
                <w:b/>
                <w:sz w:val="22"/>
              </w:rPr>
            </w:pPr>
            <w:r>
              <w:rPr>
                <w:b/>
                <w:w w:val="100"/>
                <w:sz w:val="22"/>
              </w:rPr>
              <w:t>%</w:t>
            </w:r>
          </w:p>
        </w:tc>
      </w:tr>
      <w:tr>
        <w:trPr>
          <w:trHeight w:val="516" w:hRule="exact"/>
        </w:trPr>
        <w:tc>
          <w:tcPr>
            <w:tcW w:w="1510" w:type="dxa"/>
          </w:tcPr>
          <w:p>
            <w:pPr>
              <w:pStyle w:val="TableParagraph"/>
              <w:spacing w:line="251" w:lineRule="exact"/>
              <w:ind w:left="100"/>
              <w:rPr>
                <w:sz w:val="22"/>
              </w:rPr>
            </w:pPr>
            <w:r>
              <w:rPr>
                <w:sz w:val="22"/>
              </w:rPr>
              <w:t>PRI-PVEM</w:t>
            </w:r>
          </w:p>
        </w:tc>
        <w:tc>
          <w:tcPr>
            <w:tcW w:w="2000" w:type="dxa"/>
          </w:tcPr>
          <w:p>
            <w:pPr>
              <w:pStyle w:val="TableParagraph"/>
              <w:spacing w:line="249" w:lineRule="exact"/>
              <w:ind w:left="0" w:right="101"/>
              <w:jc w:val="right"/>
              <w:rPr>
                <w:sz w:val="22"/>
              </w:rPr>
            </w:pPr>
            <w:r>
              <w:rPr>
                <w:sz w:val="22"/>
              </w:rPr>
              <w:t>2,614</w:t>
            </w:r>
          </w:p>
          <w:p>
            <w:pPr>
              <w:pStyle w:val="TableParagraph"/>
              <w:spacing w:line="251" w:lineRule="exact"/>
              <w:ind w:left="0" w:right="100"/>
              <w:jc w:val="right"/>
              <w:rPr>
                <w:b/>
                <w:sz w:val="22"/>
              </w:rPr>
            </w:pPr>
            <w:r>
              <w:rPr>
                <w:b/>
                <w:sz w:val="22"/>
              </w:rPr>
              <w:t>(-1)</w:t>
            </w:r>
          </w:p>
        </w:tc>
        <w:tc>
          <w:tcPr>
            <w:tcW w:w="1418" w:type="dxa"/>
          </w:tcPr>
          <w:p>
            <w:pPr>
              <w:pStyle w:val="TableParagraph"/>
              <w:spacing w:line="251" w:lineRule="exact"/>
              <w:ind w:left="0" w:right="99"/>
              <w:jc w:val="right"/>
              <w:rPr>
                <w:sz w:val="22"/>
              </w:rPr>
            </w:pPr>
            <w:r>
              <w:rPr>
                <w:sz w:val="22"/>
              </w:rPr>
              <w:t>51.19%</w:t>
            </w:r>
          </w:p>
        </w:tc>
      </w:tr>
      <w:tr>
        <w:trPr>
          <w:trHeight w:val="262" w:hRule="exact"/>
        </w:trPr>
        <w:tc>
          <w:tcPr>
            <w:tcW w:w="1510" w:type="dxa"/>
          </w:tcPr>
          <w:p>
            <w:pPr>
              <w:pStyle w:val="TableParagraph"/>
              <w:spacing w:line="251" w:lineRule="exact"/>
              <w:ind w:left="100"/>
              <w:rPr>
                <w:sz w:val="22"/>
              </w:rPr>
            </w:pPr>
            <w:r>
              <w:rPr>
                <w:sz w:val="22"/>
              </w:rPr>
              <w:t>PAN</w:t>
            </w:r>
          </w:p>
        </w:tc>
        <w:tc>
          <w:tcPr>
            <w:tcW w:w="2000" w:type="dxa"/>
          </w:tcPr>
          <w:p>
            <w:pPr>
              <w:pStyle w:val="TableParagraph"/>
              <w:spacing w:line="251" w:lineRule="exact"/>
              <w:ind w:left="0" w:right="101"/>
              <w:jc w:val="right"/>
              <w:rPr>
                <w:sz w:val="22"/>
              </w:rPr>
            </w:pPr>
            <w:r>
              <w:rPr>
                <w:sz w:val="22"/>
              </w:rPr>
              <w:t>976</w:t>
            </w:r>
          </w:p>
        </w:tc>
        <w:tc>
          <w:tcPr>
            <w:tcW w:w="1418" w:type="dxa"/>
          </w:tcPr>
          <w:p>
            <w:pPr>
              <w:pStyle w:val="TableParagraph"/>
              <w:spacing w:line="251" w:lineRule="exact"/>
              <w:ind w:left="0" w:right="99"/>
              <w:jc w:val="right"/>
              <w:rPr>
                <w:sz w:val="22"/>
              </w:rPr>
            </w:pPr>
            <w:r>
              <w:rPr>
                <w:sz w:val="22"/>
              </w:rPr>
              <w:t>19.11%</w:t>
            </w:r>
          </w:p>
        </w:tc>
      </w:tr>
      <w:tr>
        <w:trPr>
          <w:trHeight w:val="516" w:hRule="exact"/>
        </w:trPr>
        <w:tc>
          <w:tcPr>
            <w:tcW w:w="1510" w:type="dxa"/>
          </w:tcPr>
          <w:p>
            <w:pPr>
              <w:pStyle w:val="TableParagraph"/>
              <w:spacing w:line="251" w:lineRule="exact"/>
              <w:ind w:left="100"/>
              <w:rPr>
                <w:sz w:val="22"/>
              </w:rPr>
            </w:pPr>
            <w:r>
              <w:rPr>
                <w:sz w:val="22"/>
              </w:rPr>
              <w:t>PRD</w:t>
            </w:r>
          </w:p>
        </w:tc>
        <w:tc>
          <w:tcPr>
            <w:tcW w:w="2000" w:type="dxa"/>
          </w:tcPr>
          <w:p>
            <w:pPr>
              <w:pStyle w:val="TableParagraph"/>
              <w:spacing w:line="250" w:lineRule="exact"/>
              <w:ind w:left="0" w:right="101"/>
              <w:jc w:val="right"/>
              <w:rPr>
                <w:sz w:val="22"/>
              </w:rPr>
            </w:pPr>
            <w:r>
              <w:rPr>
                <w:sz w:val="22"/>
              </w:rPr>
              <w:t>399</w:t>
            </w:r>
          </w:p>
          <w:p>
            <w:pPr>
              <w:pStyle w:val="TableParagraph"/>
              <w:spacing w:line="252" w:lineRule="exact"/>
              <w:ind w:left="0" w:right="100"/>
              <w:jc w:val="right"/>
              <w:rPr>
                <w:b/>
                <w:sz w:val="22"/>
              </w:rPr>
            </w:pPr>
            <w:r>
              <w:rPr>
                <w:b/>
                <w:sz w:val="22"/>
              </w:rPr>
              <w:t>(+1)</w:t>
            </w:r>
          </w:p>
        </w:tc>
        <w:tc>
          <w:tcPr>
            <w:tcW w:w="1418" w:type="dxa"/>
          </w:tcPr>
          <w:p>
            <w:pPr>
              <w:pStyle w:val="TableParagraph"/>
              <w:spacing w:line="251" w:lineRule="exact"/>
              <w:ind w:left="0" w:right="99"/>
              <w:jc w:val="right"/>
              <w:rPr>
                <w:sz w:val="22"/>
              </w:rPr>
            </w:pPr>
            <w:r>
              <w:rPr>
                <w:sz w:val="22"/>
              </w:rPr>
              <w:t>7.81%</w:t>
            </w:r>
          </w:p>
        </w:tc>
      </w:tr>
      <w:tr>
        <w:trPr>
          <w:trHeight w:val="265" w:hRule="exact"/>
        </w:trPr>
        <w:tc>
          <w:tcPr>
            <w:tcW w:w="1510" w:type="dxa"/>
          </w:tcPr>
          <w:p>
            <w:pPr>
              <w:pStyle w:val="TableParagraph"/>
              <w:spacing w:line="251" w:lineRule="exact"/>
              <w:ind w:left="100"/>
              <w:rPr>
                <w:sz w:val="22"/>
              </w:rPr>
            </w:pPr>
            <w:r>
              <w:rPr>
                <w:sz w:val="22"/>
              </w:rPr>
              <w:t>PRI</w:t>
            </w:r>
          </w:p>
        </w:tc>
        <w:tc>
          <w:tcPr>
            <w:tcW w:w="2000" w:type="dxa"/>
          </w:tcPr>
          <w:p>
            <w:pPr>
              <w:pStyle w:val="TableParagraph"/>
              <w:spacing w:line="251" w:lineRule="exact"/>
              <w:ind w:left="0" w:right="101"/>
              <w:jc w:val="right"/>
              <w:rPr>
                <w:sz w:val="22"/>
              </w:rPr>
            </w:pPr>
            <w:r>
              <w:rPr>
                <w:sz w:val="22"/>
              </w:rPr>
              <w:t>201</w:t>
            </w:r>
          </w:p>
        </w:tc>
        <w:tc>
          <w:tcPr>
            <w:tcW w:w="1418" w:type="dxa"/>
          </w:tcPr>
          <w:p>
            <w:pPr>
              <w:pStyle w:val="TableParagraph"/>
              <w:spacing w:line="251" w:lineRule="exact"/>
              <w:ind w:left="0" w:right="99"/>
              <w:jc w:val="right"/>
              <w:rPr>
                <w:sz w:val="22"/>
              </w:rPr>
            </w:pPr>
            <w:r>
              <w:rPr>
                <w:sz w:val="22"/>
              </w:rPr>
              <w:t>3.94%</w:t>
            </w:r>
          </w:p>
        </w:tc>
      </w:tr>
      <w:tr>
        <w:trPr>
          <w:trHeight w:val="262" w:hRule="exact"/>
        </w:trPr>
        <w:tc>
          <w:tcPr>
            <w:tcW w:w="1510" w:type="dxa"/>
          </w:tcPr>
          <w:p>
            <w:pPr>
              <w:pStyle w:val="TableParagraph"/>
              <w:spacing w:line="251" w:lineRule="exact"/>
              <w:ind w:left="100"/>
              <w:rPr>
                <w:i/>
                <w:sz w:val="22"/>
              </w:rPr>
            </w:pPr>
            <w:r>
              <w:rPr>
                <w:i/>
                <w:sz w:val="22"/>
              </w:rPr>
              <w:t>PRD-PT</w:t>
            </w:r>
          </w:p>
        </w:tc>
        <w:tc>
          <w:tcPr>
            <w:tcW w:w="2000" w:type="dxa"/>
          </w:tcPr>
          <w:p>
            <w:pPr>
              <w:pStyle w:val="TableParagraph"/>
              <w:spacing w:line="251" w:lineRule="exact"/>
              <w:ind w:left="0" w:right="101"/>
              <w:jc w:val="right"/>
              <w:rPr>
                <w:i/>
                <w:sz w:val="22"/>
              </w:rPr>
            </w:pPr>
            <w:r>
              <w:rPr>
                <w:i/>
                <w:sz w:val="22"/>
              </w:rPr>
              <w:t>171</w:t>
            </w:r>
          </w:p>
        </w:tc>
        <w:tc>
          <w:tcPr>
            <w:tcW w:w="1418" w:type="dxa"/>
          </w:tcPr>
          <w:p>
            <w:pPr>
              <w:pStyle w:val="TableParagraph"/>
              <w:spacing w:line="251" w:lineRule="exact"/>
              <w:ind w:left="0" w:right="99"/>
              <w:jc w:val="right"/>
              <w:rPr>
                <w:i/>
                <w:sz w:val="22"/>
              </w:rPr>
            </w:pPr>
            <w:r>
              <w:rPr>
                <w:i/>
                <w:sz w:val="22"/>
              </w:rPr>
              <w:t>3.35%</w:t>
            </w:r>
          </w:p>
        </w:tc>
      </w:tr>
      <w:tr>
        <w:trPr>
          <w:trHeight w:val="264" w:hRule="exact"/>
        </w:trPr>
        <w:tc>
          <w:tcPr>
            <w:tcW w:w="1510" w:type="dxa"/>
          </w:tcPr>
          <w:p>
            <w:pPr>
              <w:pStyle w:val="TableParagraph"/>
              <w:spacing w:line="251" w:lineRule="exact"/>
              <w:ind w:left="100"/>
              <w:rPr>
                <w:i/>
                <w:sz w:val="22"/>
              </w:rPr>
            </w:pPr>
            <w:r>
              <w:rPr>
                <w:i/>
                <w:sz w:val="22"/>
              </w:rPr>
              <w:t>PT</w:t>
            </w:r>
          </w:p>
        </w:tc>
        <w:tc>
          <w:tcPr>
            <w:tcW w:w="2000" w:type="dxa"/>
          </w:tcPr>
          <w:p>
            <w:pPr>
              <w:pStyle w:val="TableParagraph"/>
              <w:spacing w:line="251" w:lineRule="exact"/>
              <w:ind w:left="0" w:right="101"/>
              <w:jc w:val="right"/>
              <w:rPr>
                <w:i/>
                <w:sz w:val="22"/>
              </w:rPr>
            </w:pPr>
            <w:r>
              <w:rPr>
                <w:i/>
                <w:sz w:val="22"/>
              </w:rPr>
              <w:t>65</w:t>
            </w:r>
          </w:p>
        </w:tc>
        <w:tc>
          <w:tcPr>
            <w:tcW w:w="1418" w:type="dxa"/>
          </w:tcPr>
          <w:p>
            <w:pPr>
              <w:pStyle w:val="TableParagraph"/>
              <w:spacing w:line="251" w:lineRule="exact"/>
              <w:ind w:left="0" w:right="99"/>
              <w:jc w:val="right"/>
              <w:rPr>
                <w:i/>
                <w:sz w:val="22"/>
              </w:rPr>
            </w:pPr>
            <w:r>
              <w:rPr>
                <w:i/>
                <w:sz w:val="22"/>
              </w:rPr>
              <w:t>1.27%</w:t>
            </w:r>
          </w:p>
        </w:tc>
      </w:tr>
      <w:tr>
        <w:trPr>
          <w:trHeight w:val="262" w:hRule="exact"/>
        </w:trPr>
        <w:tc>
          <w:tcPr>
            <w:tcW w:w="1510" w:type="dxa"/>
          </w:tcPr>
          <w:p>
            <w:pPr>
              <w:pStyle w:val="TableParagraph"/>
              <w:spacing w:line="251" w:lineRule="exact"/>
              <w:ind w:left="100"/>
              <w:rPr>
                <w:i/>
                <w:sz w:val="22"/>
              </w:rPr>
            </w:pPr>
            <w:r>
              <w:rPr>
                <w:i/>
                <w:sz w:val="22"/>
              </w:rPr>
              <w:t>PT-C</w:t>
            </w:r>
          </w:p>
        </w:tc>
        <w:tc>
          <w:tcPr>
            <w:tcW w:w="2000" w:type="dxa"/>
          </w:tcPr>
          <w:p>
            <w:pPr>
              <w:pStyle w:val="TableParagraph"/>
              <w:spacing w:line="251" w:lineRule="exact"/>
              <w:ind w:left="0" w:right="101"/>
              <w:jc w:val="right"/>
              <w:rPr>
                <w:i/>
                <w:sz w:val="22"/>
              </w:rPr>
            </w:pPr>
            <w:r>
              <w:rPr>
                <w:i/>
                <w:sz w:val="22"/>
              </w:rPr>
              <w:t>53</w:t>
            </w:r>
          </w:p>
        </w:tc>
        <w:tc>
          <w:tcPr>
            <w:tcW w:w="1418" w:type="dxa"/>
          </w:tcPr>
          <w:p>
            <w:pPr>
              <w:pStyle w:val="TableParagraph"/>
              <w:spacing w:line="251" w:lineRule="exact"/>
              <w:ind w:left="0" w:right="99"/>
              <w:jc w:val="right"/>
              <w:rPr>
                <w:i/>
                <w:sz w:val="22"/>
              </w:rPr>
            </w:pPr>
            <w:r>
              <w:rPr>
                <w:i/>
                <w:sz w:val="22"/>
              </w:rPr>
              <w:t>1.04%</w:t>
            </w:r>
          </w:p>
        </w:tc>
      </w:tr>
      <w:tr>
        <w:trPr>
          <w:trHeight w:val="264" w:hRule="exact"/>
        </w:trPr>
        <w:tc>
          <w:tcPr>
            <w:tcW w:w="1510" w:type="dxa"/>
          </w:tcPr>
          <w:p>
            <w:pPr>
              <w:pStyle w:val="TableParagraph"/>
              <w:ind w:left="100"/>
              <w:rPr>
                <w:i/>
                <w:sz w:val="22"/>
              </w:rPr>
            </w:pPr>
            <w:r>
              <w:rPr>
                <w:i/>
                <w:w w:val="100"/>
                <w:sz w:val="22"/>
              </w:rPr>
              <w:t>C</w:t>
            </w:r>
          </w:p>
        </w:tc>
        <w:tc>
          <w:tcPr>
            <w:tcW w:w="2000" w:type="dxa"/>
          </w:tcPr>
          <w:p>
            <w:pPr>
              <w:pStyle w:val="TableParagraph"/>
              <w:ind w:left="0" w:right="101"/>
              <w:jc w:val="right"/>
              <w:rPr>
                <w:i/>
                <w:sz w:val="22"/>
              </w:rPr>
            </w:pPr>
            <w:r>
              <w:rPr>
                <w:i/>
                <w:sz w:val="22"/>
              </w:rPr>
              <w:t>52</w:t>
            </w:r>
          </w:p>
        </w:tc>
        <w:tc>
          <w:tcPr>
            <w:tcW w:w="1418" w:type="dxa"/>
          </w:tcPr>
          <w:p>
            <w:pPr>
              <w:pStyle w:val="TableParagraph"/>
              <w:ind w:left="0" w:right="99"/>
              <w:jc w:val="right"/>
              <w:rPr>
                <w:i/>
                <w:sz w:val="22"/>
              </w:rPr>
            </w:pPr>
            <w:r>
              <w:rPr>
                <w:i/>
                <w:sz w:val="22"/>
              </w:rPr>
              <w:t>1.02%</w:t>
            </w:r>
          </w:p>
        </w:tc>
      </w:tr>
      <w:tr>
        <w:trPr>
          <w:trHeight w:val="264" w:hRule="exact"/>
        </w:trPr>
        <w:tc>
          <w:tcPr>
            <w:tcW w:w="1510" w:type="dxa"/>
          </w:tcPr>
          <w:p>
            <w:pPr>
              <w:pStyle w:val="TableParagraph"/>
              <w:spacing w:line="251" w:lineRule="exact"/>
              <w:ind w:left="100"/>
              <w:rPr>
                <w:i/>
                <w:sz w:val="22"/>
              </w:rPr>
            </w:pPr>
            <w:r>
              <w:rPr>
                <w:i/>
                <w:sz w:val="22"/>
              </w:rPr>
              <w:t>PUM</w:t>
            </w:r>
          </w:p>
        </w:tc>
        <w:tc>
          <w:tcPr>
            <w:tcW w:w="2000" w:type="dxa"/>
          </w:tcPr>
          <w:p>
            <w:pPr>
              <w:pStyle w:val="TableParagraph"/>
              <w:spacing w:line="251" w:lineRule="exact"/>
              <w:ind w:left="0" w:right="101"/>
              <w:jc w:val="right"/>
              <w:rPr>
                <w:i/>
                <w:sz w:val="22"/>
              </w:rPr>
            </w:pPr>
            <w:r>
              <w:rPr>
                <w:i/>
                <w:sz w:val="22"/>
              </w:rPr>
              <w:t>35</w:t>
            </w:r>
          </w:p>
        </w:tc>
        <w:tc>
          <w:tcPr>
            <w:tcW w:w="1418" w:type="dxa"/>
          </w:tcPr>
          <w:p>
            <w:pPr>
              <w:pStyle w:val="TableParagraph"/>
              <w:spacing w:line="251" w:lineRule="exact"/>
              <w:ind w:left="0" w:right="99"/>
              <w:jc w:val="right"/>
              <w:rPr>
                <w:i/>
                <w:sz w:val="22"/>
              </w:rPr>
            </w:pPr>
            <w:r>
              <w:rPr>
                <w:i/>
                <w:sz w:val="22"/>
              </w:rPr>
              <w:t>0.69%</w:t>
            </w:r>
          </w:p>
        </w:tc>
      </w:tr>
      <w:tr>
        <w:trPr>
          <w:trHeight w:val="262" w:hRule="exact"/>
        </w:trPr>
        <w:tc>
          <w:tcPr>
            <w:tcW w:w="1510" w:type="dxa"/>
          </w:tcPr>
          <w:p>
            <w:pPr>
              <w:pStyle w:val="TableParagraph"/>
              <w:spacing w:line="251" w:lineRule="exact"/>
              <w:ind w:left="100"/>
              <w:rPr>
                <w:i/>
                <w:sz w:val="22"/>
              </w:rPr>
            </w:pPr>
            <w:r>
              <w:rPr>
                <w:i/>
                <w:sz w:val="22"/>
              </w:rPr>
              <w:t>PRD-PT-C</w:t>
            </w:r>
          </w:p>
        </w:tc>
        <w:tc>
          <w:tcPr>
            <w:tcW w:w="2000" w:type="dxa"/>
          </w:tcPr>
          <w:p>
            <w:pPr>
              <w:pStyle w:val="TableParagraph"/>
              <w:spacing w:line="251" w:lineRule="exact"/>
              <w:ind w:left="0" w:right="101"/>
              <w:jc w:val="right"/>
              <w:rPr>
                <w:i/>
                <w:sz w:val="22"/>
              </w:rPr>
            </w:pPr>
            <w:r>
              <w:rPr>
                <w:i/>
                <w:sz w:val="22"/>
              </w:rPr>
              <w:t>20</w:t>
            </w:r>
          </w:p>
        </w:tc>
        <w:tc>
          <w:tcPr>
            <w:tcW w:w="1418" w:type="dxa"/>
          </w:tcPr>
          <w:p>
            <w:pPr>
              <w:pStyle w:val="TableParagraph"/>
              <w:spacing w:line="251" w:lineRule="exact"/>
              <w:ind w:left="0" w:right="99"/>
              <w:jc w:val="right"/>
              <w:rPr>
                <w:i/>
                <w:sz w:val="22"/>
              </w:rPr>
            </w:pPr>
            <w:r>
              <w:rPr>
                <w:i/>
                <w:sz w:val="22"/>
              </w:rPr>
              <w:t>0.39%</w:t>
            </w:r>
          </w:p>
        </w:tc>
      </w:tr>
      <w:tr>
        <w:trPr>
          <w:trHeight w:val="264" w:hRule="exact"/>
        </w:trPr>
        <w:tc>
          <w:tcPr>
            <w:tcW w:w="1510" w:type="dxa"/>
          </w:tcPr>
          <w:p>
            <w:pPr>
              <w:pStyle w:val="TableParagraph"/>
              <w:spacing w:line="251" w:lineRule="exact"/>
              <w:ind w:left="100"/>
              <w:rPr>
                <w:i/>
                <w:sz w:val="22"/>
              </w:rPr>
            </w:pPr>
            <w:r>
              <w:rPr>
                <w:i/>
                <w:sz w:val="22"/>
              </w:rPr>
              <w:t>PRD-C</w:t>
            </w:r>
          </w:p>
        </w:tc>
        <w:tc>
          <w:tcPr>
            <w:tcW w:w="2000" w:type="dxa"/>
          </w:tcPr>
          <w:p>
            <w:pPr>
              <w:pStyle w:val="TableParagraph"/>
              <w:spacing w:line="251" w:lineRule="exact"/>
              <w:ind w:left="0" w:right="101"/>
              <w:jc w:val="right"/>
              <w:rPr>
                <w:i/>
                <w:sz w:val="22"/>
              </w:rPr>
            </w:pPr>
            <w:r>
              <w:rPr>
                <w:i/>
                <w:sz w:val="22"/>
              </w:rPr>
              <w:t>17</w:t>
            </w:r>
          </w:p>
        </w:tc>
        <w:tc>
          <w:tcPr>
            <w:tcW w:w="1418" w:type="dxa"/>
          </w:tcPr>
          <w:p>
            <w:pPr>
              <w:pStyle w:val="TableParagraph"/>
              <w:spacing w:line="251" w:lineRule="exact"/>
              <w:ind w:left="0" w:right="99"/>
              <w:jc w:val="right"/>
              <w:rPr>
                <w:i/>
                <w:sz w:val="22"/>
              </w:rPr>
            </w:pPr>
            <w:r>
              <w:rPr>
                <w:i/>
                <w:sz w:val="22"/>
              </w:rPr>
              <w:t>0.33%</w:t>
            </w:r>
          </w:p>
        </w:tc>
      </w:tr>
      <w:tr>
        <w:trPr>
          <w:trHeight w:val="516" w:hRule="exact"/>
        </w:trPr>
        <w:tc>
          <w:tcPr>
            <w:tcW w:w="1510" w:type="dxa"/>
          </w:tcPr>
          <w:p>
            <w:pPr>
              <w:pStyle w:val="TableParagraph"/>
              <w:spacing w:line="252" w:lineRule="exact" w:before="2"/>
              <w:ind w:left="100" w:right="334"/>
              <w:rPr>
                <w:i/>
                <w:sz w:val="22"/>
              </w:rPr>
            </w:pPr>
            <w:r>
              <w:rPr>
                <w:i/>
                <w:sz w:val="22"/>
              </w:rPr>
              <w:t>PAN-PRD- </w:t>
            </w:r>
            <w:r>
              <w:rPr>
                <w:i/>
                <w:sz w:val="22"/>
              </w:rPr>
              <w:t>PT-C</w:t>
            </w:r>
          </w:p>
        </w:tc>
        <w:tc>
          <w:tcPr>
            <w:tcW w:w="2000" w:type="dxa"/>
          </w:tcPr>
          <w:p>
            <w:pPr>
              <w:pStyle w:val="TableParagraph"/>
              <w:spacing w:line="251" w:lineRule="exact"/>
              <w:ind w:left="0" w:right="100"/>
              <w:jc w:val="right"/>
              <w:rPr>
                <w:i/>
                <w:sz w:val="22"/>
              </w:rPr>
            </w:pPr>
            <w:r>
              <w:rPr>
                <w:i/>
                <w:w w:val="100"/>
                <w:sz w:val="22"/>
              </w:rPr>
              <w:t>5</w:t>
            </w:r>
          </w:p>
        </w:tc>
        <w:tc>
          <w:tcPr>
            <w:tcW w:w="1418" w:type="dxa"/>
          </w:tcPr>
          <w:p>
            <w:pPr>
              <w:pStyle w:val="TableParagraph"/>
              <w:spacing w:line="251" w:lineRule="exact"/>
              <w:ind w:left="0" w:right="99"/>
              <w:jc w:val="right"/>
              <w:rPr>
                <w:i/>
                <w:sz w:val="22"/>
              </w:rPr>
            </w:pPr>
            <w:r>
              <w:rPr>
                <w:i/>
                <w:sz w:val="22"/>
              </w:rPr>
              <w:t>0.10%</w:t>
            </w:r>
          </w:p>
        </w:tc>
      </w:tr>
      <w:tr>
        <w:trPr>
          <w:trHeight w:val="516" w:hRule="exact"/>
        </w:trPr>
        <w:tc>
          <w:tcPr>
            <w:tcW w:w="1510" w:type="dxa"/>
          </w:tcPr>
          <w:p>
            <w:pPr>
              <w:pStyle w:val="TableParagraph"/>
              <w:spacing w:line="252" w:lineRule="exact" w:before="2"/>
              <w:ind w:left="100" w:right="317"/>
              <w:rPr>
                <w:i/>
                <w:sz w:val="22"/>
              </w:rPr>
            </w:pPr>
            <w:r>
              <w:rPr>
                <w:i/>
                <w:sz w:val="22"/>
              </w:rPr>
              <w:t>PAN-PRD- </w:t>
            </w:r>
            <w:r>
              <w:rPr>
                <w:i/>
                <w:sz w:val="22"/>
              </w:rPr>
              <w:t>PT</w:t>
            </w:r>
          </w:p>
        </w:tc>
        <w:tc>
          <w:tcPr>
            <w:tcW w:w="2000" w:type="dxa"/>
          </w:tcPr>
          <w:p>
            <w:pPr>
              <w:pStyle w:val="TableParagraph"/>
              <w:spacing w:line="251" w:lineRule="exact"/>
              <w:ind w:left="0" w:right="100"/>
              <w:jc w:val="right"/>
              <w:rPr>
                <w:i/>
                <w:sz w:val="22"/>
              </w:rPr>
            </w:pPr>
            <w:r>
              <w:rPr>
                <w:i/>
                <w:w w:val="100"/>
                <w:sz w:val="22"/>
              </w:rPr>
              <w:t>4</w:t>
            </w:r>
          </w:p>
        </w:tc>
        <w:tc>
          <w:tcPr>
            <w:tcW w:w="1418" w:type="dxa"/>
          </w:tcPr>
          <w:p>
            <w:pPr>
              <w:pStyle w:val="TableParagraph"/>
              <w:spacing w:line="251" w:lineRule="exact"/>
              <w:ind w:left="0" w:right="99"/>
              <w:jc w:val="right"/>
              <w:rPr>
                <w:i/>
                <w:sz w:val="22"/>
              </w:rPr>
            </w:pPr>
            <w:r>
              <w:rPr>
                <w:i/>
                <w:sz w:val="22"/>
              </w:rPr>
              <w:t>0.08%</w:t>
            </w:r>
          </w:p>
        </w:tc>
      </w:tr>
      <w:tr>
        <w:trPr>
          <w:trHeight w:val="262" w:hRule="exact"/>
        </w:trPr>
        <w:tc>
          <w:tcPr>
            <w:tcW w:w="1510" w:type="dxa"/>
          </w:tcPr>
          <w:p>
            <w:pPr>
              <w:pStyle w:val="TableParagraph"/>
              <w:spacing w:line="251" w:lineRule="exact"/>
              <w:ind w:left="100"/>
              <w:rPr>
                <w:i/>
                <w:sz w:val="22"/>
              </w:rPr>
            </w:pPr>
            <w:r>
              <w:rPr>
                <w:i/>
                <w:sz w:val="22"/>
              </w:rPr>
              <w:t>PVEM</w:t>
            </w:r>
          </w:p>
        </w:tc>
        <w:tc>
          <w:tcPr>
            <w:tcW w:w="2000" w:type="dxa"/>
          </w:tcPr>
          <w:p>
            <w:pPr>
              <w:pStyle w:val="TableParagraph"/>
              <w:spacing w:line="251" w:lineRule="exact"/>
              <w:ind w:left="0" w:right="100"/>
              <w:jc w:val="right"/>
              <w:rPr>
                <w:i/>
                <w:sz w:val="22"/>
              </w:rPr>
            </w:pPr>
            <w:r>
              <w:rPr>
                <w:i/>
                <w:w w:val="100"/>
                <w:sz w:val="22"/>
              </w:rPr>
              <w:t>4</w:t>
            </w:r>
          </w:p>
        </w:tc>
        <w:tc>
          <w:tcPr>
            <w:tcW w:w="1418" w:type="dxa"/>
          </w:tcPr>
          <w:p>
            <w:pPr>
              <w:pStyle w:val="TableParagraph"/>
              <w:spacing w:line="251" w:lineRule="exact"/>
              <w:ind w:left="0" w:right="99"/>
              <w:jc w:val="right"/>
              <w:rPr>
                <w:i/>
                <w:sz w:val="22"/>
              </w:rPr>
            </w:pPr>
            <w:r>
              <w:rPr>
                <w:i/>
                <w:sz w:val="22"/>
              </w:rPr>
              <w:t>0.08%</w:t>
            </w:r>
          </w:p>
        </w:tc>
      </w:tr>
      <w:tr>
        <w:trPr>
          <w:trHeight w:val="264" w:hRule="exact"/>
        </w:trPr>
        <w:tc>
          <w:tcPr>
            <w:tcW w:w="1510" w:type="dxa"/>
          </w:tcPr>
          <w:p>
            <w:pPr>
              <w:pStyle w:val="TableParagraph"/>
              <w:spacing w:line="251" w:lineRule="exact"/>
              <w:ind w:left="100"/>
              <w:rPr>
                <w:i/>
                <w:sz w:val="22"/>
              </w:rPr>
            </w:pPr>
            <w:r>
              <w:rPr>
                <w:i/>
                <w:sz w:val="22"/>
              </w:rPr>
              <w:t>OTROS</w:t>
            </w:r>
          </w:p>
        </w:tc>
        <w:tc>
          <w:tcPr>
            <w:tcW w:w="2000" w:type="dxa"/>
          </w:tcPr>
          <w:p>
            <w:pPr>
              <w:pStyle w:val="TableParagraph"/>
              <w:spacing w:line="251" w:lineRule="exact"/>
              <w:ind w:left="0" w:right="101"/>
              <w:jc w:val="right"/>
              <w:rPr>
                <w:i/>
                <w:sz w:val="22"/>
              </w:rPr>
            </w:pPr>
            <w:r>
              <w:rPr>
                <w:i/>
                <w:sz w:val="22"/>
              </w:rPr>
              <w:t>490</w:t>
            </w:r>
          </w:p>
        </w:tc>
        <w:tc>
          <w:tcPr>
            <w:tcW w:w="1418" w:type="dxa"/>
          </w:tcPr>
          <w:p>
            <w:pPr>
              <w:pStyle w:val="TableParagraph"/>
              <w:spacing w:line="251" w:lineRule="exact"/>
              <w:ind w:left="0" w:right="99"/>
              <w:jc w:val="right"/>
              <w:rPr>
                <w:i/>
                <w:sz w:val="22"/>
              </w:rPr>
            </w:pPr>
            <w:r>
              <w:rPr>
                <w:i/>
                <w:sz w:val="22"/>
              </w:rPr>
              <w:t>9.60%</w:t>
            </w:r>
          </w:p>
        </w:tc>
      </w:tr>
      <w:tr>
        <w:trPr>
          <w:trHeight w:val="263" w:hRule="exact"/>
        </w:trPr>
        <w:tc>
          <w:tcPr>
            <w:tcW w:w="1510" w:type="dxa"/>
            <w:shd w:val="clear" w:color="auto" w:fill="BEBEBE"/>
          </w:tcPr>
          <w:p>
            <w:pPr>
              <w:pStyle w:val="TableParagraph"/>
              <w:spacing w:line="251" w:lineRule="exact"/>
              <w:ind w:left="100"/>
              <w:rPr>
                <w:i/>
                <w:sz w:val="22"/>
              </w:rPr>
            </w:pPr>
            <w:r>
              <w:rPr>
                <w:i/>
                <w:sz w:val="22"/>
              </w:rPr>
              <w:t>Total</w:t>
            </w:r>
          </w:p>
        </w:tc>
        <w:tc>
          <w:tcPr>
            <w:tcW w:w="2000" w:type="dxa"/>
            <w:shd w:val="clear" w:color="auto" w:fill="BEBEBE"/>
          </w:tcPr>
          <w:p>
            <w:pPr>
              <w:pStyle w:val="TableParagraph"/>
              <w:spacing w:line="251" w:lineRule="exact"/>
              <w:ind w:left="0" w:right="98"/>
              <w:jc w:val="right"/>
              <w:rPr>
                <w:i/>
                <w:sz w:val="22"/>
              </w:rPr>
            </w:pPr>
            <w:r>
              <w:rPr>
                <w:i/>
                <w:sz w:val="22"/>
              </w:rPr>
              <w:t>5,106</w:t>
            </w:r>
          </w:p>
        </w:tc>
        <w:tc>
          <w:tcPr>
            <w:tcW w:w="1418" w:type="dxa"/>
            <w:shd w:val="clear" w:color="auto" w:fill="BEBEBE"/>
          </w:tcPr>
          <w:p>
            <w:pPr>
              <w:pStyle w:val="TableParagraph"/>
              <w:spacing w:line="251" w:lineRule="exact"/>
              <w:ind w:left="0" w:right="99"/>
              <w:jc w:val="right"/>
              <w:rPr>
                <w:i/>
                <w:sz w:val="22"/>
              </w:rPr>
            </w:pPr>
            <w:r>
              <w:rPr>
                <w:i/>
                <w:sz w:val="22"/>
              </w:rPr>
              <w:t>100%</w:t>
            </w:r>
          </w:p>
        </w:tc>
      </w:tr>
    </w:tbl>
    <w:p>
      <w:pPr>
        <w:spacing w:before="0"/>
        <w:ind w:left="102" w:right="116" w:firstLine="0"/>
        <w:jc w:val="both"/>
        <w:rPr>
          <w:sz w:val="22"/>
        </w:rPr>
      </w:pPr>
      <w:r>
        <w:rPr>
          <w:sz w:val="22"/>
        </w:rPr>
        <w:t>Nota: Se observaron inconsistencias, mínimas, en la información dada por el IEEM, en cuanto al número de notas de la coalición PRI-PVEM que no eran 2, 614 sino 2, 613, así como en el número de notas del PRD que no eran 399 sino 400; por lo que se anota un (+1) y un (-1) en las celdas respectivas. Dato que no altera el resultado general. Fuente: elaboración propia tomando datos del Instituto Electoral del Estado de México Reporte Final (INFOEM, 2013).</w:t>
      </w:r>
    </w:p>
    <w:p>
      <w:pPr>
        <w:pStyle w:val="BodyText"/>
        <w:spacing w:before="11"/>
        <w:rPr>
          <w:sz w:val="23"/>
        </w:rPr>
      </w:pPr>
    </w:p>
    <w:p>
      <w:pPr>
        <w:pStyle w:val="Heading2"/>
        <w:tabs>
          <w:tab w:pos="1517" w:val="left" w:leader="none"/>
        </w:tabs>
        <w:spacing w:before="0"/>
        <w:ind w:left="810" w:right="120"/>
        <w:jc w:val="left"/>
      </w:pPr>
      <w:r>
        <w:rPr/>
        <w:t>4</w:t>
        <w:tab/>
        <w:t>Monitoreo cuantitativo de promocionales</w:t>
      </w:r>
      <w:r>
        <w:rPr>
          <w:spacing w:val="-7"/>
        </w:rPr>
        <w:t> </w:t>
      </w:r>
      <w:r>
        <w:rPr/>
        <w:t>IEEM</w:t>
      </w:r>
    </w:p>
    <w:p>
      <w:pPr>
        <w:pStyle w:val="BodyText"/>
        <w:rPr>
          <w:b/>
        </w:rPr>
      </w:pPr>
    </w:p>
    <w:p>
      <w:pPr>
        <w:pStyle w:val="BodyText"/>
        <w:spacing w:before="4"/>
        <w:rPr>
          <w:b/>
          <w:sz w:val="29"/>
        </w:rPr>
      </w:pPr>
    </w:p>
    <w:p>
      <w:pPr>
        <w:pStyle w:val="BodyText"/>
        <w:spacing w:line="360" w:lineRule="auto" w:before="1"/>
        <w:ind w:left="102" w:right="116"/>
        <w:jc w:val="both"/>
      </w:pPr>
      <w:r>
        <w:rPr/>
        <w:t>La Dirección de Partidos Políticos fue la que se encargó de coordinar el programa de Acceso a Medios de Comunicación propiedad del Estado, gestionando ante el Sistema de Radio y Televisión Mexiquense, el tiempo que correspondió, según la ley, a cada partido político para la difusión de su ideología y plataforma política.  Sin embargo, como en 2006 aún se permitía la compra de tiempos en medios, algunos partidos invirtieron más presupuesto en propaganda en medios de comunicación</w:t>
      </w:r>
      <w:r>
        <w:rPr>
          <w:spacing w:val="46"/>
        </w:rPr>
        <w:t> </w:t>
      </w:r>
      <w:r>
        <w:rPr/>
        <w:t>que</w:t>
      </w:r>
      <w:r>
        <w:rPr>
          <w:spacing w:val="43"/>
        </w:rPr>
        <w:t> </w:t>
      </w:r>
      <w:r>
        <w:rPr/>
        <w:t>otros.</w:t>
      </w:r>
      <w:r>
        <w:rPr>
          <w:spacing w:val="46"/>
        </w:rPr>
        <w:t> </w:t>
      </w:r>
      <w:r>
        <w:rPr/>
        <w:t>Así</w:t>
      </w:r>
      <w:r>
        <w:rPr>
          <w:spacing w:val="43"/>
        </w:rPr>
        <w:t> </w:t>
      </w:r>
      <w:r>
        <w:rPr/>
        <w:t>de</w:t>
      </w:r>
      <w:r>
        <w:rPr>
          <w:spacing w:val="46"/>
        </w:rPr>
        <w:t> </w:t>
      </w:r>
      <w:r>
        <w:rPr/>
        <w:t>los</w:t>
      </w:r>
      <w:r>
        <w:rPr>
          <w:spacing w:val="43"/>
        </w:rPr>
        <w:t> </w:t>
      </w:r>
      <w:r>
        <w:rPr/>
        <w:t>44,</w:t>
      </w:r>
      <w:r>
        <w:rPr>
          <w:spacing w:val="43"/>
        </w:rPr>
        <w:t> </w:t>
      </w:r>
      <w:r>
        <w:rPr/>
        <w:t>942</w:t>
      </w:r>
      <w:r>
        <w:rPr>
          <w:spacing w:val="46"/>
        </w:rPr>
        <w:t> </w:t>
      </w:r>
      <w:r>
        <w:rPr/>
        <w:t>promocionales</w:t>
      </w:r>
      <w:r>
        <w:rPr>
          <w:spacing w:val="47"/>
        </w:rPr>
        <w:t> </w:t>
      </w:r>
      <w:r>
        <w:rPr/>
        <w:t>evaluados</w:t>
      </w:r>
      <w:r>
        <w:rPr>
          <w:spacing w:val="46"/>
        </w:rPr>
        <w:t> </w:t>
      </w:r>
      <w:r>
        <w:rPr/>
        <w:t>en</w:t>
      </w:r>
      <w:r>
        <w:rPr>
          <w:spacing w:val="46"/>
        </w:rPr>
        <w:t> </w:t>
      </w:r>
      <w:r>
        <w:rPr/>
        <w:t>radio</w:t>
      </w:r>
    </w:p>
    <w:p>
      <w:pPr>
        <w:spacing w:after="0" w:line="360" w:lineRule="auto"/>
        <w:jc w:val="both"/>
        <w:sectPr>
          <w:pgSz w:w="12240" w:h="15840"/>
          <w:pgMar w:header="749" w:footer="1003" w:top="960" w:bottom="1200" w:left="1600" w:right="1580"/>
        </w:sectPr>
      </w:pPr>
    </w:p>
    <w:p>
      <w:pPr>
        <w:pStyle w:val="BodyText"/>
        <w:rPr>
          <w:sz w:val="20"/>
        </w:rPr>
      </w:pPr>
    </w:p>
    <w:p>
      <w:pPr>
        <w:pStyle w:val="BodyText"/>
        <w:spacing w:line="360" w:lineRule="auto" w:before="214"/>
        <w:ind w:left="102" w:right="116"/>
        <w:jc w:val="both"/>
      </w:pPr>
      <w:r>
        <w:rPr/>
        <w:t>(35,824), televisión (8,238), futbol (447), prensa (284) e internet (149); 31, 421 se detectaron en el Estado de México y 13, 372 en el Distrito Federal. Se observó  que la misma tendencia inequitativa encontrada en los programas noticiosos está presente también en los promocionales; pues los promocionales de la coalición PRI-PVEM predominaron, al tener el 42.80% del total. Sólo que esta vez dicha coalición estuvo seguida, en primer lugar, del PRD con el 20.57% de los promocionales y en segundo lugar, por el PAN con el 18.78% (ver cuadro 4.8). En congruencia con los datos anteriores los medios de comunicación recibieron </w:t>
      </w:r>
      <w:r>
        <w:rPr>
          <w:spacing w:val="-2"/>
        </w:rPr>
        <w:t>una </w:t>
      </w:r>
      <w:r>
        <w:rPr/>
        <w:t>evaluación baja (1.0) al mostrar inequidad por parte de los medios de comunicación en cuanto al número de promocionales</w:t>
      </w:r>
      <w:r>
        <w:rPr>
          <w:spacing w:val="-22"/>
        </w:rPr>
        <w:t> </w:t>
      </w:r>
      <w:r>
        <w:rPr/>
        <w:t>presentados.</w:t>
      </w:r>
    </w:p>
    <w:p>
      <w:pPr>
        <w:pStyle w:val="BodyText"/>
      </w:pPr>
    </w:p>
    <w:p>
      <w:pPr>
        <w:pStyle w:val="BodyText"/>
        <w:spacing w:before="7"/>
        <w:rPr>
          <w:sz w:val="29"/>
        </w:rPr>
      </w:pPr>
    </w:p>
    <w:p>
      <w:pPr>
        <w:pStyle w:val="Heading2"/>
        <w:spacing w:before="0"/>
        <w:ind w:right="731"/>
      </w:pPr>
      <w:r>
        <w:rPr/>
        <w:t>Cuadro 4.8</w:t>
      </w:r>
    </w:p>
    <w:p>
      <w:pPr>
        <w:pStyle w:val="BodyText"/>
        <w:spacing w:before="2"/>
        <w:rPr>
          <w:b/>
          <w:sz w:val="29"/>
        </w:rPr>
      </w:pPr>
    </w:p>
    <w:p>
      <w:pPr>
        <w:spacing w:before="0"/>
        <w:ind w:left="2173" w:right="2190" w:firstLine="0"/>
        <w:jc w:val="center"/>
        <w:rPr>
          <w:b/>
          <w:sz w:val="24"/>
        </w:rPr>
      </w:pPr>
      <w:r>
        <w:rPr>
          <w:b/>
          <w:sz w:val="24"/>
        </w:rPr>
        <w:t>Monitoreo cuantitativo de promocionales por partido político (IEEM 2006)</w:t>
      </w:r>
    </w:p>
    <w:p>
      <w:pPr>
        <w:pStyle w:val="BodyText"/>
        <w:rPr>
          <w:b/>
          <w:sz w:val="20"/>
        </w:rPr>
      </w:pPr>
    </w:p>
    <w:p>
      <w:pPr>
        <w:pStyle w:val="BodyText"/>
        <w:spacing w:before="4"/>
        <w:rPr>
          <w:b/>
          <w:sz w:val="16"/>
        </w:rPr>
      </w:pPr>
    </w:p>
    <w:tbl>
      <w:tblPr>
        <w:tblW w:w="0" w:type="auto"/>
        <w:jc w:val="left"/>
        <w:tblInd w:w="21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27"/>
        <w:gridCol w:w="1985"/>
        <w:gridCol w:w="1274"/>
      </w:tblGrid>
      <w:tr>
        <w:trPr>
          <w:trHeight w:val="515" w:hRule="exact"/>
        </w:trPr>
        <w:tc>
          <w:tcPr>
            <w:tcW w:w="1527" w:type="dxa"/>
            <w:shd w:val="clear" w:color="auto" w:fill="D9D9D9"/>
          </w:tcPr>
          <w:p>
            <w:pPr>
              <w:pStyle w:val="TableParagraph"/>
              <w:spacing w:line="249" w:lineRule="exact"/>
              <w:rPr>
                <w:b/>
                <w:sz w:val="22"/>
              </w:rPr>
            </w:pPr>
            <w:r>
              <w:rPr>
                <w:b/>
                <w:sz w:val="22"/>
              </w:rPr>
              <w:t>Partido</w:t>
            </w:r>
          </w:p>
        </w:tc>
        <w:tc>
          <w:tcPr>
            <w:tcW w:w="1985" w:type="dxa"/>
            <w:shd w:val="clear" w:color="auto" w:fill="D9D9D9"/>
          </w:tcPr>
          <w:p>
            <w:pPr>
              <w:pStyle w:val="TableParagraph"/>
              <w:tabs>
                <w:tab w:pos="1614" w:val="left" w:leader="none"/>
              </w:tabs>
              <w:spacing w:line="249" w:lineRule="exact"/>
              <w:rPr>
                <w:b/>
                <w:sz w:val="22"/>
              </w:rPr>
            </w:pPr>
            <w:r>
              <w:rPr>
                <w:b/>
                <w:sz w:val="22"/>
              </w:rPr>
              <w:t>No.</w:t>
              <w:tab/>
              <w:t>de</w:t>
            </w:r>
          </w:p>
          <w:p>
            <w:pPr>
              <w:pStyle w:val="TableParagraph"/>
              <w:spacing w:line="252" w:lineRule="exact"/>
              <w:rPr>
                <w:b/>
                <w:sz w:val="22"/>
              </w:rPr>
            </w:pPr>
            <w:r>
              <w:rPr>
                <w:b/>
                <w:sz w:val="22"/>
              </w:rPr>
              <w:t>promocionales</w:t>
            </w:r>
          </w:p>
        </w:tc>
        <w:tc>
          <w:tcPr>
            <w:tcW w:w="1274" w:type="dxa"/>
            <w:shd w:val="clear" w:color="auto" w:fill="D9D9D9"/>
          </w:tcPr>
          <w:p>
            <w:pPr>
              <w:pStyle w:val="TableParagraph"/>
              <w:spacing w:line="249" w:lineRule="exact"/>
              <w:ind w:left="100"/>
              <w:rPr>
                <w:b/>
                <w:sz w:val="22"/>
              </w:rPr>
            </w:pPr>
            <w:r>
              <w:rPr>
                <w:b/>
                <w:w w:val="100"/>
                <w:sz w:val="22"/>
              </w:rPr>
              <w:t>%</w:t>
            </w:r>
          </w:p>
        </w:tc>
      </w:tr>
      <w:tr>
        <w:trPr>
          <w:trHeight w:val="392" w:hRule="exact"/>
        </w:trPr>
        <w:tc>
          <w:tcPr>
            <w:tcW w:w="1527" w:type="dxa"/>
          </w:tcPr>
          <w:p>
            <w:pPr>
              <w:pStyle w:val="TableParagraph"/>
              <w:rPr>
                <w:sz w:val="22"/>
              </w:rPr>
            </w:pPr>
            <w:r>
              <w:rPr>
                <w:sz w:val="22"/>
              </w:rPr>
              <w:t>PRI-PVEM</w:t>
            </w:r>
          </w:p>
        </w:tc>
        <w:tc>
          <w:tcPr>
            <w:tcW w:w="1985" w:type="dxa"/>
          </w:tcPr>
          <w:p>
            <w:pPr>
              <w:pStyle w:val="TableParagraph"/>
              <w:ind w:left="0" w:right="98"/>
              <w:jc w:val="right"/>
              <w:rPr>
                <w:sz w:val="22"/>
              </w:rPr>
            </w:pPr>
            <w:r>
              <w:rPr>
                <w:sz w:val="22"/>
              </w:rPr>
              <w:t>19,233</w:t>
            </w:r>
          </w:p>
        </w:tc>
        <w:tc>
          <w:tcPr>
            <w:tcW w:w="1274" w:type="dxa"/>
          </w:tcPr>
          <w:p>
            <w:pPr>
              <w:pStyle w:val="TableParagraph"/>
              <w:ind w:left="0" w:right="99"/>
              <w:jc w:val="right"/>
              <w:rPr>
                <w:sz w:val="22"/>
              </w:rPr>
            </w:pPr>
            <w:r>
              <w:rPr>
                <w:sz w:val="22"/>
              </w:rPr>
              <w:t>42.80%</w:t>
            </w:r>
          </w:p>
        </w:tc>
      </w:tr>
      <w:tr>
        <w:trPr>
          <w:trHeight w:val="389" w:hRule="exact"/>
        </w:trPr>
        <w:tc>
          <w:tcPr>
            <w:tcW w:w="1527" w:type="dxa"/>
          </w:tcPr>
          <w:p>
            <w:pPr>
              <w:pStyle w:val="TableParagraph"/>
              <w:spacing w:line="251" w:lineRule="exact"/>
              <w:rPr>
                <w:sz w:val="22"/>
              </w:rPr>
            </w:pPr>
            <w:r>
              <w:rPr>
                <w:sz w:val="22"/>
              </w:rPr>
              <w:t>PRD</w:t>
            </w:r>
          </w:p>
        </w:tc>
        <w:tc>
          <w:tcPr>
            <w:tcW w:w="1985" w:type="dxa"/>
          </w:tcPr>
          <w:p>
            <w:pPr>
              <w:pStyle w:val="TableParagraph"/>
              <w:spacing w:line="251" w:lineRule="exact"/>
              <w:ind w:left="0" w:right="98"/>
              <w:jc w:val="right"/>
              <w:rPr>
                <w:sz w:val="22"/>
              </w:rPr>
            </w:pPr>
            <w:r>
              <w:rPr>
                <w:sz w:val="22"/>
              </w:rPr>
              <w:t>9,246</w:t>
            </w:r>
          </w:p>
        </w:tc>
        <w:tc>
          <w:tcPr>
            <w:tcW w:w="1274" w:type="dxa"/>
          </w:tcPr>
          <w:p>
            <w:pPr>
              <w:pStyle w:val="TableParagraph"/>
              <w:spacing w:line="251" w:lineRule="exact"/>
              <w:ind w:left="0" w:right="99"/>
              <w:jc w:val="right"/>
              <w:rPr>
                <w:sz w:val="22"/>
              </w:rPr>
            </w:pPr>
            <w:r>
              <w:rPr>
                <w:sz w:val="22"/>
              </w:rPr>
              <w:t>20.57%</w:t>
            </w:r>
          </w:p>
        </w:tc>
      </w:tr>
      <w:tr>
        <w:trPr>
          <w:trHeight w:val="389" w:hRule="exact"/>
        </w:trPr>
        <w:tc>
          <w:tcPr>
            <w:tcW w:w="1527" w:type="dxa"/>
          </w:tcPr>
          <w:p>
            <w:pPr>
              <w:pStyle w:val="TableParagraph"/>
              <w:spacing w:line="251" w:lineRule="exact"/>
              <w:rPr>
                <w:sz w:val="22"/>
              </w:rPr>
            </w:pPr>
            <w:r>
              <w:rPr>
                <w:sz w:val="22"/>
              </w:rPr>
              <w:t>PAN</w:t>
            </w:r>
          </w:p>
        </w:tc>
        <w:tc>
          <w:tcPr>
            <w:tcW w:w="1985" w:type="dxa"/>
          </w:tcPr>
          <w:p>
            <w:pPr>
              <w:pStyle w:val="TableParagraph"/>
              <w:spacing w:line="251" w:lineRule="exact"/>
              <w:ind w:left="0" w:right="98"/>
              <w:jc w:val="right"/>
              <w:rPr>
                <w:sz w:val="22"/>
              </w:rPr>
            </w:pPr>
            <w:r>
              <w:rPr>
                <w:sz w:val="22"/>
              </w:rPr>
              <w:t>8,442</w:t>
            </w:r>
          </w:p>
        </w:tc>
        <w:tc>
          <w:tcPr>
            <w:tcW w:w="1274" w:type="dxa"/>
          </w:tcPr>
          <w:p>
            <w:pPr>
              <w:pStyle w:val="TableParagraph"/>
              <w:spacing w:line="251" w:lineRule="exact"/>
              <w:ind w:left="0" w:right="99"/>
              <w:jc w:val="right"/>
              <w:rPr>
                <w:sz w:val="22"/>
              </w:rPr>
            </w:pPr>
            <w:r>
              <w:rPr>
                <w:sz w:val="22"/>
              </w:rPr>
              <w:t>18.78%</w:t>
            </w:r>
          </w:p>
        </w:tc>
      </w:tr>
      <w:tr>
        <w:trPr>
          <w:trHeight w:val="389" w:hRule="exact"/>
        </w:trPr>
        <w:tc>
          <w:tcPr>
            <w:tcW w:w="1527" w:type="dxa"/>
          </w:tcPr>
          <w:p>
            <w:pPr>
              <w:pStyle w:val="TableParagraph"/>
              <w:spacing w:line="251" w:lineRule="exact"/>
              <w:rPr>
                <w:sz w:val="22"/>
              </w:rPr>
            </w:pPr>
            <w:r>
              <w:rPr>
                <w:sz w:val="22"/>
              </w:rPr>
              <w:t>PRD-PT</w:t>
            </w:r>
          </w:p>
        </w:tc>
        <w:tc>
          <w:tcPr>
            <w:tcW w:w="1985" w:type="dxa"/>
          </w:tcPr>
          <w:p>
            <w:pPr>
              <w:pStyle w:val="TableParagraph"/>
              <w:spacing w:line="251" w:lineRule="exact"/>
              <w:ind w:left="0" w:right="98"/>
              <w:jc w:val="right"/>
              <w:rPr>
                <w:sz w:val="22"/>
              </w:rPr>
            </w:pPr>
            <w:r>
              <w:rPr>
                <w:sz w:val="22"/>
              </w:rPr>
              <w:t>4,138</w:t>
            </w:r>
          </w:p>
        </w:tc>
        <w:tc>
          <w:tcPr>
            <w:tcW w:w="1274" w:type="dxa"/>
          </w:tcPr>
          <w:p>
            <w:pPr>
              <w:pStyle w:val="TableParagraph"/>
              <w:spacing w:line="251" w:lineRule="exact"/>
              <w:ind w:left="0" w:right="99"/>
              <w:jc w:val="right"/>
              <w:rPr>
                <w:sz w:val="22"/>
              </w:rPr>
            </w:pPr>
            <w:r>
              <w:rPr>
                <w:sz w:val="22"/>
              </w:rPr>
              <w:t>9.21%</w:t>
            </w:r>
          </w:p>
        </w:tc>
      </w:tr>
      <w:tr>
        <w:trPr>
          <w:trHeight w:val="391" w:hRule="exact"/>
        </w:trPr>
        <w:tc>
          <w:tcPr>
            <w:tcW w:w="1527" w:type="dxa"/>
          </w:tcPr>
          <w:p>
            <w:pPr>
              <w:pStyle w:val="TableParagraph"/>
              <w:rPr>
                <w:sz w:val="22"/>
              </w:rPr>
            </w:pPr>
            <w:r>
              <w:rPr>
                <w:w w:val="100"/>
                <w:sz w:val="22"/>
              </w:rPr>
              <w:t>C</w:t>
            </w:r>
          </w:p>
        </w:tc>
        <w:tc>
          <w:tcPr>
            <w:tcW w:w="1985" w:type="dxa"/>
          </w:tcPr>
          <w:p>
            <w:pPr>
              <w:pStyle w:val="TableParagraph"/>
              <w:ind w:left="0" w:right="98"/>
              <w:jc w:val="right"/>
              <w:rPr>
                <w:sz w:val="22"/>
              </w:rPr>
            </w:pPr>
            <w:r>
              <w:rPr>
                <w:sz w:val="22"/>
              </w:rPr>
              <w:t>2,912</w:t>
            </w:r>
          </w:p>
        </w:tc>
        <w:tc>
          <w:tcPr>
            <w:tcW w:w="1274" w:type="dxa"/>
          </w:tcPr>
          <w:p>
            <w:pPr>
              <w:pStyle w:val="TableParagraph"/>
              <w:ind w:left="0" w:right="99"/>
              <w:jc w:val="right"/>
              <w:rPr>
                <w:sz w:val="22"/>
              </w:rPr>
            </w:pPr>
            <w:r>
              <w:rPr>
                <w:sz w:val="22"/>
              </w:rPr>
              <w:t>6.48%</w:t>
            </w:r>
          </w:p>
        </w:tc>
      </w:tr>
      <w:tr>
        <w:trPr>
          <w:trHeight w:val="389" w:hRule="exact"/>
        </w:trPr>
        <w:tc>
          <w:tcPr>
            <w:tcW w:w="1527" w:type="dxa"/>
          </w:tcPr>
          <w:p>
            <w:pPr>
              <w:pStyle w:val="TableParagraph"/>
              <w:spacing w:line="251" w:lineRule="exact"/>
              <w:rPr>
                <w:sz w:val="22"/>
              </w:rPr>
            </w:pPr>
            <w:r>
              <w:rPr>
                <w:sz w:val="22"/>
              </w:rPr>
              <w:t>PRD-C</w:t>
            </w:r>
          </w:p>
        </w:tc>
        <w:tc>
          <w:tcPr>
            <w:tcW w:w="1985" w:type="dxa"/>
          </w:tcPr>
          <w:p>
            <w:pPr>
              <w:pStyle w:val="TableParagraph"/>
              <w:spacing w:line="251" w:lineRule="exact"/>
              <w:ind w:left="0" w:right="101"/>
              <w:jc w:val="right"/>
              <w:rPr>
                <w:sz w:val="22"/>
              </w:rPr>
            </w:pPr>
            <w:r>
              <w:rPr>
                <w:sz w:val="22"/>
              </w:rPr>
              <w:t>325</w:t>
            </w:r>
          </w:p>
        </w:tc>
        <w:tc>
          <w:tcPr>
            <w:tcW w:w="1274" w:type="dxa"/>
          </w:tcPr>
          <w:p>
            <w:pPr>
              <w:pStyle w:val="TableParagraph"/>
              <w:spacing w:line="251" w:lineRule="exact"/>
              <w:ind w:left="0" w:right="99"/>
              <w:jc w:val="right"/>
              <w:rPr>
                <w:sz w:val="22"/>
              </w:rPr>
            </w:pPr>
            <w:r>
              <w:rPr>
                <w:sz w:val="22"/>
              </w:rPr>
              <w:t>0.72%</w:t>
            </w:r>
          </w:p>
        </w:tc>
      </w:tr>
      <w:tr>
        <w:trPr>
          <w:trHeight w:val="389" w:hRule="exact"/>
        </w:trPr>
        <w:tc>
          <w:tcPr>
            <w:tcW w:w="1527" w:type="dxa"/>
          </w:tcPr>
          <w:p>
            <w:pPr>
              <w:pStyle w:val="TableParagraph"/>
              <w:spacing w:line="251" w:lineRule="exact"/>
              <w:rPr>
                <w:sz w:val="22"/>
              </w:rPr>
            </w:pPr>
            <w:r>
              <w:rPr>
                <w:sz w:val="22"/>
              </w:rPr>
              <w:t>PT</w:t>
            </w:r>
          </w:p>
        </w:tc>
        <w:tc>
          <w:tcPr>
            <w:tcW w:w="1985" w:type="dxa"/>
          </w:tcPr>
          <w:p>
            <w:pPr>
              <w:pStyle w:val="TableParagraph"/>
              <w:spacing w:line="251" w:lineRule="exact"/>
              <w:ind w:left="0" w:right="101"/>
              <w:jc w:val="right"/>
              <w:rPr>
                <w:sz w:val="22"/>
              </w:rPr>
            </w:pPr>
            <w:r>
              <w:rPr>
                <w:sz w:val="22"/>
              </w:rPr>
              <w:t>323</w:t>
            </w:r>
          </w:p>
        </w:tc>
        <w:tc>
          <w:tcPr>
            <w:tcW w:w="1274" w:type="dxa"/>
          </w:tcPr>
          <w:p>
            <w:pPr>
              <w:pStyle w:val="TableParagraph"/>
              <w:spacing w:line="251" w:lineRule="exact"/>
              <w:ind w:left="0" w:right="99"/>
              <w:jc w:val="right"/>
              <w:rPr>
                <w:sz w:val="22"/>
              </w:rPr>
            </w:pPr>
            <w:r>
              <w:rPr>
                <w:sz w:val="22"/>
              </w:rPr>
              <w:t>0.72%</w:t>
            </w:r>
          </w:p>
        </w:tc>
      </w:tr>
      <w:tr>
        <w:trPr>
          <w:trHeight w:val="391" w:hRule="exact"/>
        </w:trPr>
        <w:tc>
          <w:tcPr>
            <w:tcW w:w="1527" w:type="dxa"/>
          </w:tcPr>
          <w:p>
            <w:pPr>
              <w:pStyle w:val="TableParagraph"/>
              <w:spacing w:line="251" w:lineRule="exact"/>
              <w:rPr>
                <w:sz w:val="22"/>
              </w:rPr>
            </w:pPr>
            <w:r>
              <w:rPr>
                <w:sz w:val="22"/>
              </w:rPr>
              <w:t>PRI</w:t>
            </w:r>
          </w:p>
        </w:tc>
        <w:tc>
          <w:tcPr>
            <w:tcW w:w="1985" w:type="dxa"/>
          </w:tcPr>
          <w:p>
            <w:pPr>
              <w:pStyle w:val="TableParagraph"/>
              <w:spacing w:line="251" w:lineRule="exact"/>
              <w:ind w:left="0" w:right="101"/>
              <w:jc w:val="right"/>
              <w:rPr>
                <w:sz w:val="22"/>
              </w:rPr>
            </w:pPr>
            <w:r>
              <w:rPr>
                <w:sz w:val="22"/>
              </w:rPr>
              <w:t>305</w:t>
            </w:r>
          </w:p>
        </w:tc>
        <w:tc>
          <w:tcPr>
            <w:tcW w:w="1274" w:type="dxa"/>
          </w:tcPr>
          <w:p>
            <w:pPr>
              <w:pStyle w:val="TableParagraph"/>
              <w:spacing w:line="251" w:lineRule="exact"/>
              <w:ind w:left="0" w:right="99"/>
              <w:jc w:val="right"/>
              <w:rPr>
                <w:sz w:val="22"/>
              </w:rPr>
            </w:pPr>
            <w:r>
              <w:rPr>
                <w:sz w:val="22"/>
              </w:rPr>
              <w:t>0.68%</w:t>
            </w:r>
          </w:p>
        </w:tc>
      </w:tr>
      <w:tr>
        <w:trPr>
          <w:trHeight w:val="389" w:hRule="exact"/>
        </w:trPr>
        <w:tc>
          <w:tcPr>
            <w:tcW w:w="1527" w:type="dxa"/>
          </w:tcPr>
          <w:p>
            <w:pPr>
              <w:pStyle w:val="TableParagraph"/>
              <w:spacing w:line="251" w:lineRule="exact"/>
              <w:rPr>
                <w:sz w:val="22"/>
              </w:rPr>
            </w:pPr>
            <w:r>
              <w:rPr>
                <w:sz w:val="22"/>
              </w:rPr>
              <w:t>PT-C</w:t>
            </w:r>
          </w:p>
        </w:tc>
        <w:tc>
          <w:tcPr>
            <w:tcW w:w="1985" w:type="dxa"/>
          </w:tcPr>
          <w:p>
            <w:pPr>
              <w:pStyle w:val="TableParagraph"/>
              <w:spacing w:line="251" w:lineRule="exact"/>
              <w:ind w:left="0" w:right="101"/>
              <w:jc w:val="right"/>
              <w:rPr>
                <w:sz w:val="22"/>
              </w:rPr>
            </w:pPr>
            <w:r>
              <w:rPr>
                <w:sz w:val="22"/>
              </w:rPr>
              <w:t>18</w:t>
            </w:r>
          </w:p>
        </w:tc>
        <w:tc>
          <w:tcPr>
            <w:tcW w:w="1274" w:type="dxa"/>
          </w:tcPr>
          <w:p>
            <w:pPr>
              <w:pStyle w:val="TableParagraph"/>
              <w:spacing w:line="251" w:lineRule="exact"/>
              <w:ind w:left="0" w:right="99"/>
              <w:jc w:val="right"/>
              <w:rPr>
                <w:sz w:val="22"/>
              </w:rPr>
            </w:pPr>
            <w:r>
              <w:rPr>
                <w:sz w:val="22"/>
              </w:rPr>
              <w:t>0.04%</w:t>
            </w:r>
          </w:p>
        </w:tc>
      </w:tr>
      <w:tr>
        <w:trPr>
          <w:trHeight w:val="389" w:hRule="exact"/>
        </w:trPr>
        <w:tc>
          <w:tcPr>
            <w:tcW w:w="1527" w:type="dxa"/>
            <w:shd w:val="clear" w:color="auto" w:fill="BEBEBE"/>
          </w:tcPr>
          <w:p>
            <w:pPr>
              <w:pStyle w:val="TableParagraph"/>
              <w:spacing w:line="251" w:lineRule="exact"/>
              <w:rPr>
                <w:sz w:val="22"/>
              </w:rPr>
            </w:pPr>
            <w:r>
              <w:rPr>
                <w:sz w:val="22"/>
              </w:rPr>
              <w:t>Total</w:t>
            </w:r>
          </w:p>
        </w:tc>
        <w:tc>
          <w:tcPr>
            <w:tcW w:w="1985" w:type="dxa"/>
            <w:shd w:val="clear" w:color="auto" w:fill="BEBEBE"/>
          </w:tcPr>
          <w:p>
            <w:pPr>
              <w:pStyle w:val="TableParagraph"/>
              <w:spacing w:line="251" w:lineRule="exact"/>
              <w:ind w:left="0" w:right="98"/>
              <w:jc w:val="right"/>
              <w:rPr>
                <w:sz w:val="22"/>
              </w:rPr>
            </w:pPr>
            <w:r>
              <w:rPr>
                <w:sz w:val="22"/>
              </w:rPr>
              <w:t>44,942</w:t>
            </w:r>
          </w:p>
        </w:tc>
        <w:tc>
          <w:tcPr>
            <w:tcW w:w="1274" w:type="dxa"/>
            <w:shd w:val="clear" w:color="auto" w:fill="BEBEBE"/>
          </w:tcPr>
          <w:p>
            <w:pPr>
              <w:pStyle w:val="TableParagraph"/>
              <w:spacing w:line="251" w:lineRule="exact"/>
              <w:ind w:left="0" w:right="99"/>
              <w:jc w:val="right"/>
              <w:rPr>
                <w:sz w:val="22"/>
              </w:rPr>
            </w:pPr>
            <w:r>
              <w:rPr>
                <w:sz w:val="22"/>
              </w:rPr>
              <w:t>100%</w:t>
            </w:r>
          </w:p>
        </w:tc>
      </w:tr>
    </w:tbl>
    <w:p>
      <w:pPr>
        <w:spacing w:line="240" w:lineRule="auto" w:before="0"/>
        <w:ind w:left="102" w:right="119" w:firstLine="0"/>
        <w:jc w:val="both"/>
        <w:rPr>
          <w:sz w:val="22"/>
        </w:rPr>
      </w:pPr>
      <w:r>
        <w:rPr>
          <w:sz w:val="22"/>
        </w:rPr>
        <w:t>Nota: los porcentajes señalados en las conclusiones del monitoreo  cuantitativo presentado por el IEEM no coinciden con los datos presentados al inicio del reporte, motivo por el cual elaboré los porcentajes basándome en los datos presentados al inicio del monitoreo. Fuente: elaboración propia tomando datos del Instituto Electoral del Estado de México Reporte Final (INFOEM, 2013).</w:t>
      </w:r>
    </w:p>
    <w:p>
      <w:pPr>
        <w:spacing w:after="0" w:line="240" w:lineRule="auto"/>
        <w:jc w:val="both"/>
        <w:rPr>
          <w:sz w:val="22"/>
        </w:rPr>
        <w:sectPr>
          <w:pgSz w:w="12240" w:h="15840"/>
          <w:pgMar w:header="749" w:footer="1003" w:top="960" w:bottom="1200" w:left="1600" w:right="1580"/>
        </w:sectPr>
      </w:pPr>
    </w:p>
    <w:p>
      <w:pPr>
        <w:pStyle w:val="BodyText"/>
        <w:rPr>
          <w:sz w:val="20"/>
        </w:rPr>
      </w:pPr>
    </w:p>
    <w:p>
      <w:pPr>
        <w:pStyle w:val="BodyText"/>
        <w:spacing w:line="360" w:lineRule="auto" w:before="214"/>
        <w:ind w:left="102" w:right="115" w:firstLine="707"/>
        <w:jc w:val="both"/>
      </w:pPr>
      <w:r>
        <w:rPr/>
        <w:t>El IEEM implementó el monitoreo de medios alternos durante el proceso electoral de 2005-2006. Para realizar dicho monitoreo el órgano electoral a través de la Comisión de Radiodifusión y Propaganda realizó un convenio con la Facultad de Ciencias Políticas y Administración Pública de la Universidad Autónoma del Estado de México para recibir asesoría con relación al Proyecto de Monitoreo a Medios Alternos que realizaría el IEEM en los procesos electorales  2005-2006 para elecciones de Diputados y representantes de Ayuntamientos.</w:t>
      </w:r>
    </w:p>
    <w:p>
      <w:pPr>
        <w:pStyle w:val="BodyText"/>
        <w:spacing w:line="360" w:lineRule="auto" w:before="5"/>
        <w:ind w:left="102" w:right="114" w:firstLine="707"/>
        <w:jc w:val="both"/>
      </w:pPr>
      <w:r>
        <w:rPr/>
        <w:t>La Dirección de Partidos Políticos realizó el monitoreo a medios alternos el cual no sólo registró espectaculares sino también: bardas, lonas, carteles, utensilios, gallardetes, etcétera (IEEM, 2007) para ello contrató 300 motoristas y</w:t>
      </w:r>
    </w:p>
    <w:p>
      <w:pPr>
        <w:pStyle w:val="BodyText"/>
        <w:spacing w:line="360" w:lineRule="auto" w:before="2"/>
        <w:ind w:left="102" w:right="114"/>
        <w:jc w:val="both"/>
      </w:pPr>
      <w:r>
        <w:rPr/>
        <w:t>18 coordinadores de monitoreo los cuales cada semana remitían un informe parcial y cada quince días uno oficial. De acuerdo con datos del </w:t>
      </w:r>
      <w:r>
        <w:rPr>
          <w:color w:val="333333"/>
        </w:rPr>
        <w:t>último reporte el grueso de la propaganda se presentó en medios alternos, de ella, un 70 </w:t>
      </w:r>
      <w:r>
        <w:rPr>
          <w:color w:val="333333"/>
          <w:spacing w:val="3"/>
        </w:rPr>
        <w:t>por  </w:t>
      </w:r>
      <w:r>
        <w:rPr>
          <w:color w:val="333333"/>
        </w:rPr>
        <w:t>ciento, se dio en gallardetes (es por eso que se observaron avenidas enteras repletas de propaganda colgada). Al final del proceso 2005-2006 se estableció un tarifario regional con base en la información recabada. El trabajo de levantamiento de la información se efectuó en el periodo del 28 de diciembre de 2005 al 12 de marzo del 2006; tanto en el ámbito municipal como en el distrital, contando con el apoyo de los Vocales de Organización de las 45 Juntas Distritales en el Estado de México.</w:t>
      </w:r>
    </w:p>
    <w:p>
      <w:pPr>
        <w:pStyle w:val="BodyText"/>
        <w:spacing w:line="360" w:lineRule="auto" w:before="2"/>
        <w:ind w:left="102" w:right="112" w:firstLine="707"/>
        <w:jc w:val="both"/>
      </w:pPr>
      <w:r>
        <w:rPr>
          <w:color w:val="333333"/>
        </w:rPr>
        <w:t>La propaganda electoral en medios alternos es muy diversa y por lo tanto  su registro es complejo, por ello los monitoristas recibieron una capacitación para saber que se considera propaganda electoral (no confundirla con la preelectoral); cómo registrar su ubicación, medidas, características, logos, emblemas, mensajes de campaña, candidatos, etcétera; y cómo tomar evidencias fotográficas. De acuerdo con lo anterior se registró la propaganda presente en: b</w:t>
      </w:r>
      <w:r>
        <w:rPr/>
        <w:t>ardas; anuncios espectaculares de estructura metálica ya sea que estuvieran en forma panorámica o sobre las calles o avenidas; los gallardetes, las unidades de servicio público y estaciones del metro, entre</w:t>
      </w:r>
      <w:r>
        <w:rPr>
          <w:spacing w:val="-10"/>
        </w:rPr>
        <w:t> </w:t>
      </w:r>
      <w:r>
        <w:rPr/>
        <w:t>otros.</w:t>
      </w:r>
    </w:p>
    <w:p>
      <w:pPr>
        <w:pStyle w:val="BodyText"/>
        <w:spacing w:line="360" w:lineRule="auto" w:before="2"/>
        <w:ind w:left="102" w:right="118" w:firstLine="707"/>
        <w:jc w:val="both"/>
      </w:pPr>
      <w:r>
        <w:rPr/>
        <w:t>Para evitar la duplicidad en el registro de los autobuses se anotó el número de placas de la unidad, el número económico y/o la razón social, el emblema del</w:t>
      </w:r>
    </w:p>
    <w:p>
      <w:pPr>
        <w:spacing w:after="0" w:line="360" w:lineRule="auto"/>
        <w:jc w:val="both"/>
        <w:sectPr>
          <w:pgSz w:w="12240" w:h="15840"/>
          <w:pgMar w:header="749" w:footer="1003" w:top="960" w:bottom="1200" w:left="1600" w:right="1580"/>
        </w:sectPr>
      </w:pPr>
    </w:p>
    <w:p>
      <w:pPr>
        <w:pStyle w:val="BodyText"/>
        <w:rPr>
          <w:sz w:val="20"/>
        </w:rPr>
      </w:pPr>
    </w:p>
    <w:p>
      <w:pPr>
        <w:pStyle w:val="BodyText"/>
        <w:spacing w:line="360" w:lineRule="auto" w:before="214"/>
        <w:ind w:left="102" w:right="115"/>
        <w:jc w:val="both"/>
      </w:pPr>
      <w:r>
        <w:rPr/>
        <w:t>partido político, coalición o candidato, el tipo de propaganda, ya sea calcomanías, forro completo, medio forro, en el medallón, en los laterales, propaganda en el exterior como mantas o lonas; en la medida de lo posible los monitoristas acudieron a los paraderos o terminales de autobuses. También en las demarcaciones de los distritos electorales donde se encontraban líneas del metro, se recorrió la parte exterior del metro así como el interior de los vagones.</w:t>
      </w:r>
    </w:p>
    <w:p>
      <w:pPr>
        <w:pStyle w:val="BodyText"/>
        <w:spacing w:line="360" w:lineRule="auto" w:before="2"/>
        <w:ind w:left="102" w:right="116" w:firstLine="707"/>
        <w:jc w:val="both"/>
      </w:pPr>
      <w:r>
        <w:rPr/>
        <w:t>Se registró también el tamaño y número de gallardetes con el emblema del partido político, coalición o candidato; sí como cualquier otra publicidad observada en pantallas electrónicas, parabuses, dirigibles, volantes, inflables, mantas, vinilonas, chamarras, gorras, playeras, folletos, cartas de invitación a votar, balones, utensilios de cocina, cubetas, pulseras, perifoneo entre otros, con el emblema del partido político, coalición o candidato. En el caso de las vallas estáticas en los estadios, se utilizó el monitoreo en medios electrónicos para constatar su existencia (CGIEEM, 2005b: 36-37).</w:t>
      </w:r>
    </w:p>
    <w:p>
      <w:pPr>
        <w:pStyle w:val="BodyText"/>
        <w:spacing w:line="360" w:lineRule="auto" w:before="2"/>
        <w:ind w:left="102" w:right="122" w:firstLine="707"/>
        <w:jc w:val="both"/>
      </w:pPr>
      <w:r>
        <w:rPr/>
        <w:t>A diferencia de los monitoreos de espacios noticiosos y de promocionales, en los cuales se elaboraron informes y se hicieron públicos; en los monitoreos de medios alternos no fue así y sólo se tomaron en cuanta para la fiscalización de los partidos políticos, motivo por el cual no fueron evaluados.</w:t>
      </w:r>
    </w:p>
    <w:p>
      <w:pPr>
        <w:pStyle w:val="BodyText"/>
        <w:spacing w:line="360" w:lineRule="auto" w:before="2"/>
        <w:ind w:left="102" w:right="114" w:firstLine="707"/>
        <w:jc w:val="both"/>
      </w:pPr>
      <w:r>
        <w:rPr/>
        <w:t>Con respecto al monitoreo cualitativo que realizó el IEEM, se observó que el número de notas periodísticas que se encontraron en el periodo monitoreado fue de 5, 106 de las cuales 222 fueron positivas (4.35%), 367 negativas (7.19%) y 4517 neutras (88.46%) (ver cuadro 4.9). De acuerdo con los datos anteriores dicho monitoreo recibe una evaluación baja (1.0) al tener el 88.46% de notas neutras y un porcentaje alto de notas negativas, de lo anterior se desprende que los medios de comunicación no fueron equitativos en la cobertura de la campaña.</w:t>
      </w:r>
    </w:p>
    <w:p>
      <w:pPr>
        <w:spacing w:after="0" w:line="360" w:lineRule="auto"/>
        <w:jc w:val="both"/>
        <w:sectPr>
          <w:pgSz w:w="12240" w:h="15840"/>
          <w:pgMar w:header="749" w:footer="1003" w:top="960" w:bottom="1200" w:left="1600" w:right="1580"/>
        </w:sectPr>
      </w:pPr>
    </w:p>
    <w:p>
      <w:pPr>
        <w:pStyle w:val="BodyText"/>
        <w:rPr>
          <w:sz w:val="20"/>
        </w:rPr>
      </w:pPr>
    </w:p>
    <w:p>
      <w:pPr>
        <w:pStyle w:val="BodyText"/>
        <w:rPr>
          <w:sz w:val="20"/>
        </w:rPr>
      </w:pPr>
    </w:p>
    <w:p>
      <w:pPr>
        <w:pStyle w:val="BodyText"/>
        <w:spacing w:before="8"/>
        <w:rPr>
          <w:sz w:val="28"/>
        </w:rPr>
      </w:pPr>
    </w:p>
    <w:p>
      <w:pPr>
        <w:pStyle w:val="Heading2"/>
        <w:spacing w:before="70"/>
        <w:ind w:left="231" w:right="248"/>
      </w:pPr>
      <w:r>
        <w:rPr/>
        <w:t>Cuadro 4.9</w:t>
      </w:r>
    </w:p>
    <w:p>
      <w:pPr>
        <w:spacing w:before="137"/>
        <w:ind w:left="231" w:right="246" w:firstLine="0"/>
        <w:jc w:val="center"/>
        <w:rPr>
          <w:b/>
          <w:sz w:val="24"/>
        </w:rPr>
      </w:pPr>
      <w:r>
        <w:rPr>
          <w:b/>
          <w:sz w:val="24"/>
        </w:rPr>
        <w:t>Monitoreo cualitativo (IEEM 2006)</w:t>
      </w:r>
    </w:p>
    <w:p>
      <w:pPr>
        <w:pStyle w:val="BodyText"/>
        <w:rPr>
          <w:b/>
          <w:sz w:val="20"/>
        </w:rPr>
      </w:pPr>
    </w:p>
    <w:p>
      <w:pPr>
        <w:pStyle w:val="BodyText"/>
        <w:spacing w:before="3"/>
        <w:rPr>
          <w:b/>
          <w:sz w:val="28"/>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70"/>
        <w:gridCol w:w="984"/>
        <w:gridCol w:w="1088"/>
        <w:gridCol w:w="914"/>
        <w:gridCol w:w="994"/>
        <w:gridCol w:w="989"/>
        <w:gridCol w:w="1030"/>
        <w:gridCol w:w="989"/>
        <w:gridCol w:w="999"/>
      </w:tblGrid>
      <w:tr>
        <w:trPr>
          <w:trHeight w:val="469" w:hRule="exact"/>
        </w:trPr>
        <w:tc>
          <w:tcPr>
            <w:tcW w:w="1070" w:type="dxa"/>
            <w:shd w:val="clear" w:color="auto" w:fill="D9D9D9"/>
          </w:tcPr>
          <w:p>
            <w:pPr>
              <w:pStyle w:val="TableParagraph"/>
              <w:spacing w:line="226" w:lineRule="exact"/>
              <w:ind w:left="184" w:right="147"/>
              <w:rPr>
                <w:b/>
                <w:sz w:val="20"/>
              </w:rPr>
            </w:pPr>
            <w:r>
              <w:rPr>
                <w:b/>
                <w:sz w:val="20"/>
              </w:rPr>
              <w:t>Partido</w:t>
            </w:r>
          </w:p>
        </w:tc>
        <w:tc>
          <w:tcPr>
            <w:tcW w:w="984" w:type="dxa"/>
            <w:shd w:val="clear" w:color="auto" w:fill="D9D9D9"/>
          </w:tcPr>
          <w:p>
            <w:pPr>
              <w:pStyle w:val="TableParagraph"/>
              <w:spacing w:line="228" w:lineRule="exact" w:before="1"/>
              <w:ind w:left="220" w:right="162" w:hanging="39"/>
              <w:rPr>
                <w:b/>
                <w:sz w:val="20"/>
              </w:rPr>
            </w:pPr>
            <w:r>
              <w:rPr>
                <w:b/>
                <w:sz w:val="20"/>
              </w:rPr>
              <w:t>No. de notas</w:t>
            </w:r>
          </w:p>
        </w:tc>
        <w:tc>
          <w:tcPr>
            <w:tcW w:w="1088" w:type="dxa"/>
            <w:shd w:val="clear" w:color="auto" w:fill="D9D9D9"/>
          </w:tcPr>
          <w:p>
            <w:pPr>
              <w:pStyle w:val="TableParagraph"/>
              <w:spacing w:line="226" w:lineRule="exact"/>
              <w:ind w:left="0" w:right="1"/>
              <w:jc w:val="center"/>
              <w:rPr>
                <w:b/>
                <w:sz w:val="20"/>
              </w:rPr>
            </w:pPr>
            <w:r>
              <w:rPr>
                <w:b/>
                <w:w w:val="99"/>
                <w:sz w:val="20"/>
              </w:rPr>
              <w:t>%</w:t>
            </w:r>
          </w:p>
        </w:tc>
        <w:tc>
          <w:tcPr>
            <w:tcW w:w="914" w:type="dxa"/>
            <w:shd w:val="clear" w:color="auto" w:fill="D9D9D9"/>
          </w:tcPr>
          <w:p>
            <w:pPr>
              <w:pStyle w:val="TableParagraph"/>
              <w:spacing w:line="226" w:lineRule="exact"/>
              <w:ind w:left="300"/>
              <w:rPr>
                <w:b/>
                <w:sz w:val="20"/>
              </w:rPr>
            </w:pPr>
            <w:r>
              <w:rPr>
                <w:b/>
                <w:sz w:val="20"/>
              </w:rPr>
              <w:t>MP</w:t>
            </w:r>
          </w:p>
        </w:tc>
        <w:tc>
          <w:tcPr>
            <w:tcW w:w="994" w:type="dxa"/>
            <w:shd w:val="clear" w:color="auto" w:fill="D9D9D9"/>
          </w:tcPr>
          <w:p>
            <w:pPr>
              <w:pStyle w:val="TableParagraph"/>
              <w:spacing w:line="226" w:lineRule="exact"/>
              <w:ind w:left="0" w:right="3"/>
              <w:jc w:val="center"/>
              <w:rPr>
                <w:b/>
                <w:sz w:val="20"/>
              </w:rPr>
            </w:pPr>
            <w:r>
              <w:rPr>
                <w:b/>
                <w:w w:val="99"/>
                <w:sz w:val="20"/>
              </w:rPr>
              <w:t>%</w:t>
            </w:r>
          </w:p>
        </w:tc>
        <w:tc>
          <w:tcPr>
            <w:tcW w:w="989" w:type="dxa"/>
            <w:shd w:val="clear" w:color="auto" w:fill="D9D9D9"/>
          </w:tcPr>
          <w:p>
            <w:pPr>
              <w:pStyle w:val="TableParagraph"/>
              <w:spacing w:line="226" w:lineRule="exact"/>
              <w:ind w:left="216"/>
              <w:rPr>
                <w:b/>
                <w:sz w:val="20"/>
              </w:rPr>
            </w:pPr>
            <w:r>
              <w:rPr>
                <w:b/>
                <w:sz w:val="20"/>
              </w:rPr>
              <w:t>MNeu</w:t>
            </w:r>
          </w:p>
        </w:tc>
        <w:tc>
          <w:tcPr>
            <w:tcW w:w="1030" w:type="dxa"/>
            <w:shd w:val="clear" w:color="auto" w:fill="D9D9D9"/>
          </w:tcPr>
          <w:p>
            <w:pPr>
              <w:pStyle w:val="TableParagraph"/>
              <w:spacing w:line="226" w:lineRule="exact"/>
              <w:ind w:left="0"/>
              <w:jc w:val="center"/>
              <w:rPr>
                <w:b/>
                <w:sz w:val="20"/>
              </w:rPr>
            </w:pPr>
            <w:r>
              <w:rPr>
                <w:b/>
                <w:w w:val="99"/>
                <w:sz w:val="20"/>
              </w:rPr>
              <w:t>%</w:t>
            </w:r>
          </w:p>
        </w:tc>
        <w:tc>
          <w:tcPr>
            <w:tcW w:w="989" w:type="dxa"/>
            <w:shd w:val="clear" w:color="auto" w:fill="D9D9D9"/>
          </w:tcPr>
          <w:p>
            <w:pPr>
              <w:pStyle w:val="TableParagraph"/>
              <w:spacing w:line="226" w:lineRule="exact"/>
              <w:ind w:left="216"/>
              <w:rPr>
                <w:b/>
                <w:sz w:val="20"/>
              </w:rPr>
            </w:pPr>
            <w:r>
              <w:rPr>
                <w:b/>
                <w:sz w:val="20"/>
              </w:rPr>
              <w:t>MNeg</w:t>
            </w:r>
          </w:p>
        </w:tc>
        <w:tc>
          <w:tcPr>
            <w:tcW w:w="999" w:type="dxa"/>
            <w:shd w:val="clear" w:color="auto" w:fill="D9D9D9"/>
          </w:tcPr>
          <w:p>
            <w:pPr>
              <w:pStyle w:val="TableParagraph"/>
              <w:spacing w:line="226" w:lineRule="exact"/>
              <w:ind w:left="0" w:right="2"/>
              <w:jc w:val="center"/>
              <w:rPr>
                <w:b/>
                <w:sz w:val="20"/>
              </w:rPr>
            </w:pPr>
            <w:r>
              <w:rPr>
                <w:b/>
                <w:w w:val="99"/>
                <w:sz w:val="20"/>
              </w:rPr>
              <w:t>%</w:t>
            </w:r>
          </w:p>
        </w:tc>
      </w:tr>
      <w:tr>
        <w:trPr>
          <w:trHeight w:val="470" w:hRule="exact"/>
        </w:trPr>
        <w:tc>
          <w:tcPr>
            <w:tcW w:w="1070" w:type="dxa"/>
          </w:tcPr>
          <w:p>
            <w:pPr>
              <w:pStyle w:val="TableParagraph"/>
              <w:ind w:right="147"/>
              <w:rPr>
                <w:sz w:val="20"/>
              </w:rPr>
            </w:pPr>
            <w:r>
              <w:rPr>
                <w:sz w:val="20"/>
              </w:rPr>
              <w:t>PRI- </w:t>
            </w:r>
            <w:r>
              <w:rPr>
                <w:w w:val="95"/>
                <w:sz w:val="20"/>
              </w:rPr>
              <w:t>PVEM</w:t>
            </w:r>
          </w:p>
        </w:tc>
        <w:tc>
          <w:tcPr>
            <w:tcW w:w="984" w:type="dxa"/>
          </w:tcPr>
          <w:p>
            <w:pPr>
              <w:pStyle w:val="TableParagraph"/>
              <w:spacing w:line="226" w:lineRule="exact"/>
              <w:ind w:left="350" w:right="82"/>
              <w:jc w:val="center"/>
              <w:rPr>
                <w:sz w:val="20"/>
              </w:rPr>
            </w:pPr>
            <w:r>
              <w:rPr>
                <w:sz w:val="20"/>
              </w:rPr>
              <w:t>2,614</w:t>
            </w:r>
          </w:p>
          <w:p>
            <w:pPr>
              <w:pStyle w:val="TableParagraph"/>
              <w:spacing w:line="229" w:lineRule="exact"/>
              <w:ind w:left="536" w:right="82"/>
              <w:jc w:val="center"/>
              <w:rPr>
                <w:b/>
                <w:sz w:val="20"/>
              </w:rPr>
            </w:pPr>
            <w:r>
              <w:rPr>
                <w:b/>
                <w:sz w:val="20"/>
              </w:rPr>
              <w:t>(-1)</w:t>
            </w:r>
          </w:p>
        </w:tc>
        <w:tc>
          <w:tcPr>
            <w:tcW w:w="1088" w:type="dxa"/>
          </w:tcPr>
          <w:p>
            <w:pPr>
              <w:pStyle w:val="TableParagraph"/>
              <w:spacing w:line="227" w:lineRule="exact"/>
              <w:ind w:left="0" w:right="104"/>
              <w:jc w:val="right"/>
              <w:rPr>
                <w:sz w:val="20"/>
              </w:rPr>
            </w:pPr>
            <w:r>
              <w:rPr>
                <w:w w:val="95"/>
                <w:sz w:val="20"/>
              </w:rPr>
              <w:t>51.19%</w:t>
            </w:r>
          </w:p>
        </w:tc>
        <w:tc>
          <w:tcPr>
            <w:tcW w:w="914" w:type="dxa"/>
          </w:tcPr>
          <w:p>
            <w:pPr>
              <w:pStyle w:val="TableParagraph"/>
              <w:spacing w:line="227" w:lineRule="exact"/>
              <w:ind w:left="0" w:right="103"/>
              <w:jc w:val="right"/>
              <w:rPr>
                <w:sz w:val="20"/>
              </w:rPr>
            </w:pPr>
            <w:r>
              <w:rPr>
                <w:sz w:val="20"/>
              </w:rPr>
              <w:t>149</w:t>
            </w:r>
          </w:p>
        </w:tc>
        <w:tc>
          <w:tcPr>
            <w:tcW w:w="994" w:type="dxa"/>
          </w:tcPr>
          <w:p>
            <w:pPr>
              <w:pStyle w:val="TableParagraph"/>
              <w:spacing w:line="227" w:lineRule="exact"/>
              <w:ind w:left="0" w:right="107"/>
              <w:jc w:val="right"/>
              <w:rPr>
                <w:sz w:val="20"/>
              </w:rPr>
            </w:pPr>
            <w:r>
              <w:rPr>
                <w:sz w:val="20"/>
              </w:rPr>
              <w:t>2.92%</w:t>
            </w:r>
          </w:p>
        </w:tc>
        <w:tc>
          <w:tcPr>
            <w:tcW w:w="989" w:type="dxa"/>
          </w:tcPr>
          <w:p>
            <w:pPr>
              <w:pStyle w:val="TableParagraph"/>
              <w:spacing w:line="227" w:lineRule="exact"/>
              <w:ind w:left="0" w:right="103"/>
              <w:jc w:val="right"/>
              <w:rPr>
                <w:sz w:val="20"/>
              </w:rPr>
            </w:pPr>
            <w:r>
              <w:rPr>
                <w:sz w:val="20"/>
              </w:rPr>
              <w:t>2378</w:t>
            </w:r>
          </w:p>
        </w:tc>
        <w:tc>
          <w:tcPr>
            <w:tcW w:w="1030" w:type="dxa"/>
          </w:tcPr>
          <w:p>
            <w:pPr>
              <w:pStyle w:val="TableParagraph"/>
              <w:spacing w:line="227" w:lineRule="exact"/>
              <w:ind w:left="0" w:right="104"/>
              <w:jc w:val="right"/>
              <w:rPr>
                <w:sz w:val="20"/>
              </w:rPr>
            </w:pPr>
            <w:r>
              <w:rPr>
                <w:w w:val="95"/>
                <w:sz w:val="20"/>
              </w:rPr>
              <w:t>46.57%</w:t>
            </w:r>
          </w:p>
        </w:tc>
        <w:tc>
          <w:tcPr>
            <w:tcW w:w="989" w:type="dxa"/>
          </w:tcPr>
          <w:p>
            <w:pPr>
              <w:pStyle w:val="TableParagraph"/>
              <w:spacing w:line="227" w:lineRule="exact"/>
              <w:ind w:left="0" w:right="103"/>
              <w:jc w:val="right"/>
              <w:rPr>
                <w:sz w:val="20"/>
              </w:rPr>
            </w:pPr>
            <w:r>
              <w:rPr>
                <w:sz w:val="20"/>
              </w:rPr>
              <w:t>86</w:t>
            </w:r>
          </w:p>
        </w:tc>
        <w:tc>
          <w:tcPr>
            <w:tcW w:w="999" w:type="dxa"/>
          </w:tcPr>
          <w:p>
            <w:pPr>
              <w:pStyle w:val="TableParagraph"/>
              <w:spacing w:line="227" w:lineRule="exact"/>
              <w:ind w:left="0" w:right="107"/>
              <w:jc w:val="right"/>
              <w:rPr>
                <w:sz w:val="20"/>
              </w:rPr>
            </w:pPr>
            <w:r>
              <w:rPr>
                <w:sz w:val="20"/>
              </w:rPr>
              <w:t>1.68%</w:t>
            </w:r>
          </w:p>
        </w:tc>
      </w:tr>
      <w:tr>
        <w:trPr>
          <w:trHeight w:val="240" w:hRule="exact"/>
        </w:trPr>
        <w:tc>
          <w:tcPr>
            <w:tcW w:w="1070" w:type="dxa"/>
          </w:tcPr>
          <w:p>
            <w:pPr>
              <w:pStyle w:val="TableParagraph"/>
              <w:spacing w:line="227" w:lineRule="exact"/>
              <w:ind w:right="147"/>
              <w:rPr>
                <w:sz w:val="20"/>
              </w:rPr>
            </w:pPr>
            <w:r>
              <w:rPr>
                <w:sz w:val="20"/>
              </w:rPr>
              <w:t>PAN</w:t>
            </w:r>
          </w:p>
        </w:tc>
        <w:tc>
          <w:tcPr>
            <w:tcW w:w="984" w:type="dxa"/>
          </w:tcPr>
          <w:p>
            <w:pPr>
              <w:pStyle w:val="TableParagraph"/>
              <w:spacing w:line="227" w:lineRule="exact"/>
              <w:ind w:left="0" w:right="103"/>
              <w:jc w:val="right"/>
              <w:rPr>
                <w:sz w:val="20"/>
              </w:rPr>
            </w:pPr>
            <w:r>
              <w:rPr>
                <w:sz w:val="20"/>
              </w:rPr>
              <w:t>976</w:t>
            </w:r>
          </w:p>
        </w:tc>
        <w:tc>
          <w:tcPr>
            <w:tcW w:w="1088" w:type="dxa"/>
          </w:tcPr>
          <w:p>
            <w:pPr>
              <w:pStyle w:val="TableParagraph"/>
              <w:spacing w:line="227" w:lineRule="exact"/>
              <w:ind w:left="0" w:right="104"/>
              <w:jc w:val="right"/>
              <w:rPr>
                <w:sz w:val="20"/>
              </w:rPr>
            </w:pPr>
            <w:r>
              <w:rPr>
                <w:w w:val="95"/>
                <w:sz w:val="20"/>
              </w:rPr>
              <w:t>19.11%</w:t>
            </w:r>
          </w:p>
        </w:tc>
        <w:tc>
          <w:tcPr>
            <w:tcW w:w="914" w:type="dxa"/>
          </w:tcPr>
          <w:p>
            <w:pPr>
              <w:pStyle w:val="TableParagraph"/>
              <w:spacing w:line="227" w:lineRule="exact"/>
              <w:ind w:left="0" w:right="103"/>
              <w:jc w:val="right"/>
              <w:rPr>
                <w:sz w:val="20"/>
              </w:rPr>
            </w:pPr>
            <w:r>
              <w:rPr>
                <w:sz w:val="20"/>
              </w:rPr>
              <w:t>36</w:t>
            </w:r>
          </w:p>
        </w:tc>
        <w:tc>
          <w:tcPr>
            <w:tcW w:w="994" w:type="dxa"/>
          </w:tcPr>
          <w:p>
            <w:pPr>
              <w:pStyle w:val="TableParagraph"/>
              <w:spacing w:line="227" w:lineRule="exact"/>
              <w:ind w:left="0" w:right="107"/>
              <w:jc w:val="right"/>
              <w:rPr>
                <w:sz w:val="20"/>
              </w:rPr>
            </w:pPr>
            <w:r>
              <w:rPr>
                <w:sz w:val="20"/>
              </w:rPr>
              <w:t>0.71%</w:t>
            </w:r>
          </w:p>
        </w:tc>
        <w:tc>
          <w:tcPr>
            <w:tcW w:w="989" w:type="dxa"/>
          </w:tcPr>
          <w:p>
            <w:pPr>
              <w:pStyle w:val="TableParagraph"/>
              <w:spacing w:line="227" w:lineRule="exact"/>
              <w:ind w:left="0" w:right="103"/>
              <w:jc w:val="right"/>
              <w:rPr>
                <w:sz w:val="20"/>
              </w:rPr>
            </w:pPr>
            <w:r>
              <w:rPr>
                <w:sz w:val="20"/>
              </w:rPr>
              <w:t>856</w:t>
            </w:r>
          </w:p>
        </w:tc>
        <w:tc>
          <w:tcPr>
            <w:tcW w:w="1030" w:type="dxa"/>
          </w:tcPr>
          <w:p>
            <w:pPr>
              <w:pStyle w:val="TableParagraph"/>
              <w:spacing w:line="227" w:lineRule="exact"/>
              <w:ind w:left="0" w:right="104"/>
              <w:jc w:val="right"/>
              <w:rPr>
                <w:sz w:val="20"/>
              </w:rPr>
            </w:pPr>
            <w:r>
              <w:rPr>
                <w:w w:val="95"/>
                <w:sz w:val="20"/>
              </w:rPr>
              <w:t>16.76%</w:t>
            </w:r>
          </w:p>
        </w:tc>
        <w:tc>
          <w:tcPr>
            <w:tcW w:w="989" w:type="dxa"/>
          </w:tcPr>
          <w:p>
            <w:pPr>
              <w:pStyle w:val="TableParagraph"/>
              <w:spacing w:line="227" w:lineRule="exact"/>
              <w:ind w:left="0" w:right="103"/>
              <w:jc w:val="right"/>
              <w:rPr>
                <w:sz w:val="20"/>
              </w:rPr>
            </w:pPr>
            <w:r>
              <w:rPr>
                <w:sz w:val="20"/>
              </w:rPr>
              <w:t>84</w:t>
            </w:r>
          </w:p>
        </w:tc>
        <w:tc>
          <w:tcPr>
            <w:tcW w:w="999" w:type="dxa"/>
          </w:tcPr>
          <w:p>
            <w:pPr>
              <w:pStyle w:val="TableParagraph"/>
              <w:spacing w:line="227" w:lineRule="exact"/>
              <w:ind w:left="0" w:right="107"/>
              <w:jc w:val="right"/>
              <w:rPr>
                <w:sz w:val="20"/>
              </w:rPr>
            </w:pPr>
            <w:r>
              <w:rPr>
                <w:sz w:val="20"/>
              </w:rPr>
              <w:t>1.65%</w:t>
            </w:r>
          </w:p>
        </w:tc>
      </w:tr>
      <w:tr>
        <w:trPr>
          <w:trHeight w:val="470" w:hRule="exact"/>
        </w:trPr>
        <w:tc>
          <w:tcPr>
            <w:tcW w:w="1070" w:type="dxa"/>
          </w:tcPr>
          <w:p>
            <w:pPr>
              <w:pStyle w:val="TableParagraph"/>
              <w:spacing w:line="227" w:lineRule="exact"/>
              <w:ind w:right="147"/>
              <w:rPr>
                <w:sz w:val="20"/>
              </w:rPr>
            </w:pPr>
            <w:r>
              <w:rPr>
                <w:sz w:val="20"/>
              </w:rPr>
              <w:t>PRD</w:t>
            </w:r>
          </w:p>
        </w:tc>
        <w:tc>
          <w:tcPr>
            <w:tcW w:w="984" w:type="dxa"/>
          </w:tcPr>
          <w:p>
            <w:pPr>
              <w:pStyle w:val="TableParagraph"/>
              <w:spacing w:line="226" w:lineRule="exact"/>
              <w:ind w:left="539"/>
              <w:rPr>
                <w:sz w:val="20"/>
              </w:rPr>
            </w:pPr>
            <w:r>
              <w:rPr>
                <w:sz w:val="20"/>
              </w:rPr>
              <w:t>399</w:t>
            </w:r>
          </w:p>
          <w:p>
            <w:pPr>
              <w:pStyle w:val="TableParagraph"/>
              <w:spacing w:line="229" w:lineRule="exact"/>
              <w:ind w:left="508"/>
              <w:rPr>
                <w:b/>
                <w:sz w:val="20"/>
              </w:rPr>
            </w:pPr>
            <w:r>
              <w:rPr>
                <w:b/>
                <w:sz w:val="20"/>
              </w:rPr>
              <w:t>(+1)</w:t>
            </w:r>
          </w:p>
        </w:tc>
        <w:tc>
          <w:tcPr>
            <w:tcW w:w="1088" w:type="dxa"/>
          </w:tcPr>
          <w:p>
            <w:pPr>
              <w:pStyle w:val="TableParagraph"/>
              <w:spacing w:line="227" w:lineRule="exact"/>
              <w:ind w:left="0" w:right="105"/>
              <w:jc w:val="right"/>
              <w:rPr>
                <w:sz w:val="20"/>
              </w:rPr>
            </w:pPr>
            <w:r>
              <w:rPr>
                <w:sz w:val="20"/>
              </w:rPr>
              <w:t>7.81%</w:t>
            </w:r>
          </w:p>
        </w:tc>
        <w:tc>
          <w:tcPr>
            <w:tcW w:w="914" w:type="dxa"/>
          </w:tcPr>
          <w:p>
            <w:pPr>
              <w:pStyle w:val="TableParagraph"/>
              <w:spacing w:line="227" w:lineRule="exact"/>
              <w:ind w:left="0" w:right="100"/>
              <w:jc w:val="right"/>
              <w:rPr>
                <w:sz w:val="20"/>
              </w:rPr>
            </w:pPr>
            <w:r>
              <w:rPr>
                <w:w w:val="99"/>
                <w:sz w:val="20"/>
              </w:rPr>
              <w:t>6</w:t>
            </w:r>
          </w:p>
        </w:tc>
        <w:tc>
          <w:tcPr>
            <w:tcW w:w="994" w:type="dxa"/>
          </w:tcPr>
          <w:p>
            <w:pPr>
              <w:pStyle w:val="TableParagraph"/>
              <w:spacing w:line="227" w:lineRule="exact"/>
              <w:ind w:left="0" w:right="107"/>
              <w:jc w:val="right"/>
              <w:rPr>
                <w:sz w:val="20"/>
              </w:rPr>
            </w:pPr>
            <w:r>
              <w:rPr>
                <w:sz w:val="20"/>
              </w:rPr>
              <w:t>0.12%</w:t>
            </w:r>
          </w:p>
        </w:tc>
        <w:tc>
          <w:tcPr>
            <w:tcW w:w="989" w:type="dxa"/>
          </w:tcPr>
          <w:p>
            <w:pPr>
              <w:pStyle w:val="TableParagraph"/>
              <w:spacing w:line="227" w:lineRule="exact"/>
              <w:ind w:left="0" w:right="103"/>
              <w:jc w:val="right"/>
              <w:rPr>
                <w:sz w:val="20"/>
              </w:rPr>
            </w:pPr>
            <w:r>
              <w:rPr>
                <w:sz w:val="20"/>
              </w:rPr>
              <w:t>314</w:t>
            </w:r>
          </w:p>
        </w:tc>
        <w:tc>
          <w:tcPr>
            <w:tcW w:w="1030" w:type="dxa"/>
          </w:tcPr>
          <w:p>
            <w:pPr>
              <w:pStyle w:val="TableParagraph"/>
              <w:spacing w:line="227" w:lineRule="exact"/>
              <w:ind w:left="0" w:right="104"/>
              <w:jc w:val="right"/>
              <w:rPr>
                <w:sz w:val="20"/>
              </w:rPr>
            </w:pPr>
            <w:r>
              <w:rPr>
                <w:sz w:val="20"/>
              </w:rPr>
              <w:t>6.15%</w:t>
            </w:r>
          </w:p>
        </w:tc>
        <w:tc>
          <w:tcPr>
            <w:tcW w:w="989" w:type="dxa"/>
          </w:tcPr>
          <w:p>
            <w:pPr>
              <w:pStyle w:val="TableParagraph"/>
              <w:spacing w:line="227" w:lineRule="exact"/>
              <w:ind w:left="0" w:right="103"/>
              <w:jc w:val="right"/>
              <w:rPr>
                <w:sz w:val="20"/>
              </w:rPr>
            </w:pPr>
            <w:r>
              <w:rPr>
                <w:sz w:val="20"/>
              </w:rPr>
              <w:t>80</w:t>
            </w:r>
          </w:p>
        </w:tc>
        <w:tc>
          <w:tcPr>
            <w:tcW w:w="999" w:type="dxa"/>
          </w:tcPr>
          <w:p>
            <w:pPr>
              <w:pStyle w:val="TableParagraph"/>
              <w:spacing w:line="227" w:lineRule="exact"/>
              <w:ind w:left="0" w:right="107"/>
              <w:jc w:val="right"/>
              <w:rPr>
                <w:sz w:val="20"/>
              </w:rPr>
            </w:pPr>
            <w:r>
              <w:rPr>
                <w:sz w:val="20"/>
              </w:rPr>
              <w:t>1.57%</w:t>
            </w:r>
          </w:p>
        </w:tc>
      </w:tr>
      <w:tr>
        <w:trPr>
          <w:trHeight w:val="240" w:hRule="exact"/>
        </w:trPr>
        <w:tc>
          <w:tcPr>
            <w:tcW w:w="1070" w:type="dxa"/>
          </w:tcPr>
          <w:p>
            <w:pPr>
              <w:pStyle w:val="TableParagraph"/>
              <w:spacing w:line="227" w:lineRule="exact"/>
              <w:ind w:right="147"/>
              <w:rPr>
                <w:sz w:val="20"/>
              </w:rPr>
            </w:pPr>
            <w:r>
              <w:rPr>
                <w:sz w:val="20"/>
              </w:rPr>
              <w:t>PRI</w:t>
            </w:r>
          </w:p>
        </w:tc>
        <w:tc>
          <w:tcPr>
            <w:tcW w:w="984" w:type="dxa"/>
          </w:tcPr>
          <w:p>
            <w:pPr>
              <w:pStyle w:val="TableParagraph"/>
              <w:spacing w:line="227" w:lineRule="exact"/>
              <w:ind w:left="0" w:right="103"/>
              <w:jc w:val="right"/>
              <w:rPr>
                <w:sz w:val="20"/>
              </w:rPr>
            </w:pPr>
            <w:r>
              <w:rPr>
                <w:sz w:val="20"/>
              </w:rPr>
              <w:t>201</w:t>
            </w:r>
          </w:p>
        </w:tc>
        <w:tc>
          <w:tcPr>
            <w:tcW w:w="1088" w:type="dxa"/>
          </w:tcPr>
          <w:p>
            <w:pPr>
              <w:pStyle w:val="TableParagraph"/>
              <w:spacing w:line="227" w:lineRule="exact"/>
              <w:ind w:left="0" w:right="105"/>
              <w:jc w:val="right"/>
              <w:rPr>
                <w:sz w:val="20"/>
              </w:rPr>
            </w:pPr>
            <w:r>
              <w:rPr>
                <w:sz w:val="20"/>
              </w:rPr>
              <w:t>3.94%</w:t>
            </w:r>
          </w:p>
        </w:tc>
        <w:tc>
          <w:tcPr>
            <w:tcW w:w="914" w:type="dxa"/>
          </w:tcPr>
          <w:p>
            <w:pPr>
              <w:pStyle w:val="TableParagraph"/>
              <w:spacing w:line="227" w:lineRule="exact"/>
              <w:ind w:left="0" w:right="100"/>
              <w:jc w:val="right"/>
              <w:rPr>
                <w:sz w:val="20"/>
              </w:rPr>
            </w:pPr>
            <w:r>
              <w:rPr>
                <w:w w:val="99"/>
                <w:sz w:val="20"/>
              </w:rPr>
              <w:t>7</w:t>
            </w:r>
          </w:p>
        </w:tc>
        <w:tc>
          <w:tcPr>
            <w:tcW w:w="994" w:type="dxa"/>
          </w:tcPr>
          <w:p>
            <w:pPr>
              <w:pStyle w:val="TableParagraph"/>
              <w:spacing w:line="227" w:lineRule="exact"/>
              <w:ind w:left="0" w:right="107"/>
              <w:jc w:val="right"/>
              <w:rPr>
                <w:sz w:val="20"/>
              </w:rPr>
            </w:pPr>
            <w:r>
              <w:rPr>
                <w:sz w:val="20"/>
              </w:rPr>
              <w:t>0.14%</w:t>
            </w:r>
          </w:p>
        </w:tc>
        <w:tc>
          <w:tcPr>
            <w:tcW w:w="989" w:type="dxa"/>
          </w:tcPr>
          <w:p>
            <w:pPr>
              <w:pStyle w:val="TableParagraph"/>
              <w:spacing w:line="227" w:lineRule="exact"/>
              <w:ind w:left="0" w:right="103"/>
              <w:jc w:val="right"/>
              <w:rPr>
                <w:sz w:val="20"/>
              </w:rPr>
            </w:pPr>
            <w:r>
              <w:rPr>
                <w:sz w:val="20"/>
              </w:rPr>
              <w:t>127</w:t>
            </w:r>
          </w:p>
        </w:tc>
        <w:tc>
          <w:tcPr>
            <w:tcW w:w="1030" w:type="dxa"/>
          </w:tcPr>
          <w:p>
            <w:pPr>
              <w:pStyle w:val="TableParagraph"/>
              <w:spacing w:line="227" w:lineRule="exact"/>
              <w:ind w:left="0" w:right="104"/>
              <w:jc w:val="right"/>
              <w:rPr>
                <w:sz w:val="20"/>
              </w:rPr>
            </w:pPr>
            <w:r>
              <w:rPr>
                <w:sz w:val="20"/>
              </w:rPr>
              <w:t>2.49%</w:t>
            </w:r>
          </w:p>
        </w:tc>
        <w:tc>
          <w:tcPr>
            <w:tcW w:w="989" w:type="dxa"/>
          </w:tcPr>
          <w:p>
            <w:pPr>
              <w:pStyle w:val="TableParagraph"/>
              <w:spacing w:line="227" w:lineRule="exact"/>
              <w:ind w:left="0" w:right="103"/>
              <w:jc w:val="right"/>
              <w:rPr>
                <w:sz w:val="20"/>
              </w:rPr>
            </w:pPr>
            <w:r>
              <w:rPr>
                <w:sz w:val="20"/>
              </w:rPr>
              <w:t>67</w:t>
            </w:r>
          </w:p>
        </w:tc>
        <w:tc>
          <w:tcPr>
            <w:tcW w:w="999" w:type="dxa"/>
          </w:tcPr>
          <w:p>
            <w:pPr>
              <w:pStyle w:val="TableParagraph"/>
              <w:spacing w:line="227" w:lineRule="exact"/>
              <w:ind w:left="0" w:right="107"/>
              <w:jc w:val="right"/>
              <w:rPr>
                <w:sz w:val="20"/>
              </w:rPr>
            </w:pPr>
            <w:r>
              <w:rPr>
                <w:sz w:val="20"/>
              </w:rPr>
              <w:t>1.31%</w:t>
            </w:r>
          </w:p>
        </w:tc>
      </w:tr>
      <w:tr>
        <w:trPr>
          <w:trHeight w:val="241" w:hRule="exact"/>
        </w:trPr>
        <w:tc>
          <w:tcPr>
            <w:tcW w:w="1070" w:type="dxa"/>
          </w:tcPr>
          <w:p>
            <w:pPr>
              <w:pStyle w:val="TableParagraph"/>
              <w:spacing w:line="225" w:lineRule="exact"/>
              <w:ind w:right="147"/>
              <w:rPr>
                <w:i/>
                <w:sz w:val="20"/>
              </w:rPr>
            </w:pPr>
            <w:r>
              <w:rPr>
                <w:i/>
                <w:sz w:val="20"/>
              </w:rPr>
              <w:t>PRD-PT</w:t>
            </w:r>
          </w:p>
        </w:tc>
        <w:tc>
          <w:tcPr>
            <w:tcW w:w="984" w:type="dxa"/>
          </w:tcPr>
          <w:p>
            <w:pPr>
              <w:pStyle w:val="TableParagraph"/>
              <w:spacing w:line="225" w:lineRule="exact"/>
              <w:ind w:left="0" w:right="103"/>
              <w:jc w:val="right"/>
              <w:rPr>
                <w:i/>
                <w:sz w:val="20"/>
              </w:rPr>
            </w:pPr>
            <w:r>
              <w:rPr>
                <w:i/>
                <w:sz w:val="20"/>
              </w:rPr>
              <w:t>171</w:t>
            </w:r>
          </w:p>
        </w:tc>
        <w:tc>
          <w:tcPr>
            <w:tcW w:w="1088" w:type="dxa"/>
          </w:tcPr>
          <w:p>
            <w:pPr>
              <w:pStyle w:val="TableParagraph"/>
              <w:spacing w:line="225" w:lineRule="exact"/>
              <w:ind w:left="0" w:right="105"/>
              <w:jc w:val="right"/>
              <w:rPr>
                <w:i/>
                <w:sz w:val="20"/>
              </w:rPr>
            </w:pPr>
            <w:r>
              <w:rPr>
                <w:i/>
                <w:sz w:val="20"/>
              </w:rPr>
              <w:t>3.35%</w:t>
            </w:r>
          </w:p>
        </w:tc>
        <w:tc>
          <w:tcPr>
            <w:tcW w:w="914" w:type="dxa"/>
          </w:tcPr>
          <w:p>
            <w:pPr>
              <w:pStyle w:val="TableParagraph"/>
              <w:spacing w:line="225" w:lineRule="exact"/>
              <w:ind w:left="0" w:right="100"/>
              <w:jc w:val="right"/>
              <w:rPr>
                <w:i/>
                <w:sz w:val="20"/>
              </w:rPr>
            </w:pPr>
            <w:r>
              <w:rPr>
                <w:i/>
                <w:w w:val="99"/>
                <w:sz w:val="20"/>
              </w:rPr>
              <w:t>2</w:t>
            </w:r>
          </w:p>
        </w:tc>
        <w:tc>
          <w:tcPr>
            <w:tcW w:w="994" w:type="dxa"/>
          </w:tcPr>
          <w:p>
            <w:pPr>
              <w:pStyle w:val="TableParagraph"/>
              <w:spacing w:line="225" w:lineRule="exact"/>
              <w:ind w:left="0" w:right="107"/>
              <w:jc w:val="right"/>
              <w:rPr>
                <w:i/>
                <w:sz w:val="20"/>
              </w:rPr>
            </w:pPr>
            <w:r>
              <w:rPr>
                <w:i/>
                <w:sz w:val="20"/>
              </w:rPr>
              <w:t>0.04%</w:t>
            </w:r>
          </w:p>
        </w:tc>
        <w:tc>
          <w:tcPr>
            <w:tcW w:w="989" w:type="dxa"/>
          </w:tcPr>
          <w:p>
            <w:pPr>
              <w:pStyle w:val="TableParagraph"/>
              <w:spacing w:line="225" w:lineRule="exact"/>
              <w:ind w:left="0" w:right="103"/>
              <w:jc w:val="right"/>
              <w:rPr>
                <w:i/>
                <w:sz w:val="20"/>
              </w:rPr>
            </w:pPr>
            <w:r>
              <w:rPr>
                <w:i/>
                <w:sz w:val="20"/>
              </w:rPr>
              <w:t>162</w:t>
            </w:r>
          </w:p>
        </w:tc>
        <w:tc>
          <w:tcPr>
            <w:tcW w:w="1030" w:type="dxa"/>
          </w:tcPr>
          <w:p>
            <w:pPr>
              <w:pStyle w:val="TableParagraph"/>
              <w:spacing w:line="225" w:lineRule="exact"/>
              <w:ind w:left="0" w:right="104"/>
              <w:jc w:val="right"/>
              <w:rPr>
                <w:i/>
                <w:sz w:val="20"/>
              </w:rPr>
            </w:pPr>
            <w:r>
              <w:rPr>
                <w:i/>
                <w:sz w:val="20"/>
              </w:rPr>
              <w:t>3.17%</w:t>
            </w:r>
          </w:p>
        </w:tc>
        <w:tc>
          <w:tcPr>
            <w:tcW w:w="989" w:type="dxa"/>
          </w:tcPr>
          <w:p>
            <w:pPr>
              <w:pStyle w:val="TableParagraph"/>
              <w:spacing w:line="225" w:lineRule="exact"/>
              <w:ind w:left="0" w:right="100"/>
              <w:jc w:val="right"/>
              <w:rPr>
                <w:i/>
                <w:sz w:val="20"/>
              </w:rPr>
            </w:pPr>
            <w:r>
              <w:rPr>
                <w:i/>
                <w:w w:val="99"/>
                <w:sz w:val="20"/>
              </w:rPr>
              <w:t>7</w:t>
            </w:r>
          </w:p>
        </w:tc>
        <w:tc>
          <w:tcPr>
            <w:tcW w:w="999" w:type="dxa"/>
          </w:tcPr>
          <w:p>
            <w:pPr>
              <w:pStyle w:val="TableParagraph"/>
              <w:spacing w:line="225" w:lineRule="exact"/>
              <w:ind w:left="0" w:right="107"/>
              <w:jc w:val="right"/>
              <w:rPr>
                <w:i/>
                <w:sz w:val="20"/>
              </w:rPr>
            </w:pPr>
            <w:r>
              <w:rPr>
                <w:i/>
                <w:sz w:val="20"/>
              </w:rPr>
              <w:t>0.14%</w:t>
            </w:r>
          </w:p>
        </w:tc>
      </w:tr>
      <w:tr>
        <w:trPr>
          <w:trHeight w:val="240" w:hRule="exact"/>
        </w:trPr>
        <w:tc>
          <w:tcPr>
            <w:tcW w:w="1070" w:type="dxa"/>
          </w:tcPr>
          <w:p>
            <w:pPr>
              <w:pStyle w:val="TableParagraph"/>
              <w:spacing w:line="225" w:lineRule="exact"/>
              <w:ind w:right="147"/>
              <w:rPr>
                <w:i/>
                <w:sz w:val="20"/>
              </w:rPr>
            </w:pPr>
            <w:r>
              <w:rPr>
                <w:i/>
                <w:sz w:val="20"/>
              </w:rPr>
              <w:t>PT</w:t>
            </w:r>
          </w:p>
        </w:tc>
        <w:tc>
          <w:tcPr>
            <w:tcW w:w="984" w:type="dxa"/>
          </w:tcPr>
          <w:p>
            <w:pPr>
              <w:pStyle w:val="TableParagraph"/>
              <w:spacing w:line="225" w:lineRule="exact"/>
              <w:ind w:left="0" w:right="103"/>
              <w:jc w:val="right"/>
              <w:rPr>
                <w:i/>
                <w:sz w:val="20"/>
              </w:rPr>
            </w:pPr>
            <w:r>
              <w:rPr>
                <w:i/>
                <w:sz w:val="20"/>
              </w:rPr>
              <w:t>65</w:t>
            </w:r>
          </w:p>
        </w:tc>
        <w:tc>
          <w:tcPr>
            <w:tcW w:w="1088" w:type="dxa"/>
          </w:tcPr>
          <w:p>
            <w:pPr>
              <w:pStyle w:val="TableParagraph"/>
              <w:spacing w:line="225" w:lineRule="exact"/>
              <w:ind w:left="0" w:right="105"/>
              <w:jc w:val="right"/>
              <w:rPr>
                <w:i/>
                <w:sz w:val="20"/>
              </w:rPr>
            </w:pPr>
            <w:r>
              <w:rPr>
                <w:i/>
                <w:sz w:val="20"/>
              </w:rPr>
              <w:t>1.27%</w:t>
            </w:r>
          </w:p>
        </w:tc>
        <w:tc>
          <w:tcPr>
            <w:tcW w:w="914" w:type="dxa"/>
          </w:tcPr>
          <w:p>
            <w:pPr>
              <w:pStyle w:val="TableParagraph"/>
              <w:spacing w:line="225" w:lineRule="exact"/>
              <w:ind w:left="0" w:right="100"/>
              <w:jc w:val="right"/>
              <w:rPr>
                <w:i/>
                <w:sz w:val="20"/>
              </w:rPr>
            </w:pPr>
            <w:r>
              <w:rPr>
                <w:i/>
                <w:w w:val="99"/>
                <w:sz w:val="20"/>
              </w:rPr>
              <w:t>2</w:t>
            </w:r>
          </w:p>
        </w:tc>
        <w:tc>
          <w:tcPr>
            <w:tcW w:w="994" w:type="dxa"/>
          </w:tcPr>
          <w:p>
            <w:pPr>
              <w:pStyle w:val="TableParagraph"/>
              <w:spacing w:line="225" w:lineRule="exact"/>
              <w:ind w:left="0" w:right="107"/>
              <w:jc w:val="right"/>
              <w:rPr>
                <w:i/>
                <w:sz w:val="20"/>
              </w:rPr>
            </w:pPr>
            <w:r>
              <w:rPr>
                <w:i/>
                <w:sz w:val="20"/>
              </w:rPr>
              <w:t>0.04%</w:t>
            </w:r>
          </w:p>
        </w:tc>
        <w:tc>
          <w:tcPr>
            <w:tcW w:w="989" w:type="dxa"/>
          </w:tcPr>
          <w:p>
            <w:pPr>
              <w:pStyle w:val="TableParagraph"/>
              <w:spacing w:line="225" w:lineRule="exact"/>
              <w:ind w:left="0" w:right="103"/>
              <w:jc w:val="right"/>
              <w:rPr>
                <w:i/>
                <w:sz w:val="20"/>
              </w:rPr>
            </w:pPr>
            <w:r>
              <w:rPr>
                <w:i/>
                <w:sz w:val="20"/>
              </w:rPr>
              <w:t>63</w:t>
            </w:r>
          </w:p>
        </w:tc>
        <w:tc>
          <w:tcPr>
            <w:tcW w:w="1030" w:type="dxa"/>
          </w:tcPr>
          <w:p>
            <w:pPr>
              <w:pStyle w:val="TableParagraph"/>
              <w:spacing w:line="225" w:lineRule="exact"/>
              <w:ind w:left="0" w:right="104"/>
              <w:jc w:val="right"/>
              <w:rPr>
                <w:i/>
                <w:sz w:val="20"/>
              </w:rPr>
            </w:pPr>
            <w:r>
              <w:rPr>
                <w:i/>
                <w:sz w:val="20"/>
              </w:rPr>
              <w:t>1.23%</w:t>
            </w:r>
          </w:p>
        </w:tc>
        <w:tc>
          <w:tcPr>
            <w:tcW w:w="989" w:type="dxa"/>
          </w:tcPr>
          <w:p>
            <w:pPr>
              <w:pStyle w:val="TableParagraph"/>
              <w:spacing w:line="225" w:lineRule="exact"/>
              <w:ind w:left="0" w:right="101"/>
              <w:jc w:val="right"/>
              <w:rPr>
                <w:i/>
                <w:sz w:val="20"/>
              </w:rPr>
            </w:pPr>
            <w:r>
              <w:rPr>
                <w:i/>
                <w:w w:val="95"/>
                <w:sz w:val="20"/>
              </w:rPr>
              <w:t>--</w:t>
            </w:r>
          </w:p>
        </w:tc>
        <w:tc>
          <w:tcPr>
            <w:tcW w:w="999" w:type="dxa"/>
          </w:tcPr>
          <w:p>
            <w:pPr>
              <w:pStyle w:val="TableParagraph"/>
              <w:spacing w:line="225" w:lineRule="exact"/>
              <w:ind w:left="0" w:right="107"/>
              <w:jc w:val="right"/>
              <w:rPr>
                <w:i/>
                <w:sz w:val="20"/>
              </w:rPr>
            </w:pPr>
            <w:r>
              <w:rPr>
                <w:i/>
                <w:sz w:val="20"/>
              </w:rPr>
              <w:t>0.00%</w:t>
            </w:r>
          </w:p>
        </w:tc>
      </w:tr>
      <w:tr>
        <w:trPr>
          <w:trHeight w:val="240" w:hRule="exact"/>
        </w:trPr>
        <w:tc>
          <w:tcPr>
            <w:tcW w:w="1070" w:type="dxa"/>
          </w:tcPr>
          <w:p>
            <w:pPr>
              <w:pStyle w:val="TableParagraph"/>
              <w:spacing w:line="225" w:lineRule="exact"/>
              <w:ind w:right="147"/>
              <w:rPr>
                <w:i/>
                <w:sz w:val="20"/>
              </w:rPr>
            </w:pPr>
            <w:r>
              <w:rPr>
                <w:i/>
                <w:sz w:val="20"/>
              </w:rPr>
              <w:t>PT-C</w:t>
            </w:r>
          </w:p>
        </w:tc>
        <w:tc>
          <w:tcPr>
            <w:tcW w:w="984" w:type="dxa"/>
          </w:tcPr>
          <w:p>
            <w:pPr>
              <w:pStyle w:val="TableParagraph"/>
              <w:spacing w:line="225" w:lineRule="exact"/>
              <w:ind w:left="0" w:right="103"/>
              <w:jc w:val="right"/>
              <w:rPr>
                <w:i/>
                <w:sz w:val="20"/>
              </w:rPr>
            </w:pPr>
            <w:r>
              <w:rPr>
                <w:i/>
                <w:sz w:val="20"/>
              </w:rPr>
              <w:t>53</w:t>
            </w:r>
          </w:p>
        </w:tc>
        <w:tc>
          <w:tcPr>
            <w:tcW w:w="1088" w:type="dxa"/>
          </w:tcPr>
          <w:p>
            <w:pPr>
              <w:pStyle w:val="TableParagraph"/>
              <w:spacing w:line="225" w:lineRule="exact"/>
              <w:ind w:left="0" w:right="105"/>
              <w:jc w:val="right"/>
              <w:rPr>
                <w:i/>
                <w:sz w:val="20"/>
              </w:rPr>
            </w:pPr>
            <w:r>
              <w:rPr>
                <w:i/>
                <w:sz w:val="20"/>
              </w:rPr>
              <w:t>1.04%</w:t>
            </w:r>
          </w:p>
        </w:tc>
        <w:tc>
          <w:tcPr>
            <w:tcW w:w="914" w:type="dxa"/>
          </w:tcPr>
          <w:p>
            <w:pPr>
              <w:pStyle w:val="TableParagraph"/>
              <w:spacing w:line="225" w:lineRule="exact"/>
              <w:ind w:left="0" w:right="101"/>
              <w:jc w:val="right"/>
              <w:rPr>
                <w:i/>
                <w:sz w:val="20"/>
              </w:rPr>
            </w:pPr>
            <w:r>
              <w:rPr>
                <w:i/>
                <w:w w:val="95"/>
                <w:sz w:val="20"/>
              </w:rPr>
              <w:t>--</w:t>
            </w:r>
          </w:p>
        </w:tc>
        <w:tc>
          <w:tcPr>
            <w:tcW w:w="994" w:type="dxa"/>
          </w:tcPr>
          <w:p>
            <w:pPr>
              <w:pStyle w:val="TableParagraph"/>
              <w:spacing w:line="225" w:lineRule="exact"/>
              <w:ind w:left="0" w:right="107"/>
              <w:jc w:val="right"/>
              <w:rPr>
                <w:i/>
                <w:sz w:val="20"/>
              </w:rPr>
            </w:pPr>
            <w:r>
              <w:rPr>
                <w:i/>
                <w:sz w:val="20"/>
              </w:rPr>
              <w:t>0.00%</w:t>
            </w:r>
          </w:p>
        </w:tc>
        <w:tc>
          <w:tcPr>
            <w:tcW w:w="989" w:type="dxa"/>
          </w:tcPr>
          <w:p>
            <w:pPr>
              <w:pStyle w:val="TableParagraph"/>
              <w:spacing w:line="225" w:lineRule="exact"/>
              <w:ind w:left="0" w:right="103"/>
              <w:jc w:val="right"/>
              <w:rPr>
                <w:i/>
                <w:sz w:val="20"/>
              </w:rPr>
            </w:pPr>
            <w:r>
              <w:rPr>
                <w:i/>
                <w:sz w:val="20"/>
              </w:rPr>
              <w:t>53</w:t>
            </w:r>
          </w:p>
        </w:tc>
        <w:tc>
          <w:tcPr>
            <w:tcW w:w="1030" w:type="dxa"/>
          </w:tcPr>
          <w:p>
            <w:pPr>
              <w:pStyle w:val="TableParagraph"/>
              <w:spacing w:line="225" w:lineRule="exact"/>
              <w:ind w:left="0" w:right="104"/>
              <w:jc w:val="right"/>
              <w:rPr>
                <w:i/>
                <w:sz w:val="20"/>
              </w:rPr>
            </w:pPr>
            <w:r>
              <w:rPr>
                <w:i/>
                <w:sz w:val="20"/>
              </w:rPr>
              <w:t>1.04%</w:t>
            </w:r>
          </w:p>
        </w:tc>
        <w:tc>
          <w:tcPr>
            <w:tcW w:w="989" w:type="dxa"/>
          </w:tcPr>
          <w:p>
            <w:pPr>
              <w:pStyle w:val="TableParagraph"/>
              <w:spacing w:line="225" w:lineRule="exact"/>
              <w:ind w:left="0" w:right="101"/>
              <w:jc w:val="right"/>
              <w:rPr>
                <w:i/>
                <w:sz w:val="20"/>
              </w:rPr>
            </w:pPr>
            <w:r>
              <w:rPr>
                <w:i/>
                <w:w w:val="95"/>
                <w:sz w:val="20"/>
              </w:rPr>
              <w:t>--</w:t>
            </w:r>
          </w:p>
        </w:tc>
        <w:tc>
          <w:tcPr>
            <w:tcW w:w="999" w:type="dxa"/>
          </w:tcPr>
          <w:p>
            <w:pPr>
              <w:pStyle w:val="TableParagraph"/>
              <w:spacing w:line="225" w:lineRule="exact"/>
              <w:ind w:left="0" w:right="107"/>
              <w:jc w:val="right"/>
              <w:rPr>
                <w:i/>
                <w:sz w:val="20"/>
              </w:rPr>
            </w:pPr>
            <w:r>
              <w:rPr>
                <w:i/>
                <w:sz w:val="20"/>
              </w:rPr>
              <w:t>0.00%</w:t>
            </w:r>
          </w:p>
        </w:tc>
      </w:tr>
      <w:tr>
        <w:trPr>
          <w:trHeight w:val="240" w:hRule="exact"/>
        </w:trPr>
        <w:tc>
          <w:tcPr>
            <w:tcW w:w="1070" w:type="dxa"/>
          </w:tcPr>
          <w:p>
            <w:pPr>
              <w:pStyle w:val="TableParagraph"/>
              <w:spacing w:line="225" w:lineRule="exact"/>
              <w:rPr>
                <w:i/>
                <w:sz w:val="20"/>
              </w:rPr>
            </w:pPr>
            <w:r>
              <w:rPr>
                <w:i/>
                <w:w w:val="99"/>
                <w:sz w:val="20"/>
              </w:rPr>
              <w:t>C</w:t>
            </w:r>
          </w:p>
        </w:tc>
        <w:tc>
          <w:tcPr>
            <w:tcW w:w="984" w:type="dxa"/>
          </w:tcPr>
          <w:p>
            <w:pPr>
              <w:pStyle w:val="TableParagraph"/>
              <w:spacing w:line="225" w:lineRule="exact"/>
              <w:ind w:left="0" w:right="103"/>
              <w:jc w:val="right"/>
              <w:rPr>
                <w:i/>
                <w:sz w:val="20"/>
              </w:rPr>
            </w:pPr>
            <w:r>
              <w:rPr>
                <w:i/>
                <w:sz w:val="20"/>
              </w:rPr>
              <w:t>52</w:t>
            </w:r>
          </w:p>
        </w:tc>
        <w:tc>
          <w:tcPr>
            <w:tcW w:w="1088" w:type="dxa"/>
          </w:tcPr>
          <w:p>
            <w:pPr>
              <w:pStyle w:val="TableParagraph"/>
              <w:spacing w:line="225" w:lineRule="exact"/>
              <w:ind w:left="0" w:right="105"/>
              <w:jc w:val="right"/>
              <w:rPr>
                <w:i/>
                <w:sz w:val="20"/>
              </w:rPr>
            </w:pPr>
            <w:r>
              <w:rPr>
                <w:i/>
                <w:sz w:val="20"/>
              </w:rPr>
              <w:t>1.02%</w:t>
            </w:r>
          </w:p>
        </w:tc>
        <w:tc>
          <w:tcPr>
            <w:tcW w:w="914" w:type="dxa"/>
          </w:tcPr>
          <w:p>
            <w:pPr>
              <w:pStyle w:val="TableParagraph"/>
              <w:spacing w:line="225" w:lineRule="exact"/>
              <w:ind w:left="0" w:right="101"/>
              <w:jc w:val="right"/>
              <w:rPr>
                <w:i/>
                <w:sz w:val="20"/>
              </w:rPr>
            </w:pPr>
            <w:r>
              <w:rPr>
                <w:i/>
                <w:w w:val="95"/>
                <w:sz w:val="20"/>
              </w:rPr>
              <w:t>--</w:t>
            </w:r>
          </w:p>
        </w:tc>
        <w:tc>
          <w:tcPr>
            <w:tcW w:w="994" w:type="dxa"/>
          </w:tcPr>
          <w:p>
            <w:pPr>
              <w:pStyle w:val="TableParagraph"/>
              <w:spacing w:line="225" w:lineRule="exact"/>
              <w:ind w:left="0" w:right="107"/>
              <w:jc w:val="right"/>
              <w:rPr>
                <w:i/>
                <w:sz w:val="20"/>
              </w:rPr>
            </w:pPr>
            <w:r>
              <w:rPr>
                <w:i/>
                <w:sz w:val="20"/>
              </w:rPr>
              <w:t>0.00%</w:t>
            </w:r>
          </w:p>
        </w:tc>
        <w:tc>
          <w:tcPr>
            <w:tcW w:w="989" w:type="dxa"/>
          </w:tcPr>
          <w:p>
            <w:pPr>
              <w:pStyle w:val="TableParagraph"/>
              <w:spacing w:line="225" w:lineRule="exact"/>
              <w:ind w:left="0" w:right="103"/>
              <w:jc w:val="right"/>
              <w:rPr>
                <w:i/>
                <w:sz w:val="20"/>
              </w:rPr>
            </w:pPr>
            <w:r>
              <w:rPr>
                <w:i/>
                <w:sz w:val="20"/>
              </w:rPr>
              <w:t>46</w:t>
            </w:r>
          </w:p>
        </w:tc>
        <w:tc>
          <w:tcPr>
            <w:tcW w:w="1030" w:type="dxa"/>
          </w:tcPr>
          <w:p>
            <w:pPr>
              <w:pStyle w:val="TableParagraph"/>
              <w:spacing w:line="225" w:lineRule="exact"/>
              <w:ind w:left="0" w:right="104"/>
              <w:jc w:val="right"/>
              <w:rPr>
                <w:i/>
                <w:sz w:val="20"/>
              </w:rPr>
            </w:pPr>
            <w:r>
              <w:rPr>
                <w:i/>
                <w:sz w:val="20"/>
              </w:rPr>
              <w:t>0.90%</w:t>
            </w:r>
          </w:p>
        </w:tc>
        <w:tc>
          <w:tcPr>
            <w:tcW w:w="989" w:type="dxa"/>
          </w:tcPr>
          <w:p>
            <w:pPr>
              <w:pStyle w:val="TableParagraph"/>
              <w:spacing w:line="225" w:lineRule="exact"/>
              <w:ind w:left="0" w:right="100"/>
              <w:jc w:val="right"/>
              <w:rPr>
                <w:i/>
                <w:sz w:val="20"/>
              </w:rPr>
            </w:pPr>
            <w:r>
              <w:rPr>
                <w:i/>
                <w:w w:val="99"/>
                <w:sz w:val="20"/>
              </w:rPr>
              <w:t>6</w:t>
            </w:r>
          </w:p>
        </w:tc>
        <w:tc>
          <w:tcPr>
            <w:tcW w:w="999" w:type="dxa"/>
          </w:tcPr>
          <w:p>
            <w:pPr>
              <w:pStyle w:val="TableParagraph"/>
              <w:spacing w:line="225" w:lineRule="exact"/>
              <w:ind w:left="0" w:right="107"/>
              <w:jc w:val="right"/>
              <w:rPr>
                <w:i/>
                <w:sz w:val="20"/>
              </w:rPr>
            </w:pPr>
            <w:r>
              <w:rPr>
                <w:i/>
                <w:sz w:val="20"/>
              </w:rPr>
              <w:t>0.12%</w:t>
            </w:r>
          </w:p>
        </w:tc>
      </w:tr>
      <w:tr>
        <w:trPr>
          <w:trHeight w:val="240" w:hRule="exact"/>
        </w:trPr>
        <w:tc>
          <w:tcPr>
            <w:tcW w:w="1070" w:type="dxa"/>
          </w:tcPr>
          <w:p>
            <w:pPr>
              <w:pStyle w:val="TableParagraph"/>
              <w:spacing w:line="225" w:lineRule="exact"/>
              <w:ind w:right="147"/>
              <w:rPr>
                <w:i/>
                <w:sz w:val="20"/>
              </w:rPr>
            </w:pPr>
            <w:r>
              <w:rPr>
                <w:i/>
                <w:sz w:val="20"/>
              </w:rPr>
              <w:t>PUM</w:t>
            </w:r>
          </w:p>
        </w:tc>
        <w:tc>
          <w:tcPr>
            <w:tcW w:w="984" w:type="dxa"/>
          </w:tcPr>
          <w:p>
            <w:pPr>
              <w:pStyle w:val="TableParagraph"/>
              <w:spacing w:line="225" w:lineRule="exact"/>
              <w:ind w:left="0" w:right="103"/>
              <w:jc w:val="right"/>
              <w:rPr>
                <w:i/>
                <w:sz w:val="20"/>
              </w:rPr>
            </w:pPr>
            <w:r>
              <w:rPr>
                <w:i/>
                <w:sz w:val="20"/>
              </w:rPr>
              <w:t>35</w:t>
            </w:r>
          </w:p>
        </w:tc>
        <w:tc>
          <w:tcPr>
            <w:tcW w:w="1088" w:type="dxa"/>
          </w:tcPr>
          <w:p>
            <w:pPr>
              <w:pStyle w:val="TableParagraph"/>
              <w:spacing w:line="225" w:lineRule="exact"/>
              <w:ind w:left="0" w:right="105"/>
              <w:jc w:val="right"/>
              <w:rPr>
                <w:i/>
                <w:sz w:val="20"/>
              </w:rPr>
            </w:pPr>
            <w:r>
              <w:rPr>
                <w:i/>
                <w:sz w:val="20"/>
              </w:rPr>
              <w:t>0.69%</w:t>
            </w:r>
          </w:p>
        </w:tc>
        <w:tc>
          <w:tcPr>
            <w:tcW w:w="914" w:type="dxa"/>
          </w:tcPr>
          <w:p>
            <w:pPr>
              <w:pStyle w:val="TableParagraph"/>
              <w:spacing w:line="225" w:lineRule="exact"/>
              <w:ind w:left="0" w:right="100"/>
              <w:jc w:val="right"/>
              <w:rPr>
                <w:i/>
                <w:sz w:val="20"/>
              </w:rPr>
            </w:pPr>
            <w:r>
              <w:rPr>
                <w:i/>
                <w:w w:val="99"/>
                <w:sz w:val="20"/>
              </w:rPr>
              <w:t>2</w:t>
            </w:r>
          </w:p>
        </w:tc>
        <w:tc>
          <w:tcPr>
            <w:tcW w:w="994" w:type="dxa"/>
          </w:tcPr>
          <w:p>
            <w:pPr>
              <w:pStyle w:val="TableParagraph"/>
              <w:spacing w:line="225" w:lineRule="exact"/>
              <w:ind w:left="0" w:right="107"/>
              <w:jc w:val="right"/>
              <w:rPr>
                <w:i/>
                <w:sz w:val="20"/>
              </w:rPr>
            </w:pPr>
            <w:r>
              <w:rPr>
                <w:i/>
                <w:sz w:val="20"/>
              </w:rPr>
              <w:t>0.04%</w:t>
            </w:r>
          </w:p>
        </w:tc>
        <w:tc>
          <w:tcPr>
            <w:tcW w:w="989" w:type="dxa"/>
          </w:tcPr>
          <w:p>
            <w:pPr>
              <w:pStyle w:val="TableParagraph"/>
              <w:spacing w:line="225" w:lineRule="exact"/>
              <w:ind w:left="0" w:right="103"/>
              <w:jc w:val="right"/>
              <w:rPr>
                <w:i/>
                <w:sz w:val="20"/>
              </w:rPr>
            </w:pPr>
            <w:r>
              <w:rPr>
                <w:i/>
                <w:sz w:val="20"/>
              </w:rPr>
              <w:t>28</w:t>
            </w:r>
          </w:p>
        </w:tc>
        <w:tc>
          <w:tcPr>
            <w:tcW w:w="1030" w:type="dxa"/>
          </w:tcPr>
          <w:p>
            <w:pPr>
              <w:pStyle w:val="TableParagraph"/>
              <w:spacing w:line="225" w:lineRule="exact"/>
              <w:ind w:left="0" w:right="104"/>
              <w:jc w:val="right"/>
              <w:rPr>
                <w:i/>
                <w:sz w:val="20"/>
              </w:rPr>
            </w:pPr>
            <w:r>
              <w:rPr>
                <w:i/>
                <w:sz w:val="20"/>
              </w:rPr>
              <w:t>0.55%</w:t>
            </w:r>
          </w:p>
        </w:tc>
        <w:tc>
          <w:tcPr>
            <w:tcW w:w="989" w:type="dxa"/>
          </w:tcPr>
          <w:p>
            <w:pPr>
              <w:pStyle w:val="TableParagraph"/>
              <w:spacing w:line="225" w:lineRule="exact"/>
              <w:ind w:left="0" w:right="100"/>
              <w:jc w:val="right"/>
              <w:rPr>
                <w:i/>
                <w:sz w:val="20"/>
              </w:rPr>
            </w:pPr>
            <w:r>
              <w:rPr>
                <w:i/>
                <w:w w:val="99"/>
                <w:sz w:val="20"/>
              </w:rPr>
              <w:t>5</w:t>
            </w:r>
          </w:p>
        </w:tc>
        <w:tc>
          <w:tcPr>
            <w:tcW w:w="999" w:type="dxa"/>
          </w:tcPr>
          <w:p>
            <w:pPr>
              <w:pStyle w:val="TableParagraph"/>
              <w:spacing w:line="225" w:lineRule="exact"/>
              <w:ind w:left="0" w:right="107"/>
              <w:jc w:val="right"/>
              <w:rPr>
                <w:i/>
                <w:sz w:val="20"/>
              </w:rPr>
            </w:pPr>
            <w:r>
              <w:rPr>
                <w:i/>
                <w:sz w:val="20"/>
              </w:rPr>
              <w:t>0.10%</w:t>
            </w:r>
          </w:p>
        </w:tc>
      </w:tr>
      <w:tr>
        <w:trPr>
          <w:trHeight w:val="470" w:hRule="exact"/>
        </w:trPr>
        <w:tc>
          <w:tcPr>
            <w:tcW w:w="1070" w:type="dxa"/>
          </w:tcPr>
          <w:p>
            <w:pPr>
              <w:pStyle w:val="TableParagraph"/>
              <w:ind w:right="147"/>
              <w:rPr>
                <w:i/>
                <w:sz w:val="20"/>
              </w:rPr>
            </w:pPr>
            <w:r>
              <w:rPr>
                <w:i/>
                <w:w w:val="95"/>
                <w:sz w:val="20"/>
              </w:rPr>
              <w:t>PRD-PT- </w:t>
            </w:r>
            <w:r>
              <w:rPr>
                <w:i/>
                <w:sz w:val="20"/>
              </w:rPr>
              <w:t>C</w:t>
            </w:r>
          </w:p>
        </w:tc>
        <w:tc>
          <w:tcPr>
            <w:tcW w:w="984" w:type="dxa"/>
          </w:tcPr>
          <w:p>
            <w:pPr>
              <w:pStyle w:val="TableParagraph"/>
              <w:spacing w:line="225" w:lineRule="exact"/>
              <w:ind w:left="0" w:right="103"/>
              <w:jc w:val="right"/>
              <w:rPr>
                <w:i/>
                <w:sz w:val="20"/>
              </w:rPr>
            </w:pPr>
            <w:r>
              <w:rPr>
                <w:i/>
                <w:sz w:val="20"/>
              </w:rPr>
              <w:t>20</w:t>
            </w:r>
          </w:p>
        </w:tc>
        <w:tc>
          <w:tcPr>
            <w:tcW w:w="1088" w:type="dxa"/>
          </w:tcPr>
          <w:p>
            <w:pPr>
              <w:pStyle w:val="TableParagraph"/>
              <w:spacing w:line="225" w:lineRule="exact"/>
              <w:ind w:left="0" w:right="105"/>
              <w:jc w:val="right"/>
              <w:rPr>
                <w:i/>
                <w:sz w:val="20"/>
              </w:rPr>
            </w:pPr>
            <w:r>
              <w:rPr>
                <w:i/>
                <w:sz w:val="20"/>
              </w:rPr>
              <w:t>0.39%</w:t>
            </w:r>
          </w:p>
        </w:tc>
        <w:tc>
          <w:tcPr>
            <w:tcW w:w="914" w:type="dxa"/>
          </w:tcPr>
          <w:p>
            <w:pPr>
              <w:pStyle w:val="TableParagraph"/>
              <w:spacing w:line="225" w:lineRule="exact"/>
              <w:ind w:left="0" w:right="100"/>
              <w:jc w:val="right"/>
              <w:rPr>
                <w:i/>
                <w:sz w:val="20"/>
              </w:rPr>
            </w:pPr>
            <w:r>
              <w:rPr>
                <w:i/>
                <w:w w:val="99"/>
                <w:sz w:val="20"/>
              </w:rPr>
              <w:t>3</w:t>
            </w:r>
          </w:p>
        </w:tc>
        <w:tc>
          <w:tcPr>
            <w:tcW w:w="994" w:type="dxa"/>
          </w:tcPr>
          <w:p>
            <w:pPr>
              <w:pStyle w:val="TableParagraph"/>
              <w:spacing w:line="225" w:lineRule="exact"/>
              <w:ind w:left="0" w:right="107"/>
              <w:jc w:val="right"/>
              <w:rPr>
                <w:i/>
                <w:sz w:val="20"/>
              </w:rPr>
            </w:pPr>
            <w:r>
              <w:rPr>
                <w:i/>
                <w:sz w:val="20"/>
              </w:rPr>
              <w:t>0.06%</w:t>
            </w:r>
          </w:p>
        </w:tc>
        <w:tc>
          <w:tcPr>
            <w:tcW w:w="989" w:type="dxa"/>
          </w:tcPr>
          <w:p>
            <w:pPr>
              <w:pStyle w:val="TableParagraph"/>
              <w:spacing w:line="225" w:lineRule="exact"/>
              <w:ind w:left="0" w:right="103"/>
              <w:jc w:val="right"/>
              <w:rPr>
                <w:i/>
                <w:sz w:val="20"/>
              </w:rPr>
            </w:pPr>
            <w:r>
              <w:rPr>
                <w:i/>
                <w:sz w:val="20"/>
              </w:rPr>
              <w:t>14</w:t>
            </w:r>
          </w:p>
        </w:tc>
        <w:tc>
          <w:tcPr>
            <w:tcW w:w="1030" w:type="dxa"/>
          </w:tcPr>
          <w:p>
            <w:pPr>
              <w:pStyle w:val="TableParagraph"/>
              <w:spacing w:line="225" w:lineRule="exact"/>
              <w:ind w:left="0" w:right="104"/>
              <w:jc w:val="right"/>
              <w:rPr>
                <w:i/>
                <w:sz w:val="20"/>
              </w:rPr>
            </w:pPr>
            <w:r>
              <w:rPr>
                <w:i/>
                <w:sz w:val="20"/>
              </w:rPr>
              <w:t>0.27%</w:t>
            </w:r>
          </w:p>
        </w:tc>
        <w:tc>
          <w:tcPr>
            <w:tcW w:w="989" w:type="dxa"/>
          </w:tcPr>
          <w:p>
            <w:pPr>
              <w:pStyle w:val="TableParagraph"/>
              <w:spacing w:line="225" w:lineRule="exact"/>
              <w:ind w:left="0" w:right="100"/>
              <w:jc w:val="right"/>
              <w:rPr>
                <w:i/>
                <w:sz w:val="20"/>
              </w:rPr>
            </w:pPr>
            <w:r>
              <w:rPr>
                <w:i/>
                <w:w w:val="99"/>
                <w:sz w:val="20"/>
              </w:rPr>
              <w:t>3</w:t>
            </w:r>
          </w:p>
        </w:tc>
        <w:tc>
          <w:tcPr>
            <w:tcW w:w="999" w:type="dxa"/>
          </w:tcPr>
          <w:p>
            <w:pPr>
              <w:pStyle w:val="TableParagraph"/>
              <w:spacing w:line="225" w:lineRule="exact"/>
              <w:ind w:left="0" w:right="107"/>
              <w:jc w:val="right"/>
              <w:rPr>
                <w:i/>
                <w:sz w:val="20"/>
              </w:rPr>
            </w:pPr>
            <w:r>
              <w:rPr>
                <w:i/>
                <w:sz w:val="20"/>
              </w:rPr>
              <w:t>0.06%</w:t>
            </w:r>
          </w:p>
        </w:tc>
      </w:tr>
      <w:tr>
        <w:trPr>
          <w:trHeight w:val="240" w:hRule="exact"/>
        </w:trPr>
        <w:tc>
          <w:tcPr>
            <w:tcW w:w="1070" w:type="dxa"/>
          </w:tcPr>
          <w:p>
            <w:pPr>
              <w:pStyle w:val="TableParagraph"/>
              <w:spacing w:line="225" w:lineRule="exact"/>
              <w:ind w:right="147"/>
              <w:rPr>
                <w:i/>
                <w:sz w:val="20"/>
              </w:rPr>
            </w:pPr>
            <w:r>
              <w:rPr>
                <w:i/>
                <w:sz w:val="20"/>
              </w:rPr>
              <w:t>PRD-C</w:t>
            </w:r>
          </w:p>
        </w:tc>
        <w:tc>
          <w:tcPr>
            <w:tcW w:w="984" w:type="dxa"/>
          </w:tcPr>
          <w:p>
            <w:pPr>
              <w:pStyle w:val="TableParagraph"/>
              <w:spacing w:line="225" w:lineRule="exact"/>
              <w:ind w:left="0" w:right="103"/>
              <w:jc w:val="right"/>
              <w:rPr>
                <w:i/>
                <w:sz w:val="20"/>
              </w:rPr>
            </w:pPr>
            <w:r>
              <w:rPr>
                <w:i/>
                <w:sz w:val="20"/>
              </w:rPr>
              <w:t>17</w:t>
            </w:r>
          </w:p>
        </w:tc>
        <w:tc>
          <w:tcPr>
            <w:tcW w:w="1088" w:type="dxa"/>
          </w:tcPr>
          <w:p>
            <w:pPr>
              <w:pStyle w:val="TableParagraph"/>
              <w:spacing w:line="225" w:lineRule="exact"/>
              <w:ind w:left="0" w:right="105"/>
              <w:jc w:val="right"/>
              <w:rPr>
                <w:i/>
                <w:sz w:val="20"/>
              </w:rPr>
            </w:pPr>
            <w:r>
              <w:rPr>
                <w:i/>
                <w:sz w:val="20"/>
              </w:rPr>
              <w:t>0.33%</w:t>
            </w:r>
          </w:p>
        </w:tc>
        <w:tc>
          <w:tcPr>
            <w:tcW w:w="914" w:type="dxa"/>
          </w:tcPr>
          <w:p>
            <w:pPr>
              <w:pStyle w:val="TableParagraph"/>
              <w:spacing w:line="225" w:lineRule="exact"/>
              <w:ind w:left="0" w:right="100"/>
              <w:jc w:val="right"/>
              <w:rPr>
                <w:i/>
                <w:sz w:val="20"/>
              </w:rPr>
            </w:pPr>
            <w:r>
              <w:rPr>
                <w:i/>
                <w:w w:val="99"/>
                <w:sz w:val="20"/>
              </w:rPr>
              <w:t>1</w:t>
            </w:r>
          </w:p>
        </w:tc>
        <w:tc>
          <w:tcPr>
            <w:tcW w:w="994" w:type="dxa"/>
          </w:tcPr>
          <w:p>
            <w:pPr>
              <w:pStyle w:val="TableParagraph"/>
              <w:spacing w:line="225" w:lineRule="exact"/>
              <w:ind w:left="0" w:right="107"/>
              <w:jc w:val="right"/>
              <w:rPr>
                <w:i/>
                <w:sz w:val="20"/>
              </w:rPr>
            </w:pPr>
            <w:r>
              <w:rPr>
                <w:i/>
                <w:sz w:val="20"/>
              </w:rPr>
              <w:t>0.02%</w:t>
            </w:r>
          </w:p>
        </w:tc>
        <w:tc>
          <w:tcPr>
            <w:tcW w:w="989" w:type="dxa"/>
          </w:tcPr>
          <w:p>
            <w:pPr>
              <w:pStyle w:val="TableParagraph"/>
              <w:spacing w:line="225" w:lineRule="exact"/>
              <w:ind w:left="0" w:right="103"/>
              <w:jc w:val="right"/>
              <w:rPr>
                <w:i/>
                <w:sz w:val="20"/>
              </w:rPr>
            </w:pPr>
            <w:r>
              <w:rPr>
                <w:i/>
                <w:sz w:val="20"/>
              </w:rPr>
              <w:t>13</w:t>
            </w:r>
          </w:p>
        </w:tc>
        <w:tc>
          <w:tcPr>
            <w:tcW w:w="1030" w:type="dxa"/>
          </w:tcPr>
          <w:p>
            <w:pPr>
              <w:pStyle w:val="TableParagraph"/>
              <w:spacing w:line="225" w:lineRule="exact"/>
              <w:ind w:left="0" w:right="104"/>
              <w:jc w:val="right"/>
              <w:rPr>
                <w:i/>
                <w:sz w:val="20"/>
              </w:rPr>
            </w:pPr>
            <w:r>
              <w:rPr>
                <w:i/>
                <w:sz w:val="20"/>
              </w:rPr>
              <w:t>0.25%</w:t>
            </w:r>
          </w:p>
        </w:tc>
        <w:tc>
          <w:tcPr>
            <w:tcW w:w="989" w:type="dxa"/>
          </w:tcPr>
          <w:p>
            <w:pPr>
              <w:pStyle w:val="TableParagraph"/>
              <w:spacing w:line="225" w:lineRule="exact"/>
              <w:ind w:left="0" w:right="100"/>
              <w:jc w:val="right"/>
              <w:rPr>
                <w:i/>
                <w:sz w:val="20"/>
              </w:rPr>
            </w:pPr>
            <w:r>
              <w:rPr>
                <w:i/>
                <w:w w:val="99"/>
                <w:sz w:val="20"/>
              </w:rPr>
              <w:t>3</w:t>
            </w:r>
          </w:p>
        </w:tc>
        <w:tc>
          <w:tcPr>
            <w:tcW w:w="999" w:type="dxa"/>
          </w:tcPr>
          <w:p>
            <w:pPr>
              <w:pStyle w:val="TableParagraph"/>
              <w:spacing w:line="225" w:lineRule="exact"/>
              <w:ind w:left="0" w:right="107"/>
              <w:jc w:val="right"/>
              <w:rPr>
                <w:i/>
                <w:sz w:val="20"/>
              </w:rPr>
            </w:pPr>
            <w:r>
              <w:rPr>
                <w:i/>
                <w:sz w:val="20"/>
              </w:rPr>
              <w:t>0.06%</w:t>
            </w:r>
          </w:p>
        </w:tc>
      </w:tr>
      <w:tr>
        <w:trPr>
          <w:trHeight w:val="698" w:hRule="exact"/>
        </w:trPr>
        <w:tc>
          <w:tcPr>
            <w:tcW w:w="1070" w:type="dxa"/>
          </w:tcPr>
          <w:p>
            <w:pPr>
              <w:pStyle w:val="TableParagraph"/>
              <w:ind w:right="147"/>
              <w:rPr>
                <w:i/>
                <w:sz w:val="20"/>
              </w:rPr>
            </w:pPr>
            <w:r>
              <w:rPr>
                <w:i/>
                <w:sz w:val="20"/>
              </w:rPr>
              <w:t>PAN- </w:t>
            </w:r>
            <w:r>
              <w:rPr>
                <w:i/>
                <w:w w:val="95"/>
                <w:sz w:val="20"/>
              </w:rPr>
              <w:t>PRD-PT- </w:t>
            </w:r>
            <w:r>
              <w:rPr>
                <w:i/>
                <w:sz w:val="20"/>
              </w:rPr>
              <w:t>C</w:t>
            </w:r>
          </w:p>
        </w:tc>
        <w:tc>
          <w:tcPr>
            <w:tcW w:w="984" w:type="dxa"/>
          </w:tcPr>
          <w:p>
            <w:pPr>
              <w:pStyle w:val="TableParagraph"/>
              <w:spacing w:line="225" w:lineRule="exact"/>
              <w:ind w:left="0" w:right="100"/>
              <w:jc w:val="right"/>
              <w:rPr>
                <w:i/>
                <w:sz w:val="20"/>
              </w:rPr>
            </w:pPr>
            <w:r>
              <w:rPr>
                <w:i/>
                <w:w w:val="99"/>
                <w:sz w:val="20"/>
              </w:rPr>
              <w:t>5</w:t>
            </w:r>
          </w:p>
        </w:tc>
        <w:tc>
          <w:tcPr>
            <w:tcW w:w="1088" w:type="dxa"/>
          </w:tcPr>
          <w:p>
            <w:pPr>
              <w:pStyle w:val="TableParagraph"/>
              <w:spacing w:line="225" w:lineRule="exact"/>
              <w:ind w:left="0" w:right="105"/>
              <w:jc w:val="right"/>
              <w:rPr>
                <w:i/>
                <w:sz w:val="20"/>
              </w:rPr>
            </w:pPr>
            <w:r>
              <w:rPr>
                <w:i/>
                <w:sz w:val="20"/>
              </w:rPr>
              <w:t>0.10%</w:t>
            </w:r>
          </w:p>
        </w:tc>
        <w:tc>
          <w:tcPr>
            <w:tcW w:w="914" w:type="dxa"/>
          </w:tcPr>
          <w:p>
            <w:pPr>
              <w:pStyle w:val="TableParagraph"/>
              <w:spacing w:line="225" w:lineRule="exact"/>
              <w:ind w:left="0" w:right="101"/>
              <w:jc w:val="right"/>
              <w:rPr>
                <w:i/>
                <w:sz w:val="20"/>
              </w:rPr>
            </w:pPr>
            <w:r>
              <w:rPr>
                <w:i/>
                <w:w w:val="95"/>
                <w:sz w:val="20"/>
              </w:rPr>
              <w:t>--</w:t>
            </w:r>
          </w:p>
        </w:tc>
        <w:tc>
          <w:tcPr>
            <w:tcW w:w="994" w:type="dxa"/>
          </w:tcPr>
          <w:p>
            <w:pPr>
              <w:pStyle w:val="TableParagraph"/>
              <w:spacing w:line="225" w:lineRule="exact"/>
              <w:ind w:left="0" w:right="107"/>
              <w:jc w:val="right"/>
              <w:rPr>
                <w:i/>
                <w:sz w:val="20"/>
              </w:rPr>
            </w:pPr>
            <w:r>
              <w:rPr>
                <w:i/>
                <w:sz w:val="20"/>
              </w:rPr>
              <w:t>0.00%</w:t>
            </w:r>
          </w:p>
        </w:tc>
        <w:tc>
          <w:tcPr>
            <w:tcW w:w="989" w:type="dxa"/>
          </w:tcPr>
          <w:p>
            <w:pPr>
              <w:pStyle w:val="TableParagraph"/>
              <w:spacing w:line="225" w:lineRule="exact"/>
              <w:ind w:left="0" w:right="100"/>
              <w:jc w:val="right"/>
              <w:rPr>
                <w:i/>
                <w:sz w:val="20"/>
              </w:rPr>
            </w:pPr>
            <w:r>
              <w:rPr>
                <w:i/>
                <w:w w:val="99"/>
                <w:sz w:val="20"/>
              </w:rPr>
              <w:t>5</w:t>
            </w:r>
          </w:p>
        </w:tc>
        <w:tc>
          <w:tcPr>
            <w:tcW w:w="1030" w:type="dxa"/>
          </w:tcPr>
          <w:p>
            <w:pPr>
              <w:pStyle w:val="TableParagraph"/>
              <w:spacing w:line="225" w:lineRule="exact"/>
              <w:ind w:left="0" w:right="104"/>
              <w:jc w:val="right"/>
              <w:rPr>
                <w:i/>
                <w:sz w:val="20"/>
              </w:rPr>
            </w:pPr>
            <w:r>
              <w:rPr>
                <w:i/>
                <w:sz w:val="20"/>
              </w:rPr>
              <w:t>0.10%</w:t>
            </w:r>
          </w:p>
        </w:tc>
        <w:tc>
          <w:tcPr>
            <w:tcW w:w="989" w:type="dxa"/>
          </w:tcPr>
          <w:p>
            <w:pPr>
              <w:pStyle w:val="TableParagraph"/>
              <w:spacing w:line="225" w:lineRule="exact"/>
              <w:ind w:left="0" w:right="101"/>
              <w:jc w:val="right"/>
              <w:rPr>
                <w:i/>
                <w:sz w:val="20"/>
              </w:rPr>
            </w:pPr>
            <w:r>
              <w:rPr>
                <w:i/>
                <w:w w:val="95"/>
                <w:sz w:val="20"/>
              </w:rPr>
              <w:t>--</w:t>
            </w:r>
          </w:p>
        </w:tc>
        <w:tc>
          <w:tcPr>
            <w:tcW w:w="999" w:type="dxa"/>
          </w:tcPr>
          <w:p>
            <w:pPr>
              <w:pStyle w:val="TableParagraph"/>
              <w:spacing w:line="225" w:lineRule="exact"/>
              <w:ind w:left="0" w:right="107"/>
              <w:jc w:val="right"/>
              <w:rPr>
                <w:i/>
                <w:sz w:val="20"/>
              </w:rPr>
            </w:pPr>
            <w:r>
              <w:rPr>
                <w:i/>
                <w:sz w:val="20"/>
              </w:rPr>
              <w:t>0.00%</w:t>
            </w:r>
          </w:p>
        </w:tc>
      </w:tr>
      <w:tr>
        <w:trPr>
          <w:trHeight w:val="470" w:hRule="exact"/>
        </w:trPr>
        <w:tc>
          <w:tcPr>
            <w:tcW w:w="1070" w:type="dxa"/>
          </w:tcPr>
          <w:p>
            <w:pPr>
              <w:pStyle w:val="TableParagraph"/>
              <w:ind w:right="174"/>
              <w:rPr>
                <w:i/>
                <w:sz w:val="20"/>
              </w:rPr>
            </w:pPr>
            <w:r>
              <w:rPr>
                <w:i/>
                <w:sz w:val="20"/>
              </w:rPr>
              <w:t>PAN- </w:t>
            </w:r>
            <w:r>
              <w:rPr>
                <w:i/>
                <w:sz w:val="20"/>
              </w:rPr>
              <w:t>PRD-PT</w:t>
            </w:r>
          </w:p>
        </w:tc>
        <w:tc>
          <w:tcPr>
            <w:tcW w:w="984" w:type="dxa"/>
          </w:tcPr>
          <w:p>
            <w:pPr>
              <w:pStyle w:val="TableParagraph"/>
              <w:spacing w:line="225" w:lineRule="exact"/>
              <w:ind w:left="0" w:right="100"/>
              <w:jc w:val="right"/>
              <w:rPr>
                <w:i/>
                <w:sz w:val="20"/>
              </w:rPr>
            </w:pPr>
            <w:r>
              <w:rPr>
                <w:i/>
                <w:w w:val="99"/>
                <w:sz w:val="20"/>
              </w:rPr>
              <w:t>4</w:t>
            </w:r>
          </w:p>
        </w:tc>
        <w:tc>
          <w:tcPr>
            <w:tcW w:w="1088" w:type="dxa"/>
          </w:tcPr>
          <w:p>
            <w:pPr>
              <w:pStyle w:val="TableParagraph"/>
              <w:spacing w:line="225" w:lineRule="exact"/>
              <w:ind w:left="0" w:right="105"/>
              <w:jc w:val="right"/>
              <w:rPr>
                <w:i/>
                <w:sz w:val="20"/>
              </w:rPr>
            </w:pPr>
            <w:r>
              <w:rPr>
                <w:i/>
                <w:sz w:val="20"/>
              </w:rPr>
              <w:t>0.08%</w:t>
            </w:r>
          </w:p>
        </w:tc>
        <w:tc>
          <w:tcPr>
            <w:tcW w:w="914" w:type="dxa"/>
          </w:tcPr>
          <w:p>
            <w:pPr>
              <w:pStyle w:val="TableParagraph"/>
              <w:spacing w:line="225" w:lineRule="exact"/>
              <w:ind w:left="0" w:right="101"/>
              <w:jc w:val="right"/>
              <w:rPr>
                <w:i/>
                <w:sz w:val="20"/>
              </w:rPr>
            </w:pPr>
            <w:r>
              <w:rPr>
                <w:i/>
                <w:sz w:val="20"/>
              </w:rPr>
              <w:t>--</w:t>
            </w:r>
          </w:p>
        </w:tc>
        <w:tc>
          <w:tcPr>
            <w:tcW w:w="994" w:type="dxa"/>
          </w:tcPr>
          <w:p>
            <w:pPr>
              <w:pStyle w:val="TableParagraph"/>
              <w:spacing w:line="225" w:lineRule="exact"/>
              <w:ind w:left="0" w:right="107"/>
              <w:jc w:val="right"/>
              <w:rPr>
                <w:i/>
                <w:sz w:val="20"/>
              </w:rPr>
            </w:pPr>
            <w:r>
              <w:rPr>
                <w:i/>
                <w:sz w:val="20"/>
              </w:rPr>
              <w:t>0.00%</w:t>
            </w:r>
          </w:p>
        </w:tc>
        <w:tc>
          <w:tcPr>
            <w:tcW w:w="989" w:type="dxa"/>
          </w:tcPr>
          <w:p>
            <w:pPr>
              <w:pStyle w:val="TableParagraph"/>
              <w:spacing w:line="225" w:lineRule="exact"/>
              <w:ind w:left="0" w:right="100"/>
              <w:jc w:val="right"/>
              <w:rPr>
                <w:i/>
                <w:sz w:val="20"/>
              </w:rPr>
            </w:pPr>
            <w:r>
              <w:rPr>
                <w:i/>
                <w:w w:val="99"/>
                <w:sz w:val="20"/>
              </w:rPr>
              <w:t>4</w:t>
            </w:r>
          </w:p>
        </w:tc>
        <w:tc>
          <w:tcPr>
            <w:tcW w:w="1030" w:type="dxa"/>
          </w:tcPr>
          <w:p>
            <w:pPr>
              <w:pStyle w:val="TableParagraph"/>
              <w:spacing w:line="225" w:lineRule="exact"/>
              <w:ind w:left="0" w:right="104"/>
              <w:jc w:val="right"/>
              <w:rPr>
                <w:i/>
                <w:sz w:val="20"/>
              </w:rPr>
            </w:pPr>
            <w:r>
              <w:rPr>
                <w:i/>
                <w:sz w:val="20"/>
              </w:rPr>
              <w:t>0.08%</w:t>
            </w:r>
          </w:p>
        </w:tc>
        <w:tc>
          <w:tcPr>
            <w:tcW w:w="989" w:type="dxa"/>
          </w:tcPr>
          <w:p>
            <w:pPr>
              <w:pStyle w:val="TableParagraph"/>
              <w:spacing w:line="225" w:lineRule="exact"/>
              <w:ind w:left="0" w:right="101"/>
              <w:jc w:val="right"/>
              <w:rPr>
                <w:i/>
                <w:sz w:val="20"/>
              </w:rPr>
            </w:pPr>
            <w:r>
              <w:rPr>
                <w:i/>
                <w:sz w:val="20"/>
              </w:rPr>
              <w:t>--</w:t>
            </w:r>
          </w:p>
        </w:tc>
        <w:tc>
          <w:tcPr>
            <w:tcW w:w="999" w:type="dxa"/>
          </w:tcPr>
          <w:p>
            <w:pPr>
              <w:pStyle w:val="TableParagraph"/>
              <w:spacing w:line="225" w:lineRule="exact"/>
              <w:ind w:left="0" w:right="107"/>
              <w:jc w:val="right"/>
              <w:rPr>
                <w:i/>
                <w:sz w:val="20"/>
              </w:rPr>
            </w:pPr>
            <w:r>
              <w:rPr>
                <w:i/>
                <w:sz w:val="20"/>
              </w:rPr>
              <w:t>0.00%</w:t>
            </w:r>
          </w:p>
        </w:tc>
      </w:tr>
      <w:tr>
        <w:trPr>
          <w:trHeight w:val="240" w:hRule="exact"/>
        </w:trPr>
        <w:tc>
          <w:tcPr>
            <w:tcW w:w="1070" w:type="dxa"/>
          </w:tcPr>
          <w:p>
            <w:pPr>
              <w:pStyle w:val="TableParagraph"/>
              <w:spacing w:line="225" w:lineRule="exact"/>
              <w:ind w:right="147"/>
              <w:rPr>
                <w:i/>
                <w:sz w:val="20"/>
              </w:rPr>
            </w:pPr>
            <w:r>
              <w:rPr>
                <w:i/>
                <w:sz w:val="20"/>
              </w:rPr>
              <w:t>PVEM</w:t>
            </w:r>
          </w:p>
        </w:tc>
        <w:tc>
          <w:tcPr>
            <w:tcW w:w="984" w:type="dxa"/>
          </w:tcPr>
          <w:p>
            <w:pPr>
              <w:pStyle w:val="TableParagraph"/>
              <w:spacing w:line="225" w:lineRule="exact"/>
              <w:ind w:left="0" w:right="100"/>
              <w:jc w:val="right"/>
              <w:rPr>
                <w:i/>
                <w:sz w:val="20"/>
              </w:rPr>
            </w:pPr>
            <w:r>
              <w:rPr>
                <w:i/>
                <w:w w:val="99"/>
                <w:sz w:val="20"/>
              </w:rPr>
              <w:t>4</w:t>
            </w:r>
          </w:p>
        </w:tc>
        <w:tc>
          <w:tcPr>
            <w:tcW w:w="1088" w:type="dxa"/>
          </w:tcPr>
          <w:p>
            <w:pPr>
              <w:pStyle w:val="TableParagraph"/>
              <w:spacing w:line="225" w:lineRule="exact"/>
              <w:ind w:left="0" w:right="105"/>
              <w:jc w:val="right"/>
              <w:rPr>
                <w:i/>
                <w:sz w:val="20"/>
              </w:rPr>
            </w:pPr>
            <w:r>
              <w:rPr>
                <w:i/>
                <w:sz w:val="20"/>
              </w:rPr>
              <w:t>0.08%</w:t>
            </w:r>
          </w:p>
        </w:tc>
        <w:tc>
          <w:tcPr>
            <w:tcW w:w="914" w:type="dxa"/>
          </w:tcPr>
          <w:p>
            <w:pPr>
              <w:pStyle w:val="TableParagraph"/>
              <w:spacing w:line="225" w:lineRule="exact"/>
              <w:ind w:left="0" w:right="101"/>
              <w:jc w:val="right"/>
              <w:rPr>
                <w:i/>
                <w:sz w:val="20"/>
              </w:rPr>
            </w:pPr>
            <w:r>
              <w:rPr>
                <w:i/>
                <w:w w:val="95"/>
                <w:sz w:val="20"/>
              </w:rPr>
              <w:t>--</w:t>
            </w:r>
          </w:p>
        </w:tc>
        <w:tc>
          <w:tcPr>
            <w:tcW w:w="994" w:type="dxa"/>
          </w:tcPr>
          <w:p>
            <w:pPr>
              <w:pStyle w:val="TableParagraph"/>
              <w:spacing w:line="225" w:lineRule="exact"/>
              <w:ind w:left="0" w:right="107"/>
              <w:jc w:val="right"/>
              <w:rPr>
                <w:i/>
                <w:sz w:val="20"/>
              </w:rPr>
            </w:pPr>
            <w:r>
              <w:rPr>
                <w:i/>
                <w:sz w:val="20"/>
              </w:rPr>
              <w:t>0.00%</w:t>
            </w:r>
          </w:p>
        </w:tc>
        <w:tc>
          <w:tcPr>
            <w:tcW w:w="989" w:type="dxa"/>
          </w:tcPr>
          <w:p>
            <w:pPr>
              <w:pStyle w:val="TableParagraph"/>
              <w:spacing w:line="225" w:lineRule="exact"/>
              <w:ind w:left="0" w:right="100"/>
              <w:jc w:val="right"/>
              <w:rPr>
                <w:i/>
                <w:sz w:val="20"/>
              </w:rPr>
            </w:pPr>
            <w:r>
              <w:rPr>
                <w:i/>
                <w:w w:val="99"/>
                <w:sz w:val="20"/>
              </w:rPr>
              <w:t>3</w:t>
            </w:r>
          </w:p>
        </w:tc>
        <w:tc>
          <w:tcPr>
            <w:tcW w:w="1030" w:type="dxa"/>
          </w:tcPr>
          <w:p>
            <w:pPr>
              <w:pStyle w:val="TableParagraph"/>
              <w:spacing w:line="225" w:lineRule="exact"/>
              <w:ind w:left="0" w:right="104"/>
              <w:jc w:val="right"/>
              <w:rPr>
                <w:i/>
                <w:sz w:val="20"/>
              </w:rPr>
            </w:pPr>
            <w:r>
              <w:rPr>
                <w:i/>
                <w:sz w:val="20"/>
              </w:rPr>
              <w:t>0.06%</w:t>
            </w:r>
          </w:p>
        </w:tc>
        <w:tc>
          <w:tcPr>
            <w:tcW w:w="989" w:type="dxa"/>
          </w:tcPr>
          <w:p>
            <w:pPr>
              <w:pStyle w:val="TableParagraph"/>
              <w:spacing w:line="225" w:lineRule="exact"/>
              <w:ind w:left="0" w:right="100"/>
              <w:jc w:val="right"/>
              <w:rPr>
                <w:i/>
                <w:sz w:val="20"/>
              </w:rPr>
            </w:pPr>
            <w:r>
              <w:rPr>
                <w:i/>
                <w:w w:val="99"/>
                <w:sz w:val="20"/>
              </w:rPr>
              <w:t>1</w:t>
            </w:r>
          </w:p>
        </w:tc>
        <w:tc>
          <w:tcPr>
            <w:tcW w:w="999" w:type="dxa"/>
          </w:tcPr>
          <w:p>
            <w:pPr>
              <w:pStyle w:val="TableParagraph"/>
              <w:spacing w:line="225" w:lineRule="exact"/>
              <w:ind w:left="0" w:right="107"/>
              <w:jc w:val="right"/>
              <w:rPr>
                <w:i/>
                <w:sz w:val="20"/>
              </w:rPr>
            </w:pPr>
            <w:r>
              <w:rPr>
                <w:i/>
                <w:sz w:val="20"/>
              </w:rPr>
              <w:t>0.02%</w:t>
            </w:r>
          </w:p>
        </w:tc>
      </w:tr>
      <w:tr>
        <w:trPr>
          <w:trHeight w:val="240" w:hRule="exact"/>
        </w:trPr>
        <w:tc>
          <w:tcPr>
            <w:tcW w:w="1070" w:type="dxa"/>
          </w:tcPr>
          <w:p>
            <w:pPr>
              <w:pStyle w:val="TableParagraph"/>
              <w:spacing w:line="225" w:lineRule="exact"/>
              <w:ind w:right="147"/>
              <w:rPr>
                <w:i/>
                <w:sz w:val="20"/>
              </w:rPr>
            </w:pPr>
            <w:r>
              <w:rPr>
                <w:i/>
                <w:sz w:val="20"/>
              </w:rPr>
              <w:t>OTROS</w:t>
            </w:r>
          </w:p>
        </w:tc>
        <w:tc>
          <w:tcPr>
            <w:tcW w:w="984" w:type="dxa"/>
          </w:tcPr>
          <w:p>
            <w:pPr>
              <w:pStyle w:val="TableParagraph"/>
              <w:spacing w:line="225" w:lineRule="exact"/>
              <w:ind w:left="0" w:right="103"/>
              <w:jc w:val="right"/>
              <w:rPr>
                <w:i/>
                <w:sz w:val="20"/>
              </w:rPr>
            </w:pPr>
            <w:r>
              <w:rPr>
                <w:i/>
                <w:sz w:val="20"/>
              </w:rPr>
              <w:t>490</w:t>
            </w:r>
          </w:p>
        </w:tc>
        <w:tc>
          <w:tcPr>
            <w:tcW w:w="1088" w:type="dxa"/>
          </w:tcPr>
          <w:p>
            <w:pPr>
              <w:pStyle w:val="TableParagraph"/>
              <w:spacing w:line="225" w:lineRule="exact"/>
              <w:ind w:left="0" w:right="105"/>
              <w:jc w:val="right"/>
              <w:rPr>
                <w:i/>
                <w:sz w:val="20"/>
              </w:rPr>
            </w:pPr>
            <w:r>
              <w:rPr>
                <w:i/>
                <w:sz w:val="20"/>
              </w:rPr>
              <w:t>9.60%</w:t>
            </w:r>
          </w:p>
        </w:tc>
        <w:tc>
          <w:tcPr>
            <w:tcW w:w="914" w:type="dxa"/>
          </w:tcPr>
          <w:p>
            <w:pPr>
              <w:pStyle w:val="TableParagraph"/>
              <w:spacing w:line="225" w:lineRule="exact"/>
              <w:ind w:left="0" w:right="103"/>
              <w:jc w:val="right"/>
              <w:rPr>
                <w:i/>
                <w:sz w:val="20"/>
              </w:rPr>
            </w:pPr>
            <w:r>
              <w:rPr>
                <w:i/>
                <w:sz w:val="20"/>
              </w:rPr>
              <w:t>14</w:t>
            </w:r>
          </w:p>
        </w:tc>
        <w:tc>
          <w:tcPr>
            <w:tcW w:w="994" w:type="dxa"/>
          </w:tcPr>
          <w:p>
            <w:pPr>
              <w:pStyle w:val="TableParagraph"/>
              <w:spacing w:line="225" w:lineRule="exact"/>
              <w:ind w:left="0" w:right="107"/>
              <w:jc w:val="right"/>
              <w:rPr>
                <w:i/>
                <w:sz w:val="20"/>
              </w:rPr>
            </w:pPr>
            <w:r>
              <w:rPr>
                <w:i/>
                <w:sz w:val="20"/>
              </w:rPr>
              <w:t>0.27%</w:t>
            </w:r>
          </w:p>
        </w:tc>
        <w:tc>
          <w:tcPr>
            <w:tcW w:w="989" w:type="dxa"/>
          </w:tcPr>
          <w:p>
            <w:pPr>
              <w:pStyle w:val="TableParagraph"/>
              <w:spacing w:line="225" w:lineRule="exact"/>
              <w:ind w:left="0" w:right="103"/>
              <w:jc w:val="right"/>
              <w:rPr>
                <w:i/>
                <w:sz w:val="20"/>
              </w:rPr>
            </w:pPr>
            <w:r>
              <w:rPr>
                <w:i/>
                <w:sz w:val="20"/>
              </w:rPr>
              <w:t>451</w:t>
            </w:r>
          </w:p>
        </w:tc>
        <w:tc>
          <w:tcPr>
            <w:tcW w:w="1030" w:type="dxa"/>
          </w:tcPr>
          <w:p>
            <w:pPr>
              <w:pStyle w:val="TableParagraph"/>
              <w:spacing w:line="225" w:lineRule="exact"/>
              <w:ind w:left="0" w:right="104"/>
              <w:jc w:val="right"/>
              <w:rPr>
                <w:i/>
                <w:sz w:val="20"/>
              </w:rPr>
            </w:pPr>
            <w:r>
              <w:rPr>
                <w:i/>
                <w:sz w:val="20"/>
              </w:rPr>
              <w:t>8.83%</w:t>
            </w:r>
          </w:p>
        </w:tc>
        <w:tc>
          <w:tcPr>
            <w:tcW w:w="989" w:type="dxa"/>
          </w:tcPr>
          <w:p>
            <w:pPr>
              <w:pStyle w:val="TableParagraph"/>
              <w:spacing w:line="225" w:lineRule="exact"/>
              <w:ind w:left="0" w:right="103"/>
              <w:jc w:val="right"/>
              <w:rPr>
                <w:i/>
                <w:sz w:val="20"/>
              </w:rPr>
            </w:pPr>
            <w:r>
              <w:rPr>
                <w:i/>
                <w:sz w:val="20"/>
              </w:rPr>
              <w:t>25</w:t>
            </w:r>
          </w:p>
        </w:tc>
        <w:tc>
          <w:tcPr>
            <w:tcW w:w="999" w:type="dxa"/>
          </w:tcPr>
          <w:p>
            <w:pPr>
              <w:pStyle w:val="TableParagraph"/>
              <w:spacing w:line="225" w:lineRule="exact"/>
              <w:ind w:left="0" w:right="107"/>
              <w:jc w:val="right"/>
              <w:rPr>
                <w:i/>
                <w:sz w:val="20"/>
              </w:rPr>
            </w:pPr>
            <w:r>
              <w:rPr>
                <w:i/>
                <w:sz w:val="20"/>
              </w:rPr>
              <w:t>0.49%</w:t>
            </w:r>
          </w:p>
        </w:tc>
      </w:tr>
      <w:tr>
        <w:trPr>
          <w:trHeight w:val="240" w:hRule="exact"/>
        </w:trPr>
        <w:tc>
          <w:tcPr>
            <w:tcW w:w="1070" w:type="dxa"/>
            <w:shd w:val="clear" w:color="auto" w:fill="BEBEBE"/>
          </w:tcPr>
          <w:p>
            <w:pPr>
              <w:pStyle w:val="TableParagraph"/>
              <w:spacing w:line="225" w:lineRule="exact"/>
              <w:ind w:right="147"/>
              <w:rPr>
                <w:i/>
                <w:sz w:val="20"/>
              </w:rPr>
            </w:pPr>
            <w:r>
              <w:rPr>
                <w:i/>
                <w:sz w:val="20"/>
              </w:rPr>
              <w:t>Total</w:t>
            </w:r>
          </w:p>
        </w:tc>
        <w:tc>
          <w:tcPr>
            <w:tcW w:w="984" w:type="dxa"/>
            <w:shd w:val="clear" w:color="auto" w:fill="BEBEBE"/>
          </w:tcPr>
          <w:p>
            <w:pPr>
              <w:pStyle w:val="TableParagraph"/>
              <w:spacing w:line="225" w:lineRule="exact"/>
              <w:ind w:left="0" w:right="103"/>
              <w:jc w:val="right"/>
              <w:rPr>
                <w:i/>
                <w:sz w:val="20"/>
              </w:rPr>
            </w:pPr>
            <w:r>
              <w:rPr>
                <w:i/>
                <w:w w:val="95"/>
                <w:sz w:val="20"/>
              </w:rPr>
              <w:t>5,106</w:t>
            </w:r>
          </w:p>
        </w:tc>
        <w:tc>
          <w:tcPr>
            <w:tcW w:w="1088" w:type="dxa"/>
            <w:shd w:val="clear" w:color="auto" w:fill="BEBEBE"/>
          </w:tcPr>
          <w:p>
            <w:pPr>
              <w:pStyle w:val="TableParagraph"/>
              <w:spacing w:line="225" w:lineRule="exact"/>
              <w:ind w:left="0" w:right="105"/>
              <w:jc w:val="right"/>
              <w:rPr>
                <w:i/>
                <w:sz w:val="20"/>
              </w:rPr>
            </w:pPr>
            <w:r>
              <w:rPr>
                <w:i/>
                <w:sz w:val="20"/>
              </w:rPr>
              <w:t>100%</w:t>
            </w:r>
          </w:p>
        </w:tc>
        <w:tc>
          <w:tcPr>
            <w:tcW w:w="914" w:type="dxa"/>
            <w:shd w:val="clear" w:color="auto" w:fill="BEBEBE"/>
          </w:tcPr>
          <w:p>
            <w:pPr>
              <w:pStyle w:val="TableParagraph"/>
              <w:spacing w:line="225" w:lineRule="exact"/>
              <w:ind w:left="0" w:right="103"/>
              <w:jc w:val="right"/>
              <w:rPr>
                <w:i/>
                <w:sz w:val="20"/>
              </w:rPr>
            </w:pPr>
            <w:r>
              <w:rPr>
                <w:i/>
                <w:sz w:val="20"/>
              </w:rPr>
              <w:t>222</w:t>
            </w:r>
          </w:p>
        </w:tc>
        <w:tc>
          <w:tcPr>
            <w:tcW w:w="994" w:type="dxa"/>
            <w:shd w:val="clear" w:color="auto" w:fill="BEBEBE"/>
          </w:tcPr>
          <w:p>
            <w:pPr>
              <w:pStyle w:val="TableParagraph"/>
              <w:spacing w:line="225" w:lineRule="exact"/>
              <w:ind w:left="0" w:right="107"/>
              <w:jc w:val="right"/>
              <w:rPr>
                <w:i/>
                <w:sz w:val="20"/>
              </w:rPr>
            </w:pPr>
            <w:r>
              <w:rPr>
                <w:i/>
                <w:sz w:val="20"/>
              </w:rPr>
              <w:t>4.35%</w:t>
            </w:r>
          </w:p>
        </w:tc>
        <w:tc>
          <w:tcPr>
            <w:tcW w:w="989" w:type="dxa"/>
            <w:shd w:val="clear" w:color="auto" w:fill="BEBEBE"/>
          </w:tcPr>
          <w:p>
            <w:pPr>
              <w:pStyle w:val="TableParagraph"/>
              <w:spacing w:line="225" w:lineRule="exact"/>
              <w:ind w:left="0" w:right="103"/>
              <w:jc w:val="right"/>
              <w:rPr>
                <w:i/>
                <w:sz w:val="20"/>
              </w:rPr>
            </w:pPr>
            <w:r>
              <w:rPr>
                <w:i/>
                <w:sz w:val="20"/>
              </w:rPr>
              <w:t>4517</w:t>
            </w:r>
          </w:p>
        </w:tc>
        <w:tc>
          <w:tcPr>
            <w:tcW w:w="1030" w:type="dxa"/>
            <w:shd w:val="clear" w:color="auto" w:fill="BEBEBE"/>
          </w:tcPr>
          <w:p>
            <w:pPr>
              <w:pStyle w:val="TableParagraph"/>
              <w:spacing w:line="225" w:lineRule="exact"/>
              <w:ind w:left="0" w:right="104"/>
              <w:jc w:val="right"/>
              <w:rPr>
                <w:i/>
                <w:sz w:val="20"/>
              </w:rPr>
            </w:pPr>
            <w:r>
              <w:rPr>
                <w:i/>
                <w:w w:val="95"/>
                <w:sz w:val="20"/>
              </w:rPr>
              <w:t>88.46%</w:t>
            </w:r>
          </w:p>
        </w:tc>
        <w:tc>
          <w:tcPr>
            <w:tcW w:w="989" w:type="dxa"/>
            <w:shd w:val="clear" w:color="auto" w:fill="BEBEBE"/>
          </w:tcPr>
          <w:p>
            <w:pPr>
              <w:pStyle w:val="TableParagraph"/>
              <w:spacing w:line="225" w:lineRule="exact"/>
              <w:ind w:left="0" w:right="103"/>
              <w:jc w:val="right"/>
              <w:rPr>
                <w:i/>
                <w:sz w:val="20"/>
              </w:rPr>
            </w:pPr>
            <w:r>
              <w:rPr>
                <w:i/>
                <w:sz w:val="20"/>
              </w:rPr>
              <w:t>367</w:t>
            </w:r>
          </w:p>
        </w:tc>
        <w:tc>
          <w:tcPr>
            <w:tcW w:w="999" w:type="dxa"/>
            <w:shd w:val="clear" w:color="auto" w:fill="BEBEBE"/>
          </w:tcPr>
          <w:p>
            <w:pPr>
              <w:pStyle w:val="TableParagraph"/>
              <w:spacing w:line="225" w:lineRule="exact"/>
              <w:ind w:left="0" w:right="107"/>
              <w:jc w:val="right"/>
              <w:rPr>
                <w:i/>
                <w:sz w:val="20"/>
              </w:rPr>
            </w:pPr>
            <w:r>
              <w:rPr>
                <w:i/>
                <w:sz w:val="20"/>
              </w:rPr>
              <w:t>7.19%</w:t>
            </w:r>
          </w:p>
        </w:tc>
      </w:tr>
    </w:tbl>
    <w:p>
      <w:pPr>
        <w:spacing w:line="240" w:lineRule="auto" w:before="0"/>
        <w:ind w:left="222" w:right="236" w:firstLine="0"/>
        <w:jc w:val="both"/>
        <w:rPr>
          <w:sz w:val="22"/>
        </w:rPr>
      </w:pPr>
      <w:r>
        <w:rPr>
          <w:sz w:val="22"/>
        </w:rPr>
        <w:t>Nota: MP= menciones positivas, MNeu= menciones neutras y MNeg= menciones negativas. Se observaron inconsistencias, mínimas, en la información dada por el IEEM, en cuanto al número de notas del PRI-PVEM que no eran 2, 614 sino 2, 613, así como en el número de notas del PRD que no eran 399 sino 400; por lo que se anota un (+1) y un (-</w:t>
      </w:r>
    </w:p>
    <w:p>
      <w:pPr>
        <w:pStyle w:val="ListParagraph"/>
        <w:numPr>
          <w:ilvl w:val="0"/>
          <w:numId w:val="36"/>
        </w:numPr>
        <w:tabs>
          <w:tab w:pos="491" w:val="left" w:leader="none"/>
        </w:tabs>
        <w:spacing w:line="240" w:lineRule="auto" w:before="1" w:after="0"/>
        <w:ind w:left="222" w:right="235" w:firstLine="0"/>
        <w:jc w:val="both"/>
        <w:rPr>
          <w:sz w:val="22"/>
        </w:rPr>
      </w:pPr>
      <w:r>
        <w:rPr>
          <w:sz w:val="22"/>
        </w:rPr>
        <w:t>en las celdas respectivas. Dato que no altera el resultado general. Fuente: elaboración propia tomando datos del Instituto Electoral del Estado de México Reporte Final (INFOEM, 2013).</w:t>
      </w:r>
    </w:p>
    <w:p>
      <w:pPr>
        <w:pStyle w:val="BodyText"/>
        <w:rPr>
          <w:sz w:val="22"/>
        </w:rPr>
      </w:pPr>
    </w:p>
    <w:p>
      <w:pPr>
        <w:pStyle w:val="Heading2"/>
        <w:numPr>
          <w:ilvl w:val="0"/>
          <w:numId w:val="35"/>
        </w:numPr>
        <w:tabs>
          <w:tab w:pos="1290" w:val="left" w:leader="none"/>
        </w:tabs>
        <w:spacing w:line="240" w:lineRule="auto" w:before="161" w:after="0"/>
        <w:ind w:left="1290" w:right="0" w:hanging="360"/>
        <w:jc w:val="left"/>
      </w:pPr>
      <w:r>
        <w:rPr/>
        <w:t>Costa</w:t>
      </w:r>
      <w:r>
        <w:rPr>
          <w:spacing w:val="-1"/>
        </w:rPr>
        <w:t> </w:t>
      </w:r>
      <w:r>
        <w:rPr/>
        <w:t>Rica</w:t>
      </w:r>
    </w:p>
    <w:p>
      <w:pPr>
        <w:pStyle w:val="BodyText"/>
        <w:rPr>
          <w:b/>
        </w:rPr>
      </w:pPr>
    </w:p>
    <w:p>
      <w:pPr>
        <w:pStyle w:val="BodyText"/>
        <w:rPr>
          <w:b/>
        </w:rPr>
      </w:pPr>
    </w:p>
    <w:p>
      <w:pPr>
        <w:pStyle w:val="BodyText"/>
        <w:spacing w:line="360" w:lineRule="auto" w:before="200"/>
        <w:ind w:left="222" w:right="236"/>
        <w:jc w:val="both"/>
      </w:pPr>
      <w:r>
        <w:rPr/>
        <w:t>El Tribunal Supremo de Elecciones contrato a la empresa Controles Video Técnicos de Costa Rica S.A. para que realizará el monitoreo de noticias en televisión, radio y prensa. Dicha empresa monitoreo en televisión cinco noticieros: Telenoticias, Noticias Repretel, Hoy, Extra Noticias y NC Once; en radio cinco noticieros:  Noticias Columbia,  Noticias Monumental, Noticias Nacional,    Noticias</w:t>
      </w:r>
    </w:p>
    <w:p>
      <w:pPr>
        <w:spacing w:after="0" w:line="360" w:lineRule="auto"/>
        <w:jc w:val="both"/>
        <w:sectPr>
          <w:pgSz w:w="12240" w:h="15840"/>
          <w:pgMar w:header="749" w:footer="1003" w:top="960" w:bottom="1200" w:left="1480" w:right="1460"/>
        </w:sectPr>
      </w:pPr>
    </w:p>
    <w:p>
      <w:pPr>
        <w:pStyle w:val="BodyText"/>
        <w:rPr>
          <w:sz w:val="20"/>
        </w:rPr>
      </w:pPr>
    </w:p>
    <w:p>
      <w:pPr>
        <w:pStyle w:val="BodyText"/>
        <w:spacing w:line="362" w:lineRule="auto" w:before="214"/>
        <w:ind w:left="102" w:right="120"/>
      </w:pPr>
      <w:r>
        <w:rPr/>
        <w:t>ADN y ADN Hoy; y en prensa monitoreo cinco periódicos: La Prensa Libre, Diario Extra, La Nación, La República y la Teja (CVTCR, 2010).</w:t>
      </w:r>
    </w:p>
    <w:p>
      <w:pPr>
        <w:pStyle w:val="BodyText"/>
        <w:spacing w:line="360" w:lineRule="auto" w:before="201"/>
        <w:ind w:left="102" w:right="119" w:firstLine="707"/>
        <w:jc w:val="both"/>
      </w:pPr>
      <w:r>
        <w:rPr/>
        <w:t>De cada noticia televisada la empresa registró el canal, el programa, la emisión del noticiero (vespertina, matutina, nocturna, meridiana, primera edición, segunda edición etc.), fecha y hora, entidad(es) (TSE o partido) y personaje(s) (funcionario o candidato). En cuanto a las noticias transmitidas por radio se  registró la radiodifusora, el programa, la edición, fecha y hora, entidad(es) (TSE o partido) y el personaje(s) (funcionario o candidato). Por lo que corresponde a las noticias publicadas en prensa se registró el nombre del periódico, si era escrito o digital, sección, página, fecha y hora, entidades y su</w:t>
      </w:r>
      <w:r>
        <w:rPr>
          <w:spacing w:val="-13"/>
        </w:rPr>
        <w:t> </w:t>
      </w:r>
      <w:r>
        <w:rPr/>
        <w:t>costo.</w:t>
      </w:r>
    </w:p>
    <w:p>
      <w:pPr>
        <w:pStyle w:val="BodyText"/>
        <w:spacing w:line="360" w:lineRule="auto" w:before="204"/>
        <w:ind w:left="102" w:right="116" w:firstLine="707"/>
        <w:jc w:val="both"/>
      </w:pPr>
      <w:r>
        <w:rPr/>
        <w:t>Se realizó un registro del número de noticias por medio monitoreado, es decir, cada uno de los quince medios tuvo un contador; sin embargo, esta información no arrojó informes finales públicos, sólo el TSE tiene acceso a la información y la finalidad de los monitoreos es fiscalizar a los partidos, por lo tanto no se hacen estudios cualitativos, ni se tiene un registro de promocionales en  radio y televisión. El hecho de que el TSE no haga públicos dichos resultados me pareció una falta de transparencia por lo que solicité se me diera la información y después de recurrir a varios funcionarios del TSE pude obtener el usuario y contraseña de ingreso al sistema restringido de la empresa contratada, lo cual (en principio) me sorprendió que me hubieran permitido el acceso; sin embargo, (después) pude observar que la información no se encontraba analizada, no había datos estadísticos y la empresa obviamente por lo pesado de la información (videos de programas de televisión, radiofónicos así como imágenes de prensa) va borrando lo más antiguo y va dejando sólo lo más reciente (por lo que la información más atrasada había sido borrada). Además para clasificar dicha información hubiera sido necesario contratar a un importante número de monitoristas, situación que el TSE no hace; por lo cual decidí buscar otra vía de información. De acuerdo con lo anterior me remití a monitoreos realizados por otras empresas así como a la prensa para obtener</w:t>
      </w:r>
      <w:r>
        <w:rPr>
          <w:spacing w:val="-17"/>
        </w:rPr>
        <w:t> </w:t>
      </w:r>
      <w:r>
        <w:rPr/>
        <w:t>información.</w:t>
      </w:r>
    </w:p>
    <w:p>
      <w:pPr>
        <w:spacing w:after="0" w:line="360" w:lineRule="auto"/>
        <w:jc w:val="both"/>
        <w:sectPr>
          <w:pgSz w:w="12240" w:h="15840"/>
          <w:pgMar w:header="749" w:footer="1003" w:top="960" w:bottom="1200" w:left="1600" w:right="1580"/>
        </w:sectPr>
      </w:pPr>
    </w:p>
    <w:p>
      <w:pPr>
        <w:pStyle w:val="BodyText"/>
        <w:rPr>
          <w:sz w:val="20"/>
        </w:rPr>
      </w:pPr>
    </w:p>
    <w:p>
      <w:pPr>
        <w:pStyle w:val="Heading2"/>
        <w:numPr>
          <w:ilvl w:val="1"/>
          <w:numId w:val="36"/>
        </w:numPr>
        <w:tabs>
          <w:tab w:pos="1513" w:val="left" w:leader="none"/>
          <w:tab w:pos="1514" w:val="left" w:leader="none"/>
        </w:tabs>
        <w:spacing w:line="362" w:lineRule="auto" w:before="214" w:after="0"/>
        <w:ind w:left="1513" w:right="115" w:hanging="706"/>
        <w:jc w:val="left"/>
      </w:pPr>
      <w:r>
        <w:rPr/>
        <w:t>Monitoreo cuantitativo de espacios noticiosos TSE (Elección nacional)</w:t>
      </w:r>
    </w:p>
    <w:p>
      <w:pPr>
        <w:pStyle w:val="BodyText"/>
        <w:rPr>
          <w:b/>
        </w:rPr>
      </w:pPr>
    </w:p>
    <w:p>
      <w:pPr>
        <w:pStyle w:val="BodyText"/>
        <w:spacing w:line="360" w:lineRule="auto" w:before="139"/>
        <w:ind w:left="102" w:right="114"/>
        <w:jc w:val="both"/>
      </w:pPr>
      <w:r>
        <w:rPr/>
        <w:t>La empresa MediaGurú de Ibope-Time realizó monitoreos de propaganda en espacios noticiosos y promocionales tomando como base las estimaciones de las tarifas vigentes publicadas por los distintos medios de comunicación: televisión, radio y prensa. MediaGurú señalo que la televisión fue el medio que acaparó la gran mayoría de la propaganda política durante la campaña: un 86%. Los periódicos un 11% y la radio un 3%, aunque advierte que este porcentaje atribuido a la radio podría ser mayor (existen muchas radiodifusoras clandestinas). El informe tampoco consideró la publicidad en exteriores como las vallas, mupis o autobuses, los cines o las revistas (que en México se conocen como medios alternos a excepción de las revistas). De los ¢1025 millones de colones que se habían  gastado  en  campaña,  ¢891millones  fueron  para  la  televisión  y    </w:t>
      </w:r>
      <w:r>
        <w:rPr>
          <w:spacing w:val="60"/>
        </w:rPr>
        <w:t> </w:t>
      </w:r>
      <w:r>
        <w:rPr/>
        <w:t>casi</w:t>
      </w:r>
    </w:p>
    <w:p>
      <w:pPr>
        <w:pStyle w:val="BodyText"/>
        <w:spacing w:before="2"/>
        <w:ind w:left="102"/>
        <w:jc w:val="both"/>
      </w:pPr>
      <w:r>
        <w:rPr/>
        <w:t>¢100millones para los periódicos (Cambronero, 2009).</w:t>
      </w:r>
    </w:p>
    <w:p>
      <w:pPr>
        <w:pStyle w:val="BodyText"/>
        <w:spacing w:line="360" w:lineRule="auto" w:before="139"/>
        <w:ind w:left="102" w:right="120" w:firstLine="707"/>
      </w:pPr>
      <w:r>
        <w:rPr/>
        <w:t>El monto destinado a la compra de espacios publicitarios desde el 28 de setiembre y hasta el 23 de noviembre, por todos los partidos, alcanzó un total de</w:t>
      </w:r>
    </w:p>
    <w:p>
      <w:pPr>
        <w:pStyle w:val="BodyText"/>
        <w:spacing w:line="360" w:lineRule="auto" w:before="5"/>
        <w:ind w:left="102" w:right="118"/>
        <w:jc w:val="both"/>
      </w:pPr>
      <w:r>
        <w:rPr/>
        <w:t>¢1025 millones. De ellos, ¢343millones los gastó Chinchilla y el PLN, ¢270millones los gastó Guevara y ¢193millones los gastó Solís. Por semanas el PLN acaparó más de la mitad de los espacios publicitarios; sin embargo, dicho partido en las últimas semanas de dicho monitoreo distribuyo anuncios con la imagen del partido y no con la de la candidata, sin señalar el motivo. De acuerdo con datos de Cambronero (2009) el PNL fue quien más propaganda política tuvo 34% (25% con la imagen de la candidata Laura Chinchilla Miranda y 9% con el logo del PLN), seguido de Movimiento Libertario con 26% (con la imagen de su candidato Otto Guevara Guth) y en tercer lugar se ubicó el Partido Acción Ciudadana con 19% (con la imagen del candidato Otton Solís Fallas). Finalmente el PNL que tuvo el mayor gasto de propaganda política fue el que gano las elecciones, el segundo lugar lo obtuvo el PAC y el tercero el ML; así los tres partidos con el mayor gasto de propaganda fueron los que obtuvieron los tres primeros lugares en votos. Lo cual no es extraño pues los partidos más grandes son los que cuentan con más</w:t>
      </w:r>
    </w:p>
    <w:p>
      <w:pPr>
        <w:spacing w:after="0" w:line="360" w:lineRule="auto"/>
        <w:jc w:val="both"/>
        <w:sectPr>
          <w:footerReference w:type="default" r:id="rId551"/>
          <w:pgSz w:w="12240" w:h="15840"/>
          <w:pgMar w:footer="1003" w:header="749" w:top="960" w:bottom="1200" w:left="1600" w:right="1580"/>
          <w:pgNumType w:start="210"/>
        </w:sectPr>
      </w:pPr>
    </w:p>
    <w:p>
      <w:pPr>
        <w:pStyle w:val="BodyText"/>
        <w:rPr>
          <w:sz w:val="20"/>
        </w:rPr>
      </w:pPr>
    </w:p>
    <w:p>
      <w:pPr>
        <w:pStyle w:val="BodyText"/>
        <w:spacing w:line="360" w:lineRule="auto" w:before="214"/>
        <w:ind w:left="102" w:right="116"/>
        <w:jc w:val="both"/>
      </w:pPr>
      <w:r>
        <w:rPr/>
        <w:t>recursos para gastar en propaganda y son los que más posibilidades tienen de ganar la elección, pero no es una regla, basta revisar las elecciones presidenciales mexicanas de 2006 para observar que no siempre el partido que más gasta en propaganda es el que gana.</w:t>
      </w:r>
    </w:p>
    <w:p>
      <w:pPr>
        <w:pStyle w:val="BodyText"/>
        <w:spacing w:line="360" w:lineRule="auto" w:before="2"/>
        <w:ind w:left="102" w:right="117" w:firstLine="707"/>
        <w:jc w:val="both"/>
      </w:pPr>
      <w:r>
        <w:rPr/>
        <w:t>Del análisis de los datos anteriores se observó que de los tres partidos mayoritarios el PNL fue el que más porcentaje de propaganda obtuvo (34%) y el PAC fue el que obtuvo el menor porcentaje de propaganda (19%), así la diferencia fue del 15%; sin embargo, en dicho porcentaje están englobados tanto los noticieros como los espacios publicitarios o promocionales toda vez que la empresa que realizó el monitoreo no hace una distinción de dichos rubros. Al no poder saber el porcentaje gastado en cada uno de los rubros consideré dividir dicho resultado a la mitad y así obtuve 7.5%, lo cual no altera el resultado de la evaluación pues el rango de 5.74% a 18.28% recibe una alta evaluación (3.0) (ver anexo 1), así ya sea que se tomé el dato de 15% o de </w:t>
      </w:r>
      <w:r>
        <w:rPr>
          <w:spacing w:val="3"/>
        </w:rPr>
        <w:t>7.5% </w:t>
      </w:r>
      <w:r>
        <w:rPr/>
        <w:t>la evaluación de la variable es alta (3.0) al no observarse un alto porcentaje de diferencia entre los tres partidos</w:t>
      </w:r>
      <w:r>
        <w:rPr>
          <w:spacing w:val="-8"/>
        </w:rPr>
        <w:t> </w:t>
      </w:r>
      <w:r>
        <w:rPr/>
        <w:t>señalados.</w:t>
      </w:r>
    </w:p>
    <w:p>
      <w:pPr>
        <w:pStyle w:val="BodyText"/>
        <w:spacing w:before="2"/>
      </w:pPr>
    </w:p>
    <w:p>
      <w:pPr>
        <w:pStyle w:val="Heading2"/>
        <w:numPr>
          <w:ilvl w:val="1"/>
          <w:numId w:val="36"/>
        </w:numPr>
        <w:tabs>
          <w:tab w:pos="1513" w:val="left" w:leader="none"/>
          <w:tab w:pos="1514" w:val="left" w:leader="none"/>
          <w:tab w:pos="2952" w:val="left" w:leader="none"/>
          <w:tab w:pos="4576" w:val="left" w:leader="none"/>
          <w:tab w:pos="5140" w:val="left" w:leader="none"/>
          <w:tab w:pos="7128" w:val="left" w:leader="none"/>
          <w:tab w:pos="7877" w:val="left" w:leader="none"/>
        </w:tabs>
        <w:spacing w:line="362" w:lineRule="auto" w:before="0" w:after="0"/>
        <w:ind w:left="1513" w:right="115" w:hanging="706"/>
        <w:jc w:val="left"/>
      </w:pPr>
      <w:r>
        <w:rPr/>
        <w:t>Monitoreo</w:t>
        <w:tab/>
        <w:t>cuantitativo</w:t>
        <w:tab/>
        <w:t>de</w:t>
        <w:tab/>
        <w:t>promocionales</w:t>
        <w:tab/>
        <w:t>TSE</w:t>
        <w:tab/>
      </w:r>
      <w:r>
        <w:rPr>
          <w:spacing w:val="-1"/>
        </w:rPr>
        <w:t>(Elección </w:t>
      </w:r>
      <w:r>
        <w:rPr/>
        <w:t>nacional)</w:t>
      </w:r>
    </w:p>
    <w:p>
      <w:pPr>
        <w:pStyle w:val="BodyText"/>
        <w:spacing w:line="360" w:lineRule="auto" w:before="199"/>
        <w:ind w:left="102" w:right="118"/>
        <w:jc w:val="both"/>
      </w:pPr>
      <w:r>
        <w:rPr/>
        <w:t>La empresa MediaGurú realizó el registro semana por semana, y se observó que el PNL y el ML se disputaron continuamente el primer lugar en cuanto a gastos. “Por ejemplo, durante la semana del 5 de octubre (#41) Laura pautó ¢10millones más</w:t>
      </w:r>
      <w:r>
        <w:rPr>
          <w:spacing w:val="24"/>
        </w:rPr>
        <w:t> </w:t>
      </w:r>
      <w:r>
        <w:rPr/>
        <w:t>que</w:t>
      </w:r>
      <w:r>
        <w:rPr>
          <w:spacing w:val="25"/>
        </w:rPr>
        <w:t> </w:t>
      </w:r>
      <w:r>
        <w:rPr/>
        <w:t>Otto,</w:t>
      </w:r>
      <w:r>
        <w:rPr>
          <w:spacing w:val="22"/>
        </w:rPr>
        <w:t> </w:t>
      </w:r>
      <w:r>
        <w:rPr/>
        <w:t>pero</w:t>
      </w:r>
      <w:r>
        <w:rPr>
          <w:spacing w:val="24"/>
        </w:rPr>
        <w:t> </w:t>
      </w:r>
      <w:r>
        <w:rPr/>
        <w:t>una</w:t>
      </w:r>
      <w:r>
        <w:rPr>
          <w:spacing w:val="25"/>
        </w:rPr>
        <w:t> </w:t>
      </w:r>
      <w:r>
        <w:rPr/>
        <w:t>semana</w:t>
      </w:r>
      <w:r>
        <w:rPr>
          <w:spacing w:val="25"/>
        </w:rPr>
        <w:t> </w:t>
      </w:r>
      <w:r>
        <w:rPr/>
        <w:t>después,</w:t>
      </w:r>
      <w:r>
        <w:rPr>
          <w:spacing w:val="25"/>
        </w:rPr>
        <w:t> </w:t>
      </w:r>
      <w:r>
        <w:rPr/>
        <w:t>la</w:t>
      </w:r>
      <w:r>
        <w:rPr>
          <w:spacing w:val="25"/>
        </w:rPr>
        <w:t> </w:t>
      </w:r>
      <w:r>
        <w:rPr/>
        <w:t>del</w:t>
      </w:r>
      <w:r>
        <w:rPr>
          <w:spacing w:val="24"/>
        </w:rPr>
        <w:t> </w:t>
      </w:r>
      <w:r>
        <w:rPr/>
        <w:t>12</w:t>
      </w:r>
      <w:r>
        <w:rPr>
          <w:spacing w:val="25"/>
        </w:rPr>
        <w:t> </w:t>
      </w:r>
      <w:r>
        <w:rPr/>
        <w:t>de</w:t>
      </w:r>
      <w:r>
        <w:rPr>
          <w:spacing w:val="23"/>
        </w:rPr>
        <w:t> </w:t>
      </w:r>
      <w:r>
        <w:rPr/>
        <w:t>octubre</w:t>
      </w:r>
      <w:r>
        <w:rPr>
          <w:spacing w:val="25"/>
        </w:rPr>
        <w:t> </w:t>
      </w:r>
      <w:r>
        <w:rPr/>
        <w:t>(#42)</w:t>
      </w:r>
      <w:r>
        <w:rPr>
          <w:spacing w:val="23"/>
        </w:rPr>
        <w:t> </w:t>
      </w:r>
      <w:r>
        <w:rPr/>
        <w:t>Otto</w:t>
      </w:r>
      <w:r>
        <w:rPr>
          <w:spacing w:val="25"/>
        </w:rPr>
        <w:t> </w:t>
      </w:r>
      <w:r>
        <w:rPr/>
        <w:t>gastó</w:t>
      </w:r>
    </w:p>
    <w:p>
      <w:pPr>
        <w:pStyle w:val="BodyText"/>
        <w:spacing w:line="360" w:lineRule="auto" w:before="2"/>
        <w:ind w:left="102" w:right="116"/>
        <w:jc w:val="both"/>
      </w:pPr>
      <w:r>
        <w:rPr/>
        <w:t>¢11millones más que Laura. Durante la semana #43 ambos pautaron cifras prácticamente iguales. Pero el panorama cambió de forma importante a partir del 9 de noviembre (semana #46) cuando aparecieron los primeros spots y anuncios de prensa bajo el nombre PLN, que no mencionan a la candidata, y atacan al Movimiento Libertario. La propaganda que menciona a Chinchilla comenzó a disminuir, hasta que la semana siguiente (16 de noviembre, #47) desapareció del todo. Esa semana, el gasto en pauta del partido alcanzó casi ¢47millones, más del doble de lo pautado por Guevara” (Cambronero, 2009).</w:t>
      </w:r>
    </w:p>
    <w:p>
      <w:pPr>
        <w:spacing w:after="0" w:line="360" w:lineRule="auto"/>
        <w:jc w:val="both"/>
        <w:sectPr>
          <w:pgSz w:w="12240" w:h="15840"/>
          <w:pgMar w:header="749" w:footer="1003" w:top="960" w:bottom="1200" w:left="1600" w:right="1580"/>
        </w:sectPr>
      </w:pPr>
    </w:p>
    <w:p>
      <w:pPr>
        <w:pStyle w:val="BodyText"/>
        <w:rPr>
          <w:sz w:val="20"/>
        </w:rPr>
      </w:pPr>
    </w:p>
    <w:p>
      <w:pPr>
        <w:pStyle w:val="BodyText"/>
        <w:spacing w:line="360" w:lineRule="auto" w:before="214"/>
        <w:ind w:left="102" w:right="114" w:firstLine="707"/>
        <w:jc w:val="both"/>
      </w:pPr>
      <w:r>
        <w:rPr/>
        <w:t>De acuerdo con Cambronero en las últimas dos semanas del monitoreo la pauta del PLN pasó de un 23% en la semana 46, a acaparar el 51% en la semana 47, es decir, poco más de la mitad de toda la propaganda política pautada en el país durante esos 7 días, fue de Liberación Nacional. Por su parte, el candidato  del PAC comenzó su presencia en medios a partir del 7 de octubre, y desde entonces gasto un promedio de ¢24millones por semana y Luis Fishman del  PUSC que arrancó más tarde, cerca del 19 de octubre, gastó un poco más por semana: ¢26millones en</w:t>
      </w:r>
      <w:r>
        <w:rPr>
          <w:spacing w:val="-12"/>
        </w:rPr>
        <w:t> </w:t>
      </w:r>
      <w:r>
        <w:rPr/>
        <w:t>promedio.</w:t>
      </w:r>
    </w:p>
    <w:p>
      <w:pPr>
        <w:pStyle w:val="BodyText"/>
        <w:spacing w:line="360" w:lineRule="auto" w:before="2"/>
        <w:ind w:left="102" w:right="117" w:firstLine="707"/>
        <w:jc w:val="both"/>
      </w:pPr>
      <w:r>
        <w:rPr/>
        <w:t>Del análisis de los datos anteriores se obtuvo que la diferencia entre el PNL (el partido que más gastó), y el PAC (que fue el que tuvo el menor porcentaje de propaganda), fue de 15%; sin embargo, dicho porcentaje incluye tanto los noticieros como los espacios publicitarios o promocionales toda vez que la empresa MediaGurú no hace una división de ellos. Ante la imposibilidad de conocer el porcentaje gastado en cada uno de los rubros consideré pertinente dividir el resultado a la mitad y así se obtuvo 7.5%; lo cual, como ya se mencionó, no altera el resultado de la evaluación pues sea que se tome 15% o 7.5% la evaluación de la variable es alta (3.0).</w:t>
      </w:r>
    </w:p>
    <w:p>
      <w:pPr>
        <w:pStyle w:val="BodyText"/>
      </w:pPr>
    </w:p>
    <w:p>
      <w:pPr>
        <w:pStyle w:val="Heading2"/>
        <w:numPr>
          <w:ilvl w:val="1"/>
          <w:numId w:val="36"/>
        </w:numPr>
        <w:tabs>
          <w:tab w:pos="1513" w:val="left" w:leader="none"/>
          <w:tab w:pos="1514" w:val="left" w:leader="none"/>
        </w:tabs>
        <w:spacing w:line="360" w:lineRule="auto" w:before="142" w:after="0"/>
        <w:ind w:left="1513" w:right="115" w:hanging="706"/>
        <w:jc w:val="left"/>
      </w:pPr>
      <w:r>
        <w:rPr/>
        <w:t>Monitoreo cuantitativo de espacios noticiosos TSE (Elección cantonal)</w:t>
      </w:r>
    </w:p>
    <w:p>
      <w:pPr>
        <w:pStyle w:val="BodyText"/>
        <w:spacing w:line="360" w:lineRule="auto" w:before="202"/>
        <w:ind w:left="102" w:right="114"/>
        <w:jc w:val="both"/>
      </w:pPr>
      <w:r>
        <w:rPr/>
        <w:t>Las elecciones cantonales de 2010 se conocen como de transición (Blanco, 2011) pues son las últimas elecciones en las cuales los alcaldes se votan en fecha distinta a los demás cargos locales (regidores, síndicos y concejales), pues a partir de 2016 todos los cargos locales se realizaran en la misma fecha. Ahora, en cuanto al gasto de propaganda debo decir, que es mucho menor al que se hace  en México; pues como observadora electoral pude recorrer varios cantones de la Provincia de San José (las distancias son cortas en comparación con los municipios mexiquenses), especialmente el cantón de San José donde pude constatar que la propaganda era escaza a diferencia de como se acostumbra ver en México (avenidas colmadas de gallardetes); la propaganda más   </w:t>
      </w:r>
      <w:r>
        <w:rPr>
          <w:spacing w:val="21"/>
        </w:rPr>
        <w:t> </w:t>
      </w:r>
      <w:r>
        <w:rPr/>
        <w:t>evidente  por</w:t>
      </w:r>
    </w:p>
    <w:p>
      <w:pPr>
        <w:spacing w:after="0" w:line="360" w:lineRule="auto"/>
        <w:jc w:val="both"/>
        <w:sectPr>
          <w:pgSz w:w="12240" w:h="15840"/>
          <w:pgMar w:header="749" w:footer="1003" w:top="960" w:bottom="1200" w:left="1600" w:right="1580"/>
        </w:sectPr>
      </w:pPr>
    </w:p>
    <w:p>
      <w:pPr>
        <w:pStyle w:val="BodyText"/>
        <w:rPr>
          <w:sz w:val="20"/>
        </w:rPr>
      </w:pPr>
    </w:p>
    <w:p>
      <w:pPr>
        <w:pStyle w:val="BodyText"/>
        <w:spacing w:line="362" w:lineRule="auto" w:before="214"/>
        <w:ind w:left="102" w:right="120"/>
      </w:pPr>
      <w:r>
        <w:rPr/>
        <w:t>tener el mayor número de anuncios así como por su tamaño era la del PNL y su candidato Johnny Araya.</w:t>
      </w:r>
    </w:p>
    <w:p>
      <w:pPr>
        <w:pStyle w:val="BodyText"/>
        <w:spacing w:line="360" w:lineRule="auto"/>
        <w:ind w:left="102" w:right="116" w:firstLine="705"/>
        <w:jc w:val="both"/>
      </w:pPr>
      <w:r>
        <w:rPr/>
        <w:t>El panorama de las elecciones cantonales es totalmente distinto al de las elecciones nacionales, existe una gran apatía. Los candidatos a alcaldes no gastaron mucho en propaganda, toda vez que al ser la elección de 2010 la primera en la cual se les realizaría reembolso los partidos y candidatos decidieron ser muy prudentes en sus gastos. Lo anterior ante el temor de que no hubiera reembolso o que no pudieran acreditar gastos a satisfacción del TSE. Así fueron los candidatos los que tuvieron que allegarse de recursos que al final, en muchos de los casos,  no pudieron acreditar por no conocer correctamente los lineamientos en materia  de fiscalización, situación que dificultó la equitativa competencia pues quien más tiene es quien más invierte en campaña haciendo que las elecciones en cuanto a su presencia en los medios no sean</w:t>
      </w:r>
      <w:r>
        <w:rPr>
          <w:spacing w:val="-16"/>
        </w:rPr>
        <w:t> </w:t>
      </w:r>
      <w:r>
        <w:rPr/>
        <w:t>equitativas.</w:t>
      </w:r>
    </w:p>
    <w:p>
      <w:pPr>
        <w:pStyle w:val="BodyText"/>
        <w:spacing w:line="360" w:lineRule="auto" w:before="5"/>
        <w:ind w:left="102" w:right="115" w:firstLine="705"/>
        <w:jc w:val="right"/>
      </w:pPr>
      <w:r>
        <w:rPr/>
        <w:t>Arrieta señaló que las “escasas donaciones, inexistencia de deuda política adelantada y apatía electoral son las principales razones que señalan los candidatos a alcalde por San José, al referirse al frío ambiente electoral a siete</w:t>
      </w:r>
      <w:r>
        <w:rPr>
          <w:w w:val="99"/>
        </w:rPr>
        <w:t> </w:t>
      </w:r>
      <w:r>
        <w:rPr/>
        <w:t>días de los comicios” (2010). A falta de recursos para financiar sus campañas electorales los candidatos tuvieron que recurrir a: préstamos personales, sus salarios, solicitar trabajo voluntario, compras a crédito y pedir ayuda a sus amigos.</w:t>
      </w:r>
      <w:r>
        <w:rPr>
          <w:w w:val="100"/>
        </w:rPr>
        <w:t> </w:t>
      </w:r>
      <w:r>
        <w:rPr/>
        <w:t>A diferencia de los candidatos de las elecciones nacionales, los candidatos cantonales tuvieron que recurrir a estrategias de campaña menos</w:t>
      </w:r>
      <w:r>
        <w:rPr>
          <w:spacing w:val="65"/>
        </w:rPr>
        <w:t> </w:t>
      </w:r>
      <w:r>
        <w:rPr/>
        <w:t>costosas como</w:t>
      </w:r>
      <w:r>
        <w:rPr>
          <w:w w:val="99"/>
        </w:rPr>
        <w:t> </w:t>
      </w:r>
      <w:r>
        <w:rPr/>
        <w:t>visitas a las comunidades puerta a puerta, dar mensajes en los autobuses y  hasta</w:t>
      </w:r>
    </w:p>
    <w:p>
      <w:pPr>
        <w:pStyle w:val="BodyText"/>
        <w:spacing w:before="2"/>
        <w:ind w:left="102" w:right="120"/>
      </w:pPr>
      <w:r>
        <w:rPr/>
        <w:t>repartir volantes en las calles.</w:t>
      </w:r>
    </w:p>
    <w:p>
      <w:pPr>
        <w:pStyle w:val="BodyText"/>
        <w:spacing w:line="360" w:lineRule="auto" w:before="139"/>
        <w:ind w:left="102" w:right="118" w:firstLine="705"/>
        <w:jc w:val="both"/>
      </w:pPr>
      <w:r>
        <w:rPr/>
        <w:t>Para el estudio de las elecciones cantonales en la Provincia de San José me remití a lo señalado por la prensa pues no encontré información recabada por empresas dedicadas a la realización de monitoreos. De acuerdo con Arrieta (2010) los alcaldes capitalinos no gastan mucho en campaña (refiriéndose a los candidatos a alcaldes del cantón de San José), pues entre los cinco candidatos invirtieron ¢105 millones de colones. De entre los cinco el que más gasto fue Johnny Araya del PNL, el cual invirtió ¢60 millones de colones en total (lo que representó el 52.17% del total de millones invertidos en propaganda); seguido  </w:t>
      </w:r>
      <w:r>
        <w:rPr>
          <w:spacing w:val="40"/>
        </w:rPr>
        <w:t> </w:t>
      </w:r>
      <w:r>
        <w:rPr/>
        <w:t>de</w:t>
      </w:r>
    </w:p>
    <w:p>
      <w:pPr>
        <w:spacing w:after="0" w:line="360" w:lineRule="auto"/>
        <w:jc w:val="both"/>
        <w:sectPr>
          <w:pgSz w:w="12240" w:h="15840"/>
          <w:pgMar w:header="749" w:footer="1003" w:top="960" w:bottom="1200" w:left="1600" w:right="1580"/>
        </w:sectPr>
      </w:pPr>
    </w:p>
    <w:p>
      <w:pPr>
        <w:pStyle w:val="BodyText"/>
        <w:rPr>
          <w:sz w:val="20"/>
        </w:rPr>
      </w:pPr>
    </w:p>
    <w:p>
      <w:pPr>
        <w:pStyle w:val="BodyText"/>
        <w:spacing w:line="360" w:lineRule="auto" w:before="214"/>
        <w:ind w:left="102" w:right="118"/>
        <w:jc w:val="both"/>
      </w:pPr>
      <w:r>
        <w:rPr/>
        <w:t>Gloria Valerin del PAC la cual gastó ¢28 millones (24.34%); en tercer lugar se ubicó Luis Polinaris del PIN con ¢15 millones (13.04%); en cuarto lugar se posicionó Oscar López del PASE con ¢7 millones (6.08%) y el último lugar Mario Alfaro del PML con ¢5 millones (4.34%).</w:t>
      </w:r>
    </w:p>
    <w:p>
      <w:pPr>
        <w:pStyle w:val="BodyText"/>
        <w:spacing w:line="360" w:lineRule="auto" w:before="2"/>
        <w:ind w:left="102" w:right="116" w:firstLine="705"/>
        <w:jc w:val="both"/>
      </w:pPr>
      <w:r>
        <w:rPr/>
        <w:t>De acuerdo con los datos anteriores los partidos con el mayor gasto de campaña fueron el PNL, el PAC y el PIN; la diferencia porcentual entre el PNL y el PIN fue de 39.13%. Dicho porcentaje es global, pues no se señalan los gastos por rubros (noticias y promocionales), por lo tanto al dividir entre dos dicho porcentaje el resultado fue 19.56%; finalmente se tome 19.56% o 39.13% el resultado se ubica dentro del rango bajo (1.0); pues el candidato que más dinero tiene es el que más gasta en campaña, dicha tendencia se observó en muchos de los cantones.</w:t>
      </w:r>
    </w:p>
    <w:p>
      <w:pPr>
        <w:pStyle w:val="BodyText"/>
        <w:spacing w:line="360" w:lineRule="auto" w:before="5"/>
        <w:ind w:left="102" w:right="118"/>
        <w:jc w:val="both"/>
      </w:pPr>
      <w:r>
        <w:rPr/>
        <w:t>Cabe señalar que el candidato del PNL lleva más de 20 años como alcalde del cantón central lo cual hace que varias empresas le hagan donaciones para apoyar su campaña, situación desventajosa para otros candidatos.</w:t>
      </w:r>
    </w:p>
    <w:p>
      <w:pPr>
        <w:pStyle w:val="BodyText"/>
      </w:pPr>
    </w:p>
    <w:p>
      <w:pPr>
        <w:pStyle w:val="Heading2"/>
        <w:numPr>
          <w:ilvl w:val="1"/>
          <w:numId w:val="36"/>
        </w:numPr>
        <w:tabs>
          <w:tab w:pos="1513" w:val="left" w:leader="none"/>
          <w:tab w:pos="1514" w:val="left" w:leader="none"/>
          <w:tab w:pos="2952" w:val="left" w:leader="none"/>
          <w:tab w:pos="4576" w:val="left" w:leader="none"/>
          <w:tab w:pos="5140" w:val="left" w:leader="none"/>
          <w:tab w:pos="7129" w:val="left" w:leader="none"/>
          <w:tab w:pos="7877" w:val="left" w:leader="none"/>
        </w:tabs>
        <w:spacing w:line="360" w:lineRule="auto" w:before="142" w:after="0"/>
        <w:ind w:left="1513" w:right="115" w:hanging="706"/>
        <w:jc w:val="left"/>
      </w:pPr>
      <w:r>
        <w:rPr/>
        <w:t>Monitoreo</w:t>
        <w:tab/>
        <w:t>cuantitativo</w:t>
        <w:tab/>
        <w:t>de</w:t>
        <w:tab/>
        <w:t>promocionales</w:t>
        <w:tab/>
        <w:t>TSE</w:t>
        <w:tab/>
      </w:r>
      <w:r>
        <w:rPr>
          <w:spacing w:val="-1"/>
        </w:rPr>
        <w:t>(Elección </w:t>
      </w:r>
      <w:r>
        <w:rPr/>
        <w:t>cantonal)</w:t>
      </w:r>
    </w:p>
    <w:p>
      <w:pPr>
        <w:pStyle w:val="BodyText"/>
        <w:rPr>
          <w:b/>
        </w:rPr>
      </w:pPr>
    </w:p>
    <w:p>
      <w:pPr>
        <w:pStyle w:val="BodyText"/>
        <w:spacing w:before="8"/>
        <w:rPr>
          <w:b/>
          <w:sz w:val="29"/>
        </w:rPr>
      </w:pPr>
    </w:p>
    <w:p>
      <w:pPr>
        <w:pStyle w:val="BodyText"/>
        <w:spacing w:line="360" w:lineRule="auto"/>
        <w:ind w:left="102" w:right="115"/>
        <w:jc w:val="both"/>
      </w:pPr>
      <w:r>
        <w:rPr/>
        <w:t>En relación con lo señalado en el monitoreo cuantitativo de espacios noticiosos la información que se obtuvo no divide la propaganda, de ahí que se tomó el dato obtenido en la variable anterior pues señala que los tres partidos con el mayor gasto de campaña fueron el PNL, el PAC y el PIN; con una diferencia porcentual de 39.13%, porcentaje que se dividió entre dos, para distinguir entre dos rubros de gastos, obteniendo como resultado 19.56% el cual ubica a los medios de comunicación como poco equitativos (1.0); pues la diferencia entre lo gastado por el partido en el poder (el PNL) y los otros partidos es considerablemente mayor.</w:t>
      </w:r>
    </w:p>
    <w:p>
      <w:pPr>
        <w:pStyle w:val="BodyText"/>
        <w:spacing w:line="360" w:lineRule="auto" w:before="2"/>
        <w:ind w:left="102" w:right="120" w:firstLine="707"/>
        <w:jc w:val="both"/>
      </w:pPr>
      <w:r>
        <w:rPr/>
        <w:t>Recapitulando los medios costarricenses que cubrieron las elecciones nacionales fueron los más equitativos (3.0) al obtener una alta evaluación en los monitoreos de espacios noticiosos y de promocionales; seguidos de los medios mexicanos que cubrieron el proceso electoral presidencial (2.5) ubicándose globalmente como altamente equitativos; finalmente los medios costarricenses que</w:t>
      </w:r>
    </w:p>
    <w:p>
      <w:pPr>
        <w:spacing w:after="0" w:line="360" w:lineRule="auto"/>
        <w:jc w:val="both"/>
        <w:sectPr>
          <w:pgSz w:w="12240" w:h="15840"/>
          <w:pgMar w:header="749" w:footer="1003" w:top="960" w:bottom="1200" w:left="1600" w:right="1580"/>
        </w:sectPr>
      </w:pPr>
    </w:p>
    <w:p>
      <w:pPr>
        <w:pStyle w:val="BodyText"/>
        <w:rPr>
          <w:sz w:val="20"/>
        </w:rPr>
      </w:pPr>
    </w:p>
    <w:p>
      <w:pPr>
        <w:pStyle w:val="BodyText"/>
        <w:spacing w:line="360" w:lineRule="auto" w:before="214"/>
        <w:ind w:left="102" w:right="98"/>
        <w:jc w:val="both"/>
      </w:pPr>
      <w:r>
        <w:rPr/>
        <w:t>cubrieron las elecciones cantonales así como los mexicanos que participaron en el proceso electoral del Estado de México se ubicaron como poco equitativos con bajas evaluaciones (1.5 y 1.0 respectivamente) toda vez que en la entidad mexiquense así como en la provincia costarricense los partidos oficialistas tuvieron considerablemente más presencia en los medios que el resto de los partidos.</w:t>
      </w:r>
    </w:p>
    <w:p>
      <w:pPr>
        <w:spacing w:after="0" w:line="360" w:lineRule="auto"/>
        <w:jc w:val="both"/>
        <w:sectPr>
          <w:pgSz w:w="12240" w:h="15840"/>
          <w:pgMar w:header="749" w:footer="1003" w:top="960" w:bottom="1200" w:left="1600" w:right="1600"/>
        </w:sectPr>
      </w:pPr>
    </w:p>
    <w:p>
      <w:pPr>
        <w:pStyle w:val="BodyText"/>
        <w:rPr>
          <w:sz w:val="20"/>
        </w:rPr>
      </w:pPr>
    </w:p>
    <w:p>
      <w:pPr>
        <w:pStyle w:val="Heading1"/>
        <w:ind w:left="714" w:right="729"/>
        <w:jc w:val="center"/>
      </w:pPr>
      <w:r>
        <w:rPr/>
        <w:t>CONCLUSIONES</w:t>
      </w:r>
    </w:p>
    <w:p>
      <w:pPr>
        <w:pStyle w:val="BodyText"/>
        <w:rPr>
          <w:sz w:val="28"/>
        </w:rPr>
      </w:pPr>
    </w:p>
    <w:p>
      <w:pPr>
        <w:pStyle w:val="BodyText"/>
        <w:spacing w:before="2"/>
        <w:rPr>
          <w:sz w:val="22"/>
        </w:rPr>
      </w:pPr>
    </w:p>
    <w:p>
      <w:pPr>
        <w:pStyle w:val="BodyText"/>
        <w:spacing w:line="360" w:lineRule="auto"/>
        <w:ind w:left="102" w:right="116"/>
        <w:jc w:val="both"/>
      </w:pPr>
      <w:r>
        <w:rPr/>
        <w:t>Del análisis de las cuatro elecciones estudiadas ―dos costarricenses, celebradas en febrero y julio de 2010 y dos mexicanas realizadas en marzo y julio de 2006―  a través de sus cuatro dimensiones: la primera, relativa al contexto; la segunda, a la independencia e imparcialidad de los órganos electorales; la tercera, a la legalidad de los partidos políticos en materia financiera y la cuarta, a la equidad de los medios de comunicación en la cobertura del proceso electoral; se  concluyó que: globalmente, en promedio, las elecciones costarricenses tienen un mayor grado de calidad que las elecciones mexicanas, toda vez que las primeras obtuvieron una alta evaluación (2.62), ubicándose como altamente democráticas y las segundas, una calificación media (2.22), situándose como medianamente democráticas.</w:t>
      </w:r>
    </w:p>
    <w:p>
      <w:pPr>
        <w:pStyle w:val="BodyText"/>
        <w:spacing w:line="360" w:lineRule="auto" w:before="2"/>
        <w:ind w:left="102" w:right="118" w:firstLine="707"/>
        <w:jc w:val="both"/>
      </w:pPr>
      <w:r>
        <w:rPr/>
        <w:t>Lo anterior debido a que en tres de las cuatro dimensiones estudiadas las elecciones costarricenses obtuvieron evaluaciones más altas que los comicios mexicanos; en concreto las elecciones costarricenses fueron superiores a las mexicanas en mayor medida en cuanto a la legalidad de los partidos políticos (con</w:t>
      </w:r>
    </w:p>
    <w:p>
      <w:pPr>
        <w:pStyle w:val="BodyText"/>
        <w:spacing w:line="360" w:lineRule="auto" w:before="3"/>
        <w:ind w:left="102" w:right="123"/>
        <w:jc w:val="both"/>
      </w:pPr>
      <w:r>
        <w:rPr/>
        <w:t>0.67 de diferencia) y en menor medida a la equidad de los medios de comunicación (0.5 de diferencia), así como a la mayor independencia e imparcialidad del TSE (0.41 de diferencia). Por lo que se refiere al contexto ambos países obtuvieron una alta evaluación (2.75) por lo que no hubo diferencia en la evaluación de dicha</w:t>
      </w:r>
      <w:r>
        <w:rPr>
          <w:spacing w:val="-10"/>
        </w:rPr>
        <w:t> </w:t>
      </w:r>
      <w:r>
        <w:rPr/>
        <w:t>dimensión.</w:t>
      </w:r>
    </w:p>
    <w:p>
      <w:pPr>
        <w:pStyle w:val="BodyText"/>
        <w:spacing w:line="360" w:lineRule="auto" w:before="5"/>
        <w:ind w:left="102" w:right="117" w:firstLine="707"/>
        <w:jc w:val="both"/>
      </w:pPr>
      <w:r>
        <w:rPr/>
        <w:t>Al comparar las elecciones nacionales celebradas en México (2006) y Costa Rica (2010) se observó que las costarricenses presentaron un grado de calidad mayor, pues se ubicaron como altamente democráticas (2.83), a diferencia de la mexicanas que se situaron en el rango de calidad media y consecuentemente como medianamente democráticas (2.37). Lo anterior debido en mayor medida al alto grado de legalidad de los partidos políticos costarricenses (0.66 de diferencia), así como al contexto (0.5 de diferencia) y la elevada equidad mostrada por los medios de comunicación en la cobertura de la campaña y en menor grado a la independencia e imparcialidad del TSE (0.16 de diferencia).</w:t>
      </w:r>
    </w:p>
    <w:p>
      <w:pPr>
        <w:spacing w:after="0" w:line="360" w:lineRule="auto"/>
        <w:jc w:val="both"/>
        <w:sectPr>
          <w:pgSz w:w="12240" w:h="15840"/>
          <w:pgMar w:header="749" w:footer="1003" w:top="960" w:bottom="1200" w:left="1600" w:right="1580"/>
        </w:sectPr>
      </w:pPr>
    </w:p>
    <w:p>
      <w:pPr>
        <w:pStyle w:val="BodyText"/>
        <w:rPr>
          <w:sz w:val="20"/>
        </w:rPr>
      </w:pPr>
    </w:p>
    <w:p>
      <w:pPr>
        <w:pStyle w:val="BodyText"/>
        <w:spacing w:line="360" w:lineRule="auto" w:before="214"/>
        <w:ind w:left="102" w:right="115" w:firstLine="707"/>
        <w:jc w:val="both"/>
      </w:pPr>
      <w:r>
        <w:rPr/>
        <w:t>Por lo que respecta a las elecciones municipales celebradas en el Estado  de México en relación con las cantonales celebradas en la Provincia de San José ambas se ubicaron en el rango de calidad media (con 2.08 y 2.29 respectivamente), por lo cual su diferencia en el resultado global fue mínima  (0.21). Sin embargo, al revisar los resultados parciales, se observó que las elecciones cantonales obtuvieron mejores evaluaciones en tres dimensiones: en primer lugar, en la legalidad mostrada por los partidos políticos (0.67 de diferencia); en segundo lugar en cuanto a la independencia e imparcialidad del TSE (0.66 de diferencia) y en tercer lugar, a la equidad presentada por los medios de comunicación (0.5 de diferencia). En cuanto al contexto las elecciones cantonales obtuvieron una evaluación más baja (2.0) en relación con las elecciones municipales (3.0), toda vez que en éstas últimas ningún partido obtuvo la mayoría absoluta de los ayuntamientos en disputa en el estado de México; a diferencia de las elecciones cantonales en las cuales el PNL obtuvo la mayoría absoluta de las alcaldías que integran la Provincia de San</w:t>
      </w:r>
      <w:r>
        <w:rPr>
          <w:spacing w:val="-24"/>
        </w:rPr>
        <w:t> </w:t>
      </w:r>
      <w:r>
        <w:rPr/>
        <w:t>José.</w:t>
      </w:r>
    </w:p>
    <w:p>
      <w:pPr>
        <w:pStyle w:val="BodyText"/>
        <w:spacing w:line="360" w:lineRule="auto" w:before="5"/>
        <w:ind w:left="102" w:right="115" w:firstLine="707"/>
        <w:jc w:val="both"/>
      </w:pPr>
      <w:r>
        <w:rPr/>
        <w:t>Al realizar la evaluación general por actores los partidos políticos fueron los mejor evaluados (2.49), seguidos por los órganos electorales (2.45) y en último lugar se ubican los medios de comunicación (2.0). El lugar alcanzado por los partidos políticos se debe principalmente a que al realizar el promedio entre la alta evaluación alcanzada por los partidos costarricenses y la mediana calificación obtenida por los partidos mexicanos el resultado global es alto, sin embargo, si sólo se evalúan actores por país el resultado es distinto, pues los partidos políticos mexicanos no serían los mejor evaluados (2.16) sino que estarían por debajo de los órganos electorales en general (2.25) y sólo por encima de los medios de comunicación (1.75); además si sólo se evalúa la elección organizada por el IFE los partidos políticos se ubicaron en el último lugar (2.0), por debajo del órgano electoral (IFE) (2.5) y de los medios de comunicación</w:t>
      </w:r>
      <w:r>
        <w:rPr>
          <w:spacing w:val="-13"/>
        </w:rPr>
        <w:t> </w:t>
      </w:r>
      <w:r>
        <w:rPr/>
        <w:t>(2.5).</w:t>
      </w:r>
    </w:p>
    <w:p>
      <w:pPr>
        <w:pStyle w:val="BodyText"/>
        <w:spacing w:line="360" w:lineRule="auto" w:before="5"/>
        <w:ind w:left="102" w:right="116" w:firstLine="707"/>
        <w:jc w:val="both"/>
      </w:pPr>
      <w:r>
        <w:rPr/>
        <w:t>Del resultado de la evaluación general por actores, en cuanto a México, se observó que los mejor evaluados fueron los órganos electorales (2.25), seguidos de los partidos políticos (2.16), ubicándose en último lugar los medios de comunicación (1.75), sin embargo, todos se situaron dentro del rango de  mediana</w:t>
      </w:r>
    </w:p>
    <w:p>
      <w:pPr>
        <w:spacing w:after="0" w:line="360" w:lineRule="auto"/>
        <w:jc w:val="both"/>
        <w:sectPr>
          <w:pgSz w:w="12240" w:h="15840"/>
          <w:pgMar w:header="749" w:footer="1003" w:top="960" w:bottom="1200" w:left="1600" w:right="1580"/>
        </w:sectPr>
      </w:pPr>
    </w:p>
    <w:p>
      <w:pPr>
        <w:pStyle w:val="BodyText"/>
        <w:rPr>
          <w:sz w:val="20"/>
        </w:rPr>
      </w:pPr>
    </w:p>
    <w:p>
      <w:pPr>
        <w:pStyle w:val="BodyText"/>
        <w:spacing w:line="360" w:lineRule="auto" w:before="214"/>
        <w:ind w:left="102" w:right="115"/>
        <w:jc w:val="both"/>
      </w:pPr>
      <w:r>
        <w:rPr/>
        <w:t>calidad. Con respecto a Costa Rica los mejor evaluados fueron los partidos políticos (2.83), seguidos de los órganos electorales (2.66), ubicándose en último lugar los medios de comunicación (2.25); los dos primeros se situaron dentro del rango de alta calidad y los terceros sólo alcanzaron ubicarse dentro del parámetro de mediana calidad.</w:t>
      </w:r>
    </w:p>
    <w:p>
      <w:pPr>
        <w:pStyle w:val="BodyText"/>
        <w:spacing w:line="360" w:lineRule="auto" w:before="5"/>
        <w:ind w:left="102" w:right="117" w:firstLine="707"/>
        <w:jc w:val="both"/>
      </w:pPr>
      <w:r>
        <w:rPr/>
        <w:t>En cuanto a los tres órganos electorales estudiados ―TSE, IFE e IEEM―  el TSE fue el mejor evaluado (2.66) seguido del IFE (2.5) y en último lugar se ubicó el IEEM (2.0); los dos primeros se situaron como altamente democráticos y el tercero se ubicó como medianamente</w:t>
      </w:r>
      <w:r>
        <w:rPr>
          <w:spacing w:val="-17"/>
        </w:rPr>
        <w:t> </w:t>
      </w:r>
      <w:r>
        <w:rPr/>
        <w:t>democrático.</w:t>
      </w:r>
    </w:p>
    <w:p>
      <w:pPr>
        <w:pStyle w:val="BodyText"/>
        <w:spacing w:line="360" w:lineRule="auto" w:before="5"/>
        <w:ind w:left="102" w:right="115" w:firstLine="707"/>
        <w:jc w:val="both"/>
      </w:pPr>
      <w:r>
        <w:rPr/>
        <w:t>Por lo que corresponde a los cuatro grupos de partidos evaluados ―dos mexicanos y dos costarricenses―, los mejor calificados fueron los partidos costarricenses que participaron en la elección cantonal (3.0), seguidos de los que contendieron en la elección nacional (2.66); ubicándose ambos grupos como altamente democráticos. Por su parte los partidos mexicanos que participaron en la elección estatal obtuvieron una mediana evaluación (2.33), seguidos de los </w:t>
      </w:r>
      <w:r>
        <w:rPr>
          <w:spacing w:val="-2"/>
        </w:rPr>
        <w:t>que </w:t>
      </w:r>
      <w:r>
        <w:rPr/>
        <w:t>participaron en la elección nacional (2.0); situándose ambos grupos como medianamente</w:t>
      </w:r>
      <w:r>
        <w:rPr>
          <w:spacing w:val="-11"/>
        </w:rPr>
        <w:t> </w:t>
      </w:r>
      <w:r>
        <w:rPr/>
        <w:t>democráticos.</w:t>
      </w:r>
    </w:p>
    <w:p>
      <w:pPr>
        <w:pStyle w:val="BodyText"/>
        <w:spacing w:line="360" w:lineRule="auto" w:before="5"/>
        <w:ind w:left="102" w:right="119" w:firstLine="707"/>
        <w:jc w:val="both"/>
      </w:pPr>
      <w:r>
        <w:rPr/>
        <w:t>Por lo que respecta a los cuatro grupos de medios de comunicación evaluados, los medios costarricenses que hicieron la cobertura de las elecciones nacionales fueron los mejor evaluados (3.0), en segundo lugar se ubicaron los medios mexicanos que cubrieron las elecciones nacionales (2.5); por lo que  ambos grupos se ubicaron como altamente democráticos. Sin embargo, los medios que cubrieron la elección cantonal costarricense en la Provincia de San José, así como los que hicieron la cobertura de las elecciones municipales en el Estado de México se situaron como poco democráticos al obtener bajas evaluaciones (1.5 y 1.0</w:t>
      </w:r>
      <w:r>
        <w:rPr>
          <w:spacing w:val="-13"/>
        </w:rPr>
        <w:t> </w:t>
      </w:r>
      <w:r>
        <w:rPr/>
        <w:t>respectivamente).</w:t>
      </w:r>
    </w:p>
    <w:p>
      <w:pPr>
        <w:pStyle w:val="BodyText"/>
        <w:spacing w:line="360" w:lineRule="auto" w:before="3"/>
        <w:ind w:left="102" w:right="119" w:firstLine="707"/>
        <w:jc w:val="both"/>
      </w:pPr>
      <w:r>
        <w:rPr/>
        <w:t>Las elecciones costarricenses fueron superiores a las mexicanas en cuanto a la legalidad de los partidos políticos en materia financiera así como en la independencia e imparcialidad del TSE, pues lograron ubicarse en el rango de alta calidad, a diferencia de los partidos y órganos electorales mexicanos que se situaron  en  la  categoría  de  mediana  calidad.  Por  su  parte  las        elecciones</w:t>
      </w:r>
    </w:p>
    <w:p>
      <w:pPr>
        <w:spacing w:after="0" w:line="360" w:lineRule="auto"/>
        <w:jc w:val="both"/>
        <w:sectPr>
          <w:pgSz w:w="12240" w:h="15840"/>
          <w:pgMar w:header="749" w:footer="1003" w:top="960" w:bottom="1200" w:left="1600" w:right="1580"/>
        </w:sectPr>
      </w:pPr>
    </w:p>
    <w:p>
      <w:pPr>
        <w:pStyle w:val="BodyText"/>
        <w:rPr>
          <w:sz w:val="20"/>
        </w:rPr>
      </w:pPr>
    </w:p>
    <w:p>
      <w:pPr>
        <w:pStyle w:val="BodyText"/>
        <w:spacing w:line="360" w:lineRule="auto" w:before="214"/>
        <w:ind w:left="102" w:right="126"/>
        <w:jc w:val="both"/>
      </w:pPr>
      <w:r>
        <w:rPr/>
        <w:t>costarricenses empataron con las mexicanas en cuanto al contexto y la equidad  de los medios de comunicación en la cobertura del proceso electoral, situándose ambas en el rango de mediana</w:t>
      </w:r>
      <w:r>
        <w:rPr>
          <w:spacing w:val="-16"/>
        </w:rPr>
        <w:t> </w:t>
      </w:r>
      <w:r>
        <w:rPr/>
        <w:t>calidad.</w:t>
      </w:r>
    </w:p>
    <w:p>
      <w:pPr>
        <w:pStyle w:val="BodyText"/>
        <w:spacing w:line="360" w:lineRule="auto" w:before="5"/>
        <w:ind w:left="102" w:right="116" w:firstLine="707"/>
        <w:jc w:val="both"/>
      </w:pPr>
      <w:r>
        <w:rPr/>
        <w:t>En síntesis las elecciones costarricenses (en general), tuvieron una evaluación mayor en los tres actores estudiados (órgano electoral, partidos y medios de comunicación) y lograron una mayor calidad en relación con la independencia e imparcialidad del órgano electoral así como en cuanto a la legalidad de los partidos políticos en materia financiera; pues se ubicaron dentro del rango de alta calidad a diferencia de las elecciones mexicanas que se situaron dentro de la categoría de mediana calidad. De acuerdo con lo anterior en ninguna de las dimensiones analizadas las elecciones mexicanas obtuvieron una evaluación más alta y menos aún un grado de calidad mayor a las costarricenses. Finalmente quedó demostrado que las elecciones costarricenses de 2010 fueron altamente democráticas, a diferencia de las mexicanas de 2006 que se ubicaron como medianamente democráticas.</w:t>
      </w:r>
    </w:p>
    <w:p>
      <w:pPr>
        <w:spacing w:after="0" w:line="360" w:lineRule="auto"/>
        <w:jc w:val="both"/>
        <w:sectPr>
          <w:pgSz w:w="12240" w:h="15840"/>
          <w:pgMar w:header="749" w:footer="1003" w:top="960" w:bottom="1200" w:left="1600" w:right="1580"/>
        </w:sectPr>
      </w:pPr>
    </w:p>
    <w:p>
      <w:pPr>
        <w:pStyle w:val="BodyText"/>
        <w:rPr>
          <w:sz w:val="20"/>
        </w:rPr>
      </w:pPr>
    </w:p>
    <w:p>
      <w:pPr>
        <w:pStyle w:val="Heading1"/>
        <w:ind w:left="4027" w:right="4023"/>
        <w:jc w:val="center"/>
      </w:pPr>
      <w:r>
        <w:rPr/>
        <w:t>ANEXO 1</w:t>
      </w:r>
    </w:p>
    <w:p>
      <w:pPr>
        <w:pStyle w:val="Heading2"/>
        <w:spacing w:before="1"/>
        <w:ind w:left="4027" w:right="4025"/>
      </w:pPr>
      <w:r>
        <w:rPr/>
        <w:t>Evaluación general</w:t>
      </w:r>
    </w:p>
    <w:p>
      <w:pPr>
        <w:pStyle w:val="BodyText"/>
        <w:rPr>
          <w:b/>
          <w:sz w:val="20"/>
        </w:rPr>
      </w:pPr>
    </w:p>
    <w:p>
      <w:pPr>
        <w:pStyle w:val="BodyText"/>
        <w:spacing w:before="1"/>
        <w:rPr>
          <w:b/>
          <w:sz w:val="27"/>
        </w:rPr>
      </w:pPr>
    </w:p>
    <w:tbl>
      <w:tblPr>
        <w:tblW w:w="0" w:type="auto"/>
        <w:jc w:val="left"/>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85"/>
        <w:gridCol w:w="994"/>
        <w:gridCol w:w="994"/>
        <w:gridCol w:w="992"/>
        <w:gridCol w:w="991"/>
        <w:gridCol w:w="994"/>
        <w:gridCol w:w="992"/>
        <w:gridCol w:w="994"/>
      </w:tblGrid>
      <w:tr>
        <w:trPr>
          <w:trHeight w:val="283" w:hRule="exact"/>
        </w:trPr>
        <w:tc>
          <w:tcPr>
            <w:tcW w:w="3085" w:type="dxa"/>
            <w:vMerge w:val="restart"/>
            <w:shd w:val="clear" w:color="auto" w:fill="F1F1F1"/>
          </w:tcPr>
          <w:p>
            <w:pPr>
              <w:pStyle w:val="TableParagraph"/>
              <w:spacing w:line="201" w:lineRule="exact"/>
              <w:ind w:right="102"/>
              <w:rPr>
                <w:b/>
                <w:sz w:val="18"/>
              </w:rPr>
            </w:pPr>
            <w:r>
              <w:rPr>
                <w:b/>
                <w:sz w:val="18"/>
              </w:rPr>
              <w:t>Dimensión</w:t>
            </w:r>
          </w:p>
          <w:p>
            <w:pPr>
              <w:pStyle w:val="TableParagraph"/>
              <w:spacing w:before="4"/>
              <w:ind w:left="355" w:right="102"/>
              <w:rPr>
                <w:i/>
                <w:sz w:val="18"/>
              </w:rPr>
            </w:pPr>
            <w:r>
              <w:rPr>
                <w:i/>
                <w:sz w:val="18"/>
              </w:rPr>
              <w:t>Variable</w:t>
            </w:r>
          </w:p>
          <w:p>
            <w:pPr>
              <w:pStyle w:val="TableParagraph"/>
              <w:spacing w:before="2"/>
              <w:ind w:left="605" w:right="102"/>
              <w:rPr>
                <w:sz w:val="18"/>
              </w:rPr>
            </w:pPr>
            <w:r>
              <w:rPr>
                <w:sz w:val="18"/>
              </w:rPr>
              <w:t>Indicador</w:t>
            </w:r>
          </w:p>
        </w:tc>
        <w:tc>
          <w:tcPr>
            <w:tcW w:w="5955" w:type="dxa"/>
            <w:gridSpan w:val="6"/>
            <w:shd w:val="clear" w:color="auto" w:fill="F1F1F1"/>
          </w:tcPr>
          <w:p>
            <w:pPr>
              <w:pStyle w:val="TableParagraph"/>
              <w:spacing w:line="201" w:lineRule="exact"/>
              <w:ind w:left="2001" w:right="1998"/>
              <w:jc w:val="center"/>
              <w:rPr>
                <w:b/>
                <w:sz w:val="18"/>
              </w:rPr>
            </w:pPr>
            <w:r>
              <w:rPr>
                <w:b/>
                <w:sz w:val="18"/>
              </w:rPr>
              <w:t>Procesos electorales+</w:t>
            </w:r>
          </w:p>
        </w:tc>
        <w:tc>
          <w:tcPr>
            <w:tcW w:w="994" w:type="dxa"/>
            <w:vMerge w:val="restart"/>
            <w:shd w:val="clear" w:color="auto" w:fill="F1F1F1"/>
          </w:tcPr>
          <w:p>
            <w:pPr>
              <w:pStyle w:val="TableParagraph"/>
              <w:spacing w:line="178" w:lineRule="exact"/>
              <w:ind w:left="120" w:right="120"/>
              <w:jc w:val="center"/>
              <w:rPr>
                <w:b/>
                <w:sz w:val="16"/>
              </w:rPr>
            </w:pPr>
            <w:r>
              <w:rPr>
                <w:b/>
                <w:sz w:val="16"/>
              </w:rPr>
              <w:t>III</w:t>
            </w:r>
          </w:p>
          <w:p>
            <w:pPr>
              <w:pStyle w:val="TableParagraph"/>
              <w:spacing w:before="1"/>
              <w:ind w:left="120" w:right="122"/>
              <w:jc w:val="center"/>
              <w:rPr>
                <w:b/>
                <w:sz w:val="16"/>
              </w:rPr>
            </w:pPr>
            <w:r>
              <w:rPr>
                <w:b/>
                <w:sz w:val="16"/>
              </w:rPr>
              <w:t>Prom</w:t>
            </w:r>
            <w:r>
              <w:rPr>
                <w:b/>
                <w:sz w:val="16"/>
                <w:u w:val="single"/>
              </w:rPr>
              <w:t>e</w:t>
            </w:r>
            <w:r>
              <w:rPr>
                <w:b/>
                <w:sz w:val="16"/>
              </w:rPr>
              <w:t>dio México y Costa Rica (I+II/2)</w:t>
            </w:r>
          </w:p>
        </w:tc>
      </w:tr>
      <w:tr>
        <w:trPr>
          <w:trHeight w:val="289" w:hRule="exact"/>
        </w:trPr>
        <w:tc>
          <w:tcPr>
            <w:tcW w:w="3085" w:type="dxa"/>
            <w:vMerge/>
            <w:shd w:val="clear" w:color="auto" w:fill="F1F1F1"/>
          </w:tcPr>
          <w:p>
            <w:pPr/>
          </w:p>
        </w:tc>
        <w:tc>
          <w:tcPr>
            <w:tcW w:w="2979" w:type="dxa"/>
            <w:gridSpan w:val="3"/>
            <w:shd w:val="clear" w:color="auto" w:fill="F1F1F1"/>
          </w:tcPr>
          <w:p>
            <w:pPr>
              <w:pStyle w:val="TableParagraph"/>
              <w:spacing w:line="201" w:lineRule="exact"/>
              <w:ind w:left="1161" w:right="1158"/>
              <w:jc w:val="center"/>
              <w:rPr>
                <w:b/>
                <w:sz w:val="18"/>
              </w:rPr>
            </w:pPr>
            <w:r>
              <w:rPr>
                <w:b/>
                <w:sz w:val="18"/>
              </w:rPr>
              <w:t>México</w:t>
            </w:r>
          </w:p>
        </w:tc>
        <w:tc>
          <w:tcPr>
            <w:tcW w:w="2977" w:type="dxa"/>
            <w:gridSpan w:val="3"/>
            <w:shd w:val="clear" w:color="auto" w:fill="F1F1F1"/>
          </w:tcPr>
          <w:p>
            <w:pPr>
              <w:pStyle w:val="TableParagraph"/>
              <w:spacing w:line="201" w:lineRule="exact"/>
              <w:ind w:left="988" w:right="988"/>
              <w:jc w:val="center"/>
              <w:rPr>
                <w:b/>
                <w:sz w:val="18"/>
              </w:rPr>
            </w:pPr>
            <w:r>
              <w:rPr>
                <w:b/>
                <w:sz w:val="18"/>
              </w:rPr>
              <w:t>Costa Rica</w:t>
            </w:r>
          </w:p>
        </w:tc>
        <w:tc>
          <w:tcPr>
            <w:tcW w:w="994" w:type="dxa"/>
            <w:vMerge/>
            <w:shd w:val="clear" w:color="auto" w:fill="F1F1F1"/>
          </w:tcPr>
          <w:p>
            <w:pPr/>
          </w:p>
        </w:tc>
      </w:tr>
      <w:tr>
        <w:trPr>
          <w:trHeight w:val="1115" w:hRule="exact"/>
        </w:trPr>
        <w:tc>
          <w:tcPr>
            <w:tcW w:w="3085" w:type="dxa"/>
            <w:vMerge/>
            <w:shd w:val="clear" w:color="auto" w:fill="F1F1F1"/>
          </w:tcPr>
          <w:p>
            <w:pPr/>
          </w:p>
        </w:tc>
        <w:tc>
          <w:tcPr>
            <w:tcW w:w="994" w:type="dxa"/>
            <w:shd w:val="clear" w:color="auto" w:fill="F1F1F1"/>
          </w:tcPr>
          <w:p>
            <w:pPr>
              <w:pStyle w:val="TableParagraph"/>
              <w:spacing w:line="178" w:lineRule="exact"/>
              <w:ind w:left="1"/>
              <w:jc w:val="center"/>
              <w:rPr>
                <w:b/>
                <w:sz w:val="16"/>
              </w:rPr>
            </w:pPr>
            <w:r>
              <w:rPr>
                <w:b/>
                <w:w w:val="100"/>
                <w:sz w:val="16"/>
              </w:rPr>
              <w:t>I</w:t>
            </w:r>
          </w:p>
          <w:p>
            <w:pPr>
              <w:pStyle w:val="TableParagraph"/>
              <w:ind w:left="120" w:right="118"/>
              <w:jc w:val="center"/>
              <w:rPr>
                <w:b/>
                <w:sz w:val="16"/>
              </w:rPr>
            </w:pPr>
            <w:r>
              <w:rPr>
                <w:b/>
                <w:sz w:val="16"/>
              </w:rPr>
              <w:t>Promedio Méxic+o (a+b/2)</w:t>
            </w:r>
          </w:p>
        </w:tc>
        <w:tc>
          <w:tcPr>
            <w:tcW w:w="994" w:type="dxa"/>
            <w:shd w:val="clear" w:color="auto" w:fill="F1F1F1"/>
          </w:tcPr>
          <w:p>
            <w:pPr>
              <w:pStyle w:val="TableParagraph"/>
              <w:spacing w:line="237" w:lineRule="auto"/>
              <w:ind w:left="314" w:right="108" w:hanging="188"/>
              <w:rPr>
                <w:b/>
                <w:sz w:val="16"/>
              </w:rPr>
            </w:pPr>
            <w:r>
              <w:rPr>
                <w:b/>
                <w:sz w:val="16"/>
              </w:rPr>
              <w:t>a) México 2/07/</w:t>
            </w:r>
          </w:p>
          <w:p>
            <w:pPr>
              <w:pStyle w:val="TableParagraph"/>
              <w:spacing w:before="1"/>
              <w:ind w:left="112"/>
              <w:rPr>
                <w:b/>
                <w:sz w:val="16"/>
              </w:rPr>
            </w:pPr>
            <w:r>
              <w:rPr>
                <w:b/>
                <w:sz w:val="16"/>
              </w:rPr>
              <w:t>2006 (IFE)</w:t>
            </w:r>
          </w:p>
        </w:tc>
        <w:tc>
          <w:tcPr>
            <w:tcW w:w="992" w:type="dxa"/>
            <w:shd w:val="clear" w:color="auto" w:fill="F1F1F1"/>
          </w:tcPr>
          <w:p>
            <w:pPr>
              <w:pStyle w:val="TableParagraph"/>
              <w:spacing w:line="237" w:lineRule="auto"/>
              <w:ind w:right="85" w:firstLine="21"/>
              <w:rPr>
                <w:b/>
                <w:sz w:val="16"/>
              </w:rPr>
            </w:pPr>
            <w:r>
              <w:rPr>
                <w:b/>
                <w:sz w:val="16"/>
              </w:rPr>
              <w:t>b) Estado de México</w:t>
            </w:r>
          </w:p>
          <w:p>
            <w:pPr>
              <w:pStyle w:val="TableParagraph"/>
              <w:spacing w:before="1"/>
              <w:ind w:left="266" w:right="85"/>
              <w:rPr>
                <w:b/>
                <w:sz w:val="16"/>
              </w:rPr>
            </w:pPr>
            <w:r>
              <w:rPr>
                <w:b/>
                <w:sz w:val="16"/>
              </w:rPr>
              <w:t>12/02/</w:t>
            </w:r>
          </w:p>
          <w:p>
            <w:pPr>
              <w:pStyle w:val="TableParagraph"/>
              <w:spacing w:before="1"/>
              <w:ind w:left="242" w:right="222" w:firstLine="69"/>
              <w:rPr>
                <w:b/>
                <w:sz w:val="16"/>
              </w:rPr>
            </w:pPr>
            <w:r>
              <w:rPr>
                <w:b/>
                <w:sz w:val="16"/>
              </w:rPr>
              <w:t>2006 (IEEM)</w:t>
            </w:r>
          </w:p>
        </w:tc>
        <w:tc>
          <w:tcPr>
            <w:tcW w:w="991" w:type="dxa"/>
            <w:shd w:val="clear" w:color="auto" w:fill="F1F1F1"/>
          </w:tcPr>
          <w:p>
            <w:pPr>
              <w:pStyle w:val="TableParagraph"/>
              <w:spacing w:line="178" w:lineRule="exact"/>
              <w:ind w:left="118" w:right="118"/>
              <w:jc w:val="center"/>
              <w:rPr>
                <w:b/>
                <w:sz w:val="16"/>
              </w:rPr>
            </w:pPr>
            <w:r>
              <w:rPr>
                <w:b/>
                <w:sz w:val="16"/>
              </w:rPr>
              <w:t>II</w:t>
            </w:r>
          </w:p>
          <w:p>
            <w:pPr>
              <w:pStyle w:val="TableParagraph"/>
              <w:ind w:left="122" w:right="118"/>
              <w:jc w:val="center"/>
              <w:rPr>
                <w:b/>
                <w:sz w:val="16"/>
              </w:rPr>
            </w:pPr>
            <w:r>
              <w:rPr>
                <w:b/>
                <w:sz w:val="16"/>
              </w:rPr>
              <w:t>Promedio Costa Rica (c+d/2)</w:t>
            </w:r>
          </w:p>
        </w:tc>
        <w:tc>
          <w:tcPr>
            <w:tcW w:w="994" w:type="dxa"/>
            <w:shd w:val="clear" w:color="auto" w:fill="F1F1F1"/>
          </w:tcPr>
          <w:p>
            <w:pPr>
              <w:pStyle w:val="TableParagraph"/>
              <w:spacing w:line="237" w:lineRule="auto"/>
              <w:ind w:left="119" w:right="106" w:firstLine="55"/>
              <w:rPr>
                <w:b/>
                <w:sz w:val="16"/>
              </w:rPr>
            </w:pPr>
            <w:r>
              <w:rPr>
                <w:b/>
                <w:sz w:val="16"/>
              </w:rPr>
              <w:t>c) Costa Rica 7/02/</w:t>
            </w:r>
          </w:p>
          <w:p>
            <w:pPr>
              <w:pStyle w:val="TableParagraph"/>
              <w:spacing w:before="1"/>
              <w:ind w:left="280" w:right="266" w:firstLine="31"/>
              <w:rPr>
                <w:b/>
                <w:sz w:val="16"/>
              </w:rPr>
            </w:pPr>
            <w:r>
              <w:rPr>
                <w:b/>
                <w:sz w:val="16"/>
              </w:rPr>
              <w:t>2010 (TSE)</w:t>
            </w:r>
          </w:p>
        </w:tc>
        <w:tc>
          <w:tcPr>
            <w:tcW w:w="992" w:type="dxa"/>
            <w:shd w:val="clear" w:color="auto" w:fill="F1F1F1"/>
          </w:tcPr>
          <w:p>
            <w:pPr>
              <w:pStyle w:val="TableParagraph"/>
              <w:ind w:left="107" w:right="105" w:hanging="1"/>
              <w:jc w:val="center"/>
              <w:rPr>
                <w:b/>
                <w:sz w:val="16"/>
              </w:rPr>
            </w:pPr>
            <w:r>
              <w:rPr>
                <w:b/>
                <w:sz w:val="16"/>
              </w:rPr>
              <w:t>d)    Provincia de San José 5/12/ 2010 (TSE)</w:t>
            </w:r>
          </w:p>
        </w:tc>
        <w:tc>
          <w:tcPr>
            <w:tcW w:w="994" w:type="dxa"/>
            <w:vMerge/>
            <w:shd w:val="clear" w:color="auto" w:fill="F1F1F1"/>
          </w:tcPr>
          <w:p>
            <w:pPr/>
          </w:p>
        </w:tc>
      </w:tr>
      <w:tr>
        <w:trPr>
          <w:trHeight w:val="211" w:hRule="exact"/>
        </w:trPr>
        <w:tc>
          <w:tcPr>
            <w:tcW w:w="3085" w:type="dxa"/>
            <w:shd w:val="clear" w:color="auto" w:fill="BEBEBE"/>
          </w:tcPr>
          <w:p>
            <w:pPr>
              <w:pStyle w:val="TableParagraph"/>
              <w:spacing w:line="201" w:lineRule="exact"/>
              <w:ind w:right="102"/>
              <w:rPr>
                <w:b/>
                <w:sz w:val="18"/>
              </w:rPr>
            </w:pPr>
            <w:r>
              <w:rPr>
                <w:b/>
                <w:sz w:val="18"/>
              </w:rPr>
              <w:t>Contexto México y Costa Rica</w:t>
            </w:r>
          </w:p>
        </w:tc>
        <w:tc>
          <w:tcPr>
            <w:tcW w:w="994" w:type="dxa"/>
            <w:shd w:val="clear" w:color="auto" w:fill="BEBEBE"/>
          </w:tcPr>
          <w:p>
            <w:pPr>
              <w:pStyle w:val="TableParagraph"/>
              <w:spacing w:line="201" w:lineRule="exact"/>
              <w:ind w:left="168" w:right="108"/>
              <w:rPr>
                <w:b/>
                <w:sz w:val="18"/>
              </w:rPr>
            </w:pPr>
            <w:r>
              <w:rPr>
                <w:b/>
                <w:sz w:val="18"/>
              </w:rPr>
              <w:t>2.75 (A)</w:t>
            </w:r>
          </w:p>
        </w:tc>
        <w:tc>
          <w:tcPr>
            <w:tcW w:w="994" w:type="dxa"/>
            <w:shd w:val="clear" w:color="auto" w:fill="BEBEBE"/>
          </w:tcPr>
          <w:p>
            <w:pPr>
              <w:pStyle w:val="TableParagraph"/>
              <w:spacing w:line="201" w:lineRule="exact"/>
              <w:ind w:left="215" w:right="108"/>
              <w:rPr>
                <w:b/>
                <w:sz w:val="18"/>
              </w:rPr>
            </w:pPr>
            <w:r>
              <w:rPr>
                <w:b/>
                <w:sz w:val="18"/>
              </w:rPr>
              <w:t>2.5 (A)</w:t>
            </w:r>
          </w:p>
        </w:tc>
        <w:tc>
          <w:tcPr>
            <w:tcW w:w="992" w:type="dxa"/>
            <w:shd w:val="clear" w:color="auto" w:fill="BEBEBE"/>
          </w:tcPr>
          <w:p>
            <w:pPr>
              <w:pStyle w:val="TableParagraph"/>
              <w:spacing w:line="201" w:lineRule="exact"/>
              <w:ind w:left="215" w:right="85"/>
              <w:rPr>
                <w:b/>
                <w:sz w:val="18"/>
              </w:rPr>
            </w:pPr>
            <w:r>
              <w:rPr>
                <w:b/>
                <w:sz w:val="18"/>
              </w:rPr>
              <w:t>3.0 (A)</w:t>
            </w:r>
          </w:p>
        </w:tc>
        <w:tc>
          <w:tcPr>
            <w:tcW w:w="991" w:type="dxa"/>
            <w:shd w:val="clear" w:color="auto" w:fill="BEBEBE"/>
          </w:tcPr>
          <w:p>
            <w:pPr>
              <w:pStyle w:val="TableParagraph"/>
              <w:spacing w:line="201" w:lineRule="exact"/>
              <w:ind w:left="129"/>
              <w:rPr>
                <w:b/>
                <w:sz w:val="18"/>
              </w:rPr>
            </w:pPr>
            <w:r>
              <w:rPr>
                <w:b/>
                <w:sz w:val="18"/>
              </w:rPr>
              <w:t>2.75 *(A)</w:t>
            </w:r>
          </w:p>
        </w:tc>
        <w:tc>
          <w:tcPr>
            <w:tcW w:w="994" w:type="dxa"/>
            <w:shd w:val="clear" w:color="auto" w:fill="BEBEBE"/>
          </w:tcPr>
          <w:p>
            <w:pPr>
              <w:pStyle w:val="TableParagraph"/>
              <w:spacing w:line="201" w:lineRule="exact"/>
              <w:ind w:left="120" w:right="122"/>
              <w:jc w:val="center"/>
              <w:rPr>
                <w:b/>
                <w:sz w:val="18"/>
              </w:rPr>
            </w:pPr>
            <w:r>
              <w:rPr>
                <w:b/>
                <w:sz w:val="18"/>
              </w:rPr>
              <w:t>3.0 (A)*</w:t>
            </w:r>
          </w:p>
        </w:tc>
        <w:tc>
          <w:tcPr>
            <w:tcW w:w="992" w:type="dxa"/>
            <w:shd w:val="clear" w:color="auto" w:fill="BEBEBE"/>
          </w:tcPr>
          <w:p>
            <w:pPr>
              <w:pStyle w:val="TableParagraph"/>
              <w:spacing w:line="201" w:lineRule="exact"/>
              <w:ind w:left="0" w:right="165"/>
              <w:jc w:val="right"/>
              <w:rPr>
                <w:b/>
                <w:sz w:val="18"/>
              </w:rPr>
            </w:pPr>
            <w:r>
              <w:rPr>
                <w:b/>
                <w:sz w:val="18"/>
              </w:rPr>
              <w:t>2.0 (M)*</w:t>
            </w:r>
          </w:p>
        </w:tc>
        <w:tc>
          <w:tcPr>
            <w:tcW w:w="994" w:type="dxa"/>
            <w:shd w:val="clear" w:color="auto" w:fill="BEBEBE"/>
          </w:tcPr>
          <w:p>
            <w:pPr>
              <w:pStyle w:val="TableParagraph"/>
              <w:spacing w:line="201" w:lineRule="exact"/>
              <w:ind w:left="165" w:right="108"/>
              <w:rPr>
                <w:b/>
                <w:sz w:val="18"/>
              </w:rPr>
            </w:pPr>
            <w:r>
              <w:rPr>
                <w:b/>
                <w:sz w:val="18"/>
              </w:rPr>
              <w:t>2.75 (A)</w:t>
            </w:r>
          </w:p>
        </w:tc>
      </w:tr>
      <w:tr>
        <w:trPr>
          <w:trHeight w:val="430" w:hRule="exact"/>
        </w:trPr>
        <w:tc>
          <w:tcPr>
            <w:tcW w:w="3085" w:type="dxa"/>
            <w:shd w:val="clear" w:color="auto" w:fill="F1F1F1"/>
          </w:tcPr>
          <w:p>
            <w:pPr>
              <w:pStyle w:val="TableParagraph"/>
              <w:tabs>
                <w:tab w:pos="1477" w:val="left" w:leader="none"/>
                <w:tab w:pos="1899" w:val="left" w:leader="none"/>
                <w:tab w:pos="2261" w:val="left" w:leader="none"/>
              </w:tabs>
              <w:spacing w:before="1"/>
              <w:ind w:right="102" w:firstLine="252"/>
              <w:rPr>
                <w:i/>
                <w:sz w:val="18"/>
              </w:rPr>
            </w:pPr>
            <w:r>
              <w:rPr>
                <w:i/>
                <w:sz w:val="18"/>
              </w:rPr>
              <w:t>Alternancia</w:t>
              <w:tab/>
              <w:t>en</w:t>
              <w:tab/>
              <w:t>el</w:t>
              <w:tab/>
            </w:r>
            <w:r>
              <w:rPr>
                <w:i/>
                <w:spacing w:val="-1"/>
                <w:sz w:val="18"/>
              </w:rPr>
              <w:t>ejecutivo </w:t>
            </w:r>
            <w:r>
              <w:rPr>
                <w:i/>
                <w:sz w:val="18"/>
              </w:rPr>
              <w:t>(nacional/municipal o</w:t>
            </w:r>
            <w:r>
              <w:rPr>
                <w:i/>
                <w:spacing w:val="-15"/>
                <w:sz w:val="18"/>
              </w:rPr>
              <w:t> </w:t>
            </w:r>
            <w:r>
              <w:rPr>
                <w:i/>
                <w:sz w:val="18"/>
              </w:rPr>
              <w:t>cantonal)</w:t>
            </w:r>
          </w:p>
        </w:tc>
        <w:tc>
          <w:tcPr>
            <w:tcW w:w="994" w:type="dxa"/>
            <w:shd w:val="clear" w:color="auto" w:fill="D9D9D9"/>
          </w:tcPr>
          <w:p>
            <w:pPr>
              <w:pStyle w:val="TableParagraph"/>
              <w:spacing w:before="4"/>
              <w:ind w:left="223" w:right="108"/>
              <w:rPr>
                <w:sz w:val="18"/>
              </w:rPr>
            </w:pPr>
            <w:r>
              <w:rPr>
                <w:sz w:val="18"/>
              </w:rPr>
              <w:t>2.5 (A)</w:t>
            </w:r>
          </w:p>
        </w:tc>
        <w:tc>
          <w:tcPr>
            <w:tcW w:w="994" w:type="dxa"/>
          </w:tcPr>
          <w:p>
            <w:pPr>
              <w:pStyle w:val="TableParagraph"/>
              <w:spacing w:before="4"/>
              <w:ind w:left="206" w:right="108"/>
              <w:rPr>
                <w:sz w:val="18"/>
              </w:rPr>
            </w:pPr>
            <w:r>
              <w:rPr>
                <w:sz w:val="18"/>
              </w:rPr>
              <w:t>2.0 (M)</w:t>
            </w:r>
          </w:p>
        </w:tc>
        <w:tc>
          <w:tcPr>
            <w:tcW w:w="992" w:type="dxa"/>
          </w:tcPr>
          <w:p>
            <w:pPr>
              <w:pStyle w:val="TableParagraph"/>
              <w:spacing w:before="4"/>
              <w:ind w:left="220" w:right="85"/>
              <w:rPr>
                <w:sz w:val="18"/>
              </w:rPr>
            </w:pPr>
            <w:r>
              <w:rPr>
                <w:sz w:val="18"/>
              </w:rPr>
              <w:t>3.0 (A)</w:t>
            </w:r>
          </w:p>
        </w:tc>
        <w:tc>
          <w:tcPr>
            <w:tcW w:w="991" w:type="dxa"/>
            <w:shd w:val="clear" w:color="auto" w:fill="D9D9D9"/>
          </w:tcPr>
          <w:p>
            <w:pPr>
              <w:pStyle w:val="TableParagraph"/>
              <w:spacing w:before="4"/>
              <w:ind w:left="220" w:right="98"/>
              <w:rPr>
                <w:sz w:val="18"/>
              </w:rPr>
            </w:pPr>
            <w:r>
              <w:rPr>
                <w:sz w:val="18"/>
              </w:rPr>
              <w:t>2.5 (A)</w:t>
            </w:r>
          </w:p>
        </w:tc>
        <w:tc>
          <w:tcPr>
            <w:tcW w:w="994" w:type="dxa"/>
          </w:tcPr>
          <w:p>
            <w:pPr>
              <w:pStyle w:val="TableParagraph"/>
              <w:spacing w:before="4"/>
              <w:ind w:left="220" w:right="108"/>
              <w:rPr>
                <w:sz w:val="18"/>
              </w:rPr>
            </w:pPr>
            <w:r>
              <w:rPr>
                <w:sz w:val="18"/>
              </w:rPr>
              <w:t>3.0 (A)</w:t>
            </w:r>
          </w:p>
        </w:tc>
        <w:tc>
          <w:tcPr>
            <w:tcW w:w="992" w:type="dxa"/>
          </w:tcPr>
          <w:p>
            <w:pPr>
              <w:pStyle w:val="TableParagraph"/>
              <w:spacing w:before="4"/>
              <w:ind w:left="0" w:right="204"/>
              <w:jc w:val="right"/>
              <w:rPr>
                <w:sz w:val="18"/>
              </w:rPr>
            </w:pPr>
            <w:r>
              <w:rPr>
                <w:sz w:val="18"/>
              </w:rPr>
              <w:t>2.0 (M)</w:t>
            </w:r>
          </w:p>
        </w:tc>
        <w:tc>
          <w:tcPr>
            <w:tcW w:w="994" w:type="dxa"/>
            <w:shd w:val="clear" w:color="auto" w:fill="D9D9D9"/>
          </w:tcPr>
          <w:p>
            <w:pPr>
              <w:pStyle w:val="TableParagraph"/>
              <w:spacing w:before="4"/>
              <w:ind w:left="204" w:right="108"/>
              <w:rPr>
                <w:sz w:val="18"/>
              </w:rPr>
            </w:pPr>
            <w:r>
              <w:rPr>
                <w:sz w:val="18"/>
              </w:rPr>
              <w:t>2.5 (M)</w:t>
            </w:r>
          </w:p>
        </w:tc>
      </w:tr>
      <w:tr>
        <w:trPr>
          <w:trHeight w:val="428" w:hRule="exact"/>
        </w:trPr>
        <w:tc>
          <w:tcPr>
            <w:tcW w:w="3085" w:type="dxa"/>
            <w:shd w:val="clear" w:color="auto" w:fill="F1F1F1"/>
          </w:tcPr>
          <w:p>
            <w:pPr>
              <w:pStyle w:val="TableParagraph"/>
              <w:tabs>
                <w:tab w:pos="1149" w:val="left" w:leader="none"/>
                <w:tab w:pos="1564" w:val="left" w:leader="none"/>
                <w:tab w:pos="1918" w:val="left" w:leader="none"/>
                <w:tab w:pos="2770" w:val="left" w:leader="none"/>
              </w:tabs>
              <w:ind w:right="101" w:firstLine="252"/>
              <w:rPr>
                <w:i/>
                <w:sz w:val="18"/>
              </w:rPr>
            </w:pPr>
            <w:r>
              <w:rPr>
                <w:i/>
                <w:sz w:val="18"/>
              </w:rPr>
              <w:t>Control</w:t>
              <w:tab/>
              <w:t>de</w:t>
              <w:tab/>
              <w:t>la</w:t>
              <w:tab/>
              <w:t>Cámara</w:t>
              <w:tab/>
              <w:t>de </w:t>
            </w:r>
            <w:r>
              <w:rPr>
                <w:i/>
                <w:sz w:val="18"/>
              </w:rPr>
              <w:t>Diputados o Asamblea</w:t>
            </w:r>
            <w:r>
              <w:rPr>
                <w:i/>
                <w:spacing w:val="-12"/>
                <w:sz w:val="18"/>
              </w:rPr>
              <w:t> </w:t>
            </w:r>
            <w:r>
              <w:rPr>
                <w:i/>
                <w:sz w:val="18"/>
              </w:rPr>
              <w:t>legislativa</w:t>
            </w:r>
          </w:p>
        </w:tc>
        <w:tc>
          <w:tcPr>
            <w:tcW w:w="994" w:type="dxa"/>
            <w:shd w:val="clear" w:color="auto" w:fill="D9D9D9"/>
          </w:tcPr>
          <w:p>
            <w:pPr>
              <w:pStyle w:val="TableParagraph"/>
              <w:spacing w:line="206" w:lineRule="exact"/>
              <w:ind w:left="223" w:right="108"/>
              <w:rPr>
                <w:sz w:val="18"/>
              </w:rPr>
            </w:pPr>
            <w:r>
              <w:rPr>
                <w:sz w:val="18"/>
              </w:rPr>
              <w:t>3.0 (A)</w:t>
            </w:r>
          </w:p>
        </w:tc>
        <w:tc>
          <w:tcPr>
            <w:tcW w:w="994" w:type="dxa"/>
          </w:tcPr>
          <w:p>
            <w:pPr>
              <w:pStyle w:val="TableParagraph"/>
              <w:spacing w:line="206" w:lineRule="exact"/>
              <w:ind w:left="220" w:right="108"/>
              <w:rPr>
                <w:sz w:val="18"/>
              </w:rPr>
            </w:pPr>
            <w:r>
              <w:rPr>
                <w:sz w:val="18"/>
              </w:rPr>
              <w:t>3.0 (A)</w:t>
            </w:r>
          </w:p>
        </w:tc>
        <w:tc>
          <w:tcPr>
            <w:tcW w:w="992" w:type="dxa"/>
          </w:tcPr>
          <w:p>
            <w:pPr>
              <w:pStyle w:val="TableParagraph"/>
              <w:spacing w:line="206" w:lineRule="exact"/>
              <w:ind w:left="320" w:right="320"/>
              <w:jc w:val="center"/>
              <w:rPr>
                <w:sz w:val="18"/>
              </w:rPr>
            </w:pPr>
            <w:r>
              <w:rPr>
                <w:sz w:val="18"/>
              </w:rPr>
              <w:t>N/E</w:t>
            </w:r>
          </w:p>
        </w:tc>
        <w:tc>
          <w:tcPr>
            <w:tcW w:w="991" w:type="dxa"/>
            <w:shd w:val="clear" w:color="auto" w:fill="D9D9D9"/>
          </w:tcPr>
          <w:p>
            <w:pPr>
              <w:pStyle w:val="TableParagraph"/>
              <w:spacing w:line="206" w:lineRule="exact"/>
              <w:ind w:left="220" w:right="98"/>
              <w:rPr>
                <w:sz w:val="18"/>
              </w:rPr>
            </w:pPr>
            <w:r>
              <w:rPr>
                <w:sz w:val="18"/>
              </w:rPr>
              <w:t>3.0 (A)</w:t>
            </w:r>
          </w:p>
        </w:tc>
        <w:tc>
          <w:tcPr>
            <w:tcW w:w="994" w:type="dxa"/>
          </w:tcPr>
          <w:p>
            <w:pPr>
              <w:pStyle w:val="TableParagraph"/>
              <w:spacing w:line="206" w:lineRule="exact"/>
              <w:ind w:left="220" w:right="108"/>
              <w:rPr>
                <w:sz w:val="18"/>
              </w:rPr>
            </w:pPr>
            <w:r>
              <w:rPr>
                <w:sz w:val="18"/>
              </w:rPr>
              <w:t>3.0 (A)</w:t>
            </w:r>
          </w:p>
        </w:tc>
        <w:tc>
          <w:tcPr>
            <w:tcW w:w="992" w:type="dxa"/>
          </w:tcPr>
          <w:p>
            <w:pPr>
              <w:pStyle w:val="TableParagraph"/>
              <w:spacing w:line="206" w:lineRule="exact"/>
              <w:ind w:left="321" w:right="321"/>
              <w:jc w:val="center"/>
              <w:rPr>
                <w:sz w:val="18"/>
              </w:rPr>
            </w:pPr>
            <w:r>
              <w:rPr>
                <w:sz w:val="18"/>
              </w:rPr>
              <w:t>N/E</w:t>
            </w:r>
          </w:p>
        </w:tc>
        <w:tc>
          <w:tcPr>
            <w:tcW w:w="994" w:type="dxa"/>
            <w:shd w:val="clear" w:color="auto" w:fill="D9D9D9"/>
          </w:tcPr>
          <w:p>
            <w:pPr>
              <w:pStyle w:val="TableParagraph"/>
              <w:spacing w:line="206" w:lineRule="exact"/>
              <w:ind w:left="220" w:right="108"/>
              <w:rPr>
                <w:sz w:val="18"/>
              </w:rPr>
            </w:pPr>
            <w:r>
              <w:rPr>
                <w:sz w:val="18"/>
              </w:rPr>
              <w:t>3.0 (A)</w:t>
            </w:r>
          </w:p>
        </w:tc>
      </w:tr>
      <w:tr>
        <w:trPr>
          <w:trHeight w:val="415" w:hRule="exact"/>
        </w:trPr>
        <w:tc>
          <w:tcPr>
            <w:tcW w:w="3085" w:type="dxa"/>
            <w:shd w:val="clear" w:color="auto" w:fill="BEBEBE"/>
          </w:tcPr>
          <w:p>
            <w:pPr>
              <w:pStyle w:val="TableParagraph"/>
              <w:spacing w:line="242" w:lineRule="auto"/>
              <w:ind w:right="109"/>
              <w:rPr>
                <w:b/>
                <w:sz w:val="18"/>
              </w:rPr>
            </w:pPr>
            <w:r>
              <w:rPr>
                <w:b/>
                <w:sz w:val="18"/>
              </w:rPr>
              <w:t>Independencia e  imparcialidad de los órganos electorales</w:t>
            </w:r>
          </w:p>
        </w:tc>
        <w:tc>
          <w:tcPr>
            <w:tcW w:w="994" w:type="dxa"/>
            <w:shd w:val="clear" w:color="auto" w:fill="BEBEBE"/>
          </w:tcPr>
          <w:p>
            <w:pPr>
              <w:pStyle w:val="TableParagraph"/>
              <w:spacing w:line="242" w:lineRule="auto"/>
              <w:ind w:left="357" w:right="297" w:hanging="41"/>
              <w:rPr>
                <w:b/>
                <w:sz w:val="18"/>
              </w:rPr>
            </w:pPr>
            <w:r>
              <w:rPr>
                <w:b/>
                <w:sz w:val="18"/>
              </w:rPr>
              <w:t>2.25 (M)</w:t>
            </w:r>
          </w:p>
        </w:tc>
        <w:tc>
          <w:tcPr>
            <w:tcW w:w="994" w:type="dxa"/>
            <w:shd w:val="clear" w:color="auto" w:fill="BEBEBE"/>
          </w:tcPr>
          <w:p>
            <w:pPr>
              <w:pStyle w:val="TableParagraph"/>
              <w:spacing w:line="242" w:lineRule="auto"/>
              <w:ind w:left="364" w:right="361"/>
              <w:jc w:val="center"/>
              <w:rPr>
                <w:b/>
                <w:sz w:val="18"/>
              </w:rPr>
            </w:pPr>
            <w:r>
              <w:rPr>
                <w:b/>
                <w:sz w:val="18"/>
              </w:rPr>
              <w:t>2.5</w:t>
            </w:r>
            <w:r>
              <w:rPr>
                <w:b/>
                <w:w w:val="99"/>
                <w:sz w:val="18"/>
              </w:rPr>
              <w:t> </w:t>
            </w:r>
            <w:r>
              <w:rPr>
                <w:b/>
                <w:sz w:val="18"/>
              </w:rPr>
              <w:t>(A)</w:t>
            </w:r>
          </w:p>
        </w:tc>
        <w:tc>
          <w:tcPr>
            <w:tcW w:w="992" w:type="dxa"/>
            <w:shd w:val="clear" w:color="auto" w:fill="BEBEBE"/>
          </w:tcPr>
          <w:p>
            <w:pPr>
              <w:pStyle w:val="TableParagraph"/>
              <w:spacing w:line="242" w:lineRule="auto"/>
              <w:ind w:left="355" w:right="353" w:hanging="1"/>
              <w:jc w:val="center"/>
              <w:rPr>
                <w:b/>
                <w:sz w:val="18"/>
              </w:rPr>
            </w:pPr>
            <w:r>
              <w:rPr>
                <w:b/>
                <w:sz w:val="18"/>
              </w:rPr>
              <w:t>2.0 (M)</w:t>
            </w:r>
          </w:p>
        </w:tc>
        <w:tc>
          <w:tcPr>
            <w:tcW w:w="991" w:type="dxa"/>
            <w:shd w:val="clear" w:color="auto" w:fill="BEBEBE"/>
          </w:tcPr>
          <w:p>
            <w:pPr>
              <w:pStyle w:val="TableParagraph"/>
              <w:spacing w:line="242" w:lineRule="auto"/>
              <w:ind w:left="364" w:right="298" w:hanging="51"/>
              <w:rPr>
                <w:b/>
                <w:sz w:val="18"/>
              </w:rPr>
            </w:pPr>
            <w:r>
              <w:rPr>
                <w:b/>
                <w:sz w:val="18"/>
              </w:rPr>
              <w:t>2.66 (A)</w:t>
            </w:r>
          </w:p>
        </w:tc>
        <w:tc>
          <w:tcPr>
            <w:tcW w:w="994" w:type="dxa"/>
            <w:shd w:val="clear" w:color="auto" w:fill="BEBEBE"/>
          </w:tcPr>
          <w:p>
            <w:pPr>
              <w:pStyle w:val="TableParagraph"/>
              <w:spacing w:line="242" w:lineRule="auto"/>
              <w:ind w:left="364" w:right="300" w:hanging="51"/>
              <w:rPr>
                <w:b/>
                <w:sz w:val="18"/>
              </w:rPr>
            </w:pPr>
            <w:r>
              <w:rPr>
                <w:b/>
                <w:sz w:val="18"/>
              </w:rPr>
              <w:t>2.66 (A)</w:t>
            </w:r>
          </w:p>
        </w:tc>
        <w:tc>
          <w:tcPr>
            <w:tcW w:w="992" w:type="dxa"/>
            <w:shd w:val="clear" w:color="auto" w:fill="BEBEBE"/>
          </w:tcPr>
          <w:p>
            <w:pPr>
              <w:pStyle w:val="TableParagraph"/>
              <w:spacing w:line="242" w:lineRule="auto"/>
              <w:ind w:left="367" w:right="295" w:hanging="51"/>
              <w:rPr>
                <w:b/>
                <w:sz w:val="18"/>
              </w:rPr>
            </w:pPr>
            <w:r>
              <w:rPr>
                <w:b/>
                <w:sz w:val="18"/>
              </w:rPr>
              <w:t>2.66 (A)</w:t>
            </w:r>
          </w:p>
        </w:tc>
        <w:tc>
          <w:tcPr>
            <w:tcW w:w="994" w:type="dxa"/>
            <w:shd w:val="clear" w:color="auto" w:fill="BEBEBE"/>
          </w:tcPr>
          <w:p>
            <w:pPr>
              <w:pStyle w:val="TableParagraph"/>
              <w:spacing w:line="242" w:lineRule="auto"/>
              <w:ind w:left="364" w:right="300" w:hanging="51"/>
              <w:rPr>
                <w:b/>
                <w:sz w:val="18"/>
              </w:rPr>
            </w:pPr>
            <w:r>
              <w:rPr>
                <w:b/>
                <w:sz w:val="18"/>
              </w:rPr>
              <w:t>2.45 (A)</w:t>
            </w:r>
          </w:p>
        </w:tc>
      </w:tr>
      <w:tr>
        <w:trPr>
          <w:trHeight w:val="306" w:hRule="exact"/>
        </w:trPr>
        <w:tc>
          <w:tcPr>
            <w:tcW w:w="3085" w:type="dxa"/>
            <w:shd w:val="clear" w:color="auto" w:fill="F1F1F1"/>
          </w:tcPr>
          <w:p>
            <w:pPr>
              <w:pStyle w:val="TableParagraph"/>
              <w:spacing w:before="1"/>
              <w:ind w:left="355" w:right="102"/>
              <w:rPr>
                <w:i/>
                <w:sz w:val="18"/>
              </w:rPr>
            </w:pPr>
            <w:r>
              <w:rPr>
                <w:i/>
                <w:sz w:val="18"/>
              </w:rPr>
              <w:t>Elección</w:t>
            </w:r>
          </w:p>
        </w:tc>
        <w:tc>
          <w:tcPr>
            <w:tcW w:w="994" w:type="dxa"/>
            <w:shd w:val="clear" w:color="auto" w:fill="D9D9D9"/>
          </w:tcPr>
          <w:p>
            <w:pPr>
              <w:pStyle w:val="TableParagraph"/>
              <w:spacing w:before="4"/>
              <w:ind w:left="206" w:right="108"/>
              <w:rPr>
                <w:sz w:val="18"/>
              </w:rPr>
            </w:pPr>
            <w:r>
              <w:rPr>
                <w:sz w:val="18"/>
              </w:rPr>
              <w:t>2.0 (M)</w:t>
            </w:r>
          </w:p>
        </w:tc>
        <w:tc>
          <w:tcPr>
            <w:tcW w:w="994" w:type="dxa"/>
          </w:tcPr>
          <w:p>
            <w:pPr>
              <w:pStyle w:val="TableParagraph"/>
              <w:spacing w:before="4"/>
              <w:ind w:left="206" w:right="108"/>
              <w:rPr>
                <w:sz w:val="18"/>
              </w:rPr>
            </w:pPr>
            <w:r>
              <w:rPr>
                <w:sz w:val="18"/>
              </w:rPr>
              <w:t>2.0 (M)</w:t>
            </w:r>
          </w:p>
        </w:tc>
        <w:tc>
          <w:tcPr>
            <w:tcW w:w="992" w:type="dxa"/>
          </w:tcPr>
          <w:p>
            <w:pPr>
              <w:pStyle w:val="TableParagraph"/>
              <w:spacing w:before="4"/>
              <w:ind w:left="203" w:right="85"/>
              <w:rPr>
                <w:sz w:val="18"/>
              </w:rPr>
            </w:pPr>
            <w:r>
              <w:rPr>
                <w:sz w:val="18"/>
              </w:rPr>
              <w:t>2.0 (M)</w:t>
            </w:r>
          </w:p>
        </w:tc>
        <w:tc>
          <w:tcPr>
            <w:tcW w:w="991" w:type="dxa"/>
            <w:shd w:val="clear" w:color="auto" w:fill="D9D9D9"/>
          </w:tcPr>
          <w:p>
            <w:pPr>
              <w:pStyle w:val="TableParagraph"/>
              <w:spacing w:before="4"/>
              <w:ind w:left="156" w:right="98"/>
              <w:rPr>
                <w:sz w:val="18"/>
              </w:rPr>
            </w:pPr>
            <w:r>
              <w:rPr>
                <w:sz w:val="18"/>
              </w:rPr>
              <w:t>2.33 (M)</w:t>
            </w:r>
          </w:p>
        </w:tc>
        <w:tc>
          <w:tcPr>
            <w:tcW w:w="994" w:type="dxa"/>
          </w:tcPr>
          <w:p>
            <w:pPr>
              <w:pStyle w:val="TableParagraph"/>
              <w:spacing w:before="4"/>
              <w:ind w:left="155" w:right="108"/>
              <w:rPr>
                <w:sz w:val="18"/>
              </w:rPr>
            </w:pPr>
            <w:r>
              <w:rPr>
                <w:sz w:val="18"/>
              </w:rPr>
              <w:t>2.33 (M)</w:t>
            </w:r>
          </w:p>
        </w:tc>
        <w:tc>
          <w:tcPr>
            <w:tcW w:w="992" w:type="dxa"/>
          </w:tcPr>
          <w:p>
            <w:pPr>
              <w:pStyle w:val="TableParagraph"/>
              <w:spacing w:before="4"/>
              <w:ind w:left="0" w:right="155"/>
              <w:jc w:val="right"/>
              <w:rPr>
                <w:sz w:val="18"/>
              </w:rPr>
            </w:pPr>
            <w:r>
              <w:rPr>
                <w:sz w:val="18"/>
              </w:rPr>
              <w:t>2.33 (M)</w:t>
            </w:r>
          </w:p>
        </w:tc>
        <w:tc>
          <w:tcPr>
            <w:tcW w:w="994" w:type="dxa"/>
            <w:shd w:val="clear" w:color="auto" w:fill="D9D9D9"/>
          </w:tcPr>
          <w:p>
            <w:pPr>
              <w:pStyle w:val="TableParagraph"/>
              <w:spacing w:before="4"/>
              <w:ind w:left="156" w:right="108"/>
              <w:rPr>
                <w:sz w:val="18"/>
              </w:rPr>
            </w:pPr>
            <w:r>
              <w:rPr>
                <w:sz w:val="18"/>
              </w:rPr>
              <w:t>2.16 (M)</w:t>
            </w:r>
          </w:p>
        </w:tc>
      </w:tr>
      <w:tr>
        <w:trPr>
          <w:trHeight w:val="217" w:hRule="exact"/>
        </w:trPr>
        <w:tc>
          <w:tcPr>
            <w:tcW w:w="3085" w:type="dxa"/>
            <w:shd w:val="clear" w:color="auto" w:fill="F1F1F1"/>
          </w:tcPr>
          <w:p>
            <w:pPr>
              <w:pStyle w:val="TableParagraph"/>
              <w:ind w:left="605" w:right="102"/>
              <w:rPr>
                <w:sz w:val="18"/>
              </w:rPr>
            </w:pPr>
            <w:r>
              <w:rPr>
                <w:sz w:val="18"/>
              </w:rPr>
              <w:t>Apego a la ley</w:t>
            </w:r>
          </w:p>
        </w:tc>
        <w:tc>
          <w:tcPr>
            <w:tcW w:w="994" w:type="dxa"/>
            <w:shd w:val="clear" w:color="auto" w:fill="D9D9D9"/>
          </w:tcPr>
          <w:p>
            <w:pPr>
              <w:pStyle w:val="TableParagraph"/>
              <w:ind w:left="223" w:right="108"/>
              <w:rPr>
                <w:sz w:val="18"/>
              </w:rPr>
            </w:pPr>
            <w:r>
              <w:rPr>
                <w:sz w:val="18"/>
              </w:rPr>
              <w:t>2.5 (A)</w:t>
            </w:r>
          </w:p>
        </w:tc>
        <w:tc>
          <w:tcPr>
            <w:tcW w:w="994" w:type="dxa"/>
          </w:tcPr>
          <w:p>
            <w:pPr>
              <w:pStyle w:val="TableParagraph"/>
              <w:ind w:left="220" w:right="108"/>
              <w:rPr>
                <w:sz w:val="18"/>
              </w:rPr>
            </w:pPr>
            <w:r>
              <w:rPr>
                <w:sz w:val="18"/>
              </w:rPr>
              <w:t>3.0 (A)</w:t>
            </w:r>
          </w:p>
        </w:tc>
        <w:tc>
          <w:tcPr>
            <w:tcW w:w="992" w:type="dxa"/>
          </w:tcPr>
          <w:p>
            <w:pPr>
              <w:pStyle w:val="TableParagraph"/>
              <w:ind w:left="203" w:right="85"/>
              <w:rPr>
                <w:sz w:val="18"/>
              </w:rPr>
            </w:pPr>
            <w:r>
              <w:rPr>
                <w:sz w:val="18"/>
              </w:rPr>
              <w:t>2.0 (M)</w:t>
            </w:r>
          </w:p>
        </w:tc>
        <w:tc>
          <w:tcPr>
            <w:tcW w:w="991" w:type="dxa"/>
            <w:shd w:val="clear" w:color="auto" w:fill="D9D9D9"/>
          </w:tcPr>
          <w:p>
            <w:pPr>
              <w:pStyle w:val="TableParagraph"/>
              <w:ind w:left="220" w:right="98"/>
              <w:rPr>
                <w:sz w:val="18"/>
              </w:rPr>
            </w:pPr>
            <w:r>
              <w:rPr>
                <w:sz w:val="18"/>
              </w:rPr>
              <w:t>3.0 (A)</w:t>
            </w:r>
          </w:p>
        </w:tc>
        <w:tc>
          <w:tcPr>
            <w:tcW w:w="994" w:type="dxa"/>
          </w:tcPr>
          <w:p>
            <w:pPr>
              <w:pStyle w:val="TableParagraph"/>
              <w:ind w:left="220" w:right="108"/>
              <w:rPr>
                <w:sz w:val="18"/>
              </w:rPr>
            </w:pPr>
            <w:r>
              <w:rPr>
                <w:sz w:val="18"/>
              </w:rPr>
              <w:t>3.0 (A)</w:t>
            </w:r>
          </w:p>
        </w:tc>
        <w:tc>
          <w:tcPr>
            <w:tcW w:w="992" w:type="dxa"/>
          </w:tcPr>
          <w:p>
            <w:pPr>
              <w:pStyle w:val="TableParagraph"/>
              <w:ind w:left="0" w:right="216"/>
              <w:jc w:val="right"/>
              <w:rPr>
                <w:sz w:val="18"/>
              </w:rPr>
            </w:pPr>
            <w:r>
              <w:rPr>
                <w:sz w:val="18"/>
              </w:rPr>
              <w:t>3.0 (A)</w:t>
            </w:r>
          </w:p>
        </w:tc>
        <w:tc>
          <w:tcPr>
            <w:tcW w:w="994" w:type="dxa"/>
            <w:shd w:val="clear" w:color="auto" w:fill="D9D9D9"/>
          </w:tcPr>
          <w:p>
            <w:pPr>
              <w:pStyle w:val="TableParagraph"/>
              <w:ind w:left="120" w:right="122"/>
              <w:jc w:val="center"/>
              <w:rPr>
                <w:sz w:val="18"/>
              </w:rPr>
            </w:pPr>
            <w:r>
              <w:rPr>
                <w:sz w:val="18"/>
              </w:rPr>
              <w:t>2.75(A)</w:t>
            </w:r>
          </w:p>
        </w:tc>
      </w:tr>
      <w:tr>
        <w:trPr>
          <w:trHeight w:val="448" w:hRule="exact"/>
        </w:trPr>
        <w:tc>
          <w:tcPr>
            <w:tcW w:w="3085" w:type="dxa"/>
            <w:shd w:val="clear" w:color="auto" w:fill="F1F1F1"/>
          </w:tcPr>
          <w:p>
            <w:pPr>
              <w:pStyle w:val="TableParagraph"/>
              <w:spacing w:line="206" w:lineRule="exact"/>
              <w:ind w:left="605" w:right="102"/>
              <w:rPr>
                <w:sz w:val="18"/>
              </w:rPr>
            </w:pPr>
            <w:r>
              <w:rPr>
                <w:sz w:val="18"/>
              </w:rPr>
              <w:t>Origen de las propuestas</w:t>
            </w:r>
          </w:p>
        </w:tc>
        <w:tc>
          <w:tcPr>
            <w:tcW w:w="994" w:type="dxa"/>
            <w:shd w:val="clear" w:color="auto" w:fill="D9D9D9"/>
          </w:tcPr>
          <w:p>
            <w:pPr>
              <w:pStyle w:val="TableParagraph"/>
              <w:spacing w:line="206" w:lineRule="exact"/>
              <w:ind w:left="223" w:right="108"/>
              <w:rPr>
                <w:sz w:val="18"/>
              </w:rPr>
            </w:pPr>
            <w:r>
              <w:rPr>
                <w:sz w:val="18"/>
              </w:rPr>
              <w:t>1.0 (B)</w:t>
            </w:r>
          </w:p>
        </w:tc>
        <w:tc>
          <w:tcPr>
            <w:tcW w:w="994" w:type="dxa"/>
          </w:tcPr>
          <w:p>
            <w:pPr>
              <w:pStyle w:val="TableParagraph"/>
              <w:spacing w:line="206" w:lineRule="exact"/>
              <w:ind w:left="220" w:right="108"/>
              <w:rPr>
                <w:sz w:val="18"/>
              </w:rPr>
            </w:pPr>
            <w:r>
              <w:rPr>
                <w:sz w:val="18"/>
              </w:rPr>
              <w:t>1.0 (B)</w:t>
            </w:r>
          </w:p>
        </w:tc>
        <w:tc>
          <w:tcPr>
            <w:tcW w:w="992" w:type="dxa"/>
          </w:tcPr>
          <w:p>
            <w:pPr>
              <w:pStyle w:val="TableParagraph"/>
              <w:spacing w:line="206" w:lineRule="exact"/>
              <w:ind w:left="220" w:right="85"/>
              <w:rPr>
                <w:sz w:val="18"/>
              </w:rPr>
            </w:pPr>
            <w:r>
              <w:rPr>
                <w:sz w:val="18"/>
              </w:rPr>
              <w:t>1.0 (B)</w:t>
            </w:r>
          </w:p>
        </w:tc>
        <w:tc>
          <w:tcPr>
            <w:tcW w:w="991" w:type="dxa"/>
            <w:shd w:val="clear" w:color="auto" w:fill="D9D9D9"/>
          </w:tcPr>
          <w:p>
            <w:pPr>
              <w:pStyle w:val="TableParagraph"/>
              <w:spacing w:line="206" w:lineRule="exact"/>
              <w:ind w:left="204" w:right="98"/>
              <w:rPr>
                <w:sz w:val="18"/>
              </w:rPr>
            </w:pPr>
            <w:r>
              <w:rPr>
                <w:sz w:val="18"/>
              </w:rPr>
              <w:t>2.0 (M)</w:t>
            </w:r>
          </w:p>
        </w:tc>
        <w:tc>
          <w:tcPr>
            <w:tcW w:w="994" w:type="dxa"/>
          </w:tcPr>
          <w:p>
            <w:pPr>
              <w:pStyle w:val="TableParagraph"/>
              <w:spacing w:line="206" w:lineRule="exact"/>
              <w:ind w:left="203" w:right="108"/>
              <w:rPr>
                <w:sz w:val="18"/>
              </w:rPr>
            </w:pPr>
            <w:r>
              <w:rPr>
                <w:sz w:val="18"/>
              </w:rPr>
              <w:t>2.0 (M)</w:t>
            </w:r>
          </w:p>
        </w:tc>
        <w:tc>
          <w:tcPr>
            <w:tcW w:w="992" w:type="dxa"/>
          </w:tcPr>
          <w:p>
            <w:pPr>
              <w:pStyle w:val="TableParagraph"/>
              <w:spacing w:line="206" w:lineRule="exact"/>
              <w:ind w:left="0" w:right="204"/>
              <w:jc w:val="right"/>
              <w:rPr>
                <w:sz w:val="18"/>
              </w:rPr>
            </w:pPr>
            <w:r>
              <w:rPr>
                <w:sz w:val="18"/>
              </w:rPr>
              <w:t>2.0 (M)</w:t>
            </w:r>
          </w:p>
        </w:tc>
        <w:tc>
          <w:tcPr>
            <w:tcW w:w="994" w:type="dxa"/>
            <w:shd w:val="clear" w:color="auto" w:fill="D9D9D9"/>
          </w:tcPr>
          <w:p>
            <w:pPr>
              <w:pStyle w:val="TableParagraph"/>
              <w:spacing w:line="206" w:lineRule="exact"/>
              <w:ind w:left="220" w:right="108"/>
              <w:rPr>
                <w:sz w:val="18"/>
              </w:rPr>
            </w:pPr>
            <w:r>
              <w:rPr>
                <w:sz w:val="18"/>
              </w:rPr>
              <w:t>1.5 (B)</w:t>
            </w:r>
          </w:p>
        </w:tc>
      </w:tr>
      <w:tr>
        <w:trPr>
          <w:trHeight w:val="448" w:hRule="exact"/>
        </w:trPr>
        <w:tc>
          <w:tcPr>
            <w:tcW w:w="3085" w:type="dxa"/>
            <w:shd w:val="clear" w:color="auto" w:fill="F1F1F1"/>
          </w:tcPr>
          <w:p>
            <w:pPr>
              <w:pStyle w:val="TableParagraph"/>
              <w:ind w:left="605" w:right="102"/>
              <w:rPr>
                <w:sz w:val="18"/>
              </w:rPr>
            </w:pPr>
            <w:r>
              <w:rPr>
                <w:sz w:val="18"/>
              </w:rPr>
              <w:t>Votación de la legislatura</w:t>
            </w:r>
          </w:p>
        </w:tc>
        <w:tc>
          <w:tcPr>
            <w:tcW w:w="994" w:type="dxa"/>
            <w:shd w:val="clear" w:color="auto" w:fill="D9D9D9"/>
          </w:tcPr>
          <w:p>
            <w:pPr>
              <w:pStyle w:val="TableParagraph"/>
              <w:ind w:left="223" w:right="108"/>
              <w:rPr>
                <w:sz w:val="18"/>
              </w:rPr>
            </w:pPr>
            <w:r>
              <w:rPr>
                <w:sz w:val="18"/>
              </w:rPr>
              <w:t>2.5 (A)</w:t>
            </w:r>
          </w:p>
        </w:tc>
        <w:tc>
          <w:tcPr>
            <w:tcW w:w="994" w:type="dxa"/>
          </w:tcPr>
          <w:p>
            <w:pPr>
              <w:pStyle w:val="TableParagraph"/>
              <w:ind w:left="206" w:right="108"/>
              <w:rPr>
                <w:sz w:val="18"/>
              </w:rPr>
            </w:pPr>
            <w:r>
              <w:rPr>
                <w:sz w:val="18"/>
              </w:rPr>
              <w:t>2.0 (M)</w:t>
            </w:r>
          </w:p>
        </w:tc>
        <w:tc>
          <w:tcPr>
            <w:tcW w:w="992" w:type="dxa"/>
          </w:tcPr>
          <w:p>
            <w:pPr>
              <w:pStyle w:val="TableParagraph"/>
              <w:ind w:left="220" w:right="85"/>
              <w:rPr>
                <w:sz w:val="18"/>
              </w:rPr>
            </w:pPr>
            <w:r>
              <w:rPr>
                <w:sz w:val="18"/>
              </w:rPr>
              <w:t>3.0 (A)</w:t>
            </w:r>
          </w:p>
        </w:tc>
        <w:tc>
          <w:tcPr>
            <w:tcW w:w="991" w:type="dxa"/>
            <w:shd w:val="clear" w:color="auto" w:fill="D9D9D9"/>
          </w:tcPr>
          <w:p>
            <w:pPr>
              <w:pStyle w:val="TableParagraph"/>
              <w:ind w:left="204" w:right="98"/>
              <w:rPr>
                <w:sz w:val="18"/>
              </w:rPr>
            </w:pPr>
            <w:r>
              <w:rPr>
                <w:sz w:val="18"/>
              </w:rPr>
              <w:t>2.0 (M)</w:t>
            </w:r>
          </w:p>
        </w:tc>
        <w:tc>
          <w:tcPr>
            <w:tcW w:w="994" w:type="dxa"/>
          </w:tcPr>
          <w:p>
            <w:pPr>
              <w:pStyle w:val="TableParagraph"/>
              <w:ind w:left="203" w:right="108"/>
              <w:rPr>
                <w:sz w:val="18"/>
              </w:rPr>
            </w:pPr>
            <w:r>
              <w:rPr>
                <w:sz w:val="18"/>
              </w:rPr>
              <w:t>2.0 (M)</w:t>
            </w:r>
          </w:p>
        </w:tc>
        <w:tc>
          <w:tcPr>
            <w:tcW w:w="992" w:type="dxa"/>
          </w:tcPr>
          <w:p>
            <w:pPr>
              <w:pStyle w:val="TableParagraph"/>
              <w:ind w:left="0" w:right="204"/>
              <w:jc w:val="right"/>
              <w:rPr>
                <w:sz w:val="18"/>
              </w:rPr>
            </w:pPr>
            <w:r>
              <w:rPr>
                <w:sz w:val="18"/>
              </w:rPr>
              <w:t>2.0 (M)</w:t>
            </w:r>
          </w:p>
        </w:tc>
        <w:tc>
          <w:tcPr>
            <w:tcW w:w="994" w:type="dxa"/>
            <w:shd w:val="clear" w:color="auto" w:fill="D9D9D9"/>
          </w:tcPr>
          <w:p>
            <w:pPr>
              <w:pStyle w:val="TableParagraph"/>
              <w:ind w:left="156" w:right="108"/>
              <w:rPr>
                <w:sz w:val="18"/>
              </w:rPr>
            </w:pPr>
            <w:r>
              <w:rPr>
                <w:sz w:val="18"/>
              </w:rPr>
              <w:t>2.25 (M)</w:t>
            </w:r>
          </w:p>
        </w:tc>
      </w:tr>
      <w:tr>
        <w:trPr>
          <w:trHeight w:val="218" w:hRule="exact"/>
        </w:trPr>
        <w:tc>
          <w:tcPr>
            <w:tcW w:w="3085" w:type="dxa"/>
            <w:shd w:val="clear" w:color="auto" w:fill="F1F1F1"/>
          </w:tcPr>
          <w:p>
            <w:pPr>
              <w:pStyle w:val="TableParagraph"/>
              <w:spacing w:line="204" w:lineRule="exact"/>
              <w:ind w:left="355" w:right="102"/>
              <w:rPr>
                <w:i/>
                <w:sz w:val="18"/>
              </w:rPr>
            </w:pPr>
            <w:r>
              <w:rPr>
                <w:i/>
                <w:sz w:val="18"/>
              </w:rPr>
              <w:t>Actuación</w:t>
            </w:r>
          </w:p>
        </w:tc>
        <w:tc>
          <w:tcPr>
            <w:tcW w:w="994" w:type="dxa"/>
            <w:shd w:val="clear" w:color="auto" w:fill="D9D9D9"/>
          </w:tcPr>
          <w:p>
            <w:pPr>
              <w:pStyle w:val="TableParagraph"/>
              <w:spacing w:line="206" w:lineRule="exact"/>
              <w:ind w:left="223" w:right="108"/>
              <w:rPr>
                <w:sz w:val="18"/>
              </w:rPr>
            </w:pPr>
            <w:r>
              <w:rPr>
                <w:sz w:val="18"/>
              </w:rPr>
              <w:t>2.5 (A)</w:t>
            </w:r>
          </w:p>
        </w:tc>
        <w:tc>
          <w:tcPr>
            <w:tcW w:w="994" w:type="dxa"/>
          </w:tcPr>
          <w:p>
            <w:pPr>
              <w:pStyle w:val="TableParagraph"/>
              <w:spacing w:line="206" w:lineRule="exact"/>
              <w:ind w:left="220" w:right="108"/>
              <w:rPr>
                <w:sz w:val="18"/>
              </w:rPr>
            </w:pPr>
            <w:r>
              <w:rPr>
                <w:sz w:val="18"/>
              </w:rPr>
              <w:t>3.0 (A)</w:t>
            </w:r>
          </w:p>
        </w:tc>
        <w:tc>
          <w:tcPr>
            <w:tcW w:w="992" w:type="dxa"/>
          </w:tcPr>
          <w:p>
            <w:pPr>
              <w:pStyle w:val="TableParagraph"/>
              <w:spacing w:line="206" w:lineRule="exact"/>
              <w:ind w:left="203" w:right="85"/>
              <w:rPr>
                <w:sz w:val="18"/>
              </w:rPr>
            </w:pPr>
            <w:r>
              <w:rPr>
                <w:sz w:val="18"/>
              </w:rPr>
              <w:t>2.0 (M)</w:t>
            </w:r>
          </w:p>
        </w:tc>
        <w:tc>
          <w:tcPr>
            <w:tcW w:w="991" w:type="dxa"/>
            <w:shd w:val="clear" w:color="auto" w:fill="D9D9D9"/>
          </w:tcPr>
          <w:p>
            <w:pPr>
              <w:pStyle w:val="TableParagraph"/>
              <w:spacing w:line="206" w:lineRule="exact"/>
              <w:ind w:left="220" w:right="98"/>
              <w:rPr>
                <w:sz w:val="18"/>
              </w:rPr>
            </w:pPr>
            <w:r>
              <w:rPr>
                <w:sz w:val="18"/>
              </w:rPr>
              <w:t>3.0 (A)</w:t>
            </w:r>
          </w:p>
        </w:tc>
        <w:tc>
          <w:tcPr>
            <w:tcW w:w="994" w:type="dxa"/>
          </w:tcPr>
          <w:p>
            <w:pPr>
              <w:pStyle w:val="TableParagraph"/>
              <w:spacing w:line="206" w:lineRule="exact"/>
              <w:ind w:left="220" w:right="108"/>
              <w:rPr>
                <w:sz w:val="18"/>
              </w:rPr>
            </w:pPr>
            <w:r>
              <w:rPr>
                <w:sz w:val="18"/>
              </w:rPr>
              <w:t>3.0 (A)</w:t>
            </w:r>
          </w:p>
        </w:tc>
        <w:tc>
          <w:tcPr>
            <w:tcW w:w="992" w:type="dxa"/>
          </w:tcPr>
          <w:p>
            <w:pPr>
              <w:pStyle w:val="TableParagraph"/>
              <w:spacing w:line="206" w:lineRule="exact"/>
              <w:ind w:left="0" w:right="216"/>
              <w:jc w:val="right"/>
              <w:rPr>
                <w:sz w:val="18"/>
              </w:rPr>
            </w:pPr>
            <w:r>
              <w:rPr>
                <w:sz w:val="18"/>
              </w:rPr>
              <w:t>3.0 (A)</w:t>
            </w:r>
          </w:p>
        </w:tc>
        <w:tc>
          <w:tcPr>
            <w:tcW w:w="994" w:type="dxa"/>
            <w:shd w:val="clear" w:color="auto" w:fill="D9D9D9"/>
          </w:tcPr>
          <w:p>
            <w:pPr>
              <w:pStyle w:val="TableParagraph"/>
              <w:spacing w:line="206" w:lineRule="exact"/>
              <w:ind w:left="165" w:right="108"/>
              <w:rPr>
                <w:sz w:val="18"/>
              </w:rPr>
            </w:pPr>
            <w:r>
              <w:rPr>
                <w:sz w:val="18"/>
              </w:rPr>
              <w:t>2.75 (A)</w:t>
            </w:r>
          </w:p>
        </w:tc>
      </w:tr>
      <w:tr>
        <w:trPr>
          <w:trHeight w:val="216" w:hRule="exact"/>
        </w:trPr>
        <w:tc>
          <w:tcPr>
            <w:tcW w:w="3085" w:type="dxa"/>
            <w:shd w:val="clear" w:color="auto" w:fill="F1F1F1"/>
          </w:tcPr>
          <w:p>
            <w:pPr>
              <w:pStyle w:val="TableParagraph"/>
              <w:spacing w:line="206" w:lineRule="exact"/>
              <w:ind w:left="605" w:right="102"/>
              <w:rPr>
                <w:sz w:val="18"/>
              </w:rPr>
            </w:pPr>
            <w:r>
              <w:rPr>
                <w:sz w:val="18"/>
              </w:rPr>
              <w:t>Congruencia con la legalidad</w:t>
            </w:r>
          </w:p>
        </w:tc>
        <w:tc>
          <w:tcPr>
            <w:tcW w:w="994" w:type="dxa"/>
            <w:shd w:val="clear" w:color="auto" w:fill="D9D9D9"/>
          </w:tcPr>
          <w:p>
            <w:pPr>
              <w:pStyle w:val="TableParagraph"/>
              <w:spacing w:line="206" w:lineRule="exact"/>
              <w:ind w:left="223" w:right="108"/>
              <w:rPr>
                <w:sz w:val="18"/>
              </w:rPr>
            </w:pPr>
            <w:r>
              <w:rPr>
                <w:sz w:val="18"/>
              </w:rPr>
              <w:t>2.5 (A)</w:t>
            </w:r>
          </w:p>
        </w:tc>
        <w:tc>
          <w:tcPr>
            <w:tcW w:w="994" w:type="dxa"/>
          </w:tcPr>
          <w:p>
            <w:pPr>
              <w:pStyle w:val="TableParagraph"/>
              <w:spacing w:line="206" w:lineRule="exact"/>
              <w:ind w:left="220" w:right="108"/>
              <w:rPr>
                <w:sz w:val="18"/>
              </w:rPr>
            </w:pPr>
            <w:r>
              <w:rPr>
                <w:sz w:val="18"/>
              </w:rPr>
              <w:t>3.0 (A)</w:t>
            </w:r>
          </w:p>
        </w:tc>
        <w:tc>
          <w:tcPr>
            <w:tcW w:w="992" w:type="dxa"/>
          </w:tcPr>
          <w:p>
            <w:pPr>
              <w:pStyle w:val="TableParagraph"/>
              <w:spacing w:line="206" w:lineRule="exact"/>
              <w:ind w:left="203" w:right="85"/>
              <w:rPr>
                <w:sz w:val="18"/>
              </w:rPr>
            </w:pPr>
            <w:r>
              <w:rPr>
                <w:sz w:val="18"/>
              </w:rPr>
              <w:t>2.0 (M)</w:t>
            </w:r>
          </w:p>
        </w:tc>
        <w:tc>
          <w:tcPr>
            <w:tcW w:w="991" w:type="dxa"/>
            <w:shd w:val="clear" w:color="auto" w:fill="D9D9D9"/>
          </w:tcPr>
          <w:p>
            <w:pPr>
              <w:pStyle w:val="TableParagraph"/>
              <w:spacing w:line="206" w:lineRule="exact"/>
              <w:ind w:left="220" w:right="98"/>
              <w:rPr>
                <w:sz w:val="18"/>
              </w:rPr>
            </w:pPr>
            <w:r>
              <w:rPr>
                <w:sz w:val="18"/>
              </w:rPr>
              <w:t>3.0 (A)</w:t>
            </w:r>
          </w:p>
        </w:tc>
        <w:tc>
          <w:tcPr>
            <w:tcW w:w="994" w:type="dxa"/>
          </w:tcPr>
          <w:p>
            <w:pPr>
              <w:pStyle w:val="TableParagraph"/>
              <w:spacing w:line="206" w:lineRule="exact"/>
              <w:ind w:left="220" w:right="108"/>
              <w:rPr>
                <w:sz w:val="18"/>
              </w:rPr>
            </w:pPr>
            <w:r>
              <w:rPr>
                <w:sz w:val="18"/>
              </w:rPr>
              <w:t>3.0 (A)</w:t>
            </w:r>
          </w:p>
        </w:tc>
        <w:tc>
          <w:tcPr>
            <w:tcW w:w="992" w:type="dxa"/>
          </w:tcPr>
          <w:p>
            <w:pPr>
              <w:pStyle w:val="TableParagraph"/>
              <w:spacing w:line="206" w:lineRule="exact"/>
              <w:ind w:left="0" w:right="216"/>
              <w:jc w:val="right"/>
              <w:rPr>
                <w:sz w:val="18"/>
              </w:rPr>
            </w:pPr>
            <w:r>
              <w:rPr>
                <w:sz w:val="18"/>
              </w:rPr>
              <w:t>3.0 (A)</w:t>
            </w:r>
          </w:p>
        </w:tc>
        <w:tc>
          <w:tcPr>
            <w:tcW w:w="994" w:type="dxa"/>
            <w:shd w:val="clear" w:color="auto" w:fill="D9D9D9"/>
          </w:tcPr>
          <w:p>
            <w:pPr>
              <w:pStyle w:val="TableParagraph"/>
              <w:spacing w:line="206" w:lineRule="exact"/>
              <w:ind w:left="165" w:right="108"/>
              <w:rPr>
                <w:sz w:val="18"/>
              </w:rPr>
            </w:pPr>
            <w:r>
              <w:rPr>
                <w:sz w:val="18"/>
              </w:rPr>
              <w:t>2.75 (A)</w:t>
            </w:r>
          </w:p>
        </w:tc>
      </w:tr>
      <w:tr>
        <w:trPr>
          <w:trHeight w:val="449" w:hRule="exact"/>
        </w:trPr>
        <w:tc>
          <w:tcPr>
            <w:tcW w:w="3085" w:type="dxa"/>
            <w:shd w:val="clear" w:color="auto" w:fill="F1F1F1"/>
          </w:tcPr>
          <w:p>
            <w:pPr>
              <w:pStyle w:val="TableParagraph"/>
              <w:ind w:right="109" w:firstLine="552"/>
              <w:rPr>
                <w:sz w:val="18"/>
              </w:rPr>
            </w:pPr>
            <w:r>
              <w:rPr>
                <w:sz w:val="18"/>
              </w:rPr>
              <w:t>Imparcialidad cualitativa en el resultado de la</w:t>
            </w:r>
            <w:r>
              <w:rPr>
                <w:spacing w:val="-13"/>
                <w:sz w:val="18"/>
              </w:rPr>
              <w:t> </w:t>
            </w:r>
            <w:r>
              <w:rPr>
                <w:sz w:val="18"/>
              </w:rPr>
              <w:t>elección</w:t>
            </w:r>
          </w:p>
        </w:tc>
        <w:tc>
          <w:tcPr>
            <w:tcW w:w="994" w:type="dxa"/>
            <w:shd w:val="clear" w:color="auto" w:fill="D9D9D9"/>
          </w:tcPr>
          <w:p>
            <w:pPr>
              <w:pStyle w:val="TableParagraph"/>
              <w:spacing w:line="206" w:lineRule="exact"/>
              <w:ind w:left="206" w:right="108"/>
              <w:rPr>
                <w:sz w:val="18"/>
              </w:rPr>
            </w:pPr>
            <w:r>
              <w:rPr>
                <w:sz w:val="18"/>
              </w:rPr>
              <w:t>2.0 (M)</w:t>
            </w:r>
          </w:p>
        </w:tc>
        <w:tc>
          <w:tcPr>
            <w:tcW w:w="994" w:type="dxa"/>
          </w:tcPr>
          <w:p>
            <w:pPr>
              <w:pStyle w:val="TableParagraph"/>
              <w:spacing w:line="206" w:lineRule="exact"/>
              <w:ind w:left="220" w:right="108"/>
              <w:rPr>
                <w:sz w:val="18"/>
              </w:rPr>
            </w:pPr>
            <w:r>
              <w:rPr>
                <w:sz w:val="18"/>
              </w:rPr>
              <w:t>3.0 (A)</w:t>
            </w:r>
          </w:p>
        </w:tc>
        <w:tc>
          <w:tcPr>
            <w:tcW w:w="992" w:type="dxa"/>
          </w:tcPr>
          <w:p>
            <w:pPr>
              <w:pStyle w:val="TableParagraph"/>
              <w:spacing w:line="206" w:lineRule="exact"/>
              <w:ind w:left="220" w:right="85"/>
              <w:rPr>
                <w:sz w:val="18"/>
              </w:rPr>
            </w:pPr>
            <w:r>
              <w:rPr>
                <w:sz w:val="18"/>
              </w:rPr>
              <w:t>1.0 (B)</w:t>
            </w:r>
          </w:p>
        </w:tc>
        <w:tc>
          <w:tcPr>
            <w:tcW w:w="991" w:type="dxa"/>
            <w:shd w:val="clear" w:color="auto" w:fill="D9D9D9"/>
          </w:tcPr>
          <w:p>
            <w:pPr>
              <w:pStyle w:val="TableParagraph"/>
              <w:spacing w:line="206" w:lineRule="exact"/>
              <w:ind w:left="220" w:right="98"/>
              <w:rPr>
                <w:sz w:val="18"/>
              </w:rPr>
            </w:pPr>
            <w:r>
              <w:rPr>
                <w:sz w:val="18"/>
              </w:rPr>
              <w:t>3.0 (A)</w:t>
            </w:r>
          </w:p>
        </w:tc>
        <w:tc>
          <w:tcPr>
            <w:tcW w:w="994" w:type="dxa"/>
          </w:tcPr>
          <w:p>
            <w:pPr>
              <w:pStyle w:val="TableParagraph"/>
              <w:spacing w:line="206" w:lineRule="exact"/>
              <w:ind w:left="220" w:right="108"/>
              <w:rPr>
                <w:sz w:val="18"/>
              </w:rPr>
            </w:pPr>
            <w:r>
              <w:rPr>
                <w:sz w:val="18"/>
              </w:rPr>
              <w:t>3.0 (A)</w:t>
            </w:r>
          </w:p>
        </w:tc>
        <w:tc>
          <w:tcPr>
            <w:tcW w:w="992" w:type="dxa"/>
          </w:tcPr>
          <w:p>
            <w:pPr>
              <w:pStyle w:val="TableParagraph"/>
              <w:spacing w:line="206" w:lineRule="exact"/>
              <w:ind w:left="0" w:right="217"/>
              <w:jc w:val="right"/>
              <w:rPr>
                <w:sz w:val="18"/>
              </w:rPr>
            </w:pPr>
            <w:r>
              <w:rPr>
                <w:sz w:val="18"/>
              </w:rPr>
              <w:t>3.0 (A)</w:t>
            </w:r>
          </w:p>
        </w:tc>
        <w:tc>
          <w:tcPr>
            <w:tcW w:w="994" w:type="dxa"/>
            <w:shd w:val="clear" w:color="auto" w:fill="D9D9D9"/>
          </w:tcPr>
          <w:p>
            <w:pPr>
              <w:pStyle w:val="TableParagraph"/>
              <w:spacing w:line="206" w:lineRule="exact"/>
              <w:ind w:left="220" w:right="108"/>
              <w:rPr>
                <w:sz w:val="18"/>
              </w:rPr>
            </w:pPr>
            <w:r>
              <w:rPr>
                <w:sz w:val="18"/>
              </w:rPr>
              <w:t>2.5 (A)</w:t>
            </w:r>
          </w:p>
        </w:tc>
      </w:tr>
      <w:tr>
        <w:trPr>
          <w:trHeight w:val="636" w:hRule="exact"/>
        </w:trPr>
        <w:tc>
          <w:tcPr>
            <w:tcW w:w="3085" w:type="dxa"/>
            <w:shd w:val="clear" w:color="auto" w:fill="F1F1F1"/>
          </w:tcPr>
          <w:p>
            <w:pPr>
              <w:pStyle w:val="TableParagraph"/>
              <w:ind w:right="101" w:firstLine="502"/>
              <w:jc w:val="both"/>
              <w:rPr>
                <w:sz w:val="18"/>
              </w:rPr>
            </w:pPr>
            <w:r>
              <w:rPr>
                <w:sz w:val="18"/>
              </w:rPr>
              <w:t>Imparcialidad  cuantitativa con respecto a las organizaciones políticas</w:t>
            </w:r>
          </w:p>
        </w:tc>
        <w:tc>
          <w:tcPr>
            <w:tcW w:w="994" w:type="dxa"/>
            <w:shd w:val="clear" w:color="auto" w:fill="D9D9D9"/>
          </w:tcPr>
          <w:p>
            <w:pPr>
              <w:pStyle w:val="TableParagraph"/>
              <w:spacing w:line="206" w:lineRule="exact"/>
              <w:ind w:left="223" w:right="108"/>
              <w:rPr>
                <w:sz w:val="18"/>
              </w:rPr>
            </w:pPr>
            <w:r>
              <w:rPr>
                <w:sz w:val="18"/>
              </w:rPr>
              <w:t>3.0 (A)</w:t>
            </w:r>
          </w:p>
        </w:tc>
        <w:tc>
          <w:tcPr>
            <w:tcW w:w="994" w:type="dxa"/>
          </w:tcPr>
          <w:p>
            <w:pPr>
              <w:pStyle w:val="TableParagraph"/>
              <w:spacing w:line="206" w:lineRule="exact"/>
              <w:ind w:left="220" w:right="108"/>
              <w:rPr>
                <w:sz w:val="18"/>
              </w:rPr>
            </w:pPr>
            <w:r>
              <w:rPr>
                <w:sz w:val="18"/>
              </w:rPr>
              <w:t>3.0 (A)</w:t>
            </w:r>
          </w:p>
        </w:tc>
        <w:tc>
          <w:tcPr>
            <w:tcW w:w="992" w:type="dxa"/>
          </w:tcPr>
          <w:p>
            <w:pPr>
              <w:pStyle w:val="TableParagraph"/>
              <w:spacing w:line="206" w:lineRule="exact"/>
              <w:ind w:left="220" w:right="85"/>
              <w:rPr>
                <w:sz w:val="18"/>
              </w:rPr>
            </w:pPr>
            <w:r>
              <w:rPr>
                <w:sz w:val="18"/>
              </w:rPr>
              <w:t>3.0 (A)</w:t>
            </w:r>
          </w:p>
        </w:tc>
        <w:tc>
          <w:tcPr>
            <w:tcW w:w="991" w:type="dxa"/>
            <w:shd w:val="clear" w:color="auto" w:fill="D9D9D9"/>
          </w:tcPr>
          <w:p>
            <w:pPr>
              <w:pStyle w:val="TableParagraph"/>
              <w:spacing w:line="206" w:lineRule="exact"/>
              <w:ind w:left="220" w:right="98"/>
              <w:rPr>
                <w:sz w:val="18"/>
              </w:rPr>
            </w:pPr>
            <w:r>
              <w:rPr>
                <w:sz w:val="18"/>
              </w:rPr>
              <w:t>3.0 (A)</w:t>
            </w:r>
          </w:p>
        </w:tc>
        <w:tc>
          <w:tcPr>
            <w:tcW w:w="994" w:type="dxa"/>
          </w:tcPr>
          <w:p>
            <w:pPr>
              <w:pStyle w:val="TableParagraph"/>
              <w:spacing w:line="206" w:lineRule="exact"/>
              <w:ind w:left="220" w:right="108"/>
              <w:rPr>
                <w:sz w:val="18"/>
              </w:rPr>
            </w:pPr>
            <w:r>
              <w:rPr>
                <w:sz w:val="18"/>
              </w:rPr>
              <w:t>3.0 (A)</w:t>
            </w:r>
          </w:p>
        </w:tc>
        <w:tc>
          <w:tcPr>
            <w:tcW w:w="992" w:type="dxa"/>
          </w:tcPr>
          <w:p>
            <w:pPr>
              <w:pStyle w:val="TableParagraph"/>
              <w:spacing w:line="206" w:lineRule="exact"/>
              <w:ind w:left="0" w:right="216"/>
              <w:jc w:val="right"/>
              <w:rPr>
                <w:sz w:val="18"/>
              </w:rPr>
            </w:pPr>
            <w:r>
              <w:rPr>
                <w:sz w:val="18"/>
              </w:rPr>
              <w:t>3.0 (A)</w:t>
            </w:r>
          </w:p>
        </w:tc>
        <w:tc>
          <w:tcPr>
            <w:tcW w:w="994" w:type="dxa"/>
            <w:shd w:val="clear" w:color="auto" w:fill="D9D9D9"/>
          </w:tcPr>
          <w:p>
            <w:pPr>
              <w:pStyle w:val="TableParagraph"/>
              <w:spacing w:line="206" w:lineRule="exact"/>
              <w:ind w:left="220" w:right="108"/>
              <w:rPr>
                <w:sz w:val="18"/>
              </w:rPr>
            </w:pPr>
            <w:r>
              <w:rPr>
                <w:sz w:val="18"/>
              </w:rPr>
              <w:t>3.0 (A)</w:t>
            </w:r>
          </w:p>
        </w:tc>
      </w:tr>
      <w:tr>
        <w:trPr>
          <w:trHeight w:val="413" w:hRule="exact"/>
        </w:trPr>
        <w:tc>
          <w:tcPr>
            <w:tcW w:w="3085" w:type="dxa"/>
            <w:shd w:val="clear" w:color="auto" w:fill="BEBEBE"/>
          </w:tcPr>
          <w:p>
            <w:pPr>
              <w:pStyle w:val="TableParagraph"/>
              <w:tabs>
                <w:tab w:pos="1227" w:val="left" w:leader="none"/>
                <w:tab w:pos="1719" w:val="left" w:leader="none"/>
                <w:tab w:pos="2261" w:val="left" w:leader="none"/>
              </w:tabs>
              <w:ind w:right="103"/>
              <w:rPr>
                <w:b/>
                <w:sz w:val="18"/>
              </w:rPr>
            </w:pPr>
            <w:r>
              <w:rPr>
                <w:b/>
                <w:sz w:val="18"/>
              </w:rPr>
              <w:t>Legalidad</w:t>
              <w:tab/>
              <w:t>de</w:t>
              <w:tab/>
              <w:t>los</w:t>
              <w:tab/>
            </w:r>
            <w:r>
              <w:rPr>
                <w:b/>
                <w:spacing w:val="-1"/>
                <w:sz w:val="18"/>
              </w:rPr>
              <w:t>partidos </w:t>
            </w:r>
            <w:r>
              <w:rPr>
                <w:b/>
                <w:sz w:val="18"/>
              </w:rPr>
              <w:t>políticos en materia</w:t>
            </w:r>
            <w:r>
              <w:rPr>
                <w:b/>
                <w:spacing w:val="-12"/>
                <w:sz w:val="18"/>
              </w:rPr>
              <w:t> </w:t>
            </w:r>
            <w:r>
              <w:rPr>
                <w:b/>
                <w:sz w:val="18"/>
              </w:rPr>
              <w:t>financiera</w:t>
            </w:r>
          </w:p>
        </w:tc>
        <w:tc>
          <w:tcPr>
            <w:tcW w:w="994" w:type="dxa"/>
            <w:shd w:val="clear" w:color="auto" w:fill="BEBEBE"/>
          </w:tcPr>
          <w:p>
            <w:pPr>
              <w:pStyle w:val="TableParagraph"/>
              <w:ind w:left="357" w:right="297" w:hanging="41"/>
              <w:rPr>
                <w:b/>
                <w:sz w:val="18"/>
              </w:rPr>
            </w:pPr>
            <w:r>
              <w:rPr>
                <w:b/>
                <w:sz w:val="18"/>
              </w:rPr>
              <w:t>2.16 (M)</w:t>
            </w:r>
          </w:p>
        </w:tc>
        <w:tc>
          <w:tcPr>
            <w:tcW w:w="994" w:type="dxa"/>
            <w:shd w:val="clear" w:color="auto" w:fill="BEBEBE"/>
          </w:tcPr>
          <w:p>
            <w:pPr>
              <w:pStyle w:val="TableParagraph"/>
              <w:ind w:left="357" w:right="353" w:hanging="1"/>
              <w:jc w:val="center"/>
              <w:rPr>
                <w:b/>
                <w:sz w:val="18"/>
              </w:rPr>
            </w:pPr>
            <w:r>
              <w:rPr>
                <w:b/>
                <w:sz w:val="18"/>
              </w:rPr>
              <w:t>2.0 (M)</w:t>
            </w:r>
          </w:p>
        </w:tc>
        <w:tc>
          <w:tcPr>
            <w:tcW w:w="992" w:type="dxa"/>
            <w:shd w:val="clear" w:color="auto" w:fill="BEBEBE"/>
          </w:tcPr>
          <w:p>
            <w:pPr>
              <w:pStyle w:val="TableParagraph"/>
              <w:ind w:left="355" w:right="297" w:hanging="41"/>
              <w:rPr>
                <w:b/>
                <w:sz w:val="18"/>
              </w:rPr>
            </w:pPr>
            <w:r>
              <w:rPr>
                <w:b/>
                <w:sz w:val="18"/>
              </w:rPr>
              <w:t>2.33 (M)</w:t>
            </w:r>
          </w:p>
        </w:tc>
        <w:tc>
          <w:tcPr>
            <w:tcW w:w="991" w:type="dxa"/>
            <w:shd w:val="clear" w:color="auto" w:fill="BEBEBE"/>
          </w:tcPr>
          <w:p>
            <w:pPr>
              <w:pStyle w:val="TableParagraph"/>
              <w:ind w:left="364" w:right="298" w:hanging="51"/>
              <w:rPr>
                <w:b/>
                <w:sz w:val="18"/>
              </w:rPr>
            </w:pPr>
            <w:r>
              <w:rPr>
                <w:b/>
                <w:sz w:val="18"/>
              </w:rPr>
              <w:t>2.83 (A)</w:t>
            </w:r>
          </w:p>
        </w:tc>
        <w:tc>
          <w:tcPr>
            <w:tcW w:w="994" w:type="dxa"/>
            <w:shd w:val="clear" w:color="auto" w:fill="BEBEBE"/>
          </w:tcPr>
          <w:p>
            <w:pPr>
              <w:pStyle w:val="TableParagraph"/>
              <w:ind w:left="364" w:right="300" w:hanging="51"/>
              <w:rPr>
                <w:b/>
                <w:sz w:val="18"/>
              </w:rPr>
            </w:pPr>
            <w:r>
              <w:rPr>
                <w:b/>
                <w:sz w:val="18"/>
              </w:rPr>
              <w:t>2.66 (A)</w:t>
            </w:r>
          </w:p>
        </w:tc>
        <w:tc>
          <w:tcPr>
            <w:tcW w:w="992" w:type="dxa"/>
            <w:shd w:val="clear" w:color="auto" w:fill="BEBEBE"/>
          </w:tcPr>
          <w:p>
            <w:pPr>
              <w:pStyle w:val="TableParagraph"/>
              <w:ind w:left="321" w:right="316"/>
              <w:jc w:val="center"/>
              <w:rPr>
                <w:b/>
                <w:sz w:val="18"/>
              </w:rPr>
            </w:pPr>
            <w:r>
              <w:rPr>
                <w:b/>
                <w:sz w:val="18"/>
              </w:rPr>
              <w:t>3.0</w:t>
            </w:r>
            <w:r>
              <w:rPr>
                <w:b/>
                <w:w w:val="99"/>
                <w:sz w:val="18"/>
              </w:rPr>
              <w:t> </w:t>
            </w:r>
            <w:r>
              <w:rPr>
                <w:b/>
                <w:sz w:val="18"/>
              </w:rPr>
              <w:t>(A)</w:t>
            </w:r>
          </w:p>
        </w:tc>
        <w:tc>
          <w:tcPr>
            <w:tcW w:w="994" w:type="dxa"/>
            <w:shd w:val="clear" w:color="auto" w:fill="BEBEBE"/>
          </w:tcPr>
          <w:p>
            <w:pPr>
              <w:pStyle w:val="TableParagraph"/>
              <w:ind w:left="364" w:right="300" w:hanging="51"/>
              <w:rPr>
                <w:b/>
                <w:sz w:val="18"/>
              </w:rPr>
            </w:pPr>
            <w:r>
              <w:rPr>
                <w:b/>
                <w:sz w:val="18"/>
              </w:rPr>
              <w:t>2.49 (A)</w:t>
            </w:r>
          </w:p>
        </w:tc>
      </w:tr>
      <w:tr>
        <w:trPr>
          <w:trHeight w:val="636" w:hRule="exact"/>
        </w:trPr>
        <w:tc>
          <w:tcPr>
            <w:tcW w:w="3085" w:type="dxa"/>
            <w:shd w:val="clear" w:color="auto" w:fill="F1F1F1"/>
          </w:tcPr>
          <w:p>
            <w:pPr>
              <w:pStyle w:val="TableParagraph"/>
              <w:spacing w:before="1"/>
              <w:ind w:right="102" w:firstLine="305"/>
              <w:jc w:val="both"/>
              <w:rPr>
                <w:i/>
                <w:sz w:val="18"/>
              </w:rPr>
            </w:pPr>
            <w:r>
              <w:rPr>
                <w:i/>
                <w:sz w:val="18"/>
              </w:rPr>
              <w:t>Costo de los partidos en </w:t>
            </w:r>
            <w:r>
              <w:rPr>
                <w:i/>
                <w:sz w:val="18"/>
              </w:rPr>
              <w:t>relación con el presupuesto de la federación o nación.</w:t>
            </w:r>
          </w:p>
        </w:tc>
        <w:tc>
          <w:tcPr>
            <w:tcW w:w="994" w:type="dxa"/>
            <w:shd w:val="clear" w:color="auto" w:fill="D9D9D9"/>
          </w:tcPr>
          <w:p>
            <w:pPr>
              <w:pStyle w:val="TableParagraph"/>
              <w:spacing w:before="4"/>
              <w:ind w:left="223" w:right="108"/>
              <w:rPr>
                <w:sz w:val="18"/>
              </w:rPr>
            </w:pPr>
            <w:r>
              <w:rPr>
                <w:sz w:val="18"/>
              </w:rPr>
              <w:t>1.5 (B)</w:t>
            </w:r>
          </w:p>
        </w:tc>
        <w:tc>
          <w:tcPr>
            <w:tcW w:w="994" w:type="dxa"/>
          </w:tcPr>
          <w:p>
            <w:pPr>
              <w:pStyle w:val="TableParagraph"/>
              <w:spacing w:before="4"/>
              <w:ind w:left="206" w:right="108"/>
              <w:rPr>
                <w:sz w:val="18"/>
              </w:rPr>
            </w:pPr>
            <w:r>
              <w:rPr>
                <w:sz w:val="18"/>
              </w:rPr>
              <w:t>2.0 (M)</w:t>
            </w:r>
          </w:p>
        </w:tc>
        <w:tc>
          <w:tcPr>
            <w:tcW w:w="992" w:type="dxa"/>
          </w:tcPr>
          <w:p>
            <w:pPr>
              <w:pStyle w:val="TableParagraph"/>
              <w:spacing w:before="4"/>
              <w:ind w:left="220" w:right="85"/>
              <w:rPr>
                <w:sz w:val="18"/>
              </w:rPr>
            </w:pPr>
            <w:r>
              <w:rPr>
                <w:sz w:val="18"/>
              </w:rPr>
              <w:t>1.0 (B)</w:t>
            </w:r>
          </w:p>
        </w:tc>
        <w:tc>
          <w:tcPr>
            <w:tcW w:w="991" w:type="dxa"/>
            <w:shd w:val="clear" w:color="auto" w:fill="D9D9D9"/>
          </w:tcPr>
          <w:p>
            <w:pPr>
              <w:pStyle w:val="TableParagraph"/>
              <w:spacing w:before="4"/>
              <w:ind w:left="220" w:right="98"/>
              <w:rPr>
                <w:sz w:val="18"/>
              </w:rPr>
            </w:pPr>
            <w:r>
              <w:rPr>
                <w:sz w:val="18"/>
              </w:rPr>
              <w:t>2.5 (A)</w:t>
            </w:r>
          </w:p>
        </w:tc>
        <w:tc>
          <w:tcPr>
            <w:tcW w:w="994" w:type="dxa"/>
          </w:tcPr>
          <w:p>
            <w:pPr>
              <w:pStyle w:val="TableParagraph"/>
              <w:spacing w:before="4"/>
              <w:ind w:left="203" w:right="108"/>
              <w:rPr>
                <w:sz w:val="18"/>
              </w:rPr>
            </w:pPr>
            <w:r>
              <w:rPr>
                <w:sz w:val="18"/>
              </w:rPr>
              <w:t>2.0 (M)</w:t>
            </w:r>
          </w:p>
        </w:tc>
        <w:tc>
          <w:tcPr>
            <w:tcW w:w="992" w:type="dxa"/>
          </w:tcPr>
          <w:p>
            <w:pPr>
              <w:pStyle w:val="TableParagraph"/>
              <w:spacing w:before="4"/>
              <w:ind w:left="0" w:right="216"/>
              <w:jc w:val="right"/>
              <w:rPr>
                <w:sz w:val="18"/>
              </w:rPr>
            </w:pPr>
            <w:r>
              <w:rPr>
                <w:sz w:val="18"/>
              </w:rPr>
              <w:t>3.0 (A)</w:t>
            </w:r>
          </w:p>
        </w:tc>
        <w:tc>
          <w:tcPr>
            <w:tcW w:w="994" w:type="dxa"/>
            <w:shd w:val="clear" w:color="auto" w:fill="D9D9D9"/>
          </w:tcPr>
          <w:p>
            <w:pPr>
              <w:pStyle w:val="TableParagraph"/>
              <w:spacing w:before="4"/>
              <w:ind w:left="156" w:right="108"/>
              <w:rPr>
                <w:sz w:val="18"/>
              </w:rPr>
            </w:pPr>
            <w:r>
              <w:rPr>
                <w:sz w:val="18"/>
              </w:rPr>
              <w:t>2.25 (M)</w:t>
            </w:r>
          </w:p>
        </w:tc>
      </w:tr>
      <w:tr>
        <w:trPr>
          <w:trHeight w:val="1045" w:hRule="exact"/>
        </w:trPr>
        <w:tc>
          <w:tcPr>
            <w:tcW w:w="3085" w:type="dxa"/>
            <w:shd w:val="clear" w:color="auto" w:fill="F1F1F1"/>
          </w:tcPr>
          <w:p>
            <w:pPr>
              <w:pStyle w:val="TableParagraph"/>
              <w:ind w:right="100" w:firstLine="252"/>
              <w:jc w:val="both"/>
              <w:rPr>
                <w:i/>
                <w:sz w:val="18"/>
              </w:rPr>
            </w:pPr>
            <w:r>
              <w:rPr>
                <w:i/>
                <w:sz w:val="18"/>
              </w:rPr>
              <w:t>Irregularidades en la aplicación </w:t>
            </w:r>
            <w:r>
              <w:rPr>
                <w:i/>
                <w:sz w:val="18"/>
              </w:rPr>
              <w:t>del financiamiento (% que representan las sanciones en relación con el financiamiento de los</w:t>
            </w:r>
            <w:r>
              <w:rPr>
                <w:i/>
                <w:spacing w:val="-3"/>
                <w:sz w:val="18"/>
              </w:rPr>
              <w:t> </w:t>
            </w:r>
            <w:r>
              <w:rPr>
                <w:i/>
                <w:sz w:val="18"/>
              </w:rPr>
              <w:t>partidos)</w:t>
            </w:r>
          </w:p>
        </w:tc>
        <w:tc>
          <w:tcPr>
            <w:tcW w:w="994" w:type="dxa"/>
            <w:shd w:val="clear" w:color="auto" w:fill="D9D9D9"/>
          </w:tcPr>
          <w:p>
            <w:pPr>
              <w:pStyle w:val="TableParagraph"/>
              <w:spacing w:line="206" w:lineRule="exact"/>
              <w:ind w:left="206" w:right="108"/>
              <w:rPr>
                <w:sz w:val="18"/>
              </w:rPr>
            </w:pPr>
            <w:r>
              <w:rPr>
                <w:sz w:val="18"/>
              </w:rPr>
              <w:t>2.0 (M)</w:t>
            </w:r>
          </w:p>
        </w:tc>
        <w:tc>
          <w:tcPr>
            <w:tcW w:w="994" w:type="dxa"/>
          </w:tcPr>
          <w:p>
            <w:pPr>
              <w:pStyle w:val="TableParagraph"/>
              <w:spacing w:line="206" w:lineRule="exact"/>
              <w:ind w:left="220" w:right="108"/>
              <w:rPr>
                <w:sz w:val="18"/>
              </w:rPr>
            </w:pPr>
            <w:r>
              <w:rPr>
                <w:sz w:val="18"/>
              </w:rPr>
              <w:t>1.0 (B)</w:t>
            </w:r>
          </w:p>
        </w:tc>
        <w:tc>
          <w:tcPr>
            <w:tcW w:w="992" w:type="dxa"/>
          </w:tcPr>
          <w:p>
            <w:pPr>
              <w:pStyle w:val="TableParagraph"/>
              <w:spacing w:line="206" w:lineRule="exact"/>
              <w:ind w:left="220" w:right="85"/>
              <w:rPr>
                <w:sz w:val="18"/>
              </w:rPr>
            </w:pPr>
            <w:r>
              <w:rPr>
                <w:sz w:val="18"/>
              </w:rPr>
              <w:t>3.0 (A)</w:t>
            </w:r>
          </w:p>
        </w:tc>
        <w:tc>
          <w:tcPr>
            <w:tcW w:w="991" w:type="dxa"/>
            <w:shd w:val="clear" w:color="auto" w:fill="D9D9D9"/>
          </w:tcPr>
          <w:p>
            <w:pPr>
              <w:pStyle w:val="TableParagraph"/>
              <w:spacing w:line="206" w:lineRule="exact"/>
              <w:ind w:left="220" w:right="98"/>
              <w:rPr>
                <w:sz w:val="18"/>
              </w:rPr>
            </w:pPr>
            <w:r>
              <w:rPr>
                <w:sz w:val="18"/>
              </w:rPr>
              <w:t>3.0 (A)</w:t>
            </w:r>
          </w:p>
        </w:tc>
        <w:tc>
          <w:tcPr>
            <w:tcW w:w="994" w:type="dxa"/>
          </w:tcPr>
          <w:p>
            <w:pPr>
              <w:pStyle w:val="TableParagraph"/>
              <w:spacing w:line="206" w:lineRule="exact"/>
              <w:ind w:left="220" w:right="108"/>
              <w:rPr>
                <w:sz w:val="18"/>
              </w:rPr>
            </w:pPr>
            <w:r>
              <w:rPr>
                <w:sz w:val="18"/>
              </w:rPr>
              <w:t>3.0 (A)</w:t>
            </w:r>
          </w:p>
        </w:tc>
        <w:tc>
          <w:tcPr>
            <w:tcW w:w="992" w:type="dxa"/>
          </w:tcPr>
          <w:p>
            <w:pPr>
              <w:pStyle w:val="TableParagraph"/>
              <w:spacing w:line="206" w:lineRule="exact"/>
              <w:ind w:left="0" w:right="217"/>
              <w:jc w:val="right"/>
              <w:rPr>
                <w:sz w:val="18"/>
              </w:rPr>
            </w:pPr>
            <w:r>
              <w:rPr>
                <w:sz w:val="18"/>
              </w:rPr>
              <w:t>3.0 (A)</w:t>
            </w:r>
          </w:p>
        </w:tc>
        <w:tc>
          <w:tcPr>
            <w:tcW w:w="994" w:type="dxa"/>
            <w:shd w:val="clear" w:color="auto" w:fill="D9D9D9"/>
          </w:tcPr>
          <w:p>
            <w:pPr>
              <w:pStyle w:val="TableParagraph"/>
              <w:spacing w:line="206" w:lineRule="exact"/>
              <w:ind w:left="220" w:right="108"/>
              <w:rPr>
                <w:sz w:val="18"/>
              </w:rPr>
            </w:pPr>
            <w:r>
              <w:rPr>
                <w:sz w:val="18"/>
              </w:rPr>
              <w:t>2.5 (A)</w:t>
            </w:r>
          </w:p>
        </w:tc>
      </w:tr>
      <w:tr>
        <w:trPr>
          <w:trHeight w:val="428" w:hRule="exact"/>
        </w:trPr>
        <w:tc>
          <w:tcPr>
            <w:tcW w:w="3085" w:type="dxa"/>
            <w:shd w:val="clear" w:color="auto" w:fill="F1F1F1"/>
          </w:tcPr>
          <w:p>
            <w:pPr>
              <w:pStyle w:val="TableParagraph"/>
              <w:spacing w:line="206" w:lineRule="exact" w:before="2"/>
              <w:ind w:right="102" w:firstLine="252"/>
              <w:rPr>
                <w:i/>
                <w:sz w:val="18"/>
              </w:rPr>
            </w:pPr>
            <w:r>
              <w:rPr>
                <w:i/>
                <w:sz w:val="18"/>
              </w:rPr>
              <w:t>Rebase de topes (México) o </w:t>
            </w:r>
            <w:r>
              <w:rPr>
                <w:i/>
                <w:sz w:val="18"/>
              </w:rPr>
              <w:t>montos máximos (Costa Rica)</w:t>
            </w:r>
          </w:p>
        </w:tc>
        <w:tc>
          <w:tcPr>
            <w:tcW w:w="994" w:type="dxa"/>
            <w:shd w:val="clear" w:color="auto" w:fill="D9D9D9"/>
          </w:tcPr>
          <w:p>
            <w:pPr>
              <w:pStyle w:val="TableParagraph"/>
              <w:ind w:left="223" w:right="108"/>
              <w:rPr>
                <w:sz w:val="18"/>
              </w:rPr>
            </w:pPr>
            <w:r>
              <w:rPr>
                <w:sz w:val="18"/>
              </w:rPr>
              <w:t>3.0 (A)</w:t>
            </w:r>
          </w:p>
        </w:tc>
        <w:tc>
          <w:tcPr>
            <w:tcW w:w="994" w:type="dxa"/>
          </w:tcPr>
          <w:p>
            <w:pPr>
              <w:pStyle w:val="TableParagraph"/>
              <w:ind w:left="220" w:right="108"/>
              <w:rPr>
                <w:sz w:val="18"/>
              </w:rPr>
            </w:pPr>
            <w:r>
              <w:rPr>
                <w:sz w:val="18"/>
              </w:rPr>
              <w:t>3.0 (A)</w:t>
            </w:r>
          </w:p>
        </w:tc>
        <w:tc>
          <w:tcPr>
            <w:tcW w:w="992" w:type="dxa"/>
          </w:tcPr>
          <w:p>
            <w:pPr>
              <w:pStyle w:val="TableParagraph"/>
              <w:ind w:left="220" w:right="85"/>
              <w:rPr>
                <w:sz w:val="18"/>
              </w:rPr>
            </w:pPr>
            <w:r>
              <w:rPr>
                <w:sz w:val="18"/>
              </w:rPr>
              <w:t>3.0 (A)</w:t>
            </w:r>
          </w:p>
        </w:tc>
        <w:tc>
          <w:tcPr>
            <w:tcW w:w="991" w:type="dxa"/>
            <w:shd w:val="clear" w:color="auto" w:fill="D9D9D9"/>
          </w:tcPr>
          <w:p>
            <w:pPr>
              <w:pStyle w:val="TableParagraph"/>
              <w:ind w:left="220" w:right="98"/>
              <w:rPr>
                <w:sz w:val="18"/>
              </w:rPr>
            </w:pPr>
            <w:r>
              <w:rPr>
                <w:sz w:val="18"/>
              </w:rPr>
              <w:t>3.0 (A)</w:t>
            </w:r>
          </w:p>
        </w:tc>
        <w:tc>
          <w:tcPr>
            <w:tcW w:w="994" w:type="dxa"/>
          </w:tcPr>
          <w:p>
            <w:pPr>
              <w:pStyle w:val="TableParagraph"/>
              <w:ind w:left="220" w:right="108"/>
              <w:rPr>
                <w:sz w:val="18"/>
              </w:rPr>
            </w:pPr>
            <w:r>
              <w:rPr>
                <w:sz w:val="18"/>
              </w:rPr>
              <w:t>3.0 (A)</w:t>
            </w:r>
          </w:p>
        </w:tc>
        <w:tc>
          <w:tcPr>
            <w:tcW w:w="992" w:type="dxa"/>
          </w:tcPr>
          <w:p>
            <w:pPr>
              <w:pStyle w:val="TableParagraph"/>
              <w:ind w:left="0" w:right="216"/>
              <w:jc w:val="right"/>
              <w:rPr>
                <w:sz w:val="18"/>
              </w:rPr>
            </w:pPr>
            <w:r>
              <w:rPr>
                <w:sz w:val="18"/>
              </w:rPr>
              <w:t>3.0 (A)</w:t>
            </w:r>
          </w:p>
        </w:tc>
        <w:tc>
          <w:tcPr>
            <w:tcW w:w="994" w:type="dxa"/>
            <w:shd w:val="clear" w:color="auto" w:fill="D9D9D9"/>
          </w:tcPr>
          <w:p>
            <w:pPr>
              <w:pStyle w:val="TableParagraph"/>
              <w:ind w:left="220" w:right="108"/>
              <w:rPr>
                <w:sz w:val="18"/>
              </w:rPr>
            </w:pPr>
            <w:r>
              <w:rPr>
                <w:sz w:val="18"/>
              </w:rPr>
              <w:t>3.0 (A)</w:t>
            </w:r>
          </w:p>
        </w:tc>
      </w:tr>
      <w:tr>
        <w:trPr>
          <w:trHeight w:val="622" w:hRule="exact"/>
        </w:trPr>
        <w:tc>
          <w:tcPr>
            <w:tcW w:w="3085" w:type="dxa"/>
            <w:shd w:val="clear" w:color="auto" w:fill="BEBEBE"/>
          </w:tcPr>
          <w:p>
            <w:pPr>
              <w:pStyle w:val="TableParagraph"/>
              <w:ind w:right="102"/>
              <w:jc w:val="both"/>
              <w:rPr>
                <w:b/>
                <w:sz w:val="18"/>
              </w:rPr>
            </w:pPr>
            <w:r>
              <w:rPr>
                <w:b/>
                <w:sz w:val="18"/>
              </w:rPr>
              <w:t>Equidad de los medios de comunicación en la cobertura del proceso electoral</w:t>
            </w:r>
          </w:p>
        </w:tc>
        <w:tc>
          <w:tcPr>
            <w:tcW w:w="994" w:type="dxa"/>
            <w:shd w:val="clear" w:color="auto" w:fill="BEBEBE"/>
          </w:tcPr>
          <w:p>
            <w:pPr>
              <w:pStyle w:val="TableParagraph"/>
              <w:spacing w:line="242" w:lineRule="auto"/>
              <w:ind w:left="357" w:right="297" w:hanging="41"/>
              <w:rPr>
                <w:b/>
                <w:sz w:val="18"/>
              </w:rPr>
            </w:pPr>
            <w:r>
              <w:rPr>
                <w:b/>
                <w:sz w:val="18"/>
              </w:rPr>
              <w:t>1.75 (M)</w:t>
            </w:r>
          </w:p>
        </w:tc>
        <w:tc>
          <w:tcPr>
            <w:tcW w:w="994" w:type="dxa"/>
            <w:shd w:val="clear" w:color="auto" w:fill="BEBEBE"/>
          </w:tcPr>
          <w:p>
            <w:pPr>
              <w:pStyle w:val="TableParagraph"/>
              <w:spacing w:line="242" w:lineRule="auto"/>
              <w:ind w:left="364" w:right="361"/>
              <w:jc w:val="center"/>
              <w:rPr>
                <w:b/>
                <w:sz w:val="18"/>
              </w:rPr>
            </w:pPr>
            <w:r>
              <w:rPr>
                <w:b/>
                <w:sz w:val="18"/>
              </w:rPr>
              <w:t>2.5</w:t>
            </w:r>
            <w:r>
              <w:rPr>
                <w:b/>
                <w:w w:val="99"/>
                <w:sz w:val="18"/>
              </w:rPr>
              <w:t> </w:t>
            </w:r>
            <w:r>
              <w:rPr>
                <w:b/>
                <w:sz w:val="18"/>
              </w:rPr>
              <w:t>(A)</w:t>
            </w:r>
          </w:p>
        </w:tc>
        <w:tc>
          <w:tcPr>
            <w:tcW w:w="992" w:type="dxa"/>
            <w:shd w:val="clear" w:color="auto" w:fill="BEBEBE"/>
          </w:tcPr>
          <w:p>
            <w:pPr>
              <w:pStyle w:val="TableParagraph"/>
              <w:spacing w:line="242" w:lineRule="auto"/>
              <w:ind w:left="320" w:right="320"/>
              <w:jc w:val="center"/>
              <w:rPr>
                <w:b/>
                <w:sz w:val="18"/>
              </w:rPr>
            </w:pPr>
            <w:r>
              <w:rPr>
                <w:b/>
                <w:sz w:val="18"/>
              </w:rPr>
              <w:t>1.0</w:t>
            </w:r>
            <w:r>
              <w:rPr>
                <w:b/>
                <w:w w:val="99"/>
                <w:sz w:val="18"/>
              </w:rPr>
              <w:t> </w:t>
            </w:r>
            <w:r>
              <w:rPr>
                <w:b/>
                <w:sz w:val="18"/>
              </w:rPr>
              <w:t>(B)</w:t>
            </w:r>
          </w:p>
        </w:tc>
        <w:tc>
          <w:tcPr>
            <w:tcW w:w="991" w:type="dxa"/>
            <w:shd w:val="clear" w:color="auto" w:fill="BEBEBE"/>
          </w:tcPr>
          <w:p>
            <w:pPr>
              <w:pStyle w:val="TableParagraph"/>
              <w:spacing w:line="242" w:lineRule="auto"/>
              <w:ind w:left="355" w:right="297" w:hanging="41"/>
              <w:rPr>
                <w:b/>
                <w:sz w:val="18"/>
              </w:rPr>
            </w:pPr>
            <w:r>
              <w:rPr>
                <w:b/>
                <w:sz w:val="18"/>
              </w:rPr>
              <w:t>2.25 (M)</w:t>
            </w:r>
          </w:p>
        </w:tc>
        <w:tc>
          <w:tcPr>
            <w:tcW w:w="994" w:type="dxa"/>
            <w:shd w:val="clear" w:color="auto" w:fill="BEBEBE"/>
          </w:tcPr>
          <w:p>
            <w:pPr>
              <w:pStyle w:val="TableParagraph"/>
              <w:spacing w:line="242" w:lineRule="auto"/>
              <w:ind w:left="362" w:right="364"/>
              <w:jc w:val="center"/>
              <w:rPr>
                <w:b/>
                <w:sz w:val="18"/>
              </w:rPr>
            </w:pPr>
            <w:r>
              <w:rPr>
                <w:b/>
                <w:sz w:val="18"/>
              </w:rPr>
              <w:t>3.0</w:t>
            </w:r>
            <w:r>
              <w:rPr>
                <w:b/>
                <w:w w:val="99"/>
                <w:sz w:val="18"/>
              </w:rPr>
              <w:t> </w:t>
            </w:r>
            <w:r>
              <w:rPr>
                <w:b/>
                <w:sz w:val="18"/>
              </w:rPr>
              <w:t>(A)</w:t>
            </w:r>
          </w:p>
        </w:tc>
        <w:tc>
          <w:tcPr>
            <w:tcW w:w="992" w:type="dxa"/>
            <w:shd w:val="clear" w:color="auto" w:fill="BEBEBE"/>
          </w:tcPr>
          <w:p>
            <w:pPr>
              <w:pStyle w:val="TableParagraph"/>
              <w:spacing w:line="242" w:lineRule="auto"/>
              <w:ind w:left="321" w:right="316"/>
              <w:jc w:val="center"/>
              <w:rPr>
                <w:b/>
                <w:sz w:val="18"/>
              </w:rPr>
            </w:pPr>
            <w:r>
              <w:rPr>
                <w:b/>
                <w:sz w:val="18"/>
              </w:rPr>
              <w:t>1.5</w:t>
            </w:r>
            <w:r>
              <w:rPr>
                <w:b/>
                <w:w w:val="99"/>
                <w:sz w:val="18"/>
              </w:rPr>
              <w:t> </w:t>
            </w:r>
            <w:r>
              <w:rPr>
                <w:b/>
                <w:sz w:val="18"/>
              </w:rPr>
              <w:t>(B)</w:t>
            </w:r>
          </w:p>
        </w:tc>
        <w:tc>
          <w:tcPr>
            <w:tcW w:w="994" w:type="dxa"/>
            <w:shd w:val="clear" w:color="auto" w:fill="BEBEBE"/>
          </w:tcPr>
          <w:p>
            <w:pPr>
              <w:pStyle w:val="TableParagraph"/>
              <w:spacing w:line="242" w:lineRule="auto"/>
              <w:ind w:left="355" w:right="355" w:hanging="1"/>
              <w:jc w:val="center"/>
              <w:rPr>
                <w:b/>
                <w:sz w:val="18"/>
              </w:rPr>
            </w:pPr>
            <w:r>
              <w:rPr>
                <w:b/>
                <w:sz w:val="18"/>
              </w:rPr>
              <w:t>2.0 (M)</w:t>
            </w:r>
          </w:p>
        </w:tc>
      </w:tr>
      <w:tr>
        <w:trPr>
          <w:trHeight w:val="843" w:hRule="exact"/>
        </w:trPr>
        <w:tc>
          <w:tcPr>
            <w:tcW w:w="3085" w:type="dxa"/>
            <w:shd w:val="clear" w:color="auto" w:fill="F1F1F1"/>
          </w:tcPr>
          <w:p>
            <w:pPr>
              <w:pStyle w:val="TableParagraph"/>
              <w:spacing w:before="1"/>
              <w:ind w:right="100" w:firstLine="252"/>
              <w:jc w:val="both"/>
              <w:rPr>
                <w:i/>
                <w:sz w:val="18"/>
              </w:rPr>
            </w:pPr>
            <w:r>
              <w:rPr>
                <w:i/>
                <w:sz w:val="18"/>
              </w:rPr>
              <w:t>Monitoreo cuantitativo de </w:t>
            </w:r>
            <w:r>
              <w:rPr>
                <w:i/>
                <w:sz w:val="18"/>
              </w:rPr>
              <w:t>espacios noticiosos (porcentaje de menciones en noticiarios por  partido político, en</w:t>
            </w:r>
            <w:r>
              <w:rPr>
                <w:i/>
                <w:spacing w:val="-12"/>
                <w:sz w:val="18"/>
              </w:rPr>
              <w:t> </w:t>
            </w:r>
            <w:r>
              <w:rPr>
                <w:i/>
                <w:sz w:val="18"/>
              </w:rPr>
              <w:t>campaña)</w:t>
            </w:r>
          </w:p>
        </w:tc>
        <w:tc>
          <w:tcPr>
            <w:tcW w:w="994" w:type="dxa"/>
            <w:shd w:val="clear" w:color="auto" w:fill="D9D9D9"/>
          </w:tcPr>
          <w:p>
            <w:pPr>
              <w:pStyle w:val="TableParagraph"/>
              <w:spacing w:before="4"/>
              <w:ind w:left="357" w:right="359" w:firstLine="3"/>
              <w:jc w:val="center"/>
              <w:rPr>
                <w:sz w:val="18"/>
              </w:rPr>
            </w:pPr>
            <w:r>
              <w:rPr>
                <w:sz w:val="18"/>
              </w:rPr>
              <w:t>2.0 </w:t>
            </w:r>
            <w:r>
              <w:rPr>
                <w:spacing w:val="-2"/>
                <w:sz w:val="18"/>
              </w:rPr>
              <w:t>(M)</w:t>
            </w:r>
          </w:p>
        </w:tc>
        <w:tc>
          <w:tcPr>
            <w:tcW w:w="994" w:type="dxa"/>
          </w:tcPr>
          <w:p>
            <w:pPr>
              <w:pStyle w:val="TableParagraph"/>
              <w:spacing w:before="4"/>
              <w:ind w:left="364" w:right="361"/>
              <w:jc w:val="center"/>
              <w:rPr>
                <w:sz w:val="18"/>
              </w:rPr>
            </w:pPr>
            <w:r>
              <w:rPr>
                <w:sz w:val="18"/>
              </w:rPr>
              <w:t>3.0</w:t>
            </w:r>
            <w:r>
              <w:rPr>
                <w:w w:val="100"/>
                <w:sz w:val="18"/>
              </w:rPr>
              <w:t> </w:t>
            </w:r>
            <w:r>
              <w:rPr>
                <w:sz w:val="18"/>
              </w:rPr>
              <w:t>(A)</w:t>
            </w:r>
          </w:p>
        </w:tc>
        <w:tc>
          <w:tcPr>
            <w:tcW w:w="992" w:type="dxa"/>
          </w:tcPr>
          <w:p>
            <w:pPr>
              <w:pStyle w:val="TableParagraph"/>
              <w:spacing w:before="4"/>
              <w:ind w:left="320" w:right="320"/>
              <w:jc w:val="center"/>
              <w:rPr>
                <w:sz w:val="18"/>
              </w:rPr>
            </w:pPr>
            <w:r>
              <w:rPr>
                <w:sz w:val="18"/>
              </w:rPr>
              <w:t>1.0</w:t>
            </w:r>
            <w:r>
              <w:rPr>
                <w:w w:val="100"/>
                <w:sz w:val="18"/>
              </w:rPr>
              <w:t> </w:t>
            </w:r>
            <w:r>
              <w:rPr>
                <w:sz w:val="18"/>
              </w:rPr>
              <w:t>(B)</w:t>
            </w:r>
          </w:p>
        </w:tc>
        <w:tc>
          <w:tcPr>
            <w:tcW w:w="991" w:type="dxa"/>
            <w:shd w:val="clear" w:color="auto" w:fill="D9D9D9"/>
          </w:tcPr>
          <w:p>
            <w:pPr>
              <w:pStyle w:val="TableParagraph"/>
              <w:spacing w:before="4"/>
              <w:ind w:left="364" w:right="364"/>
              <w:jc w:val="center"/>
              <w:rPr>
                <w:sz w:val="18"/>
              </w:rPr>
            </w:pPr>
            <w:r>
              <w:rPr>
                <w:sz w:val="18"/>
              </w:rPr>
              <w:t>2.5</w:t>
            </w:r>
            <w:r>
              <w:rPr>
                <w:w w:val="100"/>
                <w:sz w:val="18"/>
              </w:rPr>
              <w:t> </w:t>
            </w:r>
            <w:r>
              <w:rPr>
                <w:sz w:val="18"/>
              </w:rPr>
              <w:t>(A)</w:t>
            </w:r>
          </w:p>
        </w:tc>
        <w:tc>
          <w:tcPr>
            <w:tcW w:w="994" w:type="dxa"/>
          </w:tcPr>
          <w:p>
            <w:pPr>
              <w:pStyle w:val="TableParagraph"/>
              <w:spacing w:before="4"/>
              <w:ind w:left="362" w:right="364"/>
              <w:jc w:val="center"/>
              <w:rPr>
                <w:sz w:val="18"/>
              </w:rPr>
            </w:pPr>
            <w:r>
              <w:rPr>
                <w:sz w:val="18"/>
              </w:rPr>
              <w:t>3.0</w:t>
            </w:r>
            <w:r>
              <w:rPr>
                <w:w w:val="100"/>
                <w:sz w:val="18"/>
              </w:rPr>
              <w:t> </w:t>
            </w:r>
            <w:r>
              <w:rPr>
                <w:sz w:val="18"/>
              </w:rPr>
              <w:t>(A)</w:t>
            </w:r>
          </w:p>
        </w:tc>
        <w:tc>
          <w:tcPr>
            <w:tcW w:w="992" w:type="dxa"/>
          </w:tcPr>
          <w:p>
            <w:pPr>
              <w:pStyle w:val="TableParagraph"/>
              <w:spacing w:before="4"/>
              <w:ind w:left="357" w:right="356" w:firstLine="3"/>
              <w:jc w:val="center"/>
              <w:rPr>
                <w:sz w:val="18"/>
              </w:rPr>
            </w:pPr>
            <w:r>
              <w:rPr>
                <w:sz w:val="18"/>
              </w:rPr>
              <w:t>2.0 </w:t>
            </w:r>
            <w:r>
              <w:rPr>
                <w:spacing w:val="-1"/>
                <w:sz w:val="18"/>
              </w:rPr>
              <w:t>(M)</w:t>
            </w:r>
          </w:p>
        </w:tc>
        <w:tc>
          <w:tcPr>
            <w:tcW w:w="994" w:type="dxa"/>
            <w:shd w:val="clear" w:color="auto" w:fill="D9D9D9"/>
          </w:tcPr>
          <w:p>
            <w:pPr>
              <w:pStyle w:val="TableParagraph"/>
              <w:spacing w:before="4"/>
              <w:ind w:left="355" w:right="299" w:hanging="41"/>
              <w:rPr>
                <w:sz w:val="18"/>
              </w:rPr>
            </w:pPr>
            <w:r>
              <w:rPr>
                <w:sz w:val="18"/>
              </w:rPr>
              <w:t>2.25 (M)</w:t>
            </w:r>
          </w:p>
        </w:tc>
      </w:tr>
      <w:tr>
        <w:trPr>
          <w:trHeight w:val="1046" w:hRule="exact"/>
        </w:trPr>
        <w:tc>
          <w:tcPr>
            <w:tcW w:w="3085" w:type="dxa"/>
            <w:shd w:val="clear" w:color="auto" w:fill="F1F1F1"/>
          </w:tcPr>
          <w:p>
            <w:pPr>
              <w:pStyle w:val="TableParagraph"/>
              <w:tabs>
                <w:tab w:pos="1518" w:val="left" w:leader="none"/>
                <w:tab w:pos="2263" w:val="left" w:leader="none"/>
              </w:tabs>
              <w:ind w:right="100" w:firstLine="252"/>
              <w:jc w:val="both"/>
              <w:rPr>
                <w:i/>
                <w:sz w:val="18"/>
              </w:rPr>
            </w:pPr>
            <w:r>
              <w:rPr>
                <w:i/>
                <w:sz w:val="18"/>
              </w:rPr>
              <w:t>Monitoreo cuantitativo de </w:t>
            </w:r>
            <w:r>
              <w:rPr>
                <w:i/>
                <w:sz w:val="18"/>
              </w:rPr>
              <w:t>promocionales (porcentaje de menciones</w:t>
              <w:tab/>
              <w:t>en</w:t>
              <w:tab/>
            </w:r>
            <w:r>
              <w:rPr>
                <w:i/>
                <w:spacing w:val="-1"/>
                <w:sz w:val="18"/>
              </w:rPr>
              <w:t>espacios </w:t>
            </w:r>
            <w:r>
              <w:rPr>
                <w:i/>
                <w:sz w:val="18"/>
              </w:rPr>
              <w:t>publicitarios por partido político, en campaña)</w:t>
            </w:r>
          </w:p>
        </w:tc>
        <w:tc>
          <w:tcPr>
            <w:tcW w:w="994" w:type="dxa"/>
            <w:shd w:val="clear" w:color="auto" w:fill="D9D9D9"/>
          </w:tcPr>
          <w:p>
            <w:pPr>
              <w:pStyle w:val="TableParagraph"/>
              <w:ind w:left="364" w:right="361"/>
              <w:jc w:val="center"/>
              <w:rPr>
                <w:sz w:val="18"/>
              </w:rPr>
            </w:pPr>
            <w:r>
              <w:rPr>
                <w:sz w:val="18"/>
              </w:rPr>
              <w:t>1.5</w:t>
            </w:r>
            <w:r>
              <w:rPr>
                <w:w w:val="100"/>
                <w:sz w:val="18"/>
              </w:rPr>
              <w:t> </w:t>
            </w:r>
            <w:r>
              <w:rPr>
                <w:sz w:val="18"/>
              </w:rPr>
              <w:t>(B)</w:t>
            </w:r>
          </w:p>
        </w:tc>
        <w:tc>
          <w:tcPr>
            <w:tcW w:w="994" w:type="dxa"/>
          </w:tcPr>
          <w:p>
            <w:pPr>
              <w:pStyle w:val="TableParagraph"/>
              <w:ind w:left="357" w:right="359" w:firstLine="3"/>
              <w:jc w:val="center"/>
              <w:rPr>
                <w:sz w:val="18"/>
              </w:rPr>
            </w:pPr>
            <w:r>
              <w:rPr>
                <w:sz w:val="18"/>
              </w:rPr>
              <w:t>2.0 </w:t>
            </w:r>
            <w:r>
              <w:rPr>
                <w:spacing w:val="-2"/>
                <w:sz w:val="18"/>
              </w:rPr>
              <w:t>(M)</w:t>
            </w:r>
          </w:p>
        </w:tc>
        <w:tc>
          <w:tcPr>
            <w:tcW w:w="992" w:type="dxa"/>
          </w:tcPr>
          <w:p>
            <w:pPr>
              <w:pStyle w:val="TableParagraph"/>
              <w:ind w:left="320" w:right="320"/>
              <w:jc w:val="center"/>
              <w:rPr>
                <w:sz w:val="18"/>
              </w:rPr>
            </w:pPr>
            <w:r>
              <w:rPr>
                <w:sz w:val="18"/>
              </w:rPr>
              <w:t>1.0</w:t>
            </w:r>
            <w:r>
              <w:rPr>
                <w:w w:val="100"/>
                <w:sz w:val="18"/>
              </w:rPr>
              <w:t> </w:t>
            </w:r>
            <w:r>
              <w:rPr>
                <w:sz w:val="18"/>
              </w:rPr>
              <w:t>(B)</w:t>
            </w:r>
          </w:p>
        </w:tc>
        <w:tc>
          <w:tcPr>
            <w:tcW w:w="991" w:type="dxa"/>
            <w:shd w:val="clear" w:color="auto" w:fill="D9D9D9"/>
          </w:tcPr>
          <w:p>
            <w:pPr>
              <w:pStyle w:val="TableParagraph"/>
              <w:ind w:left="355" w:right="359" w:firstLine="3"/>
              <w:jc w:val="center"/>
              <w:rPr>
                <w:sz w:val="18"/>
              </w:rPr>
            </w:pPr>
            <w:r>
              <w:rPr>
                <w:sz w:val="18"/>
              </w:rPr>
              <w:t>2.0 </w:t>
            </w:r>
            <w:r>
              <w:rPr>
                <w:spacing w:val="-2"/>
                <w:sz w:val="18"/>
              </w:rPr>
              <w:t>(M)</w:t>
            </w:r>
          </w:p>
        </w:tc>
        <w:tc>
          <w:tcPr>
            <w:tcW w:w="994" w:type="dxa"/>
          </w:tcPr>
          <w:p>
            <w:pPr>
              <w:pStyle w:val="TableParagraph"/>
              <w:ind w:left="362" w:right="364"/>
              <w:jc w:val="center"/>
              <w:rPr>
                <w:sz w:val="18"/>
              </w:rPr>
            </w:pPr>
            <w:r>
              <w:rPr>
                <w:sz w:val="18"/>
              </w:rPr>
              <w:t>3.0</w:t>
            </w:r>
            <w:r>
              <w:rPr>
                <w:w w:val="100"/>
                <w:sz w:val="18"/>
              </w:rPr>
              <w:t> </w:t>
            </w:r>
            <w:r>
              <w:rPr>
                <w:sz w:val="18"/>
              </w:rPr>
              <w:t>(A)</w:t>
            </w:r>
          </w:p>
        </w:tc>
        <w:tc>
          <w:tcPr>
            <w:tcW w:w="992" w:type="dxa"/>
          </w:tcPr>
          <w:p>
            <w:pPr>
              <w:pStyle w:val="TableParagraph"/>
              <w:ind w:left="321" w:right="316"/>
              <w:jc w:val="center"/>
              <w:rPr>
                <w:sz w:val="18"/>
              </w:rPr>
            </w:pPr>
            <w:r>
              <w:rPr>
                <w:sz w:val="18"/>
              </w:rPr>
              <w:t>1.0</w:t>
            </w:r>
            <w:r>
              <w:rPr>
                <w:w w:val="100"/>
                <w:sz w:val="18"/>
              </w:rPr>
              <w:t> </w:t>
            </w:r>
            <w:r>
              <w:rPr>
                <w:sz w:val="18"/>
              </w:rPr>
              <w:t>(B)</w:t>
            </w:r>
          </w:p>
        </w:tc>
        <w:tc>
          <w:tcPr>
            <w:tcW w:w="994" w:type="dxa"/>
            <w:shd w:val="clear" w:color="auto" w:fill="D9D9D9"/>
          </w:tcPr>
          <w:p>
            <w:pPr>
              <w:pStyle w:val="TableParagraph"/>
              <w:ind w:left="369" w:right="300" w:hanging="56"/>
              <w:rPr>
                <w:sz w:val="18"/>
              </w:rPr>
            </w:pPr>
            <w:r>
              <w:rPr>
                <w:sz w:val="18"/>
              </w:rPr>
              <w:t>1.75 (B)</w:t>
            </w:r>
          </w:p>
        </w:tc>
      </w:tr>
      <w:tr>
        <w:trPr>
          <w:trHeight w:val="422" w:hRule="exact"/>
        </w:trPr>
        <w:tc>
          <w:tcPr>
            <w:tcW w:w="3085" w:type="dxa"/>
            <w:tcBorders>
              <w:right w:val="thickThinMediumGap" w:sz="23" w:space="0" w:color="A6A6A6"/>
            </w:tcBorders>
            <w:shd w:val="clear" w:color="auto" w:fill="BEBEBE"/>
          </w:tcPr>
          <w:p>
            <w:pPr>
              <w:pStyle w:val="TableParagraph"/>
              <w:ind w:left="1147" w:right="347" w:hanging="732"/>
              <w:rPr>
                <w:b/>
                <w:sz w:val="18"/>
              </w:rPr>
            </w:pPr>
            <w:r>
              <w:rPr>
                <w:b/>
                <w:sz w:val="18"/>
              </w:rPr>
              <w:t>Promedio de la dimensión (1+2+3/3)</w:t>
            </w:r>
          </w:p>
        </w:tc>
        <w:tc>
          <w:tcPr>
            <w:tcW w:w="994" w:type="dxa"/>
            <w:tcBorders>
              <w:left w:val="single" w:sz="41" w:space="0" w:color="BEBEBE"/>
              <w:right w:val="single" w:sz="41" w:space="0" w:color="808080"/>
            </w:tcBorders>
            <w:shd w:val="clear" w:color="auto" w:fill="A6A6A6"/>
          </w:tcPr>
          <w:p>
            <w:pPr>
              <w:pStyle w:val="TableParagraph"/>
              <w:ind w:left="310" w:right="250" w:hanging="41"/>
              <w:rPr>
                <w:b/>
                <w:sz w:val="18"/>
              </w:rPr>
            </w:pPr>
            <w:r>
              <w:rPr>
                <w:b/>
                <w:sz w:val="18"/>
              </w:rPr>
              <w:t>2.22 (M)</w:t>
            </w:r>
          </w:p>
        </w:tc>
        <w:tc>
          <w:tcPr>
            <w:tcW w:w="994" w:type="dxa"/>
            <w:tcBorders>
              <w:left w:val="single" w:sz="45" w:space="0" w:color="A6A6A6"/>
            </w:tcBorders>
            <w:shd w:val="clear" w:color="auto" w:fill="808080"/>
          </w:tcPr>
          <w:p>
            <w:pPr>
              <w:pStyle w:val="TableParagraph"/>
              <w:ind w:left="305" w:right="298" w:hanging="41"/>
              <w:rPr>
                <w:b/>
                <w:sz w:val="18"/>
              </w:rPr>
            </w:pPr>
            <w:r>
              <w:rPr>
                <w:b/>
                <w:sz w:val="18"/>
              </w:rPr>
              <w:t>2.37 (M)</w:t>
            </w:r>
          </w:p>
        </w:tc>
        <w:tc>
          <w:tcPr>
            <w:tcW w:w="992" w:type="dxa"/>
            <w:tcBorders>
              <w:right w:val="single" w:sz="45" w:space="0" w:color="A6A6A6"/>
            </w:tcBorders>
            <w:shd w:val="clear" w:color="auto" w:fill="808080"/>
          </w:tcPr>
          <w:p>
            <w:pPr>
              <w:pStyle w:val="TableParagraph"/>
              <w:ind w:left="355" w:right="246" w:hanging="41"/>
              <w:rPr>
                <w:b/>
                <w:sz w:val="18"/>
              </w:rPr>
            </w:pPr>
            <w:r>
              <w:rPr>
                <w:b/>
                <w:sz w:val="18"/>
              </w:rPr>
              <w:t>2.08 (M)</w:t>
            </w:r>
          </w:p>
        </w:tc>
        <w:tc>
          <w:tcPr>
            <w:tcW w:w="991" w:type="dxa"/>
            <w:tcBorders>
              <w:left w:val="single" w:sz="41" w:space="0" w:color="808080"/>
              <w:right w:val="single" w:sz="41" w:space="0" w:color="808080"/>
            </w:tcBorders>
            <w:shd w:val="clear" w:color="auto" w:fill="A6A6A6"/>
          </w:tcPr>
          <w:p>
            <w:pPr>
              <w:pStyle w:val="TableParagraph"/>
              <w:ind w:left="318" w:right="250" w:hanging="51"/>
              <w:rPr>
                <w:b/>
                <w:sz w:val="18"/>
              </w:rPr>
            </w:pPr>
            <w:r>
              <w:rPr>
                <w:b/>
                <w:sz w:val="18"/>
              </w:rPr>
              <w:t>2.62 (A)</w:t>
            </w:r>
          </w:p>
        </w:tc>
        <w:tc>
          <w:tcPr>
            <w:tcW w:w="994" w:type="dxa"/>
            <w:tcBorders>
              <w:left w:val="single" w:sz="41" w:space="0" w:color="A6A6A6"/>
            </w:tcBorders>
            <w:shd w:val="clear" w:color="auto" w:fill="808080"/>
          </w:tcPr>
          <w:p>
            <w:pPr>
              <w:pStyle w:val="TableParagraph"/>
              <w:ind w:left="267" w:right="315"/>
              <w:jc w:val="center"/>
              <w:rPr>
                <w:b/>
                <w:sz w:val="18"/>
              </w:rPr>
            </w:pPr>
            <w:r>
              <w:rPr>
                <w:b/>
                <w:sz w:val="18"/>
              </w:rPr>
              <w:t>2.83 (A)</w:t>
            </w:r>
          </w:p>
        </w:tc>
        <w:tc>
          <w:tcPr>
            <w:tcW w:w="992" w:type="dxa"/>
            <w:tcBorders>
              <w:right w:val="thickThinMediumGap" w:sz="23" w:space="0" w:color="A6A6A6"/>
            </w:tcBorders>
            <w:shd w:val="clear" w:color="auto" w:fill="808080"/>
          </w:tcPr>
          <w:p>
            <w:pPr>
              <w:pStyle w:val="TableParagraph"/>
              <w:ind w:left="357" w:right="244" w:hanging="41"/>
              <w:rPr>
                <w:b/>
                <w:sz w:val="18"/>
              </w:rPr>
            </w:pPr>
            <w:r>
              <w:rPr>
                <w:b/>
                <w:sz w:val="18"/>
              </w:rPr>
              <w:t>2.29 (M)</w:t>
            </w:r>
          </w:p>
        </w:tc>
        <w:tc>
          <w:tcPr>
            <w:tcW w:w="994" w:type="dxa"/>
            <w:tcBorders>
              <w:left w:val="single" w:sz="45" w:space="0" w:color="808080"/>
            </w:tcBorders>
            <w:shd w:val="clear" w:color="auto" w:fill="A6A6A6"/>
          </w:tcPr>
          <w:p>
            <w:pPr>
              <w:pStyle w:val="TableParagraph"/>
              <w:ind w:left="262" w:right="315"/>
              <w:jc w:val="center"/>
              <w:rPr>
                <w:b/>
                <w:sz w:val="18"/>
              </w:rPr>
            </w:pPr>
            <w:r>
              <w:rPr>
                <w:b/>
                <w:sz w:val="18"/>
              </w:rPr>
              <w:t>2.42 (A)</w:t>
            </w:r>
          </w:p>
        </w:tc>
      </w:tr>
    </w:tbl>
    <w:p>
      <w:pPr>
        <w:spacing w:after="0"/>
        <w:jc w:val="center"/>
        <w:rPr>
          <w:sz w:val="18"/>
        </w:rPr>
        <w:sectPr>
          <w:footerReference w:type="default" r:id="rId552"/>
          <w:pgSz w:w="12240" w:h="15840"/>
          <w:pgMar w:footer="1003" w:header="749" w:top="960" w:bottom="1200" w:left="980" w:right="980"/>
          <w:pgNumType w:start="220"/>
        </w:sectPr>
      </w:pPr>
    </w:p>
    <w:p>
      <w:pPr>
        <w:pStyle w:val="BodyText"/>
        <w:rPr>
          <w:b/>
          <w:sz w:val="20"/>
        </w:rPr>
      </w:pPr>
    </w:p>
    <w:p>
      <w:pPr>
        <w:pStyle w:val="BodyText"/>
        <w:spacing w:before="8"/>
        <w:rPr>
          <w:b/>
          <w:sz w:val="18"/>
        </w:rPr>
      </w:pPr>
    </w:p>
    <w:p>
      <w:pPr>
        <w:spacing w:line="240" w:lineRule="auto" w:before="0"/>
        <w:ind w:left="102" w:right="116" w:firstLine="0"/>
        <w:jc w:val="both"/>
        <w:rPr>
          <w:sz w:val="18"/>
        </w:rPr>
      </w:pPr>
      <w:r>
        <w:rPr>
          <w:sz w:val="18"/>
        </w:rPr>
        <w:t>Nota: los grados (alto, medio y bajo) se establecieron con base en tres rangos. Bajo de 1.0 a 1.69 = denota baja democraticidad. Medio de 1.70 a 2.39 = indica mediana democraticidad. Alto de 2.4 a 3.0 = señala alta democraticidad. N/E = No tiene equivalente la Cámara de Diputados del Estado de México con la Provincia de San José.* En la dimensión Contexto México y Costa Rica, específicamente en la columna II las celdas de promedio total no coinciden con las de los promedios parciales, toda vez que el promedio total se dividió entre dos variables y el promedio parcial se obtuvo de la única variable que se tiene, pues no todas las elecciones mexicanas tienen su equiparable en las costarricenses; así sólo se evaluaron las elecciones presidenciales, municipales o cantonales y de diputados federales o nacionales, dejando sin evaluar las de Gobernador, Senadores y diputados locales que no tienen equivalente en Costa Rica. Por lo que se hizo una evaluación equitativa tomando los datos parciales con la intención de no sesgar la evaluación global hacia ningún país.</w:t>
      </w:r>
    </w:p>
    <w:p>
      <w:pPr>
        <w:spacing w:after="0" w:line="240" w:lineRule="auto"/>
        <w:jc w:val="both"/>
        <w:rPr>
          <w:sz w:val="18"/>
        </w:rPr>
        <w:sectPr>
          <w:pgSz w:w="12240" w:h="15840"/>
          <w:pgMar w:header="749" w:footer="1003" w:top="960" w:bottom="1200" w:left="1600" w:right="1580"/>
        </w:sectPr>
      </w:pPr>
    </w:p>
    <w:p>
      <w:pPr>
        <w:pStyle w:val="BodyText"/>
        <w:rPr>
          <w:sz w:val="20"/>
        </w:rPr>
      </w:pPr>
    </w:p>
    <w:p>
      <w:pPr>
        <w:pStyle w:val="Heading1"/>
        <w:ind w:left="4260" w:right="4256"/>
        <w:jc w:val="center"/>
      </w:pPr>
      <w:r>
        <w:rPr/>
        <w:t>ANEXO 2</w:t>
      </w:r>
    </w:p>
    <w:p>
      <w:pPr>
        <w:pStyle w:val="Heading2"/>
        <w:spacing w:before="251"/>
        <w:ind w:left="4260" w:right="4258"/>
      </w:pPr>
      <w:r>
        <w:rPr/>
        <w:t>Guía metodológica</w:t>
      </w:r>
    </w:p>
    <w:p>
      <w:pPr>
        <w:pStyle w:val="BodyText"/>
        <w:spacing w:before="2" w:after="1"/>
        <w:rPr>
          <w:b/>
          <w:sz w:val="21"/>
        </w:rPr>
      </w:pPr>
    </w:p>
    <w:tbl>
      <w:tblPr>
        <w:tblW w:w="0" w:type="auto"/>
        <w:jc w:val="left"/>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38"/>
        <w:gridCol w:w="1130"/>
        <w:gridCol w:w="2410"/>
        <w:gridCol w:w="1419"/>
        <w:gridCol w:w="1416"/>
        <w:gridCol w:w="2979"/>
      </w:tblGrid>
      <w:tr>
        <w:trPr>
          <w:trHeight w:val="425" w:hRule="exact"/>
        </w:trPr>
        <w:tc>
          <w:tcPr>
            <w:tcW w:w="1138" w:type="dxa"/>
            <w:shd w:val="clear" w:color="auto" w:fill="D9D9D9"/>
          </w:tcPr>
          <w:p>
            <w:pPr>
              <w:pStyle w:val="TableParagraph"/>
              <w:spacing w:line="201" w:lineRule="exact"/>
              <w:rPr>
                <w:b/>
                <w:sz w:val="18"/>
              </w:rPr>
            </w:pPr>
            <w:r>
              <w:rPr>
                <w:b/>
                <w:sz w:val="18"/>
              </w:rPr>
              <w:t>Dimensión</w:t>
            </w:r>
          </w:p>
        </w:tc>
        <w:tc>
          <w:tcPr>
            <w:tcW w:w="1130" w:type="dxa"/>
            <w:shd w:val="clear" w:color="auto" w:fill="D9D9D9"/>
          </w:tcPr>
          <w:p>
            <w:pPr>
              <w:pStyle w:val="TableParagraph"/>
              <w:spacing w:line="201" w:lineRule="exact"/>
              <w:ind w:left="208" w:right="100"/>
              <w:rPr>
                <w:b/>
                <w:sz w:val="18"/>
              </w:rPr>
            </w:pPr>
            <w:r>
              <w:rPr>
                <w:b/>
                <w:sz w:val="18"/>
              </w:rPr>
              <w:t>Variable</w:t>
            </w:r>
          </w:p>
        </w:tc>
        <w:tc>
          <w:tcPr>
            <w:tcW w:w="2410" w:type="dxa"/>
            <w:shd w:val="clear" w:color="auto" w:fill="D9D9D9"/>
          </w:tcPr>
          <w:p>
            <w:pPr>
              <w:pStyle w:val="TableParagraph"/>
              <w:spacing w:line="242" w:lineRule="auto"/>
              <w:ind w:left="1015" w:right="187" w:hanging="812"/>
              <w:rPr>
                <w:b/>
                <w:sz w:val="18"/>
              </w:rPr>
            </w:pPr>
            <w:r>
              <w:rPr>
                <w:b/>
                <w:sz w:val="18"/>
              </w:rPr>
              <w:t>Preguntas o conceptos guía</w:t>
            </w:r>
          </w:p>
        </w:tc>
        <w:tc>
          <w:tcPr>
            <w:tcW w:w="1419" w:type="dxa"/>
            <w:shd w:val="clear" w:color="auto" w:fill="D9D9D9"/>
          </w:tcPr>
          <w:p>
            <w:pPr>
              <w:pStyle w:val="TableParagraph"/>
              <w:spacing w:line="201" w:lineRule="exact"/>
              <w:ind w:left="199" w:right="-11"/>
              <w:rPr>
                <w:b/>
                <w:sz w:val="18"/>
              </w:rPr>
            </w:pPr>
            <w:r>
              <w:rPr>
                <w:b/>
                <w:sz w:val="18"/>
              </w:rPr>
              <w:t>Indicadores</w:t>
            </w:r>
          </w:p>
        </w:tc>
        <w:tc>
          <w:tcPr>
            <w:tcW w:w="1416" w:type="dxa"/>
            <w:shd w:val="clear" w:color="auto" w:fill="D9D9D9"/>
          </w:tcPr>
          <w:p>
            <w:pPr>
              <w:pStyle w:val="TableParagraph"/>
              <w:spacing w:line="242" w:lineRule="auto"/>
              <w:ind w:left="187" w:right="169" w:firstLine="38"/>
              <w:rPr>
                <w:b/>
                <w:sz w:val="18"/>
              </w:rPr>
            </w:pPr>
            <w:r>
              <w:rPr>
                <w:b/>
                <w:sz w:val="18"/>
              </w:rPr>
              <w:t>Fuentes de información</w:t>
            </w:r>
          </w:p>
        </w:tc>
        <w:tc>
          <w:tcPr>
            <w:tcW w:w="2979" w:type="dxa"/>
            <w:shd w:val="clear" w:color="auto" w:fill="D9D9D9"/>
          </w:tcPr>
          <w:p>
            <w:pPr>
              <w:pStyle w:val="TableParagraph"/>
              <w:spacing w:line="201" w:lineRule="exact"/>
              <w:ind w:left="989" w:right="989"/>
              <w:jc w:val="center"/>
              <w:rPr>
                <w:b/>
                <w:sz w:val="18"/>
              </w:rPr>
            </w:pPr>
            <w:r>
              <w:rPr>
                <w:b/>
                <w:sz w:val="18"/>
              </w:rPr>
              <w:t>Evaluación</w:t>
            </w:r>
          </w:p>
        </w:tc>
      </w:tr>
      <w:tr>
        <w:trPr>
          <w:trHeight w:val="5518" w:hRule="exact"/>
        </w:trPr>
        <w:tc>
          <w:tcPr>
            <w:tcW w:w="1138" w:type="dxa"/>
          </w:tcPr>
          <w:p>
            <w:pPr>
              <w:pStyle w:val="TableParagraph"/>
              <w:spacing w:line="237" w:lineRule="auto"/>
              <w:ind w:right="100"/>
              <w:jc w:val="both"/>
              <w:rPr>
                <w:rFonts w:ascii="Trebuchet MS" w:hAnsi="Trebuchet MS"/>
                <w:b/>
                <w:sz w:val="16"/>
              </w:rPr>
            </w:pPr>
            <w:r>
              <w:rPr>
                <w:rFonts w:ascii="Trebuchet MS" w:hAnsi="Trebuchet MS"/>
                <w:b/>
                <w:w w:val="95"/>
                <w:sz w:val="16"/>
              </w:rPr>
              <w:t>I Contexto México y </w:t>
            </w:r>
            <w:r>
              <w:rPr>
                <w:rFonts w:ascii="Trebuchet MS" w:hAnsi="Trebuchet MS"/>
                <w:b/>
                <w:w w:val="90"/>
                <w:sz w:val="16"/>
              </w:rPr>
              <w:t>Costa Rica</w:t>
            </w:r>
          </w:p>
        </w:tc>
        <w:tc>
          <w:tcPr>
            <w:tcW w:w="1130" w:type="dxa"/>
          </w:tcPr>
          <w:p>
            <w:pPr>
              <w:pStyle w:val="TableParagraph"/>
              <w:tabs>
                <w:tab w:pos="944" w:val="left" w:leader="none"/>
              </w:tabs>
              <w:spacing w:line="237" w:lineRule="auto"/>
              <w:ind w:left="100" w:right="100"/>
              <w:rPr>
                <w:rFonts w:ascii="Trebuchet MS" w:hAnsi="Trebuchet MS"/>
                <w:b/>
                <w:sz w:val="16"/>
              </w:rPr>
            </w:pPr>
            <w:r>
              <w:rPr>
                <w:rFonts w:ascii="Trebuchet MS" w:hAnsi="Trebuchet MS"/>
                <w:b/>
                <w:w w:val="95"/>
                <w:sz w:val="16"/>
              </w:rPr>
              <w:t>Territorio, </w:t>
            </w:r>
            <w:r>
              <w:rPr>
                <w:rFonts w:ascii="Trebuchet MS" w:hAnsi="Trebuchet MS"/>
                <w:b/>
                <w:w w:val="90"/>
                <w:sz w:val="16"/>
              </w:rPr>
              <w:t>población</w:t>
              <w:tab/>
            </w:r>
            <w:r>
              <w:rPr>
                <w:rFonts w:ascii="Trebuchet MS" w:hAnsi="Trebuchet MS"/>
                <w:b/>
                <w:w w:val="85"/>
                <w:sz w:val="16"/>
              </w:rPr>
              <w:t>y </w:t>
            </w:r>
            <w:r>
              <w:rPr>
                <w:rFonts w:ascii="Trebuchet MS" w:hAnsi="Trebuchet MS"/>
                <w:b/>
                <w:w w:val="95"/>
                <w:sz w:val="16"/>
              </w:rPr>
              <w:t>densidad </w:t>
            </w:r>
            <w:r>
              <w:rPr>
                <w:rFonts w:ascii="Trebuchet MS" w:hAnsi="Trebuchet MS"/>
                <w:b/>
                <w:w w:val="90"/>
                <w:sz w:val="16"/>
              </w:rPr>
              <w:t>demográfica</w:t>
            </w:r>
          </w:p>
        </w:tc>
        <w:tc>
          <w:tcPr>
            <w:tcW w:w="2410" w:type="dxa"/>
          </w:tcPr>
          <w:p>
            <w:pPr>
              <w:pStyle w:val="TableParagraph"/>
              <w:ind w:left="0" w:right="1"/>
              <w:jc w:val="both"/>
              <w:rPr>
                <w:sz w:val="16"/>
              </w:rPr>
            </w:pPr>
            <w:r>
              <w:rPr>
                <w:w w:val="85"/>
                <w:sz w:val="16"/>
              </w:rPr>
              <w:t>Territorio: nacional, Estado de México, </w:t>
            </w:r>
            <w:r>
              <w:rPr>
                <w:w w:val="90"/>
                <w:sz w:val="16"/>
              </w:rPr>
              <w:t>municipios del Estado de México, provincial,</w:t>
            </w:r>
            <w:r>
              <w:rPr>
                <w:spacing w:val="-14"/>
                <w:w w:val="90"/>
                <w:sz w:val="16"/>
              </w:rPr>
              <w:t> </w:t>
            </w:r>
            <w:r>
              <w:rPr>
                <w:w w:val="90"/>
                <w:sz w:val="16"/>
              </w:rPr>
              <w:t>cantones</w:t>
            </w:r>
            <w:r>
              <w:rPr>
                <w:spacing w:val="-14"/>
                <w:w w:val="90"/>
                <w:sz w:val="16"/>
              </w:rPr>
              <w:t> </w:t>
            </w:r>
            <w:r>
              <w:rPr>
                <w:w w:val="90"/>
                <w:sz w:val="16"/>
              </w:rPr>
              <w:t>de</w:t>
            </w:r>
            <w:r>
              <w:rPr>
                <w:spacing w:val="-14"/>
                <w:w w:val="90"/>
                <w:sz w:val="16"/>
              </w:rPr>
              <w:t> </w:t>
            </w:r>
            <w:r>
              <w:rPr>
                <w:w w:val="90"/>
                <w:sz w:val="16"/>
              </w:rPr>
              <w:t>la</w:t>
            </w:r>
            <w:r>
              <w:rPr>
                <w:spacing w:val="-14"/>
                <w:w w:val="90"/>
                <w:sz w:val="16"/>
              </w:rPr>
              <w:t> </w:t>
            </w:r>
            <w:r>
              <w:rPr>
                <w:w w:val="90"/>
                <w:sz w:val="16"/>
              </w:rPr>
              <w:t>Provincia</w:t>
            </w:r>
            <w:r>
              <w:rPr>
                <w:spacing w:val="-14"/>
                <w:w w:val="90"/>
                <w:sz w:val="16"/>
              </w:rPr>
              <w:t> </w:t>
            </w:r>
            <w:r>
              <w:rPr>
                <w:w w:val="90"/>
                <w:sz w:val="16"/>
              </w:rPr>
              <w:t>de </w:t>
            </w:r>
            <w:r>
              <w:rPr>
                <w:w w:val="85"/>
                <w:sz w:val="16"/>
              </w:rPr>
              <w:t>San</w:t>
            </w:r>
            <w:r>
              <w:rPr>
                <w:spacing w:val="-25"/>
                <w:w w:val="85"/>
                <w:sz w:val="16"/>
              </w:rPr>
              <w:t> </w:t>
            </w:r>
            <w:r>
              <w:rPr>
                <w:w w:val="85"/>
                <w:sz w:val="16"/>
              </w:rPr>
              <w:t>José.</w:t>
            </w:r>
          </w:p>
        </w:tc>
        <w:tc>
          <w:tcPr>
            <w:tcW w:w="1419" w:type="dxa"/>
          </w:tcPr>
          <w:p>
            <w:pPr>
              <w:pStyle w:val="TableParagraph"/>
              <w:spacing w:line="180" w:lineRule="exact"/>
              <w:ind w:left="-1" w:right="-11"/>
              <w:rPr>
                <w:sz w:val="16"/>
              </w:rPr>
            </w:pPr>
            <w:r>
              <w:rPr>
                <w:w w:val="85"/>
                <w:sz w:val="16"/>
              </w:rPr>
              <w:t>Territorio en km2</w:t>
            </w:r>
          </w:p>
        </w:tc>
        <w:tc>
          <w:tcPr>
            <w:tcW w:w="1416" w:type="dxa"/>
          </w:tcPr>
          <w:p>
            <w:pPr>
              <w:pStyle w:val="TableParagraph"/>
              <w:spacing w:line="180" w:lineRule="exact"/>
              <w:ind w:left="-1" w:right="-4"/>
              <w:rPr>
                <w:sz w:val="16"/>
              </w:rPr>
            </w:pPr>
            <w:r>
              <w:rPr>
                <w:w w:val="85"/>
                <w:sz w:val="16"/>
              </w:rPr>
              <w:t>INEGI, INEC y otros.</w:t>
            </w:r>
          </w:p>
        </w:tc>
        <w:tc>
          <w:tcPr>
            <w:tcW w:w="2979" w:type="dxa"/>
          </w:tcPr>
          <w:p>
            <w:pPr>
              <w:pStyle w:val="TableParagraph"/>
              <w:rPr>
                <w:sz w:val="16"/>
              </w:rPr>
            </w:pPr>
            <w:r>
              <w:rPr>
                <w:w w:val="90"/>
                <w:sz w:val="16"/>
              </w:rPr>
              <w:t>Sin evaluación cuantitativa, sólo cualitativa. Por su extensión territorial los países se </w:t>
            </w:r>
            <w:r>
              <w:rPr>
                <w:w w:val="80"/>
                <w:sz w:val="16"/>
              </w:rPr>
              <w:t>clasifican en:</w:t>
            </w:r>
          </w:p>
          <w:p>
            <w:pPr>
              <w:pStyle w:val="TableParagraph"/>
              <w:spacing w:line="182" w:lineRule="exact"/>
              <w:rPr>
                <w:sz w:val="16"/>
              </w:rPr>
            </w:pPr>
            <w:r>
              <w:rPr>
                <w:w w:val="90"/>
                <w:sz w:val="16"/>
              </w:rPr>
              <w:t>-Muy grandes = o &gt; a 1 millón de km2.</w:t>
            </w:r>
          </w:p>
          <w:p>
            <w:pPr>
              <w:pStyle w:val="TableParagraph"/>
              <w:spacing w:line="183" w:lineRule="exact" w:before="1"/>
              <w:rPr>
                <w:sz w:val="16"/>
              </w:rPr>
            </w:pPr>
            <w:r>
              <w:rPr>
                <w:w w:val="85"/>
                <w:sz w:val="16"/>
              </w:rPr>
              <w:t>-Grandes ÷ 999,999 y 100,000 km2.</w:t>
            </w:r>
          </w:p>
          <w:p>
            <w:pPr>
              <w:pStyle w:val="TableParagraph"/>
              <w:spacing w:line="183" w:lineRule="exact"/>
              <w:rPr>
                <w:sz w:val="16"/>
              </w:rPr>
            </w:pPr>
            <w:r>
              <w:rPr>
                <w:w w:val="85"/>
                <w:sz w:val="16"/>
              </w:rPr>
              <w:t>-Medianos ÷ 99,999 y 10,000 km2.</w:t>
            </w:r>
          </w:p>
          <w:p>
            <w:pPr>
              <w:pStyle w:val="TableParagraph"/>
              <w:spacing w:line="183" w:lineRule="exact" w:before="1"/>
              <w:rPr>
                <w:sz w:val="16"/>
              </w:rPr>
            </w:pPr>
            <w:r>
              <w:rPr>
                <w:w w:val="85"/>
                <w:sz w:val="16"/>
              </w:rPr>
              <w:t>-Pequeños ÷ 9,999 y 100 km2.</w:t>
            </w:r>
          </w:p>
          <w:p>
            <w:pPr>
              <w:pStyle w:val="TableParagraph"/>
              <w:spacing w:line="183" w:lineRule="exact"/>
              <w:rPr>
                <w:sz w:val="16"/>
              </w:rPr>
            </w:pPr>
            <w:r>
              <w:rPr>
                <w:w w:val="90"/>
                <w:sz w:val="16"/>
              </w:rPr>
              <w:t>-Muy pequeños = o &gt; a 99 km2.</w:t>
            </w:r>
          </w:p>
          <w:p>
            <w:pPr>
              <w:pStyle w:val="TableParagraph"/>
              <w:spacing w:before="10"/>
              <w:ind w:left="0"/>
              <w:rPr>
                <w:b/>
                <w:sz w:val="15"/>
              </w:rPr>
            </w:pPr>
          </w:p>
          <w:p>
            <w:pPr>
              <w:pStyle w:val="TableParagraph"/>
              <w:rPr>
                <w:sz w:val="16"/>
              </w:rPr>
            </w:pPr>
            <w:r>
              <w:rPr>
                <w:w w:val="90"/>
                <w:sz w:val="16"/>
              </w:rPr>
              <w:t>Por su extensión territorial los estados de la </w:t>
            </w:r>
            <w:r>
              <w:rPr>
                <w:w w:val="85"/>
                <w:sz w:val="16"/>
              </w:rPr>
              <w:t>República Mexicana se clasifican en:</w:t>
            </w:r>
          </w:p>
          <w:p>
            <w:pPr>
              <w:pStyle w:val="TableParagraph"/>
              <w:spacing w:line="182" w:lineRule="exact"/>
              <w:rPr>
                <w:sz w:val="16"/>
              </w:rPr>
            </w:pPr>
            <w:r>
              <w:rPr>
                <w:w w:val="85"/>
                <w:sz w:val="16"/>
              </w:rPr>
              <w:t>-Muy grandes = o &gt; a 100,000 km2.</w:t>
            </w:r>
          </w:p>
          <w:p>
            <w:pPr>
              <w:pStyle w:val="TableParagraph"/>
              <w:spacing w:line="183" w:lineRule="exact" w:before="1"/>
              <w:rPr>
                <w:sz w:val="16"/>
              </w:rPr>
            </w:pPr>
            <w:r>
              <w:rPr>
                <w:w w:val="85"/>
                <w:sz w:val="16"/>
              </w:rPr>
              <w:t>-Grandes ÷ 99,999 y 60,000 km2.</w:t>
            </w:r>
          </w:p>
          <w:p>
            <w:pPr>
              <w:pStyle w:val="TableParagraph"/>
              <w:spacing w:line="183" w:lineRule="exact"/>
              <w:rPr>
                <w:sz w:val="16"/>
              </w:rPr>
            </w:pPr>
            <w:r>
              <w:rPr>
                <w:w w:val="85"/>
                <w:sz w:val="16"/>
              </w:rPr>
              <w:t>-Medianos ÷ 59,999 y 30,000 km2.</w:t>
            </w:r>
          </w:p>
          <w:p>
            <w:pPr>
              <w:pStyle w:val="TableParagraph"/>
              <w:spacing w:line="183" w:lineRule="exact" w:before="1"/>
              <w:rPr>
                <w:sz w:val="16"/>
              </w:rPr>
            </w:pPr>
            <w:r>
              <w:rPr>
                <w:w w:val="85"/>
                <w:sz w:val="16"/>
              </w:rPr>
              <w:t>-Pequeños ÷ 29,999 y 5,000 km2.</w:t>
            </w:r>
          </w:p>
          <w:p>
            <w:pPr>
              <w:pStyle w:val="TableParagraph"/>
              <w:spacing w:line="183" w:lineRule="exact"/>
              <w:rPr>
                <w:sz w:val="16"/>
              </w:rPr>
            </w:pPr>
            <w:r>
              <w:rPr>
                <w:w w:val="85"/>
                <w:sz w:val="16"/>
              </w:rPr>
              <w:t>-Muy pequeños = o &lt; a 4,999 km2.</w:t>
            </w:r>
          </w:p>
          <w:p>
            <w:pPr>
              <w:pStyle w:val="TableParagraph"/>
              <w:spacing w:before="10"/>
              <w:ind w:left="0"/>
              <w:rPr>
                <w:b/>
                <w:sz w:val="15"/>
              </w:rPr>
            </w:pPr>
          </w:p>
          <w:p>
            <w:pPr>
              <w:pStyle w:val="TableParagraph"/>
              <w:ind w:right="100"/>
              <w:rPr>
                <w:sz w:val="16"/>
              </w:rPr>
            </w:pPr>
            <w:r>
              <w:rPr>
                <w:w w:val="90"/>
                <w:sz w:val="16"/>
              </w:rPr>
              <w:t>Las</w:t>
            </w:r>
            <w:r>
              <w:rPr>
                <w:spacing w:val="-14"/>
                <w:w w:val="90"/>
                <w:sz w:val="16"/>
              </w:rPr>
              <w:t> </w:t>
            </w:r>
            <w:r>
              <w:rPr>
                <w:w w:val="90"/>
                <w:sz w:val="16"/>
              </w:rPr>
              <w:t>provincias</w:t>
            </w:r>
            <w:r>
              <w:rPr>
                <w:spacing w:val="-14"/>
                <w:w w:val="90"/>
                <w:sz w:val="16"/>
              </w:rPr>
              <w:t> </w:t>
            </w:r>
            <w:r>
              <w:rPr>
                <w:w w:val="90"/>
                <w:sz w:val="16"/>
              </w:rPr>
              <w:t>de</w:t>
            </w:r>
            <w:r>
              <w:rPr>
                <w:spacing w:val="-13"/>
                <w:w w:val="90"/>
                <w:sz w:val="16"/>
              </w:rPr>
              <w:t> </w:t>
            </w:r>
            <w:r>
              <w:rPr>
                <w:w w:val="90"/>
                <w:sz w:val="16"/>
              </w:rPr>
              <w:t>Costa</w:t>
            </w:r>
            <w:r>
              <w:rPr>
                <w:spacing w:val="-13"/>
                <w:w w:val="90"/>
                <w:sz w:val="16"/>
              </w:rPr>
              <w:t> </w:t>
            </w:r>
            <w:r>
              <w:rPr>
                <w:w w:val="90"/>
                <w:sz w:val="16"/>
              </w:rPr>
              <w:t>Rica</w:t>
            </w:r>
            <w:r>
              <w:rPr>
                <w:spacing w:val="-13"/>
                <w:w w:val="90"/>
                <w:sz w:val="16"/>
              </w:rPr>
              <w:t> </w:t>
            </w:r>
            <w:r>
              <w:rPr>
                <w:w w:val="90"/>
                <w:sz w:val="16"/>
              </w:rPr>
              <w:t>en</w:t>
            </w:r>
            <w:r>
              <w:rPr>
                <w:spacing w:val="-12"/>
                <w:w w:val="90"/>
                <w:sz w:val="16"/>
              </w:rPr>
              <w:t> </w:t>
            </w:r>
            <w:r>
              <w:rPr>
                <w:w w:val="90"/>
                <w:sz w:val="16"/>
              </w:rPr>
              <w:t>cuanto</w:t>
            </w:r>
            <w:r>
              <w:rPr>
                <w:spacing w:val="-13"/>
                <w:w w:val="90"/>
                <w:sz w:val="16"/>
              </w:rPr>
              <w:t> </w:t>
            </w:r>
            <w:r>
              <w:rPr>
                <w:w w:val="90"/>
                <w:sz w:val="16"/>
              </w:rPr>
              <w:t>a</w:t>
            </w:r>
            <w:r>
              <w:rPr>
                <w:spacing w:val="-12"/>
                <w:w w:val="90"/>
                <w:sz w:val="16"/>
              </w:rPr>
              <w:t> </w:t>
            </w:r>
            <w:r>
              <w:rPr>
                <w:w w:val="90"/>
                <w:sz w:val="16"/>
              </w:rPr>
              <w:t>su </w:t>
            </w:r>
            <w:r>
              <w:rPr>
                <w:w w:val="85"/>
                <w:sz w:val="16"/>
              </w:rPr>
              <w:t>extensión</w:t>
            </w:r>
            <w:r>
              <w:rPr>
                <w:spacing w:val="-25"/>
                <w:w w:val="85"/>
                <w:sz w:val="16"/>
              </w:rPr>
              <w:t> </w:t>
            </w:r>
            <w:r>
              <w:rPr>
                <w:w w:val="85"/>
                <w:sz w:val="16"/>
              </w:rPr>
              <w:t>territorial</w:t>
            </w:r>
            <w:r>
              <w:rPr>
                <w:spacing w:val="-25"/>
                <w:w w:val="85"/>
                <w:sz w:val="16"/>
              </w:rPr>
              <w:t> </w:t>
            </w:r>
            <w:r>
              <w:rPr>
                <w:w w:val="85"/>
                <w:sz w:val="16"/>
              </w:rPr>
              <w:t>se</w:t>
            </w:r>
            <w:r>
              <w:rPr>
                <w:spacing w:val="-25"/>
                <w:w w:val="85"/>
                <w:sz w:val="16"/>
              </w:rPr>
              <w:t> </w:t>
            </w:r>
            <w:r>
              <w:rPr>
                <w:w w:val="85"/>
                <w:sz w:val="16"/>
              </w:rPr>
              <w:t>clasifican</w:t>
            </w:r>
            <w:r>
              <w:rPr>
                <w:spacing w:val="-25"/>
                <w:w w:val="85"/>
                <w:sz w:val="16"/>
              </w:rPr>
              <w:t> </w:t>
            </w:r>
            <w:r>
              <w:rPr>
                <w:w w:val="85"/>
                <w:sz w:val="16"/>
              </w:rPr>
              <w:t>en:</w:t>
            </w:r>
          </w:p>
          <w:p>
            <w:pPr>
              <w:pStyle w:val="TableParagraph"/>
              <w:spacing w:line="182" w:lineRule="exact"/>
              <w:rPr>
                <w:sz w:val="16"/>
              </w:rPr>
            </w:pPr>
            <w:r>
              <w:rPr>
                <w:w w:val="85"/>
                <w:sz w:val="16"/>
              </w:rPr>
              <w:t>-Grandes = o &gt; 10,000 km2.</w:t>
            </w:r>
          </w:p>
          <w:p>
            <w:pPr>
              <w:pStyle w:val="TableParagraph"/>
              <w:spacing w:line="183" w:lineRule="exact" w:before="1"/>
              <w:rPr>
                <w:sz w:val="16"/>
              </w:rPr>
            </w:pPr>
            <w:r>
              <w:rPr>
                <w:w w:val="85"/>
                <w:sz w:val="16"/>
              </w:rPr>
              <w:t>-Medianas ÷ 9,999 km2 y 5,000 km2.</w:t>
            </w:r>
          </w:p>
          <w:p>
            <w:pPr>
              <w:pStyle w:val="TableParagraph"/>
              <w:spacing w:line="183" w:lineRule="exact"/>
              <w:rPr>
                <w:sz w:val="16"/>
              </w:rPr>
            </w:pPr>
            <w:r>
              <w:rPr>
                <w:w w:val="85"/>
                <w:sz w:val="16"/>
              </w:rPr>
              <w:t>-Pequeñas&lt; o = a 4,999 km2.</w:t>
            </w:r>
          </w:p>
          <w:p>
            <w:pPr>
              <w:pStyle w:val="TableParagraph"/>
              <w:spacing w:before="10"/>
              <w:ind w:left="0"/>
              <w:rPr>
                <w:b/>
                <w:sz w:val="15"/>
              </w:rPr>
            </w:pPr>
          </w:p>
          <w:p>
            <w:pPr>
              <w:pStyle w:val="TableParagraph"/>
              <w:rPr>
                <w:sz w:val="16"/>
              </w:rPr>
            </w:pPr>
            <w:r>
              <w:rPr>
                <w:w w:val="85"/>
                <w:sz w:val="16"/>
              </w:rPr>
              <w:t>Los</w:t>
            </w:r>
            <w:r>
              <w:rPr>
                <w:spacing w:val="-16"/>
                <w:w w:val="85"/>
                <w:sz w:val="16"/>
              </w:rPr>
              <w:t> </w:t>
            </w:r>
            <w:r>
              <w:rPr>
                <w:w w:val="85"/>
                <w:sz w:val="16"/>
              </w:rPr>
              <w:t>cantones</w:t>
            </w:r>
            <w:r>
              <w:rPr>
                <w:spacing w:val="-16"/>
                <w:w w:val="85"/>
                <w:sz w:val="16"/>
              </w:rPr>
              <w:t> </w:t>
            </w:r>
            <w:r>
              <w:rPr>
                <w:w w:val="85"/>
                <w:sz w:val="16"/>
              </w:rPr>
              <w:t>de</w:t>
            </w:r>
            <w:r>
              <w:rPr>
                <w:spacing w:val="-14"/>
                <w:w w:val="85"/>
                <w:sz w:val="16"/>
              </w:rPr>
              <w:t> </w:t>
            </w:r>
            <w:r>
              <w:rPr>
                <w:w w:val="85"/>
                <w:sz w:val="16"/>
              </w:rPr>
              <w:t>Costa</w:t>
            </w:r>
            <w:r>
              <w:rPr>
                <w:spacing w:val="-14"/>
                <w:w w:val="85"/>
                <w:sz w:val="16"/>
              </w:rPr>
              <w:t> </w:t>
            </w:r>
            <w:r>
              <w:rPr>
                <w:w w:val="85"/>
                <w:sz w:val="16"/>
              </w:rPr>
              <w:t>Rica</w:t>
            </w:r>
            <w:r>
              <w:rPr>
                <w:spacing w:val="-16"/>
                <w:w w:val="85"/>
                <w:sz w:val="16"/>
              </w:rPr>
              <w:t> </w:t>
            </w:r>
            <w:r>
              <w:rPr>
                <w:w w:val="85"/>
                <w:sz w:val="16"/>
              </w:rPr>
              <w:t>de</w:t>
            </w:r>
            <w:r>
              <w:rPr>
                <w:spacing w:val="-14"/>
                <w:w w:val="85"/>
                <w:sz w:val="16"/>
              </w:rPr>
              <w:t> </w:t>
            </w:r>
            <w:r>
              <w:rPr>
                <w:w w:val="85"/>
                <w:sz w:val="16"/>
              </w:rPr>
              <w:t>acuerdo</w:t>
            </w:r>
            <w:r>
              <w:rPr>
                <w:spacing w:val="-14"/>
                <w:w w:val="85"/>
                <w:sz w:val="16"/>
              </w:rPr>
              <w:t> </w:t>
            </w:r>
            <w:r>
              <w:rPr>
                <w:w w:val="85"/>
                <w:sz w:val="16"/>
              </w:rPr>
              <w:t>con</w:t>
            </w:r>
            <w:r>
              <w:rPr>
                <w:spacing w:val="-14"/>
                <w:w w:val="85"/>
                <w:sz w:val="16"/>
              </w:rPr>
              <w:t> </w:t>
            </w:r>
            <w:r>
              <w:rPr>
                <w:w w:val="85"/>
                <w:sz w:val="16"/>
              </w:rPr>
              <w:t>su </w:t>
            </w:r>
            <w:r>
              <w:rPr>
                <w:w w:val="80"/>
                <w:sz w:val="16"/>
              </w:rPr>
              <w:t>extensión territorial se clasifican</w:t>
            </w:r>
            <w:r>
              <w:rPr>
                <w:spacing w:val="33"/>
                <w:w w:val="80"/>
                <w:sz w:val="16"/>
              </w:rPr>
              <w:t> </w:t>
            </w:r>
            <w:r>
              <w:rPr>
                <w:w w:val="80"/>
                <w:sz w:val="16"/>
              </w:rPr>
              <w:t>como:</w:t>
            </w:r>
          </w:p>
          <w:p>
            <w:pPr>
              <w:pStyle w:val="TableParagraph"/>
              <w:spacing w:line="182" w:lineRule="exact"/>
              <w:rPr>
                <w:sz w:val="16"/>
              </w:rPr>
            </w:pPr>
            <w:r>
              <w:rPr>
                <w:w w:val="85"/>
                <w:sz w:val="16"/>
              </w:rPr>
              <w:t>-Muy grandes &gt; o = 1000 km2.</w:t>
            </w:r>
          </w:p>
          <w:p>
            <w:pPr>
              <w:pStyle w:val="TableParagraph"/>
              <w:spacing w:line="183" w:lineRule="exact" w:before="1"/>
              <w:rPr>
                <w:sz w:val="16"/>
              </w:rPr>
            </w:pPr>
            <w:r>
              <w:rPr>
                <w:w w:val="85"/>
                <w:sz w:val="16"/>
              </w:rPr>
              <w:t>-Grandes ÷ 9,999 y 500 km2.</w:t>
            </w:r>
          </w:p>
          <w:p>
            <w:pPr>
              <w:pStyle w:val="TableParagraph"/>
              <w:spacing w:line="183" w:lineRule="exact"/>
              <w:rPr>
                <w:sz w:val="16"/>
              </w:rPr>
            </w:pPr>
            <w:r>
              <w:rPr>
                <w:w w:val="85"/>
                <w:sz w:val="16"/>
              </w:rPr>
              <w:t>-Medianos ÷ 499 y 300 km2</w:t>
            </w:r>
          </w:p>
          <w:p>
            <w:pPr>
              <w:pStyle w:val="TableParagraph"/>
              <w:spacing w:line="183" w:lineRule="exact" w:before="1"/>
              <w:rPr>
                <w:sz w:val="16"/>
              </w:rPr>
            </w:pPr>
            <w:r>
              <w:rPr>
                <w:w w:val="85"/>
                <w:sz w:val="16"/>
              </w:rPr>
              <w:t>-Pequeños÷ 299 y 100 km2</w:t>
            </w:r>
          </w:p>
          <w:p>
            <w:pPr>
              <w:pStyle w:val="TableParagraph"/>
              <w:spacing w:line="183" w:lineRule="exact"/>
              <w:rPr>
                <w:sz w:val="16"/>
              </w:rPr>
            </w:pPr>
            <w:r>
              <w:rPr>
                <w:w w:val="90"/>
                <w:sz w:val="16"/>
              </w:rPr>
              <w:t>-Muy pequeños = o &lt; a 99 km2.</w:t>
            </w:r>
          </w:p>
        </w:tc>
      </w:tr>
    </w:tbl>
    <w:p>
      <w:pPr>
        <w:spacing w:after="0" w:line="183" w:lineRule="exact"/>
        <w:rPr>
          <w:sz w:val="16"/>
        </w:rPr>
        <w:sectPr>
          <w:pgSz w:w="12240" w:h="15840"/>
          <w:pgMar w:header="749" w:footer="1003" w:top="960" w:bottom="1200" w:left="760" w:right="760"/>
        </w:sectPr>
      </w:pPr>
    </w:p>
    <w:p>
      <w:pPr>
        <w:pStyle w:val="BodyText"/>
        <w:rPr>
          <w:rFonts w:ascii="Times New Roman"/>
          <w:sz w:val="20"/>
        </w:rPr>
      </w:pPr>
    </w:p>
    <w:p>
      <w:pPr>
        <w:pStyle w:val="BodyText"/>
        <w:spacing w:before="9"/>
        <w:rPr>
          <w:rFonts w:ascii="Times New Roman"/>
          <w:sz w:val="18"/>
        </w:rPr>
      </w:pPr>
    </w:p>
    <w:tbl>
      <w:tblPr>
        <w:tblW w:w="0" w:type="auto"/>
        <w:jc w:val="left"/>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38"/>
        <w:gridCol w:w="1130"/>
        <w:gridCol w:w="2410"/>
        <w:gridCol w:w="1419"/>
        <w:gridCol w:w="1416"/>
        <w:gridCol w:w="2979"/>
      </w:tblGrid>
      <w:tr>
        <w:trPr>
          <w:trHeight w:val="6987" w:hRule="exact"/>
        </w:trPr>
        <w:tc>
          <w:tcPr>
            <w:tcW w:w="1138" w:type="dxa"/>
            <w:vMerge w:val="restart"/>
          </w:tcPr>
          <w:p>
            <w:pPr/>
          </w:p>
        </w:tc>
        <w:tc>
          <w:tcPr>
            <w:tcW w:w="1130" w:type="dxa"/>
            <w:vMerge w:val="restart"/>
          </w:tcPr>
          <w:p>
            <w:pPr/>
          </w:p>
        </w:tc>
        <w:tc>
          <w:tcPr>
            <w:tcW w:w="2410" w:type="dxa"/>
          </w:tcPr>
          <w:p>
            <w:pPr>
              <w:pStyle w:val="TableParagraph"/>
              <w:ind w:left="0" w:right="90"/>
              <w:rPr>
                <w:sz w:val="16"/>
              </w:rPr>
            </w:pPr>
            <w:r>
              <w:rPr>
                <w:w w:val="85"/>
                <w:sz w:val="16"/>
              </w:rPr>
              <w:t>Población:</w:t>
            </w:r>
            <w:r>
              <w:rPr>
                <w:spacing w:val="-22"/>
                <w:w w:val="85"/>
                <w:sz w:val="16"/>
              </w:rPr>
              <w:t> </w:t>
            </w:r>
            <w:r>
              <w:rPr>
                <w:w w:val="85"/>
                <w:sz w:val="16"/>
              </w:rPr>
              <w:t>nacional,</w:t>
            </w:r>
            <w:r>
              <w:rPr>
                <w:spacing w:val="-22"/>
                <w:w w:val="85"/>
                <w:sz w:val="16"/>
              </w:rPr>
              <w:t> </w:t>
            </w:r>
            <w:r>
              <w:rPr>
                <w:w w:val="85"/>
                <w:sz w:val="16"/>
              </w:rPr>
              <w:t>Estado</w:t>
            </w:r>
            <w:r>
              <w:rPr>
                <w:spacing w:val="-22"/>
                <w:w w:val="85"/>
                <w:sz w:val="16"/>
              </w:rPr>
              <w:t> </w:t>
            </w:r>
            <w:r>
              <w:rPr>
                <w:w w:val="85"/>
                <w:sz w:val="16"/>
              </w:rPr>
              <w:t>de</w:t>
            </w:r>
            <w:r>
              <w:rPr>
                <w:spacing w:val="-21"/>
                <w:w w:val="85"/>
                <w:sz w:val="16"/>
              </w:rPr>
              <w:t> </w:t>
            </w:r>
            <w:r>
              <w:rPr>
                <w:w w:val="85"/>
                <w:sz w:val="16"/>
              </w:rPr>
              <w:t>México, </w:t>
            </w:r>
            <w:r>
              <w:rPr>
                <w:w w:val="90"/>
                <w:sz w:val="16"/>
              </w:rPr>
              <w:t>municipios del Estado de México, </w:t>
            </w:r>
            <w:r>
              <w:rPr>
                <w:w w:val="85"/>
                <w:sz w:val="16"/>
              </w:rPr>
              <w:t>provincial</w:t>
            </w:r>
            <w:r>
              <w:rPr>
                <w:spacing w:val="-17"/>
                <w:w w:val="85"/>
                <w:sz w:val="16"/>
              </w:rPr>
              <w:t> </w:t>
            </w:r>
            <w:r>
              <w:rPr>
                <w:w w:val="85"/>
                <w:sz w:val="16"/>
              </w:rPr>
              <w:t>y</w:t>
            </w:r>
            <w:r>
              <w:rPr>
                <w:spacing w:val="-17"/>
                <w:w w:val="85"/>
                <w:sz w:val="16"/>
              </w:rPr>
              <w:t> </w:t>
            </w:r>
            <w:r>
              <w:rPr>
                <w:w w:val="85"/>
                <w:sz w:val="16"/>
              </w:rPr>
              <w:t>cantones</w:t>
            </w:r>
            <w:r>
              <w:rPr>
                <w:spacing w:val="-17"/>
                <w:w w:val="85"/>
                <w:sz w:val="16"/>
              </w:rPr>
              <w:t> </w:t>
            </w:r>
            <w:r>
              <w:rPr>
                <w:w w:val="85"/>
                <w:sz w:val="16"/>
              </w:rPr>
              <w:t>de</w:t>
            </w:r>
            <w:r>
              <w:rPr>
                <w:spacing w:val="-16"/>
                <w:w w:val="85"/>
                <w:sz w:val="16"/>
              </w:rPr>
              <w:t> </w:t>
            </w:r>
            <w:r>
              <w:rPr>
                <w:w w:val="85"/>
                <w:sz w:val="16"/>
              </w:rPr>
              <w:t>la</w:t>
            </w:r>
            <w:r>
              <w:rPr>
                <w:spacing w:val="-16"/>
                <w:w w:val="85"/>
                <w:sz w:val="16"/>
              </w:rPr>
              <w:t> </w:t>
            </w:r>
            <w:r>
              <w:rPr>
                <w:w w:val="85"/>
                <w:sz w:val="16"/>
              </w:rPr>
              <w:t>Provincia</w:t>
            </w:r>
            <w:r>
              <w:rPr>
                <w:spacing w:val="-16"/>
                <w:w w:val="85"/>
                <w:sz w:val="16"/>
              </w:rPr>
              <w:t> </w:t>
            </w:r>
            <w:r>
              <w:rPr>
                <w:w w:val="85"/>
                <w:sz w:val="16"/>
              </w:rPr>
              <w:t>de San</w:t>
            </w:r>
            <w:r>
              <w:rPr>
                <w:spacing w:val="-25"/>
                <w:w w:val="85"/>
                <w:sz w:val="16"/>
              </w:rPr>
              <w:t> </w:t>
            </w:r>
            <w:r>
              <w:rPr>
                <w:w w:val="85"/>
                <w:sz w:val="16"/>
              </w:rPr>
              <w:t>José.</w:t>
            </w:r>
          </w:p>
        </w:tc>
        <w:tc>
          <w:tcPr>
            <w:tcW w:w="1419" w:type="dxa"/>
          </w:tcPr>
          <w:p>
            <w:pPr>
              <w:pStyle w:val="TableParagraph"/>
              <w:ind w:left="-1" w:right="-11"/>
              <w:rPr>
                <w:sz w:val="16"/>
              </w:rPr>
            </w:pPr>
            <w:r>
              <w:rPr>
                <w:w w:val="90"/>
                <w:sz w:val="16"/>
              </w:rPr>
              <w:t>Población en millones </w:t>
            </w:r>
            <w:r>
              <w:rPr>
                <w:w w:val="80"/>
                <w:sz w:val="16"/>
              </w:rPr>
              <w:t>de habitantes.</w:t>
            </w:r>
          </w:p>
        </w:tc>
        <w:tc>
          <w:tcPr>
            <w:tcW w:w="1416" w:type="dxa"/>
          </w:tcPr>
          <w:p>
            <w:pPr>
              <w:pStyle w:val="TableParagraph"/>
              <w:spacing w:line="183" w:lineRule="exact"/>
              <w:ind w:left="-1" w:right="-4"/>
              <w:rPr>
                <w:sz w:val="16"/>
              </w:rPr>
            </w:pPr>
            <w:r>
              <w:rPr>
                <w:w w:val="85"/>
                <w:sz w:val="16"/>
              </w:rPr>
              <w:t>INEGI, INEC y otros.</w:t>
            </w:r>
          </w:p>
        </w:tc>
        <w:tc>
          <w:tcPr>
            <w:tcW w:w="2979" w:type="dxa"/>
          </w:tcPr>
          <w:p>
            <w:pPr>
              <w:pStyle w:val="TableParagraph"/>
              <w:ind w:right="100"/>
              <w:rPr>
                <w:sz w:val="16"/>
              </w:rPr>
            </w:pPr>
            <w:r>
              <w:rPr>
                <w:w w:val="90"/>
                <w:sz w:val="16"/>
              </w:rPr>
              <w:t>De acuerdo con su población los países se </w:t>
            </w:r>
            <w:r>
              <w:rPr>
                <w:w w:val="80"/>
                <w:sz w:val="16"/>
              </w:rPr>
              <w:t>clasifican en:</w:t>
            </w:r>
          </w:p>
          <w:p>
            <w:pPr>
              <w:pStyle w:val="TableParagraph"/>
              <w:spacing w:line="183" w:lineRule="exact" w:before="1"/>
              <w:rPr>
                <w:sz w:val="16"/>
              </w:rPr>
            </w:pPr>
            <w:r>
              <w:rPr>
                <w:w w:val="90"/>
                <w:sz w:val="16"/>
              </w:rPr>
              <w:t>Muy grandes = o &gt; a mil millones de hab.</w:t>
            </w:r>
          </w:p>
          <w:p>
            <w:pPr>
              <w:pStyle w:val="TableParagraph"/>
              <w:ind w:right="85"/>
              <w:rPr>
                <w:sz w:val="16"/>
              </w:rPr>
            </w:pPr>
            <w:r>
              <w:rPr>
                <w:w w:val="90"/>
                <w:sz w:val="16"/>
              </w:rPr>
              <w:t>-Grandes ÷ 999, 999,999 y 100 millones de </w:t>
            </w:r>
            <w:r>
              <w:rPr>
                <w:w w:val="95"/>
                <w:sz w:val="16"/>
              </w:rPr>
              <w:t>hab.</w:t>
            </w:r>
          </w:p>
          <w:p>
            <w:pPr>
              <w:pStyle w:val="TableParagraph"/>
              <w:spacing w:line="182" w:lineRule="exact"/>
              <w:rPr>
                <w:sz w:val="16"/>
              </w:rPr>
            </w:pPr>
            <w:r>
              <w:rPr>
                <w:w w:val="85"/>
                <w:sz w:val="16"/>
              </w:rPr>
              <w:t>-Medianos ÷ 99,999, 999 y 10 millones de hab.</w:t>
            </w:r>
          </w:p>
          <w:p>
            <w:pPr>
              <w:pStyle w:val="TableParagraph"/>
              <w:spacing w:line="183" w:lineRule="exact" w:before="1"/>
              <w:rPr>
                <w:sz w:val="16"/>
              </w:rPr>
            </w:pPr>
            <w:r>
              <w:rPr>
                <w:w w:val="85"/>
                <w:sz w:val="16"/>
              </w:rPr>
              <w:t>-Pequeños ÷ 9,999, 999 y 1 millón de hab.</w:t>
            </w:r>
          </w:p>
          <w:p>
            <w:pPr>
              <w:pStyle w:val="TableParagraph"/>
              <w:spacing w:line="183" w:lineRule="exact"/>
              <w:rPr>
                <w:sz w:val="16"/>
              </w:rPr>
            </w:pPr>
            <w:r>
              <w:rPr>
                <w:w w:val="85"/>
                <w:sz w:val="16"/>
              </w:rPr>
              <w:t>-Muy pequeños &lt; de 999,999 hab.</w:t>
            </w:r>
          </w:p>
          <w:p>
            <w:pPr>
              <w:pStyle w:val="TableParagraph"/>
              <w:spacing w:before="10"/>
              <w:ind w:left="0"/>
              <w:rPr>
                <w:rFonts w:ascii="Times New Roman"/>
                <w:sz w:val="15"/>
              </w:rPr>
            </w:pPr>
          </w:p>
          <w:p>
            <w:pPr>
              <w:pStyle w:val="TableParagraph"/>
              <w:ind w:right="26"/>
              <w:rPr>
                <w:sz w:val="16"/>
              </w:rPr>
            </w:pPr>
            <w:r>
              <w:rPr>
                <w:w w:val="85"/>
                <w:sz w:val="16"/>
              </w:rPr>
              <w:t>De acuerdo con su población los estados de la República Mexicana se clasifican en:</w:t>
            </w:r>
          </w:p>
          <w:p>
            <w:pPr>
              <w:pStyle w:val="TableParagraph"/>
              <w:spacing w:line="182" w:lineRule="exact"/>
              <w:rPr>
                <w:sz w:val="16"/>
              </w:rPr>
            </w:pPr>
            <w:r>
              <w:rPr>
                <w:w w:val="90"/>
                <w:sz w:val="16"/>
              </w:rPr>
              <w:t>Muy grandes = o &gt; a 10 millones de hab.</w:t>
            </w:r>
          </w:p>
          <w:p>
            <w:pPr>
              <w:pStyle w:val="TableParagraph"/>
              <w:spacing w:before="1"/>
              <w:ind w:right="98"/>
              <w:rPr>
                <w:sz w:val="16"/>
              </w:rPr>
            </w:pPr>
            <w:r>
              <w:rPr>
                <w:w w:val="95"/>
                <w:sz w:val="16"/>
              </w:rPr>
              <w:t>-Grandes</w:t>
            </w:r>
            <w:r>
              <w:rPr>
                <w:spacing w:val="-21"/>
                <w:w w:val="95"/>
                <w:sz w:val="16"/>
              </w:rPr>
              <w:t> </w:t>
            </w:r>
            <w:r>
              <w:rPr>
                <w:w w:val="95"/>
                <w:sz w:val="16"/>
              </w:rPr>
              <w:t>÷</w:t>
            </w:r>
            <w:r>
              <w:rPr>
                <w:spacing w:val="-21"/>
                <w:w w:val="95"/>
                <w:sz w:val="16"/>
              </w:rPr>
              <w:t> </w:t>
            </w:r>
            <w:r>
              <w:rPr>
                <w:w w:val="95"/>
                <w:sz w:val="16"/>
              </w:rPr>
              <w:t>9,</w:t>
            </w:r>
            <w:r>
              <w:rPr>
                <w:spacing w:val="-21"/>
                <w:w w:val="95"/>
                <w:sz w:val="16"/>
              </w:rPr>
              <w:t> </w:t>
            </w:r>
            <w:r>
              <w:rPr>
                <w:w w:val="95"/>
                <w:sz w:val="16"/>
              </w:rPr>
              <w:t>999,</w:t>
            </w:r>
            <w:r>
              <w:rPr>
                <w:spacing w:val="-21"/>
                <w:w w:val="95"/>
                <w:sz w:val="16"/>
              </w:rPr>
              <w:t> </w:t>
            </w:r>
            <w:r>
              <w:rPr>
                <w:w w:val="95"/>
                <w:sz w:val="16"/>
              </w:rPr>
              <w:t>999,999</w:t>
            </w:r>
            <w:r>
              <w:rPr>
                <w:spacing w:val="-20"/>
                <w:w w:val="95"/>
                <w:sz w:val="16"/>
              </w:rPr>
              <w:t> </w:t>
            </w:r>
            <w:r>
              <w:rPr>
                <w:w w:val="95"/>
                <w:sz w:val="16"/>
              </w:rPr>
              <w:t>y</w:t>
            </w:r>
            <w:r>
              <w:rPr>
                <w:spacing w:val="-21"/>
                <w:w w:val="95"/>
                <w:sz w:val="16"/>
              </w:rPr>
              <w:t> </w:t>
            </w:r>
            <w:r>
              <w:rPr>
                <w:w w:val="95"/>
                <w:sz w:val="16"/>
              </w:rPr>
              <w:t>5</w:t>
            </w:r>
            <w:r>
              <w:rPr>
                <w:spacing w:val="-20"/>
                <w:w w:val="95"/>
                <w:sz w:val="16"/>
              </w:rPr>
              <w:t> </w:t>
            </w:r>
            <w:r>
              <w:rPr>
                <w:w w:val="95"/>
                <w:sz w:val="16"/>
              </w:rPr>
              <w:t>millones</w:t>
            </w:r>
            <w:r>
              <w:rPr>
                <w:spacing w:val="-21"/>
                <w:w w:val="95"/>
                <w:sz w:val="16"/>
              </w:rPr>
              <w:t> </w:t>
            </w:r>
            <w:r>
              <w:rPr>
                <w:w w:val="95"/>
                <w:sz w:val="16"/>
              </w:rPr>
              <w:t>de hab.</w:t>
            </w:r>
          </w:p>
          <w:p>
            <w:pPr>
              <w:pStyle w:val="TableParagraph"/>
              <w:spacing w:line="183" w:lineRule="exact" w:before="1"/>
              <w:rPr>
                <w:sz w:val="16"/>
              </w:rPr>
            </w:pPr>
            <w:r>
              <w:rPr>
                <w:w w:val="85"/>
                <w:sz w:val="16"/>
              </w:rPr>
              <w:t>-Medianos ÷ 4, 999,999 y 3 millones de hab.</w:t>
            </w:r>
          </w:p>
          <w:p>
            <w:pPr>
              <w:pStyle w:val="TableParagraph"/>
              <w:spacing w:line="183" w:lineRule="exact"/>
              <w:rPr>
                <w:sz w:val="16"/>
              </w:rPr>
            </w:pPr>
            <w:r>
              <w:rPr>
                <w:w w:val="85"/>
                <w:sz w:val="16"/>
              </w:rPr>
              <w:t>-Pequeños ÷ 2,999, 999 y 1 millón de hab.</w:t>
            </w:r>
          </w:p>
          <w:p>
            <w:pPr>
              <w:pStyle w:val="TableParagraph"/>
              <w:spacing w:before="1"/>
              <w:rPr>
                <w:sz w:val="16"/>
              </w:rPr>
            </w:pPr>
            <w:r>
              <w:rPr>
                <w:w w:val="85"/>
                <w:sz w:val="16"/>
              </w:rPr>
              <w:t>-Muy pequeños &lt; de 1 millón de hab.</w:t>
            </w:r>
          </w:p>
          <w:p>
            <w:pPr>
              <w:pStyle w:val="TableParagraph"/>
              <w:spacing w:before="10"/>
              <w:ind w:left="0"/>
              <w:rPr>
                <w:rFonts w:ascii="Times New Roman"/>
                <w:sz w:val="15"/>
              </w:rPr>
            </w:pPr>
          </w:p>
          <w:p>
            <w:pPr>
              <w:pStyle w:val="TableParagraph"/>
              <w:ind w:right="36"/>
              <w:rPr>
                <w:sz w:val="16"/>
              </w:rPr>
            </w:pPr>
            <w:r>
              <w:rPr>
                <w:w w:val="90"/>
                <w:sz w:val="16"/>
              </w:rPr>
              <w:t>De acuerdo con su población los municipios </w:t>
            </w:r>
            <w:r>
              <w:rPr>
                <w:w w:val="85"/>
                <w:sz w:val="16"/>
              </w:rPr>
              <w:t>del Estado de México se clasifican en:</w:t>
            </w:r>
          </w:p>
          <w:p>
            <w:pPr>
              <w:pStyle w:val="TableParagraph"/>
              <w:spacing w:line="183" w:lineRule="exact" w:before="1"/>
              <w:rPr>
                <w:sz w:val="16"/>
              </w:rPr>
            </w:pPr>
            <w:r>
              <w:rPr>
                <w:w w:val="90"/>
                <w:sz w:val="16"/>
              </w:rPr>
              <w:t>Muy grandes = o &gt; a 1 millón de hab.</w:t>
            </w:r>
          </w:p>
          <w:p>
            <w:pPr>
              <w:pStyle w:val="TableParagraph"/>
              <w:rPr>
                <w:sz w:val="16"/>
              </w:rPr>
            </w:pPr>
            <w:r>
              <w:rPr>
                <w:w w:val="85"/>
                <w:sz w:val="16"/>
              </w:rPr>
              <w:t>-Grandes ÷ 9999, 999,999 y 100, 000 millones de hab.</w:t>
            </w:r>
          </w:p>
          <w:p>
            <w:pPr>
              <w:pStyle w:val="TableParagraph"/>
              <w:spacing w:line="182" w:lineRule="exact"/>
              <w:rPr>
                <w:sz w:val="16"/>
              </w:rPr>
            </w:pPr>
            <w:r>
              <w:rPr>
                <w:w w:val="90"/>
                <w:sz w:val="16"/>
              </w:rPr>
              <w:t>-Medianos</w:t>
            </w:r>
            <w:r>
              <w:rPr>
                <w:spacing w:val="-27"/>
                <w:w w:val="90"/>
                <w:sz w:val="16"/>
              </w:rPr>
              <w:t> </w:t>
            </w:r>
            <w:r>
              <w:rPr>
                <w:w w:val="90"/>
                <w:sz w:val="16"/>
              </w:rPr>
              <w:t>&lt;</w:t>
            </w:r>
            <w:r>
              <w:rPr>
                <w:spacing w:val="-27"/>
                <w:w w:val="90"/>
                <w:sz w:val="16"/>
              </w:rPr>
              <w:t> </w:t>
            </w:r>
            <w:r>
              <w:rPr>
                <w:w w:val="90"/>
                <w:sz w:val="16"/>
              </w:rPr>
              <w:t>o</w:t>
            </w:r>
            <w:r>
              <w:rPr>
                <w:spacing w:val="-26"/>
                <w:w w:val="90"/>
                <w:sz w:val="16"/>
              </w:rPr>
              <w:t> </w:t>
            </w:r>
            <w:r>
              <w:rPr>
                <w:w w:val="90"/>
                <w:sz w:val="16"/>
              </w:rPr>
              <w:t>=</w:t>
            </w:r>
            <w:r>
              <w:rPr>
                <w:spacing w:val="-27"/>
                <w:w w:val="90"/>
                <w:sz w:val="16"/>
              </w:rPr>
              <w:t> </w:t>
            </w:r>
            <w:r>
              <w:rPr>
                <w:w w:val="90"/>
                <w:sz w:val="16"/>
              </w:rPr>
              <w:t>999,999</w:t>
            </w:r>
            <w:r>
              <w:rPr>
                <w:spacing w:val="-26"/>
                <w:w w:val="90"/>
                <w:sz w:val="16"/>
              </w:rPr>
              <w:t> </w:t>
            </w:r>
            <w:r>
              <w:rPr>
                <w:w w:val="90"/>
                <w:sz w:val="16"/>
              </w:rPr>
              <w:t>y</w:t>
            </w:r>
            <w:r>
              <w:rPr>
                <w:spacing w:val="-27"/>
                <w:w w:val="90"/>
                <w:sz w:val="16"/>
              </w:rPr>
              <w:t> </w:t>
            </w:r>
            <w:r>
              <w:rPr>
                <w:w w:val="90"/>
                <w:sz w:val="16"/>
              </w:rPr>
              <w:t>&gt;</w:t>
            </w:r>
            <w:r>
              <w:rPr>
                <w:spacing w:val="-27"/>
                <w:w w:val="90"/>
                <w:sz w:val="16"/>
              </w:rPr>
              <w:t> </w:t>
            </w:r>
            <w:r>
              <w:rPr>
                <w:w w:val="90"/>
                <w:sz w:val="16"/>
              </w:rPr>
              <w:t>o</w:t>
            </w:r>
            <w:r>
              <w:rPr>
                <w:spacing w:val="-26"/>
                <w:w w:val="90"/>
                <w:sz w:val="16"/>
              </w:rPr>
              <w:t> </w:t>
            </w:r>
            <w:r>
              <w:rPr>
                <w:w w:val="90"/>
                <w:sz w:val="16"/>
              </w:rPr>
              <w:t>=</w:t>
            </w:r>
            <w:r>
              <w:rPr>
                <w:spacing w:val="-27"/>
                <w:w w:val="90"/>
                <w:sz w:val="16"/>
              </w:rPr>
              <w:t> </w:t>
            </w:r>
            <w:r>
              <w:rPr>
                <w:w w:val="90"/>
                <w:sz w:val="16"/>
              </w:rPr>
              <w:t>a</w:t>
            </w:r>
            <w:r>
              <w:rPr>
                <w:spacing w:val="-26"/>
                <w:w w:val="90"/>
                <w:sz w:val="16"/>
              </w:rPr>
              <w:t> </w:t>
            </w:r>
            <w:r>
              <w:rPr>
                <w:w w:val="90"/>
                <w:sz w:val="16"/>
              </w:rPr>
              <w:t>50,000</w:t>
            </w:r>
            <w:r>
              <w:rPr>
                <w:spacing w:val="-27"/>
                <w:w w:val="90"/>
                <w:sz w:val="16"/>
              </w:rPr>
              <w:t> </w:t>
            </w:r>
            <w:r>
              <w:rPr>
                <w:w w:val="90"/>
                <w:sz w:val="16"/>
              </w:rPr>
              <w:t>hab.</w:t>
            </w:r>
          </w:p>
          <w:p>
            <w:pPr>
              <w:pStyle w:val="TableParagraph"/>
              <w:spacing w:line="183" w:lineRule="exact" w:before="1"/>
              <w:rPr>
                <w:sz w:val="16"/>
              </w:rPr>
            </w:pPr>
            <w:r>
              <w:rPr>
                <w:w w:val="90"/>
                <w:sz w:val="16"/>
              </w:rPr>
              <w:t>-Pequeños &lt; o = a 49,999 y &gt; a 15,000 hab.</w:t>
            </w:r>
          </w:p>
          <w:p>
            <w:pPr>
              <w:pStyle w:val="TableParagraph"/>
              <w:spacing w:line="183" w:lineRule="exact"/>
              <w:rPr>
                <w:sz w:val="16"/>
              </w:rPr>
            </w:pPr>
            <w:r>
              <w:rPr>
                <w:w w:val="85"/>
                <w:sz w:val="16"/>
              </w:rPr>
              <w:t>-Muy pequeños &lt; a 14,999 hab.</w:t>
            </w:r>
          </w:p>
          <w:p>
            <w:pPr>
              <w:pStyle w:val="TableParagraph"/>
              <w:spacing w:before="10"/>
              <w:ind w:left="0"/>
              <w:rPr>
                <w:rFonts w:ascii="Times New Roman"/>
                <w:sz w:val="15"/>
              </w:rPr>
            </w:pPr>
          </w:p>
          <w:p>
            <w:pPr>
              <w:pStyle w:val="TableParagraph"/>
              <w:ind w:right="100"/>
              <w:rPr>
                <w:sz w:val="16"/>
              </w:rPr>
            </w:pPr>
            <w:r>
              <w:rPr>
                <w:w w:val="90"/>
                <w:sz w:val="16"/>
              </w:rPr>
              <w:t>Las</w:t>
            </w:r>
            <w:r>
              <w:rPr>
                <w:spacing w:val="-14"/>
                <w:w w:val="90"/>
                <w:sz w:val="16"/>
              </w:rPr>
              <w:t> </w:t>
            </w:r>
            <w:r>
              <w:rPr>
                <w:w w:val="90"/>
                <w:sz w:val="16"/>
              </w:rPr>
              <w:t>provincias</w:t>
            </w:r>
            <w:r>
              <w:rPr>
                <w:spacing w:val="-14"/>
                <w:w w:val="90"/>
                <w:sz w:val="16"/>
              </w:rPr>
              <w:t> </w:t>
            </w:r>
            <w:r>
              <w:rPr>
                <w:w w:val="90"/>
                <w:sz w:val="16"/>
              </w:rPr>
              <w:t>de</w:t>
            </w:r>
            <w:r>
              <w:rPr>
                <w:spacing w:val="-13"/>
                <w:w w:val="90"/>
                <w:sz w:val="16"/>
              </w:rPr>
              <w:t> </w:t>
            </w:r>
            <w:r>
              <w:rPr>
                <w:w w:val="90"/>
                <w:sz w:val="16"/>
              </w:rPr>
              <w:t>Costa</w:t>
            </w:r>
            <w:r>
              <w:rPr>
                <w:spacing w:val="-13"/>
                <w:w w:val="90"/>
                <w:sz w:val="16"/>
              </w:rPr>
              <w:t> </w:t>
            </w:r>
            <w:r>
              <w:rPr>
                <w:w w:val="90"/>
                <w:sz w:val="16"/>
              </w:rPr>
              <w:t>Rica</w:t>
            </w:r>
            <w:r>
              <w:rPr>
                <w:spacing w:val="-13"/>
                <w:w w:val="90"/>
                <w:sz w:val="16"/>
              </w:rPr>
              <w:t> </w:t>
            </w:r>
            <w:r>
              <w:rPr>
                <w:w w:val="90"/>
                <w:sz w:val="16"/>
              </w:rPr>
              <w:t>en</w:t>
            </w:r>
            <w:r>
              <w:rPr>
                <w:spacing w:val="-12"/>
                <w:w w:val="90"/>
                <w:sz w:val="16"/>
              </w:rPr>
              <w:t> </w:t>
            </w:r>
            <w:r>
              <w:rPr>
                <w:w w:val="90"/>
                <w:sz w:val="16"/>
              </w:rPr>
              <w:t>cuanto</w:t>
            </w:r>
            <w:r>
              <w:rPr>
                <w:spacing w:val="-13"/>
                <w:w w:val="90"/>
                <w:sz w:val="16"/>
              </w:rPr>
              <w:t> </w:t>
            </w:r>
            <w:r>
              <w:rPr>
                <w:w w:val="90"/>
                <w:sz w:val="16"/>
              </w:rPr>
              <w:t>a</w:t>
            </w:r>
            <w:r>
              <w:rPr>
                <w:spacing w:val="-12"/>
                <w:w w:val="90"/>
                <w:sz w:val="16"/>
              </w:rPr>
              <w:t> </w:t>
            </w:r>
            <w:r>
              <w:rPr>
                <w:w w:val="90"/>
                <w:sz w:val="16"/>
              </w:rPr>
              <w:t>su </w:t>
            </w:r>
            <w:r>
              <w:rPr>
                <w:w w:val="85"/>
                <w:sz w:val="16"/>
              </w:rPr>
              <w:t>población</w:t>
            </w:r>
            <w:r>
              <w:rPr>
                <w:spacing w:val="1"/>
                <w:w w:val="85"/>
                <w:sz w:val="16"/>
              </w:rPr>
              <w:t> </w:t>
            </w:r>
            <w:r>
              <w:rPr>
                <w:w w:val="85"/>
                <w:sz w:val="16"/>
              </w:rPr>
              <w:t>se</w:t>
            </w:r>
            <w:r>
              <w:rPr>
                <w:spacing w:val="-18"/>
                <w:w w:val="85"/>
                <w:sz w:val="16"/>
              </w:rPr>
              <w:t> </w:t>
            </w:r>
            <w:r>
              <w:rPr>
                <w:w w:val="85"/>
                <w:sz w:val="16"/>
              </w:rPr>
              <w:t>clasifican</w:t>
            </w:r>
            <w:r>
              <w:rPr>
                <w:spacing w:val="-18"/>
                <w:w w:val="85"/>
                <w:sz w:val="16"/>
              </w:rPr>
              <w:t> </w:t>
            </w:r>
            <w:r>
              <w:rPr>
                <w:w w:val="85"/>
                <w:sz w:val="16"/>
              </w:rPr>
              <w:t>en:</w:t>
            </w:r>
          </w:p>
          <w:p>
            <w:pPr>
              <w:pStyle w:val="TableParagraph"/>
              <w:spacing w:line="182" w:lineRule="exact"/>
              <w:rPr>
                <w:sz w:val="16"/>
              </w:rPr>
            </w:pPr>
            <w:r>
              <w:rPr>
                <w:w w:val="90"/>
                <w:sz w:val="16"/>
              </w:rPr>
              <w:t>-Grandes = o &gt; 1 millón de hab.</w:t>
            </w:r>
          </w:p>
          <w:p>
            <w:pPr>
              <w:pStyle w:val="TableParagraph"/>
              <w:spacing w:line="183" w:lineRule="exact" w:before="1"/>
              <w:rPr>
                <w:sz w:val="16"/>
              </w:rPr>
            </w:pPr>
            <w:r>
              <w:rPr>
                <w:w w:val="85"/>
                <w:sz w:val="16"/>
              </w:rPr>
              <w:t>-Medianas ÷ 999,999 y 500,000 hab.</w:t>
            </w:r>
          </w:p>
          <w:p>
            <w:pPr>
              <w:pStyle w:val="TableParagraph"/>
              <w:spacing w:line="183" w:lineRule="exact"/>
              <w:rPr>
                <w:sz w:val="16"/>
              </w:rPr>
            </w:pPr>
            <w:r>
              <w:rPr>
                <w:w w:val="85"/>
                <w:sz w:val="16"/>
              </w:rPr>
              <w:t>-Pequeñas&lt; o = a 499,999 hab.</w:t>
            </w:r>
          </w:p>
          <w:p>
            <w:pPr>
              <w:pStyle w:val="TableParagraph"/>
              <w:spacing w:before="10"/>
              <w:ind w:left="0"/>
              <w:rPr>
                <w:rFonts w:ascii="Times New Roman"/>
                <w:sz w:val="15"/>
              </w:rPr>
            </w:pPr>
          </w:p>
          <w:p>
            <w:pPr>
              <w:pStyle w:val="TableParagraph"/>
              <w:ind w:right="102"/>
              <w:rPr>
                <w:sz w:val="16"/>
              </w:rPr>
            </w:pPr>
            <w:r>
              <w:rPr>
                <w:w w:val="90"/>
                <w:sz w:val="16"/>
              </w:rPr>
              <w:t>Los</w:t>
            </w:r>
            <w:r>
              <w:rPr>
                <w:spacing w:val="-18"/>
                <w:w w:val="90"/>
                <w:sz w:val="16"/>
              </w:rPr>
              <w:t> </w:t>
            </w:r>
            <w:r>
              <w:rPr>
                <w:w w:val="90"/>
                <w:sz w:val="16"/>
              </w:rPr>
              <w:t>cantones</w:t>
            </w:r>
            <w:r>
              <w:rPr>
                <w:spacing w:val="-18"/>
                <w:w w:val="90"/>
                <w:sz w:val="16"/>
              </w:rPr>
              <w:t> </w:t>
            </w:r>
            <w:r>
              <w:rPr>
                <w:w w:val="90"/>
                <w:sz w:val="16"/>
              </w:rPr>
              <w:t>de</w:t>
            </w:r>
            <w:r>
              <w:rPr>
                <w:spacing w:val="-17"/>
                <w:w w:val="90"/>
                <w:sz w:val="16"/>
              </w:rPr>
              <w:t> </w:t>
            </w:r>
            <w:r>
              <w:rPr>
                <w:w w:val="90"/>
                <w:sz w:val="16"/>
              </w:rPr>
              <w:t>la</w:t>
            </w:r>
            <w:r>
              <w:rPr>
                <w:spacing w:val="-17"/>
                <w:w w:val="90"/>
                <w:sz w:val="16"/>
              </w:rPr>
              <w:t> </w:t>
            </w:r>
            <w:r>
              <w:rPr>
                <w:w w:val="90"/>
                <w:sz w:val="16"/>
              </w:rPr>
              <w:t>Provincia</w:t>
            </w:r>
            <w:r>
              <w:rPr>
                <w:spacing w:val="-17"/>
                <w:w w:val="90"/>
                <w:sz w:val="16"/>
              </w:rPr>
              <w:t> </w:t>
            </w:r>
            <w:r>
              <w:rPr>
                <w:w w:val="90"/>
                <w:sz w:val="16"/>
              </w:rPr>
              <w:t>de</w:t>
            </w:r>
            <w:r>
              <w:rPr>
                <w:spacing w:val="-17"/>
                <w:w w:val="90"/>
                <w:sz w:val="16"/>
              </w:rPr>
              <w:t> </w:t>
            </w:r>
            <w:r>
              <w:rPr>
                <w:w w:val="90"/>
                <w:sz w:val="16"/>
              </w:rPr>
              <w:t>San</w:t>
            </w:r>
            <w:r>
              <w:rPr>
                <w:spacing w:val="-17"/>
                <w:w w:val="90"/>
                <w:sz w:val="16"/>
              </w:rPr>
              <w:t> </w:t>
            </w:r>
            <w:r>
              <w:rPr>
                <w:w w:val="90"/>
                <w:sz w:val="16"/>
              </w:rPr>
              <w:t>José</w:t>
            </w:r>
            <w:r>
              <w:rPr>
                <w:spacing w:val="-17"/>
                <w:w w:val="90"/>
                <w:sz w:val="16"/>
              </w:rPr>
              <w:t> </w:t>
            </w:r>
            <w:r>
              <w:rPr>
                <w:w w:val="90"/>
                <w:sz w:val="16"/>
              </w:rPr>
              <w:t>de </w:t>
            </w:r>
            <w:r>
              <w:rPr>
                <w:w w:val="85"/>
                <w:sz w:val="16"/>
              </w:rPr>
              <w:t>acuerdo</w:t>
            </w:r>
            <w:r>
              <w:rPr>
                <w:spacing w:val="-21"/>
                <w:w w:val="85"/>
                <w:sz w:val="16"/>
              </w:rPr>
              <w:t> </w:t>
            </w:r>
            <w:r>
              <w:rPr>
                <w:w w:val="85"/>
                <w:sz w:val="16"/>
              </w:rPr>
              <w:t>con</w:t>
            </w:r>
            <w:r>
              <w:rPr>
                <w:spacing w:val="-21"/>
                <w:w w:val="85"/>
                <w:sz w:val="16"/>
              </w:rPr>
              <w:t> </w:t>
            </w:r>
            <w:r>
              <w:rPr>
                <w:w w:val="85"/>
                <w:sz w:val="16"/>
              </w:rPr>
              <w:t>su</w:t>
            </w:r>
            <w:r>
              <w:rPr>
                <w:spacing w:val="-22"/>
                <w:w w:val="85"/>
                <w:sz w:val="16"/>
              </w:rPr>
              <w:t> </w:t>
            </w:r>
            <w:r>
              <w:rPr>
                <w:w w:val="85"/>
                <w:sz w:val="16"/>
              </w:rPr>
              <w:t>población</w:t>
            </w:r>
            <w:r>
              <w:rPr>
                <w:spacing w:val="-21"/>
                <w:w w:val="85"/>
                <w:sz w:val="16"/>
              </w:rPr>
              <w:t> </w:t>
            </w:r>
            <w:r>
              <w:rPr>
                <w:w w:val="85"/>
                <w:sz w:val="16"/>
              </w:rPr>
              <w:t>se</w:t>
            </w:r>
            <w:r>
              <w:rPr>
                <w:spacing w:val="-21"/>
                <w:w w:val="85"/>
                <w:sz w:val="16"/>
              </w:rPr>
              <w:t> </w:t>
            </w:r>
            <w:r>
              <w:rPr>
                <w:w w:val="85"/>
                <w:sz w:val="16"/>
              </w:rPr>
              <w:t>clasifican</w:t>
            </w:r>
            <w:r>
              <w:rPr>
                <w:spacing w:val="-21"/>
                <w:w w:val="85"/>
                <w:sz w:val="16"/>
              </w:rPr>
              <w:t> </w:t>
            </w:r>
            <w:r>
              <w:rPr>
                <w:w w:val="85"/>
                <w:sz w:val="16"/>
              </w:rPr>
              <w:t>como:</w:t>
            </w:r>
          </w:p>
          <w:p>
            <w:pPr>
              <w:pStyle w:val="TableParagraph"/>
              <w:spacing w:line="183" w:lineRule="exact" w:before="1"/>
              <w:rPr>
                <w:sz w:val="16"/>
              </w:rPr>
            </w:pPr>
            <w:r>
              <w:rPr>
                <w:w w:val="85"/>
                <w:sz w:val="16"/>
              </w:rPr>
              <w:t>-Grandes = o &gt; 300,000 hab.</w:t>
            </w:r>
          </w:p>
          <w:p>
            <w:pPr>
              <w:pStyle w:val="TableParagraph"/>
              <w:spacing w:line="183" w:lineRule="exact"/>
              <w:rPr>
                <w:sz w:val="16"/>
              </w:rPr>
            </w:pPr>
            <w:r>
              <w:rPr>
                <w:w w:val="85"/>
                <w:sz w:val="16"/>
              </w:rPr>
              <w:t>-Medianos ÷ 299,999 y 10,000 hab.</w:t>
            </w:r>
          </w:p>
          <w:p>
            <w:pPr>
              <w:pStyle w:val="TableParagraph"/>
              <w:spacing w:before="1"/>
              <w:rPr>
                <w:sz w:val="16"/>
              </w:rPr>
            </w:pPr>
            <w:r>
              <w:rPr>
                <w:w w:val="85"/>
                <w:sz w:val="16"/>
              </w:rPr>
              <w:t>-Pequeñas&lt; o = a 99,999 hab.</w:t>
            </w:r>
          </w:p>
        </w:tc>
      </w:tr>
      <w:tr>
        <w:trPr>
          <w:trHeight w:val="4787" w:hRule="exact"/>
        </w:trPr>
        <w:tc>
          <w:tcPr>
            <w:tcW w:w="1138" w:type="dxa"/>
            <w:vMerge/>
          </w:tcPr>
          <w:p>
            <w:pPr/>
          </w:p>
        </w:tc>
        <w:tc>
          <w:tcPr>
            <w:tcW w:w="1130" w:type="dxa"/>
            <w:vMerge/>
          </w:tcPr>
          <w:p>
            <w:pPr/>
          </w:p>
        </w:tc>
        <w:tc>
          <w:tcPr>
            <w:tcW w:w="2410" w:type="dxa"/>
          </w:tcPr>
          <w:p>
            <w:pPr>
              <w:pStyle w:val="TableParagraph"/>
              <w:ind w:left="0" w:right="90"/>
              <w:rPr>
                <w:sz w:val="16"/>
              </w:rPr>
            </w:pPr>
            <w:r>
              <w:rPr>
                <w:w w:val="80"/>
                <w:sz w:val="16"/>
              </w:rPr>
              <w:t>Densidad demográfica nacional, Estado </w:t>
            </w:r>
            <w:r>
              <w:rPr>
                <w:w w:val="90"/>
                <w:sz w:val="16"/>
              </w:rPr>
              <w:t>de México, regiones del Estado de México, provincial y cantones de la </w:t>
            </w:r>
            <w:r>
              <w:rPr>
                <w:w w:val="85"/>
                <w:sz w:val="16"/>
              </w:rPr>
              <w:t>Provincia de San José.</w:t>
            </w:r>
          </w:p>
        </w:tc>
        <w:tc>
          <w:tcPr>
            <w:tcW w:w="1419" w:type="dxa"/>
          </w:tcPr>
          <w:p>
            <w:pPr>
              <w:pStyle w:val="TableParagraph"/>
              <w:tabs>
                <w:tab w:pos="1261" w:val="left" w:leader="none"/>
              </w:tabs>
              <w:spacing w:line="182" w:lineRule="exact"/>
              <w:ind w:left="-1" w:right="-1"/>
              <w:rPr>
                <w:sz w:val="16"/>
              </w:rPr>
            </w:pPr>
            <w:r>
              <w:rPr>
                <w:w w:val="90"/>
                <w:sz w:val="16"/>
              </w:rPr>
              <w:t>Densidad</w:t>
              <w:tab/>
            </w:r>
            <w:r>
              <w:rPr>
                <w:w w:val="80"/>
                <w:sz w:val="16"/>
              </w:rPr>
              <w:t>de</w:t>
            </w:r>
          </w:p>
          <w:p>
            <w:pPr>
              <w:pStyle w:val="TableParagraph"/>
              <w:ind w:left="-1" w:right="-11"/>
              <w:rPr>
                <w:sz w:val="16"/>
              </w:rPr>
            </w:pPr>
            <w:r>
              <w:rPr>
                <w:w w:val="85"/>
                <w:sz w:val="16"/>
              </w:rPr>
              <w:t>población= habitantes por km2</w:t>
            </w:r>
          </w:p>
        </w:tc>
        <w:tc>
          <w:tcPr>
            <w:tcW w:w="1416" w:type="dxa"/>
          </w:tcPr>
          <w:p>
            <w:pPr>
              <w:pStyle w:val="TableParagraph"/>
              <w:spacing w:line="183" w:lineRule="exact"/>
              <w:ind w:left="-1" w:right="-4"/>
              <w:rPr>
                <w:sz w:val="16"/>
              </w:rPr>
            </w:pPr>
            <w:r>
              <w:rPr>
                <w:w w:val="85"/>
                <w:sz w:val="16"/>
              </w:rPr>
              <w:t>INEGI, INEC y otros.</w:t>
            </w:r>
          </w:p>
        </w:tc>
        <w:tc>
          <w:tcPr>
            <w:tcW w:w="2979" w:type="dxa"/>
          </w:tcPr>
          <w:p>
            <w:pPr>
              <w:pStyle w:val="TableParagraph"/>
              <w:ind w:right="104"/>
              <w:jc w:val="both"/>
              <w:rPr>
                <w:sz w:val="16"/>
              </w:rPr>
            </w:pPr>
            <w:r>
              <w:rPr>
                <w:w w:val="90"/>
                <w:sz w:val="16"/>
              </w:rPr>
              <w:t>En cuanto a su densidad de población los </w:t>
            </w:r>
            <w:r>
              <w:rPr>
                <w:w w:val="85"/>
                <w:sz w:val="16"/>
              </w:rPr>
              <w:t>países se clasifican en:</w:t>
            </w:r>
          </w:p>
          <w:p>
            <w:pPr>
              <w:pStyle w:val="TableParagraph"/>
              <w:spacing w:before="1"/>
              <w:ind w:right="102"/>
              <w:jc w:val="both"/>
              <w:rPr>
                <w:sz w:val="16"/>
              </w:rPr>
            </w:pPr>
            <w:r>
              <w:rPr>
                <w:w w:val="85"/>
                <w:sz w:val="16"/>
              </w:rPr>
              <w:t>-Muy</w:t>
            </w:r>
            <w:r>
              <w:rPr>
                <w:spacing w:val="-6"/>
                <w:w w:val="85"/>
                <w:sz w:val="16"/>
              </w:rPr>
              <w:t> </w:t>
            </w:r>
            <w:r>
              <w:rPr>
                <w:w w:val="85"/>
                <w:sz w:val="16"/>
              </w:rPr>
              <w:t>densamente</w:t>
            </w:r>
            <w:r>
              <w:rPr>
                <w:spacing w:val="-6"/>
                <w:w w:val="85"/>
                <w:sz w:val="16"/>
              </w:rPr>
              <w:t> </w:t>
            </w:r>
            <w:r>
              <w:rPr>
                <w:w w:val="85"/>
                <w:sz w:val="16"/>
              </w:rPr>
              <w:t>poblados</w:t>
            </w:r>
            <w:r>
              <w:rPr>
                <w:spacing w:val="-6"/>
                <w:w w:val="85"/>
                <w:sz w:val="16"/>
              </w:rPr>
              <w:t> </w:t>
            </w:r>
            <w:r>
              <w:rPr>
                <w:w w:val="85"/>
                <w:sz w:val="16"/>
              </w:rPr>
              <w:t>=</w:t>
            </w:r>
            <w:r>
              <w:rPr>
                <w:spacing w:val="-7"/>
                <w:w w:val="85"/>
                <w:sz w:val="16"/>
              </w:rPr>
              <w:t> </w:t>
            </w:r>
            <w:r>
              <w:rPr>
                <w:w w:val="85"/>
                <w:sz w:val="16"/>
              </w:rPr>
              <w:t>o</w:t>
            </w:r>
            <w:r>
              <w:rPr>
                <w:spacing w:val="-6"/>
                <w:w w:val="85"/>
                <w:sz w:val="16"/>
              </w:rPr>
              <w:t> </w:t>
            </w:r>
            <w:r>
              <w:rPr>
                <w:w w:val="85"/>
                <w:sz w:val="16"/>
              </w:rPr>
              <w:t>&gt;</w:t>
            </w:r>
            <w:r>
              <w:rPr>
                <w:spacing w:val="-5"/>
                <w:w w:val="85"/>
                <w:sz w:val="16"/>
              </w:rPr>
              <w:t> </w:t>
            </w:r>
            <w:r>
              <w:rPr>
                <w:w w:val="85"/>
                <w:sz w:val="16"/>
              </w:rPr>
              <w:t>10,000</w:t>
            </w:r>
            <w:r>
              <w:rPr>
                <w:spacing w:val="-4"/>
                <w:w w:val="85"/>
                <w:sz w:val="16"/>
              </w:rPr>
              <w:t> </w:t>
            </w:r>
            <w:r>
              <w:rPr>
                <w:w w:val="85"/>
                <w:sz w:val="16"/>
              </w:rPr>
              <w:t>hab. por</w:t>
            </w:r>
            <w:r>
              <w:rPr>
                <w:spacing w:val="-21"/>
                <w:w w:val="85"/>
                <w:sz w:val="16"/>
              </w:rPr>
              <w:t> </w:t>
            </w:r>
            <w:r>
              <w:rPr>
                <w:w w:val="85"/>
                <w:sz w:val="16"/>
              </w:rPr>
              <w:t>km2.</w:t>
            </w:r>
          </w:p>
          <w:p>
            <w:pPr>
              <w:pStyle w:val="TableParagraph"/>
              <w:spacing w:before="1"/>
              <w:ind w:right="103"/>
              <w:jc w:val="both"/>
              <w:rPr>
                <w:sz w:val="16"/>
              </w:rPr>
            </w:pPr>
            <w:r>
              <w:rPr>
                <w:w w:val="90"/>
                <w:sz w:val="16"/>
              </w:rPr>
              <w:t>-Densamente</w:t>
            </w:r>
            <w:r>
              <w:rPr>
                <w:spacing w:val="-15"/>
                <w:w w:val="90"/>
                <w:sz w:val="16"/>
              </w:rPr>
              <w:t> </w:t>
            </w:r>
            <w:r>
              <w:rPr>
                <w:w w:val="90"/>
                <w:sz w:val="16"/>
              </w:rPr>
              <w:t>poblados</w:t>
            </w:r>
            <w:r>
              <w:rPr>
                <w:spacing w:val="-16"/>
                <w:w w:val="90"/>
                <w:sz w:val="16"/>
              </w:rPr>
              <w:t> </w:t>
            </w:r>
            <w:r>
              <w:rPr>
                <w:w w:val="90"/>
                <w:sz w:val="16"/>
              </w:rPr>
              <w:t>÷</w:t>
            </w:r>
            <w:r>
              <w:rPr>
                <w:spacing w:val="-16"/>
                <w:w w:val="90"/>
                <w:sz w:val="16"/>
              </w:rPr>
              <w:t> </w:t>
            </w:r>
            <w:r>
              <w:rPr>
                <w:w w:val="90"/>
                <w:sz w:val="16"/>
              </w:rPr>
              <w:t>9,999</w:t>
            </w:r>
            <w:r>
              <w:rPr>
                <w:spacing w:val="-15"/>
                <w:w w:val="90"/>
                <w:sz w:val="16"/>
              </w:rPr>
              <w:t> </w:t>
            </w:r>
            <w:r>
              <w:rPr>
                <w:w w:val="90"/>
                <w:sz w:val="16"/>
              </w:rPr>
              <w:t>y</w:t>
            </w:r>
            <w:r>
              <w:rPr>
                <w:spacing w:val="-16"/>
                <w:w w:val="90"/>
                <w:sz w:val="16"/>
              </w:rPr>
              <w:t> </w:t>
            </w:r>
            <w:r>
              <w:rPr>
                <w:w w:val="90"/>
                <w:sz w:val="16"/>
              </w:rPr>
              <w:t>1,000</w:t>
            </w:r>
            <w:r>
              <w:rPr>
                <w:spacing w:val="-16"/>
                <w:w w:val="90"/>
                <w:sz w:val="16"/>
              </w:rPr>
              <w:t> </w:t>
            </w:r>
            <w:r>
              <w:rPr>
                <w:w w:val="90"/>
                <w:sz w:val="16"/>
              </w:rPr>
              <w:t>hab. </w:t>
            </w:r>
            <w:r>
              <w:rPr>
                <w:w w:val="85"/>
                <w:sz w:val="16"/>
              </w:rPr>
              <w:t>por</w:t>
            </w:r>
            <w:r>
              <w:rPr>
                <w:spacing w:val="-21"/>
                <w:w w:val="85"/>
                <w:sz w:val="16"/>
              </w:rPr>
              <w:t> </w:t>
            </w:r>
            <w:r>
              <w:rPr>
                <w:w w:val="85"/>
                <w:sz w:val="16"/>
              </w:rPr>
              <w:t>km2.</w:t>
            </w:r>
          </w:p>
          <w:p>
            <w:pPr>
              <w:pStyle w:val="TableParagraph"/>
              <w:spacing w:before="1"/>
              <w:ind w:right="105"/>
              <w:jc w:val="both"/>
              <w:rPr>
                <w:sz w:val="16"/>
              </w:rPr>
            </w:pPr>
            <w:r>
              <w:rPr>
                <w:w w:val="90"/>
                <w:sz w:val="16"/>
              </w:rPr>
              <w:t>-Densidad de población media ÷ 999 y 100 </w:t>
            </w:r>
            <w:r>
              <w:rPr>
                <w:w w:val="85"/>
                <w:sz w:val="16"/>
              </w:rPr>
              <w:t>hab. por km2.</w:t>
            </w:r>
          </w:p>
          <w:p>
            <w:pPr>
              <w:pStyle w:val="TableParagraph"/>
              <w:spacing w:before="1"/>
              <w:ind w:right="100"/>
              <w:jc w:val="both"/>
              <w:rPr>
                <w:sz w:val="16"/>
              </w:rPr>
            </w:pPr>
            <w:r>
              <w:rPr>
                <w:w w:val="95"/>
                <w:sz w:val="16"/>
              </w:rPr>
              <w:t>-Baja</w:t>
            </w:r>
            <w:r>
              <w:rPr>
                <w:spacing w:val="-21"/>
                <w:w w:val="95"/>
                <w:sz w:val="16"/>
              </w:rPr>
              <w:t> </w:t>
            </w:r>
            <w:r>
              <w:rPr>
                <w:w w:val="95"/>
                <w:sz w:val="16"/>
              </w:rPr>
              <w:t>densidad</w:t>
            </w:r>
            <w:r>
              <w:rPr>
                <w:spacing w:val="-21"/>
                <w:w w:val="95"/>
                <w:sz w:val="16"/>
              </w:rPr>
              <w:t> </w:t>
            </w:r>
            <w:r>
              <w:rPr>
                <w:w w:val="95"/>
                <w:sz w:val="16"/>
              </w:rPr>
              <w:t>de</w:t>
            </w:r>
            <w:r>
              <w:rPr>
                <w:spacing w:val="-21"/>
                <w:w w:val="95"/>
                <w:sz w:val="16"/>
              </w:rPr>
              <w:t> </w:t>
            </w:r>
            <w:r>
              <w:rPr>
                <w:w w:val="95"/>
                <w:sz w:val="16"/>
              </w:rPr>
              <w:t>población</w:t>
            </w:r>
            <w:r>
              <w:rPr>
                <w:spacing w:val="-21"/>
                <w:w w:val="95"/>
                <w:sz w:val="16"/>
              </w:rPr>
              <w:t> </w:t>
            </w:r>
            <w:r>
              <w:rPr>
                <w:w w:val="95"/>
                <w:sz w:val="16"/>
              </w:rPr>
              <w:t>÷</w:t>
            </w:r>
            <w:r>
              <w:rPr>
                <w:spacing w:val="-21"/>
                <w:w w:val="95"/>
                <w:sz w:val="16"/>
              </w:rPr>
              <w:t> </w:t>
            </w:r>
            <w:r>
              <w:rPr>
                <w:w w:val="95"/>
                <w:sz w:val="16"/>
              </w:rPr>
              <w:t>99</w:t>
            </w:r>
            <w:r>
              <w:rPr>
                <w:spacing w:val="-20"/>
                <w:w w:val="95"/>
                <w:sz w:val="16"/>
              </w:rPr>
              <w:t> </w:t>
            </w:r>
            <w:r>
              <w:rPr>
                <w:w w:val="95"/>
                <w:sz w:val="16"/>
              </w:rPr>
              <w:t>y</w:t>
            </w:r>
            <w:r>
              <w:rPr>
                <w:spacing w:val="-21"/>
                <w:w w:val="95"/>
                <w:sz w:val="16"/>
              </w:rPr>
              <w:t> </w:t>
            </w:r>
            <w:r>
              <w:rPr>
                <w:w w:val="95"/>
                <w:sz w:val="16"/>
              </w:rPr>
              <w:t>10</w:t>
            </w:r>
            <w:r>
              <w:rPr>
                <w:spacing w:val="-21"/>
                <w:w w:val="95"/>
                <w:sz w:val="16"/>
              </w:rPr>
              <w:t> </w:t>
            </w:r>
            <w:r>
              <w:rPr>
                <w:w w:val="95"/>
                <w:sz w:val="16"/>
              </w:rPr>
              <w:t>hab. km2.</w:t>
            </w:r>
          </w:p>
          <w:p>
            <w:pPr>
              <w:pStyle w:val="TableParagraph"/>
              <w:spacing w:before="1"/>
              <w:ind w:right="104"/>
              <w:jc w:val="both"/>
              <w:rPr>
                <w:sz w:val="16"/>
              </w:rPr>
            </w:pPr>
            <w:r>
              <w:rPr>
                <w:w w:val="90"/>
                <w:sz w:val="16"/>
              </w:rPr>
              <w:t>-Muy</w:t>
            </w:r>
            <w:r>
              <w:rPr>
                <w:spacing w:val="-17"/>
                <w:w w:val="90"/>
                <w:sz w:val="16"/>
              </w:rPr>
              <w:t> </w:t>
            </w:r>
            <w:r>
              <w:rPr>
                <w:w w:val="90"/>
                <w:sz w:val="16"/>
              </w:rPr>
              <w:t>baja</w:t>
            </w:r>
            <w:r>
              <w:rPr>
                <w:spacing w:val="-16"/>
                <w:w w:val="90"/>
                <w:sz w:val="16"/>
              </w:rPr>
              <w:t> </w:t>
            </w:r>
            <w:r>
              <w:rPr>
                <w:w w:val="90"/>
                <w:sz w:val="16"/>
              </w:rPr>
              <w:t>densidad</w:t>
            </w:r>
            <w:r>
              <w:rPr>
                <w:spacing w:val="-17"/>
                <w:w w:val="90"/>
                <w:sz w:val="16"/>
              </w:rPr>
              <w:t> </w:t>
            </w:r>
            <w:r>
              <w:rPr>
                <w:w w:val="90"/>
                <w:sz w:val="16"/>
              </w:rPr>
              <w:t>de</w:t>
            </w:r>
            <w:r>
              <w:rPr>
                <w:spacing w:val="-16"/>
                <w:w w:val="90"/>
                <w:sz w:val="16"/>
              </w:rPr>
              <w:t> </w:t>
            </w:r>
            <w:r>
              <w:rPr>
                <w:w w:val="90"/>
                <w:sz w:val="16"/>
              </w:rPr>
              <w:t>población</w:t>
            </w:r>
            <w:r>
              <w:rPr>
                <w:spacing w:val="-16"/>
                <w:w w:val="90"/>
                <w:sz w:val="16"/>
              </w:rPr>
              <w:t> </w:t>
            </w:r>
            <w:r>
              <w:rPr>
                <w:w w:val="90"/>
                <w:sz w:val="16"/>
              </w:rPr>
              <w:t>&lt;</w:t>
            </w:r>
            <w:r>
              <w:rPr>
                <w:spacing w:val="-17"/>
                <w:w w:val="90"/>
                <w:sz w:val="16"/>
              </w:rPr>
              <w:t> </w:t>
            </w:r>
            <w:r>
              <w:rPr>
                <w:w w:val="90"/>
                <w:sz w:val="16"/>
              </w:rPr>
              <w:t>a</w:t>
            </w:r>
            <w:r>
              <w:rPr>
                <w:spacing w:val="-16"/>
                <w:w w:val="90"/>
                <w:sz w:val="16"/>
              </w:rPr>
              <w:t> </w:t>
            </w:r>
            <w:r>
              <w:rPr>
                <w:w w:val="90"/>
                <w:sz w:val="16"/>
              </w:rPr>
              <w:t>10</w:t>
            </w:r>
            <w:r>
              <w:rPr>
                <w:spacing w:val="-17"/>
                <w:w w:val="90"/>
                <w:sz w:val="16"/>
              </w:rPr>
              <w:t> </w:t>
            </w:r>
            <w:r>
              <w:rPr>
                <w:w w:val="90"/>
                <w:sz w:val="16"/>
              </w:rPr>
              <w:t>hab. </w:t>
            </w:r>
            <w:r>
              <w:rPr>
                <w:w w:val="85"/>
                <w:sz w:val="16"/>
              </w:rPr>
              <w:t>por</w:t>
            </w:r>
            <w:r>
              <w:rPr>
                <w:spacing w:val="-21"/>
                <w:w w:val="85"/>
                <w:sz w:val="16"/>
              </w:rPr>
              <w:t> </w:t>
            </w:r>
            <w:r>
              <w:rPr>
                <w:w w:val="85"/>
                <w:sz w:val="16"/>
              </w:rPr>
              <w:t>km2.</w:t>
            </w:r>
          </w:p>
          <w:p>
            <w:pPr>
              <w:pStyle w:val="TableParagraph"/>
              <w:spacing w:before="10"/>
              <w:ind w:left="0"/>
              <w:rPr>
                <w:rFonts w:ascii="Times New Roman"/>
                <w:sz w:val="15"/>
              </w:rPr>
            </w:pPr>
          </w:p>
          <w:p>
            <w:pPr>
              <w:pStyle w:val="TableParagraph"/>
              <w:ind w:right="104"/>
              <w:jc w:val="both"/>
              <w:rPr>
                <w:sz w:val="16"/>
              </w:rPr>
            </w:pPr>
            <w:r>
              <w:rPr>
                <w:w w:val="90"/>
                <w:sz w:val="16"/>
              </w:rPr>
              <w:t>De</w:t>
            </w:r>
            <w:r>
              <w:rPr>
                <w:spacing w:val="-23"/>
                <w:w w:val="90"/>
                <w:sz w:val="16"/>
              </w:rPr>
              <w:t> </w:t>
            </w:r>
            <w:r>
              <w:rPr>
                <w:w w:val="90"/>
                <w:sz w:val="16"/>
              </w:rPr>
              <w:t>acuerdo</w:t>
            </w:r>
            <w:r>
              <w:rPr>
                <w:spacing w:val="-23"/>
                <w:w w:val="90"/>
                <w:sz w:val="16"/>
              </w:rPr>
              <w:t> </w:t>
            </w:r>
            <w:r>
              <w:rPr>
                <w:w w:val="90"/>
                <w:sz w:val="16"/>
              </w:rPr>
              <w:t>con</w:t>
            </w:r>
            <w:r>
              <w:rPr>
                <w:spacing w:val="-23"/>
                <w:w w:val="90"/>
                <w:sz w:val="16"/>
              </w:rPr>
              <w:t> </w:t>
            </w:r>
            <w:r>
              <w:rPr>
                <w:w w:val="90"/>
                <w:sz w:val="16"/>
              </w:rPr>
              <w:t>su</w:t>
            </w:r>
            <w:r>
              <w:rPr>
                <w:spacing w:val="-23"/>
                <w:w w:val="90"/>
                <w:sz w:val="16"/>
              </w:rPr>
              <w:t> </w:t>
            </w:r>
            <w:r>
              <w:rPr>
                <w:w w:val="90"/>
                <w:sz w:val="16"/>
              </w:rPr>
              <w:t>densidad</w:t>
            </w:r>
            <w:r>
              <w:rPr>
                <w:spacing w:val="-23"/>
                <w:w w:val="90"/>
                <w:sz w:val="16"/>
              </w:rPr>
              <w:t> </w:t>
            </w:r>
            <w:r>
              <w:rPr>
                <w:w w:val="90"/>
                <w:sz w:val="16"/>
              </w:rPr>
              <w:t>de</w:t>
            </w:r>
            <w:r>
              <w:rPr>
                <w:spacing w:val="-24"/>
                <w:w w:val="90"/>
                <w:sz w:val="16"/>
              </w:rPr>
              <w:t> </w:t>
            </w:r>
            <w:r>
              <w:rPr>
                <w:w w:val="90"/>
                <w:sz w:val="16"/>
              </w:rPr>
              <w:t>población</w:t>
            </w:r>
            <w:r>
              <w:rPr>
                <w:spacing w:val="-23"/>
                <w:w w:val="90"/>
                <w:sz w:val="16"/>
              </w:rPr>
              <w:t> </w:t>
            </w:r>
            <w:r>
              <w:rPr>
                <w:w w:val="90"/>
                <w:sz w:val="16"/>
              </w:rPr>
              <w:t>los </w:t>
            </w:r>
            <w:r>
              <w:rPr>
                <w:w w:val="85"/>
                <w:sz w:val="16"/>
              </w:rPr>
              <w:t>estados</w:t>
            </w:r>
            <w:r>
              <w:rPr>
                <w:spacing w:val="-19"/>
                <w:w w:val="85"/>
                <w:sz w:val="16"/>
              </w:rPr>
              <w:t> </w:t>
            </w:r>
            <w:r>
              <w:rPr>
                <w:w w:val="85"/>
                <w:sz w:val="16"/>
              </w:rPr>
              <w:t>de</w:t>
            </w:r>
            <w:r>
              <w:rPr>
                <w:spacing w:val="-17"/>
                <w:w w:val="85"/>
                <w:sz w:val="16"/>
              </w:rPr>
              <w:t> </w:t>
            </w:r>
            <w:r>
              <w:rPr>
                <w:w w:val="85"/>
                <w:sz w:val="16"/>
              </w:rPr>
              <w:t>la</w:t>
            </w:r>
            <w:r>
              <w:rPr>
                <w:spacing w:val="-19"/>
                <w:w w:val="85"/>
                <w:sz w:val="16"/>
              </w:rPr>
              <w:t> </w:t>
            </w:r>
            <w:r>
              <w:rPr>
                <w:w w:val="85"/>
                <w:sz w:val="16"/>
              </w:rPr>
              <w:t>República</w:t>
            </w:r>
            <w:r>
              <w:rPr>
                <w:spacing w:val="-19"/>
                <w:w w:val="85"/>
                <w:sz w:val="16"/>
              </w:rPr>
              <w:t> </w:t>
            </w:r>
            <w:r>
              <w:rPr>
                <w:w w:val="85"/>
                <w:sz w:val="16"/>
              </w:rPr>
              <w:t>Mexicana</w:t>
            </w:r>
            <w:r>
              <w:rPr>
                <w:spacing w:val="-17"/>
                <w:w w:val="85"/>
                <w:sz w:val="16"/>
              </w:rPr>
              <w:t> </w:t>
            </w:r>
            <w:r>
              <w:rPr>
                <w:w w:val="85"/>
                <w:sz w:val="16"/>
              </w:rPr>
              <w:t>se</w:t>
            </w:r>
            <w:r>
              <w:rPr>
                <w:spacing w:val="-17"/>
                <w:w w:val="85"/>
                <w:sz w:val="16"/>
              </w:rPr>
              <w:t> </w:t>
            </w:r>
            <w:r>
              <w:rPr>
                <w:w w:val="85"/>
                <w:sz w:val="16"/>
              </w:rPr>
              <w:t>clasifican </w:t>
            </w:r>
            <w:r>
              <w:rPr>
                <w:w w:val="90"/>
                <w:sz w:val="16"/>
              </w:rPr>
              <w:t>en:</w:t>
            </w:r>
          </w:p>
          <w:p>
            <w:pPr>
              <w:pStyle w:val="TableParagraph"/>
              <w:spacing w:before="1"/>
              <w:ind w:right="103"/>
              <w:jc w:val="both"/>
              <w:rPr>
                <w:sz w:val="16"/>
              </w:rPr>
            </w:pPr>
            <w:r>
              <w:rPr>
                <w:w w:val="90"/>
                <w:sz w:val="16"/>
              </w:rPr>
              <w:t>-Muy</w:t>
            </w:r>
            <w:r>
              <w:rPr>
                <w:spacing w:val="-17"/>
                <w:w w:val="90"/>
                <w:sz w:val="16"/>
              </w:rPr>
              <w:t> </w:t>
            </w:r>
            <w:r>
              <w:rPr>
                <w:w w:val="90"/>
                <w:sz w:val="16"/>
              </w:rPr>
              <w:t>densamente</w:t>
            </w:r>
            <w:r>
              <w:rPr>
                <w:spacing w:val="-17"/>
                <w:w w:val="90"/>
                <w:sz w:val="16"/>
              </w:rPr>
              <w:t> </w:t>
            </w:r>
            <w:r>
              <w:rPr>
                <w:w w:val="90"/>
                <w:sz w:val="16"/>
              </w:rPr>
              <w:t>poblados</w:t>
            </w:r>
            <w:r>
              <w:rPr>
                <w:spacing w:val="-17"/>
                <w:w w:val="90"/>
                <w:sz w:val="16"/>
              </w:rPr>
              <w:t> </w:t>
            </w:r>
            <w:r>
              <w:rPr>
                <w:w w:val="90"/>
                <w:sz w:val="16"/>
              </w:rPr>
              <w:t>=</w:t>
            </w:r>
            <w:r>
              <w:rPr>
                <w:spacing w:val="-17"/>
                <w:w w:val="90"/>
                <w:sz w:val="16"/>
              </w:rPr>
              <w:t> </w:t>
            </w:r>
            <w:r>
              <w:rPr>
                <w:w w:val="90"/>
                <w:sz w:val="16"/>
              </w:rPr>
              <w:t>o</w:t>
            </w:r>
            <w:r>
              <w:rPr>
                <w:spacing w:val="-16"/>
                <w:w w:val="90"/>
                <w:sz w:val="16"/>
              </w:rPr>
              <w:t> </w:t>
            </w:r>
            <w:r>
              <w:rPr>
                <w:w w:val="90"/>
                <w:sz w:val="16"/>
              </w:rPr>
              <w:t>&gt;</w:t>
            </w:r>
            <w:r>
              <w:rPr>
                <w:spacing w:val="-17"/>
                <w:w w:val="90"/>
                <w:sz w:val="16"/>
              </w:rPr>
              <w:t> </w:t>
            </w:r>
            <w:r>
              <w:rPr>
                <w:w w:val="90"/>
                <w:sz w:val="16"/>
              </w:rPr>
              <w:t>5,000</w:t>
            </w:r>
            <w:r>
              <w:rPr>
                <w:spacing w:val="-17"/>
                <w:w w:val="90"/>
                <w:sz w:val="16"/>
              </w:rPr>
              <w:t> </w:t>
            </w:r>
            <w:r>
              <w:rPr>
                <w:w w:val="90"/>
                <w:sz w:val="16"/>
              </w:rPr>
              <w:t>hab. </w:t>
            </w:r>
            <w:r>
              <w:rPr>
                <w:w w:val="85"/>
                <w:sz w:val="16"/>
              </w:rPr>
              <w:t>por</w:t>
            </w:r>
            <w:r>
              <w:rPr>
                <w:spacing w:val="-21"/>
                <w:w w:val="85"/>
                <w:sz w:val="16"/>
              </w:rPr>
              <w:t> </w:t>
            </w:r>
            <w:r>
              <w:rPr>
                <w:w w:val="85"/>
                <w:sz w:val="16"/>
              </w:rPr>
              <w:t>km2.</w:t>
            </w:r>
          </w:p>
          <w:p>
            <w:pPr>
              <w:pStyle w:val="TableParagraph"/>
              <w:spacing w:before="1"/>
              <w:ind w:right="100"/>
              <w:jc w:val="both"/>
              <w:rPr>
                <w:sz w:val="16"/>
              </w:rPr>
            </w:pPr>
            <w:r>
              <w:rPr>
                <w:w w:val="85"/>
                <w:sz w:val="16"/>
              </w:rPr>
              <w:t>-Densamente</w:t>
            </w:r>
            <w:r>
              <w:rPr>
                <w:spacing w:val="-9"/>
                <w:w w:val="85"/>
                <w:sz w:val="16"/>
              </w:rPr>
              <w:t> </w:t>
            </w:r>
            <w:r>
              <w:rPr>
                <w:w w:val="85"/>
                <w:sz w:val="16"/>
              </w:rPr>
              <w:t>poblados</w:t>
            </w:r>
            <w:r>
              <w:rPr>
                <w:spacing w:val="-9"/>
                <w:w w:val="85"/>
                <w:sz w:val="16"/>
              </w:rPr>
              <w:t> </w:t>
            </w:r>
            <w:r>
              <w:rPr>
                <w:w w:val="85"/>
                <w:sz w:val="16"/>
              </w:rPr>
              <w:t>÷</w:t>
            </w:r>
            <w:r>
              <w:rPr>
                <w:spacing w:val="-10"/>
                <w:w w:val="85"/>
                <w:sz w:val="16"/>
              </w:rPr>
              <w:t> </w:t>
            </w:r>
            <w:r>
              <w:rPr>
                <w:w w:val="85"/>
                <w:sz w:val="16"/>
              </w:rPr>
              <w:t>4,999</w:t>
            </w:r>
            <w:r>
              <w:rPr>
                <w:spacing w:val="-7"/>
                <w:w w:val="85"/>
                <w:sz w:val="16"/>
              </w:rPr>
              <w:t> </w:t>
            </w:r>
            <w:r>
              <w:rPr>
                <w:w w:val="85"/>
                <w:sz w:val="16"/>
              </w:rPr>
              <w:t>y</w:t>
            </w:r>
            <w:r>
              <w:rPr>
                <w:spacing w:val="-10"/>
                <w:w w:val="85"/>
                <w:sz w:val="16"/>
              </w:rPr>
              <w:t> </w:t>
            </w:r>
            <w:r>
              <w:rPr>
                <w:w w:val="85"/>
                <w:sz w:val="16"/>
              </w:rPr>
              <w:t>100</w:t>
            </w:r>
            <w:r>
              <w:rPr>
                <w:spacing w:val="-9"/>
                <w:w w:val="85"/>
                <w:sz w:val="16"/>
              </w:rPr>
              <w:t> </w:t>
            </w:r>
            <w:r>
              <w:rPr>
                <w:w w:val="85"/>
                <w:sz w:val="16"/>
              </w:rPr>
              <w:t>hab.</w:t>
            </w:r>
            <w:r>
              <w:rPr>
                <w:spacing w:val="-7"/>
                <w:w w:val="85"/>
                <w:sz w:val="16"/>
              </w:rPr>
              <w:t> </w:t>
            </w:r>
            <w:r>
              <w:rPr>
                <w:w w:val="85"/>
                <w:sz w:val="16"/>
              </w:rPr>
              <w:t>por </w:t>
            </w:r>
            <w:r>
              <w:rPr>
                <w:w w:val="95"/>
                <w:sz w:val="16"/>
              </w:rPr>
              <w:t>km2.</w:t>
            </w:r>
          </w:p>
          <w:p>
            <w:pPr>
              <w:pStyle w:val="TableParagraph"/>
              <w:spacing w:before="1"/>
              <w:ind w:right="103"/>
              <w:jc w:val="both"/>
              <w:rPr>
                <w:sz w:val="16"/>
              </w:rPr>
            </w:pPr>
            <w:r>
              <w:rPr>
                <w:w w:val="90"/>
                <w:sz w:val="16"/>
              </w:rPr>
              <w:t>-Densidad</w:t>
            </w:r>
            <w:r>
              <w:rPr>
                <w:spacing w:val="-19"/>
                <w:w w:val="90"/>
                <w:sz w:val="16"/>
              </w:rPr>
              <w:t> </w:t>
            </w:r>
            <w:r>
              <w:rPr>
                <w:w w:val="90"/>
                <w:sz w:val="16"/>
              </w:rPr>
              <w:t>de</w:t>
            </w:r>
            <w:r>
              <w:rPr>
                <w:spacing w:val="-19"/>
                <w:w w:val="90"/>
                <w:sz w:val="16"/>
              </w:rPr>
              <w:t> </w:t>
            </w:r>
            <w:r>
              <w:rPr>
                <w:w w:val="90"/>
                <w:sz w:val="16"/>
              </w:rPr>
              <w:t>población</w:t>
            </w:r>
            <w:r>
              <w:rPr>
                <w:spacing w:val="-18"/>
                <w:w w:val="90"/>
                <w:sz w:val="16"/>
              </w:rPr>
              <w:t> </w:t>
            </w:r>
            <w:r>
              <w:rPr>
                <w:w w:val="90"/>
                <w:sz w:val="16"/>
              </w:rPr>
              <w:t>media</w:t>
            </w:r>
            <w:r>
              <w:rPr>
                <w:spacing w:val="-19"/>
                <w:w w:val="90"/>
                <w:sz w:val="16"/>
              </w:rPr>
              <w:t> </w:t>
            </w:r>
            <w:r>
              <w:rPr>
                <w:w w:val="90"/>
                <w:sz w:val="16"/>
              </w:rPr>
              <w:t>÷</w:t>
            </w:r>
            <w:r>
              <w:rPr>
                <w:spacing w:val="-19"/>
                <w:w w:val="90"/>
                <w:sz w:val="16"/>
              </w:rPr>
              <w:t> </w:t>
            </w:r>
            <w:r>
              <w:rPr>
                <w:w w:val="90"/>
                <w:sz w:val="16"/>
              </w:rPr>
              <w:t>99</w:t>
            </w:r>
            <w:r>
              <w:rPr>
                <w:spacing w:val="-18"/>
                <w:w w:val="90"/>
                <w:sz w:val="16"/>
              </w:rPr>
              <w:t> </w:t>
            </w:r>
            <w:r>
              <w:rPr>
                <w:w w:val="90"/>
                <w:sz w:val="16"/>
              </w:rPr>
              <w:t>y</w:t>
            </w:r>
            <w:r>
              <w:rPr>
                <w:spacing w:val="-20"/>
                <w:w w:val="90"/>
                <w:sz w:val="16"/>
              </w:rPr>
              <w:t> </w:t>
            </w:r>
            <w:r>
              <w:rPr>
                <w:w w:val="90"/>
                <w:sz w:val="16"/>
              </w:rPr>
              <w:t>50</w:t>
            </w:r>
            <w:r>
              <w:rPr>
                <w:spacing w:val="-19"/>
                <w:w w:val="90"/>
                <w:sz w:val="16"/>
              </w:rPr>
              <w:t> </w:t>
            </w:r>
            <w:r>
              <w:rPr>
                <w:w w:val="90"/>
                <w:sz w:val="16"/>
              </w:rPr>
              <w:t>hab. </w:t>
            </w:r>
            <w:r>
              <w:rPr>
                <w:w w:val="85"/>
                <w:sz w:val="16"/>
              </w:rPr>
              <w:t>por</w:t>
            </w:r>
            <w:r>
              <w:rPr>
                <w:spacing w:val="-21"/>
                <w:w w:val="85"/>
                <w:sz w:val="16"/>
              </w:rPr>
              <w:t> </w:t>
            </w:r>
            <w:r>
              <w:rPr>
                <w:w w:val="85"/>
                <w:sz w:val="16"/>
              </w:rPr>
              <w:t>km2.</w:t>
            </w:r>
          </w:p>
          <w:p>
            <w:pPr>
              <w:pStyle w:val="TableParagraph"/>
              <w:spacing w:before="1"/>
              <w:ind w:right="104"/>
              <w:jc w:val="both"/>
              <w:rPr>
                <w:sz w:val="16"/>
              </w:rPr>
            </w:pPr>
            <w:r>
              <w:rPr>
                <w:w w:val="95"/>
                <w:sz w:val="16"/>
              </w:rPr>
              <w:t>-Baja</w:t>
            </w:r>
            <w:r>
              <w:rPr>
                <w:spacing w:val="-22"/>
                <w:w w:val="95"/>
                <w:sz w:val="16"/>
              </w:rPr>
              <w:t> </w:t>
            </w:r>
            <w:r>
              <w:rPr>
                <w:w w:val="95"/>
                <w:sz w:val="16"/>
              </w:rPr>
              <w:t>densidad</w:t>
            </w:r>
            <w:r>
              <w:rPr>
                <w:spacing w:val="-22"/>
                <w:w w:val="95"/>
                <w:sz w:val="16"/>
              </w:rPr>
              <w:t> </w:t>
            </w:r>
            <w:r>
              <w:rPr>
                <w:w w:val="95"/>
                <w:sz w:val="16"/>
              </w:rPr>
              <w:t>de</w:t>
            </w:r>
            <w:r>
              <w:rPr>
                <w:spacing w:val="-22"/>
                <w:w w:val="95"/>
                <w:sz w:val="16"/>
              </w:rPr>
              <w:t> </w:t>
            </w:r>
            <w:r>
              <w:rPr>
                <w:w w:val="95"/>
                <w:sz w:val="16"/>
              </w:rPr>
              <w:t>población</w:t>
            </w:r>
            <w:r>
              <w:rPr>
                <w:spacing w:val="-22"/>
                <w:w w:val="95"/>
                <w:sz w:val="16"/>
              </w:rPr>
              <w:t> </w:t>
            </w:r>
            <w:r>
              <w:rPr>
                <w:w w:val="95"/>
                <w:sz w:val="16"/>
              </w:rPr>
              <w:t>÷</w:t>
            </w:r>
            <w:r>
              <w:rPr>
                <w:spacing w:val="-22"/>
                <w:w w:val="95"/>
                <w:sz w:val="16"/>
              </w:rPr>
              <w:t> </w:t>
            </w:r>
            <w:r>
              <w:rPr>
                <w:w w:val="95"/>
                <w:sz w:val="16"/>
              </w:rPr>
              <w:t>49</w:t>
            </w:r>
            <w:r>
              <w:rPr>
                <w:spacing w:val="-22"/>
                <w:w w:val="95"/>
                <w:sz w:val="16"/>
              </w:rPr>
              <w:t> </w:t>
            </w:r>
            <w:r>
              <w:rPr>
                <w:w w:val="95"/>
                <w:sz w:val="16"/>
              </w:rPr>
              <w:t>y</w:t>
            </w:r>
            <w:r>
              <w:rPr>
                <w:spacing w:val="-21"/>
                <w:w w:val="95"/>
                <w:sz w:val="16"/>
              </w:rPr>
              <w:t> </w:t>
            </w:r>
            <w:r>
              <w:rPr>
                <w:w w:val="95"/>
                <w:sz w:val="16"/>
              </w:rPr>
              <w:t>15</w:t>
            </w:r>
            <w:r>
              <w:rPr>
                <w:spacing w:val="-22"/>
                <w:w w:val="95"/>
                <w:sz w:val="16"/>
              </w:rPr>
              <w:t> </w:t>
            </w:r>
            <w:r>
              <w:rPr>
                <w:w w:val="95"/>
                <w:sz w:val="16"/>
              </w:rPr>
              <w:t>hab. km2.</w:t>
            </w:r>
          </w:p>
          <w:p>
            <w:pPr>
              <w:pStyle w:val="TableParagraph"/>
              <w:spacing w:before="1"/>
              <w:ind w:right="104"/>
              <w:jc w:val="both"/>
              <w:rPr>
                <w:sz w:val="16"/>
              </w:rPr>
            </w:pPr>
            <w:r>
              <w:rPr>
                <w:w w:val="90"/>
                <w:sz w:val="16"/>
              </w:rPr>
              <w:t>-Muy</w:t>
            </w:r>
            <w:r>
              <w:rPr>
                <w:spacing w:val="-17"/>
                <w:w w:val="90"/>
                <w:sz w:val="16"/>
              </w:rPr>
              <w:t> </w:t>
            </w:r>
            <w:r>
              <w:rPr>
                <w:w w:val="90"/>
                <w:sz w:val="16"/>
              </w:rPr>
              <w:t>baja</w:t>
            </w:r>
            <w:r>
              <w:rPr>
                <w:spacing w:val="-16"/>
                <w:w w:val="90"/>
                <w:sz w:val="16"/>
              </w:rPr>
              <w:t> </w:t>
            </w:r>
            <w:r>
              <w:rPr>
                <w:w w:val="90"/>
                <w:sz w:val="16"/>
              </w:rPr>
              <w:t>densidad</w:t>
            </w:r>
            <w:r>
              <w:rPr>
                <w:spacing w:val="-17"/>
                <w:w w:val="90"/>
                <w:sz w:val="16"/>
              </w:rPr>
              <w:t> </w:t>
            </w:r>
            <w:r>
              <w:rPr>
                <w:w w:val="90"/>
                <w:sz w:val="16"/>
              </w:rPr>
              <w:t>de</w:t>
            </w:r>
            <w:r>
              <w:rPr>
                <w:spacing w:val="-16"/>
                <w:w w:val="90"/>
                <w:sz w:val="16"/>
              </w:rPr>
              <w:t> </w:t>
            </w:r>
            <w:r>
              <w:rPr>
                <w:w w:val="90"/>
                <w:sz w:val="16"/>
              </w:rPr>
              <w:t>población</w:t>
            </w:r>
            <w:r>
              <w:rPr>
                <w:spacing w:val="-16"/>
                <w:w w:val="90"/>
                <w:sz w:val="16"/>
              </w:rPr>
              <w:t> </w:t>
            </w:r>
            <w:r>
              <w:rPr>
                <w:w w:val="90"/>
                <w:sz w:val="16"/>
              </w:rPr>
              <w:t>&lt;</w:t>
            </w:r>
            <w:r>
              <w:rPr>
                <w:spacing w:val="-17"/>
                <w:w w:val="90"/>
                <w:sz w:val="16"/>
              </w:rPr>
              <w:t> </w:t>
            </w:r>
            <w:r>
              <w:rPr>
                <w:w w:val="90"/>
                <w:sz w:val="16"/>
              </w:rPr>
              <w:t>a</w:t>
            </w:r>
            <w:r>
              <w:rPr>
                <w:spacing w:val="-16"/>
                <w:w w:val="90"/>
                <w:sz w:val="16"/>
              </w:rPr>
              <w:t> </w:t>
            </w:r>
            <w:r>
              <w:rPr>
                <w:w w:val="90"/>
                <w:sz w:val="16"/>
              </w:rPr>
              <w:t>15</w:t>
            </w:r>
            <w:r>
              <w:rPr>
                <w:spacing w:val="-17"/>
                <w:w w:val="90"/>
                <w:sz w:val="16"/>
              </w:rPr>
              <w:t> </w:t>
            </w:r>
            <w:r>
              <w:rPr>
                <w:w w:val="90"/>
                <w:sz w:val="16"/>
              </w:rPr>
              <w:t>hab. </w:t>
            </w:r>
            <w:r>
              <w:rPr>
                <w:w w:val="85"/>
                <w:sz w:val="16"/>
              </w:rPr>
              <w:t>por</w:t>
            </w:r>
            <w:r>
              <w:rPr>
                <w:spacing w:val="-21"/>
                <w:w w:val="85"/>
                <w:sz w:val="16"/>
              </w:rPr>
              <w:t> </w:t>
            </w:r>
            <w:r>
              <w:rPr>
                <w:w w:val="85"/>
                <w:sz w:val="16"/>
              </w:rPr>
              <w:t>km2.</w:t>
            </w:r>
          </w:p>
        </w:tc>
      </w:tr>
    </w:tbl>
    <w:p>
      <w:pPr>
        <w:spacing w:after="0"/>
        <w:jc w:val="both"/>
        <w:rPr>
          <w:sz w:val="16"/>
        </w:rPr>
        <w:sectPr>
          <w:pgSz w:w="12240" w:h="15840"/>
          <w:pgMar w:header="749" w:footer="1003" w:top="960" w:bottom="1200" w:left="760" w:right="760"/>
        </w:sectPr>
      </w:pPr>
    </w:p>
    <w:p>
      <w:pPr>
        <w:pStyle w:val="BodyText"/>
        <w:rPr>
          <w:rFonts w:ascii="Times New Roman"/>
          <w:sz w:val="20"/>
        </w:rPr>
      </w:pPr>
    </w:p>
    <w:p>
      <w:pPr>
        <w:pStyle w:val="BodyText"/>
        <w:spacing w:before="9"/>
        <w:rPr>
          <w:rFonts w:ascii="Times New Roman"/>
          <w:sz w:val="18"/>
        </w:rPr>
      </w:pPr>
    </w:p>
    <w:tbl>
      <w:tblPr>
        <w:tblW w:w="0" w:type="auto"/>
        <w:jc w:val="left"/>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38"/>
        <w:gridCol w:w="1130"/>
        <w:gridCol w:w="2410"/>
        <w:gridCol w:w="1419"/>
        <w:gridCol w:w="1416"/>
        <w:gridCol w:w="2979"/>
      </w:tblGrid>
      <w:tr>
        <w:trPr>
          <w:trHeight w:val="5336" w:hRule="exact"/>
        </w:trPr>
        <w:tc>
          <w:tcPr>
            <w:tcW w:w="1138" w:type="dxa"/>
            <w:vMerge w:val="restart"/>
          </w:tcPr>
          <w:p>
            <w:pPr/>
          </w:p>
        </w:tc>
        <w:tc>
          <w:tcPr>
            <w:tcW w:w="1130" w:type="dxa"/>
          </w:tcPr>
          <w:p>
            <w:pPr/>
          </w:p>
        </w:tc>
        <w:tc>
          <w:tcPr>
            <w:tcW w:w="2410" w:type="dxa"/>
          </w:tcPr>
          <w:p>
            <w:pPr/>
          </w:p>
        </w:tc>
        <w:tc>
          <w:tcPr>
            <w:tcW w:w="1419" w:type="dxa"/>
          </w:tcPr>
          <w:p>
            <w:pPr/>
          </w:p>
        </w:tc>
        <w:tc>
          <w:tcPr>
            <w:tcW w:w="1416" w:type="dxa"/>
          </w:tcPr>
          <w:p>
            <w:pPr/>
          </w:p>
        </w:tc>
        <w:tc>
          <w:tcPr>
            <w:tcW w:w="2979" w:type="dxa"/>
          </w:tcPr>
          <w:p>
            <w:pPr>
              <w:pStyle w:val="TableParagraph"/>
              <w:ind w:right="104"/>
              <w:jc w:val="both"/>
              <w:rPr>
                <w:sz w:val="16"/>
              </w:rPr>
            </w:pPr>
            <w:r>
              <w:rPr>
                <w:w w:val="90"/>
                <w:sz w:val="16"/>
              </w:rPr>
              <w:t>De</w:t>
            </w:r>
            <w:r>
              <w:rPr>
                <w:spacing w:val="-23"/>
                <w:w w:val="90"/>
                <w:sz w:val="16"/>
              </w:rPr>
              <w:t> </w:t>
            </w:r>
            <w:r>
              <w:rPr>
                <w:w w:val="90"/>
                <w:sz w:val="16"/>
              </w:rPr>
              <w:t>acuerdo</w:t>
            </w:r>
            <w:r>
              <w:rPr>
                <w:spacing w:val="-23"/>
                <w:w w:val="90"/>
                <w:sz w:val="16"/>
              </w:rPr>
              <w:t> </w:t>
            </w:r>
            <w:r>
              <w:rPr>
                <w:w w:val="90"/>
                <w:sz w:val="16"/>
              </w:rPr>
              <w:t>con</w:t>
            </w:r>
            <w:r>
              <w:rPr>
                <w:spacing w:val="-23"/>
                <w:w w:val="90"/>
                <w:sz w:val="16"/>
              </w:rPr>
              <w:t> </w:t>
            </w:r>
            <w:r>
              <w:rPr>
                <w:w w:val="90"/>
                <w:sz w:val="16"/>
              </w:rPr>
              <w:t>su</w:t>
            </w:r>
            <w:r>
              <w:rPr>
                <w:spacing w:val="-23"/>
                <w:w w:val="90"/>
                <w:sz w:val="16"/>
              </w:rPr>
              <w:t> </w:t>
            </w:r>
            <w:r>
              <w:rPr>
                <w:w w:val="90"/>
                <w:sz w:val="16"/>
              </w:rPr>
              <w:t>densidad</w:t>
            </w:r>
            <w:r>
              <w:rPr>
                <w:spacing w:val="-23"/>
                <w:w w:val="90"/>
                <w:sz w:val="16"/>
              </w:rPr>
              <w:t> </w:t>
            </w:r>
            <w:r>
              <w:rPr>
                <w:w w:val="90"/>
                <w:sz w:val="16"/>
              </w:rPr>
              <w:t>de</w:t>
            </w:r>
            <w:r>
              <w:rPr>
                <w:spacing w:val="-24"/>
                <w:w w:val="90"/>
                <w:sz w:val="16"/>
              </w:rPr>
              <w:t> </w:t>
            </w:r>
            <w:r>
              <w:rPr>
                <w:w w:val="90"/>
                <w:sz w:val="16"/>
              </w:rPr>
              <w:t>población</w:t>
            </w:r>
            <w:r>
              <w:rPr>
                <w:spacing w:val="-23"/>
                <w:w w:val="90"/>
                <w:sz w:val="16"/>
              </w:rPr>
              <w:t> </w:t>
            </w:r>
            <w:r>
              <w:rPr>
                <w:w w:val="90"/>
                <w:sz w:val="16"/>
              </w:rPr>
              <w:t>las regiones</w:t>
            </w:r>
            <w:r>
              <w:rPr>
                <w:spacing w:val="-9"/>
                <w:w w:val="90"/>
                <w:sz w:val="16"/>
              </w:rPr>
              <w:t> </w:t>
            </w:r>
            <w:r>
              <w:rPr>
                <w:w w:val="90"/>
                <w:sz w:val="16"/>
              </w:rPr>
              <w:t>del</w:t>
            </w:r>
            <w:r>
              <w:rPr>
                <w:spacing w:val="-9"/>
                <w:w w:val="90"/>
                <w:sz w:val="16"/>
              </w:rPr>
              <w:t> </w:t>
            </w:r>
            <w:r>
              <w:rPr>
                <w:w w:val="90"/>
                <w:sz w:val="16"/>
              </w:rPr>
              <w:t>Estado</w:t>
            </w:r>
            <w:r>
              <w:rPr>
                <w:spacing w:val="-8"/>
                <w:w w:val="90"/>
                <w:sz w:val="16"/>
              </w:rPr>
              <w:t> </w:t>
            </w:r>
            <w:r>
              <w:rPr>
                <w:w w:val="90"/>
                <w:sz w:val="16"/>
              </w:rPr>
              <w:t>de</w:t>
            </w:r>
            <w:r>
              <w:rPr>
                <w:spacing w:val="-8"/>
                <w:w w:val="90"/>
                <w:sz w:val="16"/>
              </w:rPr>
              <w:t> </w:t>
            </w:r>
            <w:r>
              <w:rPr>
                <w:w w:val="90"/>
                <w:sz w:val="16"/>
              </w:rPr>
              <w:t>México</w:t>
            </w:r>
            <w:r>
              <w:rPr>
                <w:spacing w:val="-8"/>
                <w:w w:val="90"/>
                <w:sz w:val="16"/>
              </w:rPr>
              <w:t> </w:t>
            </w:r>
            <w:r>
              <w:rPr>
                <w:w w:val="90"/>
                <w:sz w:val="16"/>
              </w:rPr>
              <w:t>se</w:t>
            </w:r>
            <w:r>
              <w:rPr>
                <w:spacing w:val="-8"/>
                <w:w w:val="90"/>
                <w:sz w:val="16"/>
              </w:rPr>
              <w:t> </w:t>
            </w:r>
            <w:r>
              <w:rPr>
                <w:w w:val="90"/>
                <w:sz w:val="16"/>
              </w:rPr>
              <w:t>clasifican en:</w:t>
            </w:r>
          </w:p>
          <w:p>
            <w:pPr>
              <w:pStyle w:val="TableParagraph"/>
              <w:ind w:right="102"/>
              <w:jc w:val="both"/>
              <w:rPr>
                <w:sz w:val="16"/>
              </w:rPr>
            </w:pPr>
            <w:r>
              <w:rPr>
                <w:w w:val="85"/>
                <w:sz w:val="16"/>
              </w:rPr>
              <w:t>-Muy</w:t>
            </w:r>
            <w:r>
              <w:rPr>
                <w:spacing w:val="-6"/>
                <w:w w:val="85"/>
                <w:sz w:val="16"/>
              </w:rPr>
              <w:t> </w:t>
            </w:r>
            <w:r>
              <w:rPr>
                <w:w w:val="85"/>
                <w:sz w:val="16"/>
              </w:rPr>
              <w:t>densamente</w:t>
            </w:r>
            <w:r>
              <w:rPr>
                <w:spacing w:val="-6"/>
                <w:w w:val="85"/>
                <w:sz w:val="16"/>
              </w:rPr>
              <w:t> </w:t>
            </w:r>
            <w:r>
              <w:rPr>
                <w:w w:val="85"/>
                <w:sz w:val="16"/>
              </w:rPr>
              <w:t>pobladas</w:t>
            </w:r>
            <w:r>
              <w:rPr>
                <w:spacing w:val="-6"/>
                <w:w w:val="85"/>
                <w:sz w:val="16"/>
              </w:rPr>
              <w:t> </w:t>
            </w:r>
            <w:r>
              <w:rPr>
                <w:w w:val="85"/>
                <w:sz w:val="16"/>
              </w:rPr>
              <w:t>=</w:t>
            </w:r>
            <w:r>
              <w:rPr>
                <w:spacing w:val="-7"/>
                <w:w w:val="85"/>
                <w:sz w:val="16"/>
              </w:rPr>
              <w:t> </w:t>
            </w:r>
            <w:r>
              <w:rPr>
                <w:w w:val="85"/>
                <w:sz w:val="16"/>
              </w:rPr>
              <w:t>o</w:t>
            </w:r>
            <w:r>
              <w:rPr>
                <w:spacing w:val="-6"/>
                <w:w w:val="85"/>
                <w:sz w:val="16"/>
              </w:rPr>
              <w:t> </w:t>
            </w:r>
            <w:r>
              <w:rPr>
                <w:w w:val="85"/>
                <w:sz w:val="16"/>
              </w:rPr>
              <w:t>&gt;</w:t>
            </w:r>
            <w:r>
              <w:rPr>
                <w:spacing w:val="-5"/>
                <w:w w:val="85"/>
                <w:sz w:val="16"/>
              </w:rPr>
              <w:t> </w:t>
            </w:r>
            <w:r>
              <w:rPr>
                <w:w w:val="85"/>
                <w:sz w:val="16"/>
              </w:rPr>
              <w:t>15,000</w:t>
            </w:r>
            <w:r>
              <w:rPr>
                <w:spacing w:val="-4"/>
                <w:w w:val="85"/>
                <w:sz w:val="16"/>
              </w:rPr>
              <w:t> </w:t>
            </w:r>
            <w:r>
              <w:rPr>
                <w:w w:val="85"/>
                <w:sz w:val="16"/>
              </w:rPr>
              <w:t>hab. por</w:t>
            </w:r>
            <w:r>
              <w:rPr>
                <w:spacing w:val="-21"/>
                <w:w w:val="85"/>
                <w:sz w:val="16"/>
              </w:rPr>
              <w:t> </w:t>
            </w:r>
            <w:r>
              <w:rPr>
                <w:w w:val="85"/>
                <w:sz w:val="16"/>
              </w:rPr>
              <w:t>km2.</w:t>
            </w:r>
          </w:p>
          <w:p>
            <w:pPr>
              <w:pStyle w:val="TableParagraph"/>
              <w:ind w:right="104"/>
              <w:jc w:val="both"/>
              <w:rPr>
                <w:sz w:val="16"/>
              </w:rPr>
            </w:pPr>
            <w:r>
              <w:rPr>
                <w:w w:val="85"/>
                <w:sz w:val="16"/>
              </w:rPr>
              <w:t>-Densamente poblados ÷ 14,999 y 1,000 hab. por km2.</w:t>
            </w:r>
          </w:p>
          <w:p>
            <w:pPr>
              <w:pStyle w:val="TableParagraph"/>
              <w:ind w:right="105"/>
              <w:jc w:val="both"/>
              <w:rPr>
                <w:sz w:val="16"/>
              </w:rPr>
            </w:pPr>
            <w:r>
              <w:rPr>
                <w:w w:val="90"/>
                <w:sz w:val="16"/>
              </w:rPr>
              <w:t>-Densidad de población media ÷ 999 y 500 </w:t>
            </w:r>
            <w:r>
              <w:rPr>
                <w:w w:val="85"/>
                <w:sz w:val="16"/>
              </w:rPr>
              <w:t>hab. por km2.</w:t>
            </w:r>
          </w:p>
          <w:p>
            <w:pPr>
              <w:pStyle w:val="TableParagraph"/>
              <w:ind w:right="103"/>
              <w:jc w:val="both"/>
              <w:rPr>
                <w:sz w:val="16"/>
              </w:rPr>
            </w:pPr>
            <w:r>
              <w:rPr>
                <w:w w:val="90"/>
                <w:sz w:val="16"/>
              </w:rPr>
              <w:t>-Baja</w:t>
            </w:r>
            <w:r>
              <w:rPr>
                <w:spacing w:val="-23"/>
                <w:w w:val="90"/>
                <w:sz w:val="16"/>
              </w:rPr>
              <w:t> </w:t>
            </w:r>
            <w:r>
              <w:rPr>
                <w:w w:val="90"/>
                <w:sz w:val="16"/>
              </w:rPr>
              <w:t>densidad</w:t>
            </w:r>
            <w:r>
              <w:rPr>
                <w:spacing w:val="-23"/>
                <w:w w:val="90"/>
                <w:sz w:val="16"/>
              </w:rPr>
              <w:t> </w:t>
            </w:r>
            <w:r>
              <w:rPr>
                <w:w w:val="90"/>
                <w:sz w:val="16"/>
              </w:rPr>
              <w:t>de</w:t>
            </w:r>
            <w:r>
              <w:rPr>
                <w:spacing w:val="-23"/>
                <w:w w:val="90"/>
                <w:sz w:val="16"/>
              </w:rPr>
              <w:t> </w:t>
            </w:r>
            <w:r>
              <w:rPr>
                <w:w w:val="90"/>
                <w:sz w:val="16"/>
              </w:rPr>
              <w:t>población</w:t>
            </w:r>
            <w:r>
              <w:rPr>
                <w:spacing w:val="-22"/>
                <w:w w:val="90"/>
                <w:sz w:val="16"/>
              </w:rPr>
              <w:t> </w:t>
            </w:r>
            <w:r>
              <w:rPr>
                <w:w w:val="90"/>
                <w:sz w:val="16"/>
              </w:rPr>
              <w:t>÷</w:t>
            </w:r>
            <w:r>
              <w:rPr>
                <w:spacing w:val="-23"/>
                <w:w w:val="90"/>
                <w:sz w:val="16"/>
              </w:rPr>
              <w:t> </w:t>
            </w:r>
            <w:r>
              <w:rPr>
                <w:w w:val="90"/>
                <w:sz w:val="16"/>
              </w:rPr>
              <w:t>499</w:t>
            </w:r>
            <w:r>
              <w:rPr>
                <w:spacing w:val="-22"/>
                <w:w w:val="90"/>
                <w:sz w:val="16"/>
              </w:rPr>
              <w:t> </w:t>
            </w:r>
            <w:r>
              <w:rPr>
                <w:w w:val="90"/>
                <w:sz w:val="16"/>
              </w:rPr>
              <w:t>y</w:t>
            </w:r>
            <w:r>
              <w:rPr>
                <w:spacing w:val="-23"/>
                <w:w w:val="90"/>
                <w:sz w:val="16"/>
              </w:rPr>
              <w:t> </w:t>
            </w:r>
            <w:r>
              <w:rPr>
                <w:w w:val="90"/>
                <w:sz w:val="16"/>
              </w:rPr>
              <w:t>100</w:t>
            </w:r>
            <w:r>
              <w:rPr>
                <w:spacing w:val="-22"/>
                <w:w w:val="90"/>
                <w:sz w:val="16"/>
              </w:rPr>
              <w:t> </w:t>
            </w:r>
            <w:r>
              <w:rPr>
                <w:w w:val="90"/>
                <w:sz w:val="16"/>
              </w:rPr>
              <w:t>hab. </w:t>
            </w:r>
            <w:r>
              <w:rPr>
                <w:w w:val="95"/>
                <w:sz w:val="16"/>
              </w:rPr>
              <w:t>km2.</w:t>
            </w:r>
          </w:p>
          <w:p>
            <w:pPr>
              <w:pStyle w:val="TableParagraph"/>
              <w:ind w:right="103"/>
              <w:jc w:val="both"/>
              <w:rPr>
                <w:sz w:val="16"/>
              </w:rPr>
            </w:pPr>
            <w:r>
              <w:rPr>
                <w:w w:val="85"/>
                <w:sz w:val="16"/>
              </w:rPr>
              <w:t>-Muy</w:t>
            </w:r>
            <w:r>
              <w:rPr>
                <w:spacing w:val="-7"/>
                <w:w w:val="85"/>
                <w:sz w:val="16"/>
              </w:rPr>
              <w:t> </w:t>
            </w:r>
            <w:r>
              <w:rPr>
                <w:w w:val="85"/>
                <w:sz w:val="16"/>
              </w:rPr>
              <w:t>baja</w:t>
            </w:r>
            <w:r>
              <w:rPr>
                <w:spacing w:val="-7"/>
                <w:w w:val="85"/>
                <w:sz w:val="16"/>
              </w:rPr>
              <w:t> </w:t>
            </w:r>
            <w:r>
              <w:rPr>
                <w:w w:val="85"/>
                <w:sz w:val="16"/>
              </w:rPr>
              <w:t>densidad</w:t>
            </w:r>
            <w:r>
              <w:rPr>
                <w:spacing w:val="-7"/>
                <w:w w:val="85"/>
                <w:sz w:val="16"/>
              </w:rPr>
              <w:t> </w:t>
            </w:r>
            <w:r>
              <w:rPr>
                <w:w w:val="85"/>
                <w:sz w:val="16"/>
              </w:rPr>
              <w:t>de</w:t>
            </w:r>
            <w:r>
              <w:rPr>
                <w:spacing w:val="-7"/>
                <w:w w:val="85"/>
                <w:sz w:val="16"/>
              </w:rPr>
              <w:t> </w:t>
            </w:r>
            <w:r>
              <w:rPr>
                <w:w w:val="85"/>
                <w:sz w:val="16"/>
              </w:rPr>
              <w:t>población</w:t>
            </w:r>
            <w:r>
              <w:rPr>
                <w:spacing w:val="-5"/>
                <w:w w:val="85"/>
                <w:sz w:val="16"/>
              </w:rPr>
              <w:t> </w:t>
            </w:r>
            <w:r>
              <w:rPr>
                <w:w w:val="85"/>
                <w:sz w:val="16"/>
              </w:rPr>
              <w:t>&lt;</w:t>
            </w:r>
            <w:r>
              <w:rPr>
                <w:spacing w:val="-8"/>
                <w:w w:val="85"/>
                <w:sz w:val="16"/>
              </w:rPr>
              <w:t> </w:t>
            </w:r>
            <w:r>
              <w:rPr>
                <w:w w:val="85"/>
                <w:sz w:val="16"/>
              </w:rPr>
              <w:t>a</w:t>
            </w:r>
            <w:r>
              <w:rPr>
                <w:spacing w:val="-7"/>
                <w:w w:val="85"/>
                <w:sz w:val="16"/>
              </w:rPr>
              <w:t> </w:t>
            </w:r>
            <w:r>
              <w:rPr>
                <w:w w:val="85"/>
                <w:sz w:val="16"/>
              </w:rPr>
              <w:t>100</w:t>
            </w:r>
            <w:r>
              <w:rPr>
                <w:spacing w:val="-7"/>
                <w:w w:val="85"/>
                <w:sz w:val="16"/>
              </w:rPr>
              <w:t> </w:t>
            </w:r>
            <w:r>
              <w:rPr>
                <w:w w:val="85"/>
                <w:sz w:val="16"/>
              </w:rPr>
              <w:t>hab. por</w:t>
            </w:r>
            <w:r>
              <w:rPr>
                <w:spacing w:val="-19"/>
                <w:w w:val="85"/>
                <w:sz w:val="16"/>
              </w:rPr>
              <w:t> </w:t>
            </w:r>
            <w:r>
              <w:rPr>
                <w:w w:val="85"/>
                <w:sz w:val="16"/>
              </w:rPr>
              <w:t>km2.</w:t>
            </w:r>
          </w:p>
          <w:p>
            <w:pPr>
              <w:pStyle w:val="TableParagraph"/>
              <w:spacing w:before="10"/>
              <w:ind w:left="0"/>
              <w:rPr>
                <w:rFonts w:ascii="Times New Roman"/>
                <w:sz w:val="15"/>
              </w:rPr>
            </w:pPr>
          </w:p>
          <w:p>
            <w:pPr>
              <w:pStyle w:val="TableParagraph"/>
              <w:ind w:right="106"/>
              <w:jc w:val="both"/>
              <w:rPr>
                <w:sz w:val="16"/>
              </w:rPr>
            </w:pPr>
            <w:r>
              <w:rPr>
                <w:w w:val="90"/>
                <w:sz w:val="16"/>
              </w:rPr>
              <w:t>Las</w:t>
            </w:r>
            <w:r>
              <w:rPr>
                <w:spacing w:val="-14"/>
                <w:w w:val="90"/>
                <w:sz w:val="16"/>
              </w:rPr>
              <w:t> </w:t>
            </w:r>
            <w:r>
              <w:rPr>
                <w:w w:val="90"/>
                <w:sz w:val="16"/>
              </w:rPr>
              <w:t>provincias</w:t>
            </w:r>
            <w:r>
              <w:rPr>
                <w:spacing w:val="-14"/>
                <w:w w:val="90"/>
                <w:sz w:val="16"/>
              </w:rPr>
              <w:t> </w:t>
            </w:r>
            <w:r>
              <w:rPr>
                <w:w w:val="90"/>
                <w:sz w:val="16"/>
              </w:rPr>
              <w:t>de</w:t>
            </w:r>
            <w:r>
              <w:rPr>
                <w:spacing w:val="-13"/>
                <w:w w:val="90"/>
                <w:sz w:val="16"/>
              </w:rPr>
              <w:t> </w:t>
            </w:r>
            <w:r>
              <w:rPr>
                <w:w w:val="90"/>
                <w:sz w:val="16"/>
              </w:rPr>
              <w:t>Costa</w:t>
            </w:r>
            <w:r>
              <w:rPr>
                <w:spacing w:val="-13"/>
                <w:w w:val="90"/>
                <w:sz w:val="16"/>
              </w:rPr>
              <w:t> </w:t>
            </w:r>
            <w:r>
              <w:rPr>
                <w:w w:val="90"/>
                <w:sz w:val="16"/>
              </w:rPr>
              <w:t>Rica</w:t>
            </w:r>
            <w:r>
              <w:rPr>
                <w:spacing w:val="-13"/>
                <w:w w:val="90"/>
                <w:sz w:val="16"/>
              </w:rPr>
              <w:t> </w:t>
            </w:r>
            <w:r>
              <w:rPr>
                <w:w w:val="90"/>
                <w:sz w:val="16"/>
              </w:rPr>
              <w:t>en</w:t>
            </w:r>
            <w:r>
              <w:rPr>
                <w:spacing w:val="-12"/>
                <w:w w:val="90"/>
                <w:sz w:val="16"/>
              </w:rPr>
              <w:t> </w:t>
            </w:r>
            <w:r>
              <w:rPr>
                <w:w w:val="90"/>
                <w:sz w:val="16"/>
              </w:rPr>
              <w:t>cuanto</w:t>
            </w:r>
            <w:r>
              <w:rPr>
                <w:spacing w:val="-13"/>
                <w:w w:val="90"/>
                <w:sz w:val="16"/>
              </w:rPr>
              <w:t> </w:t>
            </w:r>
            <w:r>
              <w:rPr>
                <w:w w:val="90"/>
                <w:sz w:val="16"/>
              </w:rPr>
              <w:t>a</w:t>
            </w:r>
            <w:r>
              <w:rPr>
                <w:spacing w:val="-12"/>
                <w:w w:val="90"/>
                <w:sz w:val="16"/>
              </w:rPr>
              <w:t> </w:t>
            </w:r>
            <w:r>
              <w:rPr>
                <w:w w:val="90"/>
                <w:sz w:val="16"/>
              </w:rPr>
              <w:t>su </w:t>
            </w:r>
            <w:r>
              <w:rPr>
                <w:w w:val="85"/>
                <w:sz w:val="16"/>
              </w:rPr>
              <w:t>densidad</w:t>
            </w:r>
            <w:r>
              <w:rPr>
                <w:spacing w:val="-18"/>
                <w:w w:val="85"/>
                <w:sz w:val="16"/>
              </w:rPr>
              <w:t> </w:t>
            </w:r>
            <w:r>
              <w:rPr>
                <w:w w:val="85"/>
                <w:sz w:val="16"/>
              </w:rPr>
              <w:t>de</w:t>
            </w:r>
            <w:r>
              <w:rPr>
                <w:spacing w:val="-18"/>
                <w:w w:val="85"/>
                <w:sz w:val="16"/>
              </w:rPr>
              <w:t> </w:t>
            </w:r>
            <w:r>
              <w:rPr>
                <w:w w:val="85"/>
                <w:sz w:val="16"/>
              </w:rPr>
              <w:t>población</w:t>
            </w:r>
            <w:r>
              <w:rPr>
                <w:spacing w:val="1"/>
                <w:w w:val="85"/>
                <w:sz w:val="16"/>
              </w:rPr>
              <w:t> </w:t>
            </w:r>
            <w:r>
              <w:rPr>
                <w:w w:val="85"/>
                <w:sz w:val="16"/>
              </w:rPr>
              <w:t>se</w:t>
            </w:r>
            <w:r>
              <w:rPr>
                <w:spacing w:val="-18"/>
                <w:w w:val="85"/>
                <w:sz w:val="16"/>
              </w:rPr>
              <w:t> </w:t>
            </w:r>
            <w:r>
              <w:rPr>
                <w:w w:val="85"/>
                <w:sz w:val="16"/>
              </w:rPr>
              <w:t>clasifican</w:t>
            </w:r>
            <w:r>
              <w:rPr>
                <w:spacing w:val="-18"/>
                <w:w w:val="85"/>
                <w:sz w:val="16"/>
              </w:rPr>
              <w:t> </w:t>
            </w:r>
            <w:r>
              <w:rPr>
                <w:w w:val="85"/>
                <w:sz w:val="16"/>
              </w:rPr>
              <w:t>en:</w:t>
            </w:r>
          </w:p>
          <w:p>
            <w:pPr>
              <w:pStyle w:val="TableParagraph"/>
              <w:spacing w:line="183" w:lineRule="exact" w:before="1"/>
              <w:jc w:val="both"/>
              <w:rPr>
                <w:sz w:val="16"/>
              </w:rPr>
            </w:pPr>
            <w:r>
              <w:rPr>
                <w:w w:val="85"/>
                <w:sz w:val="16"/>
              </w:rPr>
              <w:t>-Densamente pobladas = o &gt; 300 hab/km2.</w:t>
            </w:r>
          </w:p>
          <w:p>
            <w:pPr>
              <w:pStyle w:val="TableParagraph"/>
              <w:spacing w:line="183" w:lineRule="exact"/>
              <w:jc w:val="both"/>
              <w:rPr>
                <w:sz w:val="16"/>
              </w:rPr>
            </w:pPr>
            <w:r>
              <w:rPr>
                <w:w w:val="85"/>
                <w:sz w:val="16"/>
              </w:rPr>
              <w:t>-Densidad Media ÷ 299 y 100 hab/km2.</w:t>
            </w:r>
          </w:p>
          <w:p>
            <w:pPr>
              <w:pStyle w:val="TableParagraph"/>
              <w:spacing w:before="1"/>
              <w:jc w:val="both"/>
              <w:rPr>
                <w:sz w:val="16"/>
              </w:rPr>
            </w:pPr>
            <w:r>
              <w:rPr>
                <w:w w:val="85"/>
                <w:sz w:val="16"/>
              </w:rPr>
              <w:t>-Baja densidad&lt; o = a 99 hab/km2.</w:t>
            </w:r>
          </w:p>
          <w:p>
            <w:pPr>
              <w:pStyle w:val="TableParagraph"/>
              <w:spacing w:before="11"/>
              <w:ind w:left="0"/>
              <w:rPr>
                <w:rFonts w:ascii="Times New Roman"/>
                <w:sz w:val="15"/>
              </w:rPr>
            </w:pPr>
          </w:p>
          <w:p>
            <w:pPr>
              <w:pStyle w:val="TableParagraph"/>
              <w:ind w:right="104"/>
              <w:jc w:val="both"/>
              <w:rPr>
                <w:sz w:val="16"/>
              </w:rPr>
            </w:pPr>
            <w:r>
              <w:rPr>
                <w:w w:val="90"/>
                <w:sz w:val="16"/>
              </w:rPr>
              <w:t>Los</w:t>
            </w:r>
            <w:r>
              <w:rPr>
                <w:spacing w:val="-18"/>
                <w:w w:val="90"/>
                <w:sz w:val="16"/>
              </w:rPr>
              <w:t> </w:t>
            </w:r>
            <w:r>
              <w:rPr>
                <w:w w:val="90"/>
                <w:sz w:val="16"/>
              </w:rPr>
              <w:t>cantones</w:t>
            </w:r>
            <w:r>
              <w:rPr>
                <w:spacing w:val="-18"/>
                <w:w w:val="90"/>
                <w:sz w:val="16"/>
              </w:rPr>
              <w:t> </w:t>
            </w:r>
            <w:r>
              <w:rPr>
                <w:w w:val="90"/>
                <w:sz w:val="16"/>
              </w:rPr>
              <w:t>de</w:t>
            </w:r>
            <w:r>
              <w:rPr>
                <w:spacing w:val="-17"/>
                <w:w w:val="90"/>
                <w:sz w:val="16"/>
              </w:rPr>
              <w:t> </w:t>
            </w:r>
            <w:r>
              <w:rPr>
                <w:w w:val="90"/>
                <w:sz w:val="16"/>
              </w:rPr>
              <w:t>la</w:t>
            </w:r>
            <w:r>
              <w:rPr>
                <w:spacing w:val="-17"/>
                <w:w w:val="90"/>
                <w:sz w:val="16"/>
              </w:rPr>
              <w:t> </w:t>
            </w:r>
            <w:r>
              <w:rPr>
                <w:w w:val="90"/>
                <w:sz w:val="16"/>
              </w:rPr>
              <w:t>Provincia</w:t>
            </w:r>
            <w:r>
              <w:rPr>
                <w:spacing w:val="-17"/>
                <w:w w:val="90"/>
                <w:sz w:val="16"/>
              </w:rPr>
              <w:t> </w:t>
            </w:r>
            <w:r>
              <w:rPr>
                <w:w w:val="90"/>
                <w:sz w:val="16"/>
              </w:rPr>
              <w:t>de</w:t>
            </w:r>
            <w:r>
              <w:rPr>
                <w:spacing w:val="-17"/>
                <w:w w:val="90"/>
                <w:sz w:val="16"/>
              </w:rPr>
              <w:t> </w:t>
            </w:r>
            <w:r>
              <w:rPr>
                <w:w w:val="90"/>
                <w:sz w:val="16"/>
              </w:rPr>
              <w:t>San</w:t>
            </w:r>
            <w:r>
              <w:rPr>
                <w:spacing w:val="-17"/>
                <w:w w:val="90"/>
                <w:sz w:val="16"/>
              </w:rPr>
              <w:t> </w:t>
            </w:r>
            <w:r>
              <w:rPr>
                <w:w w:val="90"/>
                <w:sz w:val="16"/>
              </w:rPr>
              <w:t>José</w:t>
            </w:r>
            <w:r>
              <w:rPr>
                <w:spacing w:val="-17"/>
                <w:w w:val="90"/>
                <w:sz w:val="16"/>
              </w:rPr>
              <w:t> </w:t>
            </w:r>
            <w:r>
              <w:rPr>
                <w:w w:val="90"/>
                <w:sz w:val="16"/>
              </w:rPr>
              <w:t>de acuerdo con su densidad de población se </w:t>
            </w:r>
            <w:r>
              <w:rPr>
                <w:w w:val="80"/>
                <w:sz w:val="16"/>
              </w:rPr>
              <w:t>clasifican</w:t>
            </w:r>
            <w:r>
              <w:rPr>
                <w:spacing w:val="14"/>
                <w:w w:val="80"/>
                <w:sz w:val="16"/>
              </w:rPr>
              <w:t> </w:t>
            </w:r>
            <w:r>
              <w:rPr>
                <w:w w:val="80"/>
                <w:sz w:val="16"/>
              </w:rPr>
              <w:t>como:</w:t>
            </w:r>
          </w:p>
          <w:p>
            <w:pPr>
              <w:pStyle w:val="TableParagraph"/>
              <w:ind w:right="104"/>
              <w:jc w:val="both"/>
              <w:rPr>
                <w:sz w:val="16"/>
              </w:rPr>
            </w:pPr>
            <w:r>
              <w:rPr>
                <w:w w:val="90"/>
                <w:sz w:val="16"/>
              </w:rPr>
              <w:t>- Muy densamente poblados = o &gt; 5,000 hab/km2.</w:t>
            </w:r>
          </w:p>
          <w:p>
            <w:pPr>
              <w:pStyle w:val="TableParagraph"/>
              <w:ind w:right="104"/>
              <w:jc w:val="both"/>
              <w:rPr>
                <w:sz w:val="16"/>
              </w:rPr>
            </w:pPr>
            <w:r>
              <w:rPr>
                <w:w w:val="95"/>
                <w:sz w:val="16"/>
              </w:rPr>
              <w:t>-Densamente poblados ÷ 4,999 y 2,000 hab/km2.</w:t>
            </w:r>
          </w:p>
          <w:p>
            <w:pPr>
              <w:pStyle w:val="TableParagraph"/>
              <w:spacing w:line="182" w:lineRule="exact"/>
              <w:jc w:val="both"/>
              <w:rPr>
                <w:sz w:val="16"/>
              </w:rPr>
            </w:pPr>
            <w:r>
              <w:rPr>
                <w:w w:val="85"/>
                <w:sz w:val="16"/>
              </w:rPr>
              <w:t>-Densidad media ÷ 1,999 y 100 habkm2.</w:t>
            </w:r>
          </w:p>
          <w:p>
            <w:pPr>
              <w:pStyle w:val="TableParagraph"/>
              <w:spacing w:before="1"/>
              <w:jc w:val="both"/>
              <w:rPr>
                <w:sz w:val="16"/>
              </w:rPr>
            </w:pPr>
            <w:r>
              <w:rPr>
                <w:w w:val="85"/>
                <w:sz w:val="16"/>
              </w:rPr>
              <w:t>-Densidad baja &lt; o = a 99 hab/km2.</w:t>
            </w:r>
          </w:p>
        </w:tc>
      </w:tr>
      <w:tr>
        <w:trPr>
          <w:trHeight w:val="1846" w:hRule="exact"/>
        </w:trPr>
        <w:tc>
          <w:tcPr>
            <w:tcW w:w="1138" w:type="dxa"/>
            <w:vMerge/>
          </w:tcPr>
          <w:p>
            <w:pPr/>
          </w:p>
        </w:tc>
        <w:tc>
          <w:tcPr>
            <w:tcW w:w="1130" w:type="dxa"/>
          </w:tcPr>
          <w:p>
            <w:pPr>
              <w:pStyle w:val="TableParagraph"/>
              <w:spacing w:line="237" w:lineRule="auto"/>
              <w:ind w:left="100" w:right="173"/>
              <w:rPr>
                <w:rFonts w:ascii="Trebuchet MS" w:hAnsi="Trebuchet MS"/>
                <w:b/>
                <w:sz w:val="16"/>
              </w:rPr>
            </w:pPr>
            <w:r>
              <w:rPr>
                <w:rFonts w:ascii="Trebuchet MS" w:hAnsi="Trebuchet MS"/>
                <w:b/>
                <w:w w:val="85"/>
                <w:sz w:val="16"/>
              </w:rPr>
              <w:t>Organización </w:t>
            </w:r>
            <w:r>
              <w:rPr>
                <w:rFonts w:ascii="Trebuchet MS" w:hAnsi="Trebuchet MS"/>
                <w:b/>
                <w:w w:val="90"/>
                <w:sz w:val="16"/>
              </w:rPr>
              <w:t>político- territorial</w:t>
            </w:r>
          </w:p>
        </w:tc>
        <w:tc>
          <w:tcPr>
            <w:tcW w:w="2410" w:type="dxa"/>
          </w:tcPr>
          <w:p>
            <w:pPr>
              <w:pStyle w:val="TableParagraph"/>
              <w:ind w:left="0" w:right="187"/>
              <w:rPr>
                <w:sz w:val="16"/>
              </w:rPr>
            </w:pPr>
            <w:r>
              <w:rPr>
                <w:w w:val="90"/>
                <w:sz w:val="16"/>
              </w:rPr>
              <w:t>Estado federal y Estado unitario o centralista</w:t>
            </w:r>
          </w:p>
        </w:tc>
        <w:tc>
          <w:tcPr>
            <w:tcW w:w="1419" w:type="dxa"/>
          </w:tcPr>
          <w:p>
            <w:pPr>
              <w:pStyle w:val="TableParagraph"/>
              <w:ind w:left="-1"/>
              <w:rPr>
                <w:sz w:val="16"/>
              </w:rPr>
            </w:pPr>
            <w:r>
              <w:rPr>
                <w:w w:val="90"/>
                <w:sz w:val="16"/>
              </w:rPr>
              <w:t>Tipo de organización político-territorial establecido en sus respectivas constituciones.</w:t>
            </w:r>
          </w:p>
        </w:tc>
        <w:tc>
          <w:tcPr>
            <w:tcW w:w="1416" w:type="dxa"/>
          </w:tcPr>
          <w:p>
            <w:pPr>
              <w:pStyle w:val="TableParagraph"/>
              <w:tabs>
                <w:tab w:pos="1197" w:val="left" w:leader="none"/>
              </w:tabs>
              <w:ind w:left="-1" w:right="-4" w:firstLine="36"/>
              <w:jc w:val="both"/>
              <w:rPr>
                <w:sz w:val="16"/>
              </w:rPr>
            </w:pPr>
            <w:r>
              <w:rPr>
                <w:w w:val="90"/>
                <w:sz w:val="16"/>
              </w:rPr>
              <w:t>Tratados de Córdoba (Iturbide y O´Donojú, 1821),</w:t>
              <w:tab/>
            </w:r>
            <w:r>
              <w:rPr>
                <w:spacing w:val="-1"/>
                <w:w w:val="80"/>
                <w:sz w:val="16"/>
              </w:rPr>
              <w:t>Las</w:t>
            </w:r>
          </w:p>
          <w:p>
            <w:pPr>
              <w:pStyle w:val="TableParagraph"/>
              <w:spacing w:before="1"/>
              <w:ind w:left="-1" w:right="-2"/>
              <w:jc w:val="both"/>
              <w:rPr>
                <w:sz w:val="16"/>
              </w:rPr>
            </w:pPr>
            <w:r>
              <w:rPr>
                <w:w w:val="90"/>
                <w:sz w:val="16"/>
              </w:rPr>
              <w:t>Constituciones de México   1824-   1991</w:t>
            </w:r>
          </w:p>
          <w:p>
            <w:pPr>
              <w:pStyle w:val="TableParagraph"/>
              <w:tabs>
                <w:tab w:pos="1036" w:val="left" w:leader="none"/>
              </w:tabs>
              <w:spacing w:line="183" w:lineRule="exact" w:before="1"/>
              <w:ind w:left="-1"/>
              <w:jc w:val="both"/>
              <w:rPr>
                <w:sz w:val="16"/>
              </w:rPr>
            </w:pPr>
            <w:r>
              <w:rPr>
                <w:w w:val="90"/>
                <w:sz w:val="16"/>
              </w:rPr>
              <w:t>(CDHCU,</w:t>
              <w:tab/>
            </w:r>
            <w:r>
              <w:rPr>
                <w:spacing w:val="-1"/>
                <w:w w:val="80"/>
                <w:sz w:val="16"/>
              </w:rPr>
              <w:t>1991),</w:t>
            </w:r>
          </w:p>
          <w:p>
            <w:pPr>
              <w:pStyle w:val="TableParagraph"/>
              <w:ind w:left="-1" w:right="-3"/>
              <w:jc w:val="both"/>
              <w:rPr>
                <w:sz w:val="16"/>
              </w:rPr>
            </w:pPr>
            <w:r>
              <w:rPr>
                <w:w w:val="85"/>
                <w:sz w:val="16"/>
              </w:rPr>
              <w:t>Ossorio (2004), Inafed, IFE,</w:t>
            </w:r>
            <w:r>
              <w:rPr>
                <w:spacing w:val="-23"/>
                <w:w w:val="85"/>
                <w:sz w:val="16"/>
              </w:rPr>
              <w:t> </w:t>
            </w:r>
            <w:r>
              <w:rPr>
                <w:w w:val="85"/>
                <w:sz w:val="16"/>
              </w:rPr>
              <w:t>IEEM,</w:t>
            </w:r>
            <w:r>
              <w:rPr>
                <w:spacing w:val="-24"/>
                <w:w w:val="85"/>
                <w:sz w:val="16"/>
              </w:rPr>
              <w:t> </w:t>
            </w:r>
            <w:r>
              <w:rPr>
                <w:w w:val="85"/>
                <w:sz w:val="16"/>
              </w:rPr>
              <w:t>TSE,TEPJF, TEEM</w:t>
            </w:r>
            <w:r>
              <w:rPr>
                <w:spacing w:val="-17"/>
                <w:w w:val="85"/>
                <w:sz w:val="16"/>
              </w:rPr>
              <w:t> </w:t>
            </w:r>
            <w:r>
              <w:rPr>
                <w:w w:val="85"/>
                <w:sz w:val="16"/>
              </w:rPr>
              <w:t>y</w:t>
            </w:r>
          </w:p>
          <w:p>
            <w:pPr>
              <w:pStyle w:val="TableParagraph"/>
              <w:spacing w:before="1"/>
              <w:ind w:left="35"/>
              <w:jc w:val="both"/>
              <w:rPr>
                <w:sz w:val="16"/>
              </w:rPr>
            </w:pPr>
            <w:r>
              <w:rPr>
                <w:w w:val="90"/>
                <w:sz w:val="16"/>
              </w:rPr>
              <w:t>FEPADE.</w:t>
            </w:r>
          </w:p>
        </w:tc>
        <w:tc>
          <w:tcPr>
            <w:tcW w:w="2979" w:type="dxa"/>
          </w:tcPr>
          <w:p>
            <w:pPr>
              <w:pStyle w:val="TableParagraph"/>
              <w:spacing w:line="180" w:lineRule="exact"/>
              <w:rPr>
                <w:sz w:val="16"/>
              </w:rPr>
            </w:pPr>
            <w:r>
              <w:rPr>
                <w:w w:val="80"/>
                <w:sz w:val="16"/>
              </w:rPr>
              <w:t>Sin evaluación cuantitativa ni cualitativa.</w:t>
            </w:r>
          </w:p>
        </w:tc>
      </w:tr>
      <w:tr>
        <w:trPr>
          <w:trHeight w:val="4969" w:hRule="exact"/>
        </w:trPr>
        <w:tc>
          <w:tcPr>
            <w:tcW w:w="1138" w:type="dxa"/>
            <w:vMerge/>
          </w:tcPr>
          <w:p>
            <w:pPr/>
          </w:p>
        </w:tc>
        <w:tc>
          <w:tcPr>
            <w:tcW w:w="1130" w:type="dxa"/>
          </w:tcPr>
          <w:p>
            <w:pPr>
              <w:pStyle w:val="TableParagraph"/>
              <w:spacing w:line="237" w:lineRule="auto"/>
              <w:ind w:left="100" w:right="455"/>
              <w:rPr>
                <w:rFonts w:ascii="Trebuchet MS" w:hAnsi="Trebuchet MS"/>
                <w:b/>
                <w:sz w:val="16"/>
              </w:rPr>
            </w:pPr>
            <w:r>
              <w:rPr>
                <w:rFonts w:ascii="Trebuchet MS" w:hAnsi="Trebuchet MS"/>
                <w:b/>
                <w:w w:val="85"/>
                <w:sz w:val="16"/>
              </w:rPr>
              <w:t>Régimen </w:t>
            </w:r>
            <w:r>
              <w:rPr>
                <w:rFonts w:ascii="Trebuchet MS" w:hAnsi="Trebuchet MS"/>
                <w:b/>
                <w:w w:val="90"/>
                <w:sz w:val="16"/>
              </w:rPr>
              <w:t>político</w:t>
            </w:r>
          </w:p>
          <w:p>
            <w:pPr>
              <w:pStyle w:val="TableParagraph"/>
              <w:tabs>
                <w:tab w:pos="851" w:val="left" w:leader="none"/>
              </w:tabs>
              <w:ind w:left="100" w:right="100"/>
              <w:rPr>
                <w:sz w:val="16"/>
              </w:rPr>
            </w:pPr>
            <w:r>
              <w:rPr>
                <w:w w:val="85"/>
                <w:sz w:val="16"/>
              </w:rPr>
              <w:t>(visión</w:t>
            </w:r>
            <w:r>
              <w:rPr>
                <w:spacing w:val="-22"/>
                <w:w w:val="85"/>
                <w:sz w:val="16"/>
              </w:rPr>
              <w:t> </w:t>
            </w:r>
            <w:r>
              <w:rPr>
                <w:w w:val="85"/>
                <w:sz w:val="16"/>
              </w:rPr>
              <w:t>histórica </w:t>
            </w:r>
            <w:r>
              <w:rPr>
                <w:w w:val="90"/>
                <w:sz w:val="16"/>
              </w:rPr>
              <w:t>de</w:t>
              <w:tab/>
            </w:r>
            <w:r>
              <w:rPr>
                <w:spacing w:val="-1"/>
                <w:w w:val="80"/>
                <w:sz w:val="16"/>
              </w:rPr>
              <w:t>las</w:t>
            </w:r>
          </w:p>
          <w:p>
            <w:pPr>
              <w:pStyle w:val="TableParagraph"/>
              <w:spacing w:line="182" w:lineRule="exact"/>
              <w:ind w:left="100" w:right="100"/>
              <w:rPr>
                <w:sz w:val="16"/>
              </w:rPr>
            </w:pPr>
            <w:r>
              <w:rPr>
                <w:w w:val="90"/>
                <w:sz w:val="16"/>
              </w:rPr>
              <w:t>elecciones)</w:t>
            </w:r>
          </w:p>
        </w:tc>
        <w:tc>
          <w:tcPr>
            <w:tcW w:w="2410" w:type="dxa"/>
          </w:tcPr>
          <w:p>
            <w:pPr>
              <w:pStyle w:val="TableParagraph"/>
              <w:ind w:left="0" w:right="90"/>
              <w:rPr>
                <w:sz w:val="16"/>
              </w:rPr>
            </w:pPr>
            <w:r>
              <w:rPr>
                <w:w w:val="90"/>
                <w:sz w:val="16"/>
              </w:rPr>
              <w:t>Alternancia en el poder ejecutivo </w:t>
            </w:r>
            <w:r>
              <w:rPr>
                <w:w w:val="80"/>
                <w:sz w:val="16"/>
              </w:rPr>
              <w:t>nacional, estatal-municipal y</w:t>
            </w:r>
            <w:r>
              <w:rPr>
                <w:spacing w:val="31"/>
                <w:w w:val="80"/>
                <w:sz w:val="16"/>
              </w:rPr>
              <w:t> </w:t>
            </w:r>
            <w:r>
              <w:rPr>
                <w:w w:val="80"/>
                <w:sz w:val="16"/>
              </w:rPr>
              <w:t>cantonal.</w:t>
            </w:r>
          </w:p>
        </w:tc>
        <w:tc>
          <w:tcPr>
            <w:tcW w:w="1419" w:type="dxa"/>
          </w:tcPr>
          <w:p>
            <w:pPr>
              <w:pStyle w:val="TableParagraph"/>
              <w:spacing w:line="181" w:lineRule="exact"/>
              <w:ind w:left="-1"/>
              <w:jc w:val="both"/>
              <w:rPr>
                <w:sz w:val="16"/>
              </w:rPr>
            </w:pPr>
            <w:r>
              <w:rPr>
                <w:w w:val="90"/>
                <w:sz w:val="16"/>
              </w:rPr>
              <w:t>Costa        rica       ha</w:t>
            </w:r>
          </w:p>
          <w:p>
            <w:pPr>
              <w:pStyle w:val="TableParagraph"/>
              <w:tabs>
                <w:tab w:pos="1307" w:val="left" w:leader="none"/>
              </w:tabs>
              <w:spacing w:before="1"/>
              <w:ind w:left="-1" w:right="-2"/>
              <w:jc w:val="both"/>
              <w:rPr>
                <w:sz w:val="16"/>
              </w:rPr>
            </w:pPr>
            <w:r>
              <w:rPr>
                <w:w w:val="85"/>
                <w:sz w:val="16"/>
              </w:rPr>
              <w:t>protagonizado</w:t>
              <w:tab/>
            </w:r>
            <w:r>
              <w:rPr>
                <w:w w:val="80"/>
                <w:sz w:val="16"/>
              </w:rPr>
              <w:t>el </w:t>
            </w:r>
            <w:r>
              <w:rPr>
                <w:w w:val="90"/>
                <w:sz w:val="16"/>
              </w:rPr>
              <w:t>régimen democrático más antiguo de América Latina y uno de los más sólidos desde 1948</w:t>
            </w:r>
            <w:r>
              <w:rPr>
                <w:spacing w:val="-11"/>
                <w:w w:val="90"/>
                <w:sz w:val="16"/>
              </w:rPr>
              <w:t> </w:t>
            </w:r>
            <w:r>
              <w:rPr>
                <w:w w:val="90"/>
                <w:sz w:val="16"/>
              </w:rPr>
              <w:t>(Freedom House); ha tenido </w:t>
            </w:r>
            <w:r>
              <w:rPr>
                <w:w w:val="85"/>
                <w:sz w:val="16"/>
              </w:rPr>
              <w:t>alternancia desde hace </w:t>
            </w:r>
            <w:r>
              <w:rPr>
                <w:w w:val="90"/>
                <w:sz w:val="16"/>
              </w:rPr>
              <w:t>décadas.</w:t>
            </w:r>
          </w:p>
          <w:p>
            <w:pPr>
              <w:pStyle w:val="TableParagraph"/>
              <w:tabs>
                <w:tab w:pos="1029" w:val="left" w:leader="none"/>
              </w:tabs>
              <w:ind w:left="-1" w:right="-2"/>
              <w:jc w:val="both"/>
              <w:rPr>
                <w:sz w:val="16"/>
              </w:rPr>
            </w:pPr>
            <w:r>
              <w:rPr>
                <w:w w:val="90"/>
                <w:sz w:val="16"/>
              </w:rPr>
              <w:t>En México se ubican dos periodos: uno de 1929 a 1997 (con el partido hegemónico)</w:t>
            </w:r>
            <w:r>
              <w:rPr>
                <w:spacing w:val="-18"/>
                <w:w w:val="90"/>
                <w:sz w:val="16"/>
              </w:rPr>
              <w:t> </w:t>
            </w:r>
            <w:r>
              <w:rPr>
                <w:w w:val="90"/>
                <w:sz w:val="16"/>
              </w:rPr>
              <w:t>y otro</w:t>
            </w:r>
            <w:r>
              <w:rPr>
                <w:spacing w:val="-23"/>
                <w:w w:val="90"/>
                <w:sz w:val="16"/>
              </w:rPr>
              <w:t> </w:t>
            </w:r>
            <w:r>
              <w:rPr>
                <w:w w:val="90"/>
                <w:sz w:val="16"/>
              </w:rPr>
              <w:t>de</w:t>
            </w:r>
            <w:r>
              <w:rPr>
                <w:spacing w:val="-24"/>
                <w:w w:val="90"/>
                <w:sz w:val="16"/>
              </w:rPr>
              <w:t> </w:t>
            </w:r>
            <w:r>
              <w:rPr>
                <w:w w:val="90"/>
                <w:sz w:val="16"/>
              </w:rPr>
              <w:t>1997-</w:t>
            </w:r>
            <w:r>
              <w:rPr>
                <w:spacing w:val="-24"/>
                <w:w w:val="90"/>
                <w:sz w:val="16"/>
              </w:rPr>
              <w:t> </w:t>
            </w:r>
            <w:r>
              <w:rPr>
                <w:w w:val="90"/>
                <w:sz w:val="16"/>
              </w:rPr>
              <w:t>a</w:t>
            </w:r>
            <w:r>
              <w:rPr>
                <w:spacing w:val="-23"/>
                <w:w w:val="90"/>
                <w:sz w:val="16"/>
              </w:rPr>
              <w:t> </w:t>
            </w:r>
            <w:r>
              <w:rPr>
                <w:w w:val="90"/>
                <w:sz w:val="16"/>
              </w:rPr>
              <w:t>la</w:t>
            </w:r>
            <w:r>
              <w:rPr>
                <w:spacing w:val="-23"/>
                <w:w w:val="90"/>
                <w:sz w:val="16"/>
              </w:rPr>
              <w:t> </w:t>
            </w:r>
            <w:r>
              <w:rPr>
                <w:w w:val="90"/>
                <w:sz w:val="16"/>
              </w:rPr>
              <w:t>fecha </w:t>
            </w:r>
            <w:r>
              <w:rPr>
                <w:w w:val="85"/>
                <w:sz w:val="16"/>
              </w:rPr>
              <w:t>(con</w:t>
            </w:r>
            <w:r>
              <w:rPr>
                <w:spacing w:val="-10"/>
                <w:w w:val="85"/>
                <w:sz w:val="16"/>
              </w:rPr>
              <w:t> </w:t>
            </w:r>
            <w:r>
              <w:rPr>
                <w:w w:val="85"/>
                <w:sz w:val="16"/>
              </w:rPr>
              <w:t>la</w:t>
            </w:r>
            <w:r>
              <w:rPr>
                <w:spacing w:val="-12"/>
                <w:w w:val="85"/>
                <w:sz w:val="16"/>
              </w:rPr>
              <w:t> </w:t>
            </w:r>
            <w:r>
              <w:rPr>
                <w:w w:val="85"/>
                <w:sz w:val="16"/>
              </w:rPr>
              <w:t>alternancia</w:t>
            </w:r>
            <w:r>
              <w:rPr>
                <w:spacing w:val="-12"/>
                <w:w w:val="85"/>
                <w:sz w:val="16"/>
              </w:rPr>
              <w:t> </w:t>
            </w:r>
            <w:r>
              <w:rPr>
                <w:w w:val="85"/>
                <w:sz w:val="16"/>
              </w:rPr>
              <w:t>en</w:t>
            </w:r>
            <w:r>
              <w:rPr>
                <w:spacing w:val="-10"/>
                <w:w w:val="85"/>
                <w:sz w:val="16"/>
              </w:rPr>
              <w:t> </w:t>
            </w:r>
            <w:r>
              <w:rPr>
                <w:w w:val="85"/>
                <w:sz w:val="16"/>
              </w:rPr>
              <w:t>el </w:t>
            </w:r>
            <w:r>
              <w:rPr>
                <w:w w:val="90"/>
                <w:sz w:val="16"/>
              </w:rPr>
              <w:t>poder).</w:t>
              <w:tab/>
            </w:r>
            <w:r>
              <w:rPr>
                <w:spacing w:val="-1"/>
                <w:w w:val="80"/>
                <w:sz w:val="16"/>
              </w:rPr>
              <w:t>Ubicar </w:t>
            </w:r>
            <w:r>
              <w:rPr>
                <w:w w:val="85"/>
                <w:sz w:val="16"/>
              </w:rPr>
              <w:t>elecciones</w:t>
            </w:r>
            <w:r>
              <w:rPr>
                <w:spacing w:val="-23"/>
                <w:w w:val="85"/>
                <w:sz w:val="16"/>
              </w:rPr>
              <w:t> </w:t>
            </w:r>
            <w:r>
              <w:rPr>
                <w:w w:val="85"/>
                <w:sz w:val="16"/>
              </w:rPr>
              <w:t>en</w:t>
            </w:r>
            <w:r>
              <w:rPr>
                <w:spacing w:val="-23"/>
                <w:w w:val="85"/>
                <w:sz w:val="16"/>
              </w:rPr>
              <w:t> </w:t>
            </w:r>
            <w:r>
              <w:rPr>
                <w:w w:val="85"/>
                <w:sz w:val="16"/>
              </w:rPr>
              <w:t>él.</w:t>
            </w:r>
          </w:p>
          <w:p>
            <w:pPr>
              <w:pStyle w:val="TableParagraph"/>
              <w:ind w:left="-1" w:right="-2"/>
              <w:jc w:val="both"/>
              <w:rPr>
                <w:sz w:val="16"/>
              </w:rPr>
            </w:pPr>
            <w:r>
              <w:rPr>
                <w:w w:val="90"/>
                <w:sz w:val="16"/>
              </w:rPr>
              <w:t>Identificar ppartidos o coaliciones que han ocupado el poder ejecutivo en las elecciones a nivel federal y local en México (Estado de </w:t>
            </w:r>
            <w:r>
              <w:rPr>
                <w:w w:val="85"/>
                <w:sz w:val="16"/>
              </w:rPr>
              <w:t>México) y (Provincia</w:t>
            </w:r>
            <w:r>
              <w:rPr>
                <w:spacing w:val="-13"/>
                <w:w w:val="85"/>
                <w:sz w:val="16"/>
              </w:rPr>
              <w:t> </w:t>
            </w:r>
            <w:r>
              <w:rPr>
                <w:w w:val="85"/>
                <w:sz w:val="16"/>
              </w:rPr>
              <w:t>de San</w:t>
            </w:r>
            <w:r>
              <w:rPr>
                <w:spacing w:val="-19"/>
                <w:w w:val="85"/>
                <w:sz w:val="16"/>
              </w:rPr>
              <w:t> </w:t>
            </w:r>
            <w:r>
              <w:rPr>
                <w:w w:val="85"/>
                <w:sz w:val="16"/>
              </w:rPr>
              <w:t>José)</w:t>
            </w:r>
            <w:r>
              <w:rPr>
                <w:spacing w:val="-20"/>
                <w:w w:val="85"/>
                <w:sz w:val="16"/>
              </w:rPr>
              <w:t> </w:t>
            </w:r>
            <w:r>
              <w:rPr>
                <w:w w:val="85"/>
                <w:sz w:val="16"/>
              </w:rPr>
              <w:t>Costa</w:t>
            </w:r>
            <w:r>
              <w:rPr>
                <w:spacing w:val="-19"/>
                <w:w w:val="85"/>
                <w:sz w:val="16"/>
              </w:rPr>
              <w:t> </w:t>
            </w:r>
            <w:r>
              <w:rPr>
                <w:w w:val="85"/>
                <w:sz w:val="16"/>
              </w:rPr>
              <w:t>Rica.</w:t>
            </w:r>
          </w:p>
        </w:tc>
        <w:tc>
          <w:tcPr>
            <w:tcW w:w="1416" w:type="dxa"/>
          </w:tcPr>
          <w:p>
            <w:pPr>
              <w:pStyle w:val="TableParagraph"/>
              <w:tabs>
                <w:tab w:pos="993" w:val="left" w:leader="none"/>
              </w:tabs>
              <w:spacing w:line="181" w:lineRule="exact"/>
              <w:ind w:left="-1" w:right="-4"/>
              <w:rPr>
                <w:sz w:val="16"/>
              </w:rPr>
            </w:pPr>
            <w:r>
              <w:rPr>
                <w:w w:val="90"/>
                <w:sz w:val="16"/>
              </w:rPr>
              <w:t>(Freedom</w:t>
              <w:tab/>
            </w:r>
            <w:r>
              <w:rPr>
                <w:spacing w:val="-1"/>
                <w:w w:val="80"/>
                <w:sz w:val="16"/>
              </w:rPr>
              <w:t>House,</w:t>
            </w:r>
          </w:p>
          <w:p>
            <w:pPr>
              <w:pStyle w:val="TableParagraph"/>
              <w:tabs>
                <w:tab w:pos="889" w:val="left" w:leader="none"/>
                <w:tab w:pos="991" w:val="left" w:leader="none"/>
              </w:tabs>
              <w:spacing w:before="1"/>
              <w:ind w:left="-1" w:right="-4"/>
              <w:jc w:val="both"/>
              <w:rPr>
                <w:sz w:val="16"/>
              </w:rPr>
            </w:pPr>
            <w:r>
              <w:rPr>
                <w:w w:val="90"/>
                <w:sz w:val="16"/>
              </w:rPr>
              <w:t>Jiménez</w:t>
              <w:tab/>
              <w:tab/>
            </w:r>
            <w:r>
              <w:rPr>
                <w:w w:val="80"/>
                <w:sz w:val="16"/>
              </w:rPr>
              <w:t>(2014), </w:t>
            </w:r>
            <w:r>
              <w:rPr>
                <w:w w:val="90"/>
                <w:sz w:val="16"/>
              </w:rPr>
              <w:t>Lizcano (2013b), PRI (2011),</w:t>
              <w:tab/>
            </w:r>
            <w:r>
              <w:rPr>
                <w:spacing w:val="-1"/>
                <w:w w:val="80"/>
                <w:sz w:val="16"/>
              </w:rPr>
              <w:t>Fenamm</w:t>
            </w:r>
          </w:p>
          <w:p>
            <w:pPr>
              <w:pStyle w:val="TableParagraph"/>
              <w:spacing w:line="182" w:lineRule="exact"/>
              <w:ind w:left="-1" w:right="-10"/>
              <w:rPr>
                <w:sz w:val="16"/>
              </w:rPr>
            </w:pPr>
            <w:r>
              <w:rPr>
                <w:w w:val="90"/>
                <w:sz w:val="16"/>
              </w:rPr>
              <w:t>(2012),   IFE </w:t>
            </w:r>
            <w:r>
              <w:rPr>
                <w:spacing w:val="36"/>
                <w:w w:val="90"/>
                <w:sz w:val="16"/>
              </w:rPr>
              <w:t> </w:t>
            </w:r>
            <w:r>
              <w:rPr>
                <w:w w:val="90"/>
                <w:sz w:val="16"/>
              </w:rPr>
              <w:t>(2012c,</w:t>
            </w:r>
          </w:p>
          <w:p>
            <w:pPr>
              <w:pStyle w:val="TableParagraph"/>
              <w:spacing w:before="1"/>
              <w:ind w:left="-1" w:right="-13"/>
              <w:rPr>
                <w:sz w:val="16"/>
              </w:rPr>
            </w:pPr>
            <w:r>
              <w:rPr>
                <w:w w:val="85"/>
                <w:sz w:val="16"/>
              </w:rPr>
              <w:t>2012d</w:t>
            </w:r>
            <w:r>
              <w:rPr>
                <w:spacing w:val="-12"/>
                <w:w w:val="85"/>
                <w:sz w:val="16"/>
              </w:rPr>
              <w:t> </w:t>
            </w:r>
            <w:r>
              <w:rPr>
                <w:w w:val="85"/>
                <w:sz w:val="16"/>
              </w:rPr>
              <w:t>y</w:t>
            </w:r>
            <w:r>
              <w:rPr>
                <w:spacing w:val="-13"/>
                <w:w w:val="85"/>
                <w:sz w:val="16"/>
              </w:rPr>
              <w:t> </w:t>
            </w:r>
            <w:r>
              <w:rPr>
                <w:w w:val="85"/>
                <w:sz w:val="16"/>
              </w:rPr>
              <w:t>2012e),</w:t>
            </w:r>
            <w:r>
              <w:rPr>
                <w:spacing w:val="-12"/>
                <w:w w:val="85"/>
                <w:sz w:val="16"/>
              </w:rPr>
              <w:t> </w:t>
            </w:r>
            <w:r>
              <w:rPr>
                <w:w w:val="85"/>
                <w:sz w:val="16"/>
              </w:rPr>
              <w:t>Patrick </w:t>
            </w:r>
            <w:r>
              <w:rPr>
                <w:w w:val="90"/>
                <w:sz w:val="16"/>
              </w:rPr>
              <w:t>(1981), Molina</w:t>
            </w:r>
            <w:r>
              <w:rPr>
                <w:spacing w:val="26"/>
                <w:w w:val="90"/>
                <w:sz w:val="16"/>
              </w:rPr>
              <w:t> </w:t>
            </w:r>
            <w:r>
              <w:rPr>
                <w:w w:val="90"/>
                <w:sz w:val="16"/>
              </w:rPr>
              <w:t>(1997,</w:t>
            </w:r>
          </w:p>
          <w:p>
            <w:pPr>
              <w:pStyle w:val="TableParagraph"/>
              <w:spacing w:line="183" w:lineRule="exact" w:before="1"/>
              <w:ind w:left="-1" w:right="-10"/>
              <w:rPr>
                <w:sz w:val="16"/>
              </w:rPr>
            </w:pPr>
            <w:r>
              <w:rPr>
                <w:w w:val="90"/>
                <w:sz w:val="16"/>
              </w:rPr>
              <w:t>1999  y  2008),  </w:t>
            </w:r>
            <w:r>
              <w:rPr>
                <w:spacing w:val="12"/>
                <w:w w:val="90"/>
                <w:sz w:val="16"/>
              </w:rPr>
              <w:t> </w:t>
            </w:r>
            <w:r>
              <w:rPr>
                <w:w w:val="90"/>
                <w:sz w:val="16"/>
              </w:rPr>
              <w:t>ANC</w:t>
            </w:r>
          </w:p>
          <w:p>
            <w:pPr>
              <w:pStyle w:val="TableParagraph"/>
              <w:spacing w:line="183" w:lineRule="exact"/>
              <w:ind w:left="-1" w:right="-9"/>
              <w:rPr>
                <w:sz w:val="16"/>
              </w:rPr>
            </w:pPr>
            <w:r>
              <w:rPr>
                <w:w w:val="85"/>
                <w:sz w:val="16"/>
              </w:rPr>
              <w:t>(1949), Varios (2001)</w:t>
            </w:r>
            <w:r>
              <w:rPr>
                <w:spacing w:val="5"/>
                <w:w w:val="85"/>
                <w:sz w:val="16"/>
              </w:rPr>
              <w:t> </w:t>
            </w:r>
            <w:r>
              <w:rPr>
                <w:w w:val="85"/>
                <w:sz w:val="16"/>
              </w:rPr>
              <w:t>y</w:t>
            </w:r>
          </w:p>
          <w:p>
            <w:pPr>
              <w:pStyle w:val="TableParagraph"/>
              <w:spacing w:before="1"/>
              <w:ind w:left="-1" w:right="-17"/>
              <w:rPr>
                <w:sz w:val="16"/>
              </w:rPr>
            </w:pPr>
            <w:r>
              <w:rPr>
                <w:w w:val="90"/>
                <w:sz w:val="16"/>
              </w:rPr>
              <w:t>Guzmán (2005). Gacetas, páginas</w:t>
            </w:r>
            <w:r>
              <w:rPr>
                <w:spacing w:val="-21"/>
                <w:w w:val="90"/>
                <w:sz w:val="16"/>
              </w:rPr>
              <w:t> </w:t>
            </w:r>
            <w:r>
              <w:rPr>
                <w:w w:val="90"/>
                <w:sz w:val="16"/>
              </w:rPr>
              <w:t>web del IFE, IEEM, TSE, </w:t>
            </w:r>
            <w:r>
              <w:rPr>
                <w:w w:val="85"/>
                <w:sz w:val="16"/>
              </w:rPr>
              <w:t>TEPJF</w:t>
            </w:r>
            <w:r>
              <w:rPr>
                <w:spacing w:val="-20"/>
                <w:w w:val="85"/>
                <w:sz w:val="16"/>
              </w:rPr>
              <w:t> </w:t>
            </w:r>
            <w:r>
              <w:rPr>
                <w:w w:val="85"/>
                <w:sz w:val="16"/>
              </w:rPr>
              <w:t>Y</w:t>
            </w:r>
            <w:r>
              <w:rPr>
                <w:spacing w:val="-21"/>
                <w:w w:val="85"/>
                <w:sz w:val="16"/>
              </w:rPr>
              <w:t> </w:t>
            </w:r>
            <w:r>
              <w:rPr>
                <w:w w:val="85"/>
                <w:sz w:val="16"/>
              </w:rPr>
              <w:t>TEEM.</w:t>
            </w:r>
          </w:p>
        </w:tc>
        <w:tc>
          <w:tcPr>
            <w:tcW w:w="2979" w:type="dxa"/>
          </w:tcPr>
          <w:p>
            <w:pPr>
              <w:pStyle w:val="TableParagraph"/>
              <w:ind w:right="105"/>
              <w:jc w:val="both"/>
              <w:rPr>
                <w:sz w:val="16"/>
              </w:rPr>
            </w:pPr>
            <w:r>
              <w:rPr>
                <w:w w:val="90"/>
                <w:sz w:val="16"/>
              </w:rPr>
              <w:t>Nivel de alternancia en el poder ejecutivo </w:t>
            </w:r>
            <w:r>
              <w:rPr>
                <w:w w:val="85"/>
                <w:sz w:val="16"/>
              </w:rPr>
              <w:t>nacional o estatal :</w:t>
            </w:r>
          </w:p>
          <w:p>
            <w:pPr>
              <w:pStyle w:val="TableParagraph"/>
              <w:spacing w:line="182" w:lineRule="exact"/>
              <w:jc w:val="both"/>
              <w:rPr>
                <w:sz w:val="16"/>
              </w:rPr>
            </w:pPr>
            <w:r>
              <w:rPr>
                <w:w w:val="85"/>
                <w:sz w:val="16"/>
              </w:rPr>
              <w:t>-Alta, más de dos partidos en el poder: 3.</w:t>
            </w:r>
          </w:p>
          <w:p>
            <w:pPr>
              <w:pStyle w:val="TableParagraph"/>
              <w:spacing w:line="183" w:lineRule="exact" w:before="1"/>
              <w:jc w:val="both"/>
              <w:rPr>
                <w:sz w:val="16"/>
              </w:rPr>
            </w:pPr>
            <w:r>
              <w:rPr>
                <w:w w:val="85"/>
                <w:sz w:val="16"/>
              </w:rPr>
              <w:t>-Baja, dos partidos en el poder: 2.</w:t>
            </w:r>
          </w:p>
          <w:p>
            <w:pPr>
              <w:pStyle w:val="TableParagraph"/>
              <w:spacing w:line="183" w:lineRule="exact"/>
              <w:jc w:val="both"/>
              <w:rPr>
                <w:sz w:val="16"/>
              </w:rPr>
            </w:pPr>
            <w:r>
              <w:rPr>
                <w:w w:val="85"/>
                <w:sz w:val="16"/>
              </w:rPr>
              <w:t>-Nula, sólo un partido en el poder: 1.</w:t>
            </w:r>
          </w:p>
          <w:p>
            <w:pPr>
              <w:pStyle w:val="TableParagraph"/>
              <w:spacing w:before="10"/>
              <w:ind w:left="0"/>
              <w:rPr>
                <w:rFonts w:ascii="Times New Roman"/>
                <w:sz w:val="15"/>
              </w:rPr>
            </w:pPr>
          </w:p>
          <w:p>
            <w:pPr>
              <w:pStyle w:val="TableParagraph"/>
              <w:ind w:right="104"/>
              <w:jc w:val="both"/>
              <w:rPr>
                <w:sz w:val="16"/>
              </w:rPr>
            </w:pPr>
            <w:r>
              <w:rPr>
                <w:w w:val="90"/>
                <w:sz w:val="16"/>
              </w:rPr>
              <w:t>Nivel de alternancia en el poder ejecutivo </w:t>
            </w:r>
            <w:r>
              <w:rPr>
                <w:w w:val="85"/>
                <w:sz w:val="16"/>
              </w:rPr>
              <w:t>municipal o cantonal :</w:t>
            </w:r>
          </w:p>
          <w:p>
            <w:pPr>
              <w:pStyle w:val="TableParagraph"/>
              <w:spacing w:before="10"/>
              <w:ind w:left="0"/>
              <w:rPr>
                <w:rFonts w:ascii="Times New Roman"/>
                <w:sz w:val="15"/>
              </w:rPr>
            </w:pPr>
          </w:p>
          <w:p>
            <w:pPr>
              <w:pStyle w:val="TableParagraph"/>
              <w:ind w:right="105"/>
              <w:jc w:val="both"/>
              <w:rPr>
                <w:sz w:val="16"/>
              </w:rPr>
            </w:pPr>
            <w:r>
              <w:rPr>
                <w:w w:val="90"/>
                <w:sz w:val="16"/>
              </w:rPr>
              <w:t>-Alta,</w:t>
            </w:r>
            <w:r>
              <w:rPr>
                <w:spacing w:val="-8"/>
                <w:w w:val="90"/>
                <w:sz w:val="16"/>
              </w:rPr>
              <w:t> </w:t>
            </w:r>
            <w:r>
              <w:rPr>
                <w:w w:val="90"/>
                <w:sz w:val="16"/>
              </w:rPr>
              <w:t>ningún</w:t>
            </w:r>
            <w:r>
              <w:rPr>
                <w:spacing w:val="-8"/>
                <w:w w:val="90"/>
                <w:sz w:val="16"/>
              </w:rPr>
              <w:t> </w:t>
            </w:r>
            <w:r>
              <w:rPr>
                <w:w w:val="90"/>
                <w:sz w:val="16"/>
              </w:rPr>
              <w:t>partido</w:t>
            </w:r>
            <w:r>
              <w:rPr>
                <w:spacing w:val="-7"/>
                <w:w w:val="90"/>
                <w:sz w:val="16"/>
              </w:rPr>
              <w:t> </w:t>
            </w:r>
            <w:r>
              <w:rPr>
                <w:w w:val="90"/>
                <w:sz w:val="16"/>
              </w:rPr>
              <w:t>tiene</w:t>
            </w:r>
            <w:r>
              <w:rPr>
                <w:spacing w:val="-8"/>
                <w:w w:val="90"/>
                <w:sz w:val="16"/>
              </w:rPr>
              <w:t> </w:t>
            </w:r>
            <w:r>
              <w:rPr>
                <w:w w:val="90"/>
                <w:sz w:val="16"/>
              </w:rPr>
              <w:t>mayoría</w:t>
            </w:r>
            <w:r>
              <w:rPr>
                <w:spacing w:val="-8"/>
                <w:w w:val="90"/>
                <w:sz w:val="16"/>
              </w:rPr>
              <w:t> </w:t>
            </w:r>
            <w:r>
              <w:rPr>
                <w:w w:val="90"/>
                <w:sz w:val="16"/>
              </w:rPr>
              <w:t>absoluta (50%</w:t>
            </w:r>
            <w:r>
              <w:rPr>
                <w:spacing w:val="-17"/>
                <w:w w:val="90"/>
                <w:sz w:val="16"/>
              </w:rPr>
              <w:t> </w:t>
            </w:r>
            <w:r>
              <w:rPr>
                <w:w w:val="90"/>
                <w:sz w:val="16"/>
              </w:rPr>
              <w:t>+1),</w:t>
            </w:r>
            <w:r>
              <w:rPr>
                <w:spacing w:val="-18"/>
                <w:w w:val="90"/>
                <w:sz w:val="16"/>
              </w:rPr>
              <w:t> </w:t>
            </w:r>
            <w:r>
              <w:rPr>
                <w:w w:val="90"/>
                <w:sz w:val="16"/>
              </w:rPr>
              <w:t>todos</w:t>
            </w:r>
            <w:r>
              <w:rPr>
                <w:spacing w:val="-18"/>
                <w:w w:val="90"/>
                <w:sz w:val="16"/>
              </w:rPr>
              <w:t> </w:t>
            </w:r>
            <w:r>
              <w:rPr>
                <w:w w:val="90"/>
                <w:sz w:val="16"/>
              </w:rPr>
              <w:t>tienen</w:t>
            </w:r>
            <w:r>
              <w:rPr>
                <w:spacing w:val="-18"/>
                <w:w w:val="90"/>
                <w:sz w:val="16"/>
              </w:rPr>
              <w:t> </w:t>
            </w:r>
            <w:r>
              <w:rPr>
                <w:w w:val="90"/>
                <w:sz w:val="16"/>
              </w:rPr>
              <w:t>menos</w:t>
            </w:r>
            <w:r>
              <w:rPr>
                <w:spacing w:val="-18"/>
                <w:w w:val="90"/>
                <w:sz w:val="16"/>
              </w:rPr>
              <w:t> </w:t>
            </w:r>
            <w:r>
              <w:rPr>
                <w:w w:val="90"/>
                <w:sz w:val="16"/>
              </w:rPr>
              <w:t>del</w:t>
            </w:r>
            <w:r>
              <w:rPr>
                <w:spacing w:val="-18"/>
                <w:w w:val="90"/>
                <w:sz w:val="16"/>
              </w:rPr>
              <w:t> </w:t>
            </w:r>
            <w:r>
              <w:rPr>
                <w:w w:val="90"/>
                <w:sz w:val="16"/>
              </w:rPr>
              <w:t>50%</w:t>
            </w:r>
            <w:r>
              <w:rPr>
                <w:spacing w:val="-17"/>
                <w:w w:val="90"/>
                <w:sz w:val="16"/>
              </w:rPr>
              <w:t> </w:t>
            </w:r>
            <w:r>
              <w:rPr>
                <w:w w:val="90"/>
                <w:sz w:val="16"/>
              </w:rPr>
              <w:t>+1</w:t>
            </w:r>
            <w:r>
              <w:rPr>
                <w:spacing w:val="-18"/>
                <w:w w:val="90"/>
                <w:sz w:val="16"/>
              </w:rPr>
              <w:t> </w:t>
            </w:r>
            <w:r>
              <w:rPr>
                <w:w w:val="90"/>
                <w:sz w:val="16"/>
              </w:rPr>
              <w:t>de </w:t>
            </w:r>
            <w:r>
              <w:rPr>
                <w:w w:val="85"/>
                <w:sz w:val="16"/>
              </w:rPr>
              <w:t>los</w:t>
            </w:r>
            <w:r>
              <w:rPr>
                <w:spacing w:val="-19"/>
                <w:w w:val="85"/>
                <w:sz w:val="16"/>
              </w:rPr>
              <w:t> </w:t>
            </w:r>
            <w:r>
              <w:rPr>
                <w:w w:val="85"/>
                <w:sz w:val="16"/>
              </w:rPr>
              <w:t>municipios</w:t>
            </w:r>
            <w:r>
              <w:rPr>
                <w:spacing w:val="-19"/>
                <w:w w:val="85"/>
                <w:sz w:val="16"/>
              </w:rPr>
              <w:t> </w:t>
            </w:r>
            <w:r>
              <w:rPr>
                <w:w w:val="85"/>
                <w:sz w:val="16"/>
              </w:rPr>
              <w:t>o</w:t>
            </w:r>
            <w:r>
              <w:rPr>
                <w:spacing w:val="-18"/>
                <w:w w:val="85"/>
                <w:sz w:val="16"/>
              </w:rPr>
              <w:t> </w:t>
            </w:r>
            <w:r>
              <w:rPr>
                <w:w w:val="85"/>
                <w:sz w:val="16"/>
              </w:rPr>
              <w:t>alcaldías</w:t>
            </w:r>
            <w:r>
              <w:rPr>
                <w:spacing w:val="-19"/>
                <w:w w:val="85"/>
                <w:sz w:val="16"/>
              </w:rPr>
              <w:t> </w:t>
            </w:r>
            <w:r>
              <w:rPr>
                <w:w w:val="85"/>
                <w:sz w:val="16"/>
              </w:rPr>
              <w:t>en</w:t>
            </w:r>
            <w:r>
              <w:rPr>
                <w:spacing w:val="-18"/>
                <w:w w:val="85"/>
                <w:sz w:val="16"/>
              </w:rPr>
              <w:t> </w:t>
            </w:r>
            <w:r>
              <w:rPr>
                <w:w w:val="85"/>
                <w:sz w:val="16"/>
              </w:rPr>
              <w:t>disputa:</w:t>
            </w:r>
            <w:r>
              <w:rPr>
                <w:spacing w:val="-20"/>
                <w:w w:val="85"/>
                <w:sz w:val="16"/>
              </w:rPr>
              <w:t> </w:t>
            </w:r>
            <w:r>
              <w:rPr>
                <w:w w:val="85"/>
                <w:sz w:val="16"/>
              </w:rPr>
              <w:t>3.0.</w:t>
            </w:r>
          </w:p>
          <w:p>
            <w:pPr>
              <w:pStyle w:val="TableParagraph"/>
              <w:spacing w:line="182" w:lineRule="exact"/>
              <w:jc w:val="both"/>
              <w:rPr>
                <w:sz w:val="16"/>
              </w:rPr>
            </w:pPr>
            <w:r>
              <w:rPr>
                <w:w w:val="85"/>
                <w:sz w:val="16"/>
              </w:rPr>
              <w:t>-Baja, un partido tiene mayoría absoluta 50%</w:t>
            </w:r>
          </w:p>
          <w:p>
            <w:pPr>
              <w:pStyle w:val="TableParagraph"/>
              <w:spacing w:before="1"/>
              <w:ind w:right="101"/>
              <w:jc w:val="both"/>
              <w:rPr>
                <w:sz w:val="16"/>
              </w:rPr>
            </w:pPr>
            <w:r>
              <w:rPr>
                <w:w w:val="90"/>
                <w:sz w:val="16"/>
              </w:rPr>
              <w:t>+1</w:t>
            </w:r>
            <w:r>
              <w:rPr>
                <w:spacing w:val="-5"/>
                <w:w w:val="90"/>
                <w:sz w:val="16"/>
              </w:rPr>
              <w:t> </w:t>
            </w:r>
            <w:r>
              <w:rPr>
                <w:w w:val="90"/>
                <w:sz w:val="16"/>
              </w:rPr>
              <w:t>de</w:t>
            </w:r>
            <w:r>
              <w:rPr>
                <w:spacing w:val="-4"/>
                <w:w w:val="90"/>
                <w:sz w:val="16"/>
              </w:rPr>
              <w:t> </w:t>
            </w:r>
            <w:r>
              <w:rPr>
                <w:w w:val="90"/>
                <w:sz w:val="16"/>
              </w:rPr>
              <w:t>los</w:t>
            </w:r>
            <w:r>
              <w:rPr>
                <w:spacing w:val="-4"/>
                <w:w w:val="90"/>
                <w:sz w:val="16"/>
              </w:rPr>
              <w:t> </w:t>
            </w:r>
            <w:r>
              <w:rPr>
                <w:w w:val="90"/>
                <w:sz w:val="16"/>
              </w:rPr>
              <w:t>municipios</w:t>
            </w:r>
            <w:r>
              <w:rPr>
                <w:spacing w:val="-6"/>
                <w:w w:val="90"/>
                <w:sz w:val="16"/>
              </w:rPr>
              <w:t> </w:t>
            </w:r>
            <w:r>
              <w:rPr>
                <w:w w:val="90"/>
                <w:sz w:val="16"/>
              </w:rPr>
              <w:t>o</w:t>
            </w:r>
            <w:r>
              <w:rPr>
                <w:spacing w:val="-3"/>
                <w:w w:val="90"/>
                <w:sz w:val="16"/>
              </w:rPr>
              <w:t> </w:t>
            </w:r>
            <w:r>
              <w:rPr>
                <w:w w:val="90"/>
                <w:sz w:val="16"/>
              </w:rPr>
              <w:t>alcaldías</w:t>
            </w:r>
            <w:r>
              <w:rPr>
                <w:spacing w:val="-6"/>
                <w:w w:val="90"/>
                <w:sz w:val="16"/>
              </w:rPr>
              <w:t> </w:t>
            </w:r>
            <w:r>
              <w:rPr>
                <w:w w:val="90"/>
                <w:sz w:val="16"/>
              </w:rPr>
              <w:t>en</w:t>
            </w:r>
            <w:r>
              <w:rPr>
                <w:spacing w:val="-4"/>
                <w:w w:val="90"/>
                <w:sz w:val="16"/>
              </w:rPr>
              <w:t> </w:t>
            </w:r>
            <w:r>
              <w:rPr>
                <w:w w:val="90"/>
                <w:sz w:val="16"/>
              </w:rPr>
              <w:t>disputa: 2.0.</w:t>
            </w:r>
          </w:p>
          <w:p>
            <w:pPr>
              <w:pStyle w:val="TableParagraph"/>
              <w:spacing w:before="1"/>
              <w:ind w:right="103"/>
              <w:jc w:val="both"/>
              <w:rPr>
                <w:sz w:val="16"/>
              </w:rPr>
            </w:pPr>
            <w:r>
              <w:rPr>
                <w:w w:val="90"/>
                <w:sz w:val="16"/>
              </w:rPr>
              <w:t>-Nula, un partido tiene el 100% de los </w:t>
            </w:r>
            <w:r>
              <w:rPr>
                <w:w w:val="85"/>
                <w:sz w:val="16"/>
              </w:rPr>
              <w:t>municipios o alcaldías en disputa: 1.0.</w:t>
            </w:r>
          </w:p>
        </w:tc>
      </w:tr>
    </w:tbl>
    <w:p>
      <w:pPr>
        <w:spacing w:after="0"/>
        <w:jc w:val="both"/>
        <w:rPr>
          <w:sz w:val="16"/>
        </w:rPr>
        <w:sectPr>
          <w:pgSz w:w="12240" w:h="15840"/>
          <w:pgMar w:header="749" w:footer="1003" w:top="960" w:bottom="1200" w:left="760" w:right="760"/>
        </w:sectPr>
      </w:pPr>
    </w:p>
    <w:p>
      <w:pPr>
        <w:pStyle w:val="BodyText"/>
        <w:rPr>
          <w:rFonts w:ascii="Times New Roman"/>
          <w:sz w:val="20"/>
        </w:rPr>
      </w:pPr>
    </w:p>
    <w:p>
      <w:pPr>
        <w:pStyle w:val="BodyText"/>
        <w:spacing w:before="9"/>
        <w:rPr>
          <w:rFonts w:ascii="Times New Roman"/>
          <w:sz w:val="18"/>
        </w:rPr>
      </w:pPr>
    </w:p>
    <w:tbl>
      <w:tblPr>
        <w:tblW w:w="0" w:type="auto"/>
        <w:jc w:val="left"/>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38"/>
        <w:gridCol w:w="1130"/>
        <w:gridCol w:w="2410"/>
        <w:gridCol w:w="1419"/>
        <w:gridCol w:w="1416"/>
        <w:gridCol w:w="2979"/>
      </w:tblGrid>
      <w:tr>
        <w:trPr>
          <w:trHeight w:val="2465" w:hRule="exact"/>
        </w:trPr>
        <w:tc>
          <w:tcPr>
            <w:tcW w:w="1138" w:type="dxa"/>
            <w:vMerge w:val="restart"/>
          </w:tcPr>
          <w:p>
            <w:pPr/>
          </w:p>
        </w:tc>
        <w:tc>
          <w:tcPr>
            <w:tcW w:w="1130" w:type="dxa"/>
          </w:tcPr>
          <w:p>
            <w:pPr/>
          </w:p>
        </w:tc>
        <w:tc>
          <w:tcPr>
            <w:tcW w:w="2410" w:type="dxa"/>
          </w:tcPr>
          <w:p>
            <w:pPr>
              <w:pStyle w:val="TableParagraph"/>
              <w:ind w:left="0" w:right="28"/>
              <w:rPr>
                <w:sz w:val="16"/>
              </w:rPr>
            </w:pPr>
            <w:r>
              <w:rPr>
                <w:w w:val="85"/>
                <w:sz w:val="16"/>
              </w:rPr>
              <w:t>Control</w:t>
            </w:r>
            <w:r>
              <w:rPr>
                <w:spacing w:val="-20"/>
                <w:w w:val="85"/>
                <w:sz w:val="16"/>
              </w:rPr>
              <w:t> </w:t>
            </w:r>
            <w:r>
              <w:rPr>
                <w:w w:val="85"/>
                <w:sz w:val="16"/>
              </w:rPr>
              <w:t>de</w:t>
            </w:r>
            <w:r>
              <w:rPr>
                <w:spacing w:val="-19"/>
                <w:w w:val="85"/>
                <w:sz w:val="16"/>
              </w:rPr>
              <w:t> </w:t>
            </w:r>
            <w:r>
              <w:rPr>
                <w:w w:val="85"/>
                <w:sz w:val="16"/>
              </w:rPr>
              <w:t>la</w:t>
            </w:r>
            <w:r>
              <w:rPr>
                <w:spacing w:val="-19"/>
                <w:w w:val="85"/>
                <w:sz w:val="16"/>
              </w:rPr>
              <w:t> </w:t>
            </w:r>
            <w:r>
              <w:rPr>
                <w:w w:val="85"/>
                <w:sz w:val="16"/>
              </w:rPr>
              <w:t>legislatura</w:t>
            </w:r>
            <w:r>
              <w:rPr>
                <w:spacing w:val="-19"/>
                <w:w w:val="85"/>
                <w:sz w:val="16"/>
              </w:rPr>
              <w:t> </w:t>
            </w:r>
            <w:r>
              <w:rPr>
                <w:w w:val="85"/>
                <w:sz w:val="16"/>
              </w:rPr>
              <w:t>nacional,</w:t>
            </w:r>
            <w:r>
              <w:rPr>
                <w:spacing w:val="-20"/>
                <w:w w:val="85"/>
                <w:sz w:val="16"/>
              </w:rPr>
              <w:t> </w:t>
            </w:r>
            <w:r>
              <w:rPr>
                <w:w w:val="85"/>
                <w:sz w:val="16"/>
              </w:rPr>
              <w:t>estatal y</w:t>
            </w:r>
            <w:r>
              <w:rPr>
                <w:spacing w:val="-20"/>
                <w:w w:val="85"/>
                <w:sz w:val="16"/>
              </w:rPr>
              <w:t> </w:t>
            </w:r>
            <w:r>
              <w:rPr>
                <w:w w:val="85"/>
                <w:sz w:val="16"/>
              </w:rPr>
              <w:t>de</w:t>
            </w:r>
            <w:r>
              <w:rPr>
                <w:spacing w:val="-19"/>
                <w:w w:val="85"/>
                <w:sz w:val="16"/>
              </w:rPr>
              <w:t> </w:t>
            </w:r>
            <w:r>
              <w:rPr>
                <w:w w:val="85"/>
                <w:sz w:val="16"/>
              </w:rPr>
              <w:t>la</w:t>
            </w:r>
            <w:r>
              <w:rPr>
                <w:spacing w:val="-19"/>
                <w:w w:val="85"/>
                <w:sz w:val="16"/>
              </w:rPr>
              <w:t> </w:t>
            </w:r>
            <w:r>
              <w:rPr>
                <w:w w:val="85"/>
                <w:sz w:val="16"/>
              </w:rPr>
              <w:t>Asamblea</w:t>
            </w:r>
            <w:r>
              <w:rPr>
                <w:spacing w:val="-19"/>
                <w:w w:val="85"/>
                <w:sz w:val="16"/>
              </w:rPr>
              <w:t> </w:t>
            </w:r>
            <w:r>
              <w:rPr>
                <w:w w:val="85"/>
                <w:sz w:val="16"/>
              </w:rPr>
              <w:t>Legislativa</w:t>
            </w:r>
          </w:p>
        </w:tc>
        <w:tc>
          <w:tcPr>
            <w:tcW w:w="1419" w:type="dxa"/>
          </w:tcPr>
          <w:p>
            <w:pPr>
              <w:pStyle w:val="TableParagraph"/>
              <w:ind w:left="-1" w:right="-1"/>
              <w:jc w:val="both"/>
              <w:rPr>
                <w:sz w:val="16"/>
              </w:rPr>
            </w:pPr>
            <w:r>
              <w:rPr>
                <w:w w:val="90"/>
                <w:sz w:val="16"/>
              </w:rPr>
              <w:t>Numero de escaños obtenidos por partido político o coalición en </w:t>
            </w:r>
            <w:r>
              <w:rPr>
                <w:w w:val="80"/>
                <w:sz w:val="16"/>
              </w:rPr>
              <w:t>elecciones históricas.</w:t>
            </w:r>
          </w:p>
        </w:tc>
        <w:tc>
          <w:tcPr>
            <w:tcW w:w="1416" w:type="dxa"/>
          </w:tcPr>
          <w:p>
            <w:pPr>
              <w:pStyle w:val="TableParagraph"/>
              <w:tabs>
                <w:tab w:pos="993" w:val="left" w:leader="none"/>
              </w:tabs>
              <w:spacing w:line="182" w:lineRule="exact"/>
              <w:ind w:left="-1" w:right="-4"/>
              <w:rPr>
                <w:sz w:val="16"/>
              </w:rPr>
            </w:pPr>
            <w:r>
              <w:rPr>
                <w:w w:val="90"/>
                <w:sz w:val="16"/>
              </w:rPr>
              <w:t>Freedom</w:t>
              <w:tab/>
            </w:r>
            <w:r>
              <w:rPr>
                <w:spacing w:val="-1"/>
                <w:w w:val="80"/>
                <w:sz w:val="16"/>
              </w:rPr>
              <w:t>House,</w:t>
            </w:r>
          </w:p>
          <w:p>
            <w:pPr>
              <w:pStyle w:val="TableParagraph"/>
              <w:tabs>
                <w:tab w:pos="889" w:val="left" w:leader="none"/>
                <w:tab w:pos="991" w:val="left" w:leader="none"/>
              </w:tabs>
              <w:ind w:left="-1" w:right="-4"/>
              <w:jc w:val="both"/>
              <w:rPr>
                <w:sz w:val="16"/>
              </w:rPr>
            </w:pPr>
            <w:r>
              <w:rPr>
                <w:w w:val="90"/>
                <w:sz w:val="16"/>
              </w:rPr>
              <w:t>Jiménez</w:t>
              <w:tab/>
              <w:tab/>
            </w:r>
            <w:r>
              <w:rPr>
                <w:w w:val="80"/>
                <w:sz w:val="16"/>
              </w:rPr>
              <w:t>(2014), </w:t>
            </w:r>
            <w:r>
              <w:rPr>
                <w:w w:val="90"/>
                <w:sz w:val="16"/>
              </w:rPr>
              <w:t>Lizcano (2013b), PRI (2011),</w:t>
              <w:tab/>
            </w:r>
            <w:r>
              <w:rPr>
                <w:spacing w:val="-1"/>
                <w:w w:val="80"/>
                <w:sz w:val="16"/>
              </w:rPr>
              <w:t>Fenamm</w:t>
            </w:r>
          </w:p>
          <w:p>
            <w:pPr>
              <w:pStyle w:val="TableParagraph"/>
              <w:spacing w:line="183" w:lineRule="exact" w:before="1"/>
              <w:ind w:left="-1" w:right="-10"/>
              <w:rPr>
                <w:sz w:val="16"/>
              </w:rPr>
            </w:pPr>
            <w:r>
              <w:rPr>
                <w:w w:val="90"/>
                <w:sz w:val="16"/>
              </w:rPr>
              <w:t>(2012),   IFE </w:t>
            </w:r>
            <w:r>
              <w:rPr>
                <w:spacing w:val="36"/>
                <w:w w:val="90"/>
                <w:sz w:val="16"/>
              </w:rPr>
              <w:t> </w:t>
            </w:r>
            <w:r>
              <w:rPr>
                <w:w w:val="90"/>
                <w:sz w:val="16"/>
              </w:rPr>
              <w:t>(2012c,</w:t>
            </w:r>
          </w:p>
          <w:p>
            <w:pPr>
              <w:pStyle w:val="TableParagraph"/>
              <w:ind w:left="-1" w:right="-13"/>
              <w:rPr>
                <w:sz w:val="16"/>
              </w:rPr>
            </w:pPr>
            <w:r>
              <w:rPr>
                <w:w w:val="85"/>
                <w:sz w:val="16"/>
              </w:rPr>
              <w:t>2012d</w:t>
            </w:r>
            <w:r>
              <w:rPr>
                <w:spacing w:val="-12"/>
                <w:w w:val="85"/>
                <w:sz w:val="16"/>
              </w:rPr>
              <w:t> </w:t>
            </w:r>
            <w:r>
              <w:rPr>
                <w:w w:val="85"/>
                <w:sz w:val="16"/>
              </w:rPr>
              <w:t>y</w:t>
            </w:r>
            <w:r>
              <w:rPr>
                <w:spacing w:val="-13"/>
                <w:w w:val="85"/>
                <w:sz w:val="16"/>
              </w:rPr>
              <w:t> </w:t>
            </w:r>
            <w:r>
              <w:rPr>
                <w:w w:val="85"/>
                <w:sz w:val="16"/>
              </w:rPr>
              <w:t>2012e),</w:t>
            </w:r>
            <w:r>
              <w:rPr>
                <w:spacing w:val="-12"/>
                <w:w w:val="85"/>
                <w:sz w:val="16"/>
              </w:rPr>
              <w:t> </w:t>
            </w:r>
            <w:r>
              <w:rPr>
                <w:w w:val="85"/>
                <w:sz w:val="16"/>
              </w:rPr>
              <w:t>Patrick </w:t>
            </w:r>
            <w:r>
              <w:rPr>
                <w:w w:val="90"/>
                <w:sz w:val="16"/>
              </w:rPr>
              <w:t>(1981), Molina</w:t>
            </w:r>
            <w:r>
              <w:rPr>
                <w:spacing w:val="26"/>
                <w:w w:val="90"/>
                <w:sz w:val="16"/>
              </w:rPr>
              <w:t> </w:t>
            </w:r>
            <w:r>
              <w:rPr>
                <w:w w:val="90"/>
                <w:sz w:val="16"/>
              </w:rPr>
              <w:t>(1997,</w:t>
            </w:r>
          </w:p>
          <w:p>
            <w:pPr>
              <w:pStyle w:val="TableParagraph"/>
              <w:spacing w:line="182" w:lineRule="exact"/>
              <w:ind w:left="-1" w:right="-10"/>
              <w:rPr>
                <w:sz w:val="16"/>
              </w:rPr>
            </w:pPr>
            <w:r>
              <w:rPr>
                <w:w w:val="90"/>
                <w:sz w:val="16"/>
              </w:rPr>
              <w:t>1999  y  2008),  </w:t>
            </w:r>
            <w:r>
              <w:rPr>
                <w:spacing w:val="12"/>
                <w:w w:val="90"/>
                <w:sz w:val="16"/>
              </w:rPr>
              <w:t> </w:t>
            </w:r>
            <w:r>
              <w:rPr>
                <w:w w:val="90"/>
                <w:sz w:val="16"/>
              </w:rPr>
              <w:t>ANC</w:t>
            </w:r>
          </w:p>
          <w:p>
            <w:pPr>
              <w:pStyle w:val="TableParagraph"/>
              <w:spacing w:line="183" w:lineRule="exact" w:before="1"/>
              <w:ind w:left="-1" w:right="-9"/>
              <w:rPr>
                <w:sz w:val="16"/>
              </w:rPr>
            </w:pPr>
            <w:r>
              <w:rPr>
                <w:w w:val="85"/>
                <w:sz w:val="16"/>
              </w:rPr>
              <w:t>(1949), Varios (2001)</w:t>
            </w:r>
            <w:r>
              <w:rPr>
                <w:spacing w:val="5"/>
                <w:w w:val="85"/>
                <w:sz w:val="16"/>
              </w:rPr>
              <w:t> </w:t>
            </w:r>
            <w:r>
              <w:rPr>
                <w:w w:val="85"/>
                <w:sz w:val="16"/>
              </w:rPr>
              <w:t>y</w:t>
            </w:r>
          </w:p>
          <w:p>
            <w:pPr>
              <w:pStyle w:val="TableParagraph"/>
              <w:ind w:left="-1" w:right="-17"/>
              <w:rPr>
                <w:sz w:val="16"/>
              </w:rPr>
            </w:pPr>
            <w:r>
              <w:rPr>
                <w:w w:val="90"/>
                <w:sz w:val="16"/>
              </w:rPr>
              <w:t>Guzmán (2005). Gacetas, páginas</w:t>
            </w:r>
            <w:r>
              <w:rPr>
                <w:spacing w:val="-21"/>
                <w:w w:val="90"/>
                <w:sz w:val="16"/>
              </w:rPr>
              <w:t> </w:t>
            </w:r>
            <w:r>
              <w:rPr>
                <w:w w:val="90"/>
                <w:sz w:val="16"/>
              </w:rPr>
              <w:t>web del IFE, IEEM, TSE, </w:t>
            </w:r>
            <w:r>
              <w:rPr>
                <w:w w:val="85"/>
                <w:sz w:val="16"/>
              </w:rPr>
              <w:t>TEPJF</w:t>
            </w:r>
            <w:r>
              <w:rPr>
                <w:spacing w:val="-19"/>
                <w:w w:val="85"/>
                <w:sz w:val="16"/>
              </w:rPr>
              <w:t> </w:t>
            </w:r>
            <w:r>
              <w:rPr>
                <w:w w:val="85"/>
                <w:sz w:val="16"/>
              </w:rPr>
              <w:t>Y</w:t>
            </w:r>
            <w:r>
              <w:rPr>
                <w:spacing w:val="-21"/>
                <w:w w:val="85"/>
                <w:sz w:val="16"/>
              </w:rPr>
              <w:t> </w:t>
            </w:r>
            <w:r>
              <w:rPr>
                <w:w w:val="85"/>
                <w:sz w:val="16"/>
              </w:rPr>
              <w:t>TEEM.</w:t>
            </w:r>
          </w:p>
        </w:tc>
        <w:tc>
          <w:tcPr>
            <w:tcW w:w="2979" w:type="dxa"/>
          </w:tcPr>
          <w:p>
            <w:pPr>
              <w:pStyle w:val="TableParagraph"/>
              <w:ind w:right="107"/>
              <w:jc w:val="both"/>
              <w:rPr>
                <w:sz w:val="16"/>
              </w:rPr>
            </w:pPr>
            <w:r>
              <w:rPr>
                <w:w w:val="90"/>
                <w:sz w:val="16"/>
              </w:rPr>
              <w:t>Nivel de independencia de la legislatura o </w:t>
            </w:r>
            <w:r>
              <w:rPr>
                <w:w w:val="80"/>
                <w:sz w:val="16"/>
              </w:rPr>
              <w:t>Asamblea Legislativa:</w:t>
            </w:r>
          </w:p>
          <w:p>
            <w:pPr>
              <w:pStyle w:val="TableParagraph"/>
              <w:spacing w:before="10"/>
              <w:ind w:left="0"/>
              <w:rPr>
                <w:rFonts w:ascii="Times New Roman"/>
                <w:sz w:val="15"/>
              </w:rPr>
            </w:pPr>
          </w:p>
          <w:p>
            <w:pPr>
              <w:pStyle w:val="TableParagraph"/>
              <w:ind w:right="105"/>
              <w:jc w:val="both"/>
              <w:rPr>
                <w:sz w:val="16"/>
              </w:rPr>
            </w:pPr>
            <w:r>
              <w:rPr>
                <w:w w:val="90"/>
                <w:sz w:val="16"/>
              </w:rPr>
              <w:t>-Alta,</w:t>
            </w:r>
            <w:r>
              <w:rPr>
                <w:spacing w:val="-8"/>
                <w:w w:val="90"/>
                <w:sz w:val="16"/>
              </w:rPr>
              <w:t> </w:t>
            </w:r>
            <w:r>
              <w:rPr>
                <w:w w:val="90"/>
                <w:sz w:val="16"/>
              </w:rPr>
              <w:t>ningún</w:t>
            </w:r>
            <w:r>
              <w:rPr>
                <w:spacing w:val="-8"/>
                <w:w w:val="90"/>
                <w:sz w:val="16"/>
              </w:rPr>
              <w:t> </w:t>
            </w:r>
            <w:r>
              <w:rPr>
                <w:w w:val="90"/>
                <w:sz w:val="16"/>
              </w:rPr>
              <w:t>partido</w:t>
            </w:r>
            <w:r>
              <w:rPr>
                <w:spacing w:val="-7"/>
                <w:w w:val="90"/>
                <w:sz w:val="16"/>
              </w:rPr>
              <w:t> </w:t>
            </w:r>
            <w:r>
              <w:rPr>
                <w:w w:val="90"/>
                <w:sz w:val="16"/>
              </w:rPr>
              <w:t>tiene</w:t>
            </w:r>
            <w:r>
              <w:rPr>
                <w:spacing w:val="-8"/>
                <w:w w:val="90"/>
                <w:sz w:val="16"/>
              </w:rPr>
              <w:t> </w:t>
            </w:r>
            <w:r>
              <w:rPr>
                <w:w w:val="90"/>
                <w:sz w:val="16"/>
              </w:rPr>
              <w:t>mayoría</w:t>
            </w:r>
            <w:r>
              <w:rPr>
                <w:spacing w:val="-8"/>
                <w:w w:val="90"/>
                <w:sz w:val="16"/>
              </w:rPr>
              <w:t> </w:t>
            </w:r>
            <w:r>
              <w:rPr>
                <w:w w:val="90"/>
                <w:sz w:val="16"/>
              </w:rPr>
              <w:t>absoluta (50%</w:t>
            </w:r>
            <w:r>
              <w:rPr>
                <w:spacing w:val="-17"/>
                <w:w w:val="90"/>
                <w:sz w:val="16"/>
              </w:rPr>
              <w:t> </w:t>
            </w:r>
            <w:r>
              <w:rPr>
                <w:w w:val="90"/>
                <w:sz w:val="16"/>
              </w:rPr>
              <w:t>+1),</w:t>
            </w:r>
            <w:r>
              <w:rPr>
                <w:spacing w:val="-18"/>
                <w:w w:val="90"/>
                <w:sz w:val="16"/>
              </w:rPr>
              <w:t> </w:t>
            </w:r>
            <w:r>
              <w:rPr>
                <w:w w:val="90"/>
                <w:sz w:val="16"/>
              </w:rPr>
              <w:t>todos</w:t>
            </w:r>
            <w:r>
              <w:rPr>
                <w:spacing w:val="-18"/>
                <w:w w:val="90"/>
                <w:sz w:val="16"/>
              </w:rPr>
              <w:t> </w:t>
            </w:r>
            <w:r>
              <w:rPr>
                <w:w w:val="90"/>
                <w:sz w:val="16"/>
              </w:rPr>
              <w:t>tienen</w:t>
            </w:r>
            <w:r>
              <w:rPr>
                <w:spacing w:val="-18"/>
                <w:w w:val="90"/>
                <w:sz w:val="16"/>
              </w:rPr>
              <w:t> </w:t>
            </w:r>
            <w:r>
              <w:rPr>
                <w:w w:val="90"/>
                <w:sz w:val="16"/>
              </w:rPr>
              <w:t>menos</w:t>
            </w:r>
            <w:r>
              <w:rPr>
                <w:spacing w:val="-18"/>
                <w:w w:val="90"/>
                <w:sz w:val="16"/>
              </w:rPr>
              <w:t> </w:t>
            </w:r>
            <w:r>
              <w:rPr>
                <w:w w:val="90"/>
                <w:sz w:val="16"/>
              </w:rPr>
              <w:t>del</w:t>
            </w:r>
            <w:r>
              <w:rPr>
                <w:spacing w:val="-18"/>
                <w:w w:val="90"/>
                <w:sz w:val="16"/>
              </w:rPr>
              <w:t> </w:t>
            </w:r>
            <w:r>
              <w:rPr>
                <w:w w:val="90"/>
                <w:sz w:val="16"/>
              </w:rPr>
              <w:t>50%</w:t>
            </w:r>
            <w:r>
              <w:rPr>
                <w:spacing w:val="-17"/>
                <w:w w:val="90"/>
                <w:sz w:val="16"/>
              </w:rPr>
              <w:t> </w:t>
            </w:r>
            <w:r>
              <w:rPr>
                <w:w w:val="90"/>
                <w:sz w:val="16"/>
              </w:rPr>
              <w:t>+1</w:t>
            </w:r>
            <w:r>
              <w:rPr>
                <w:spacing w:val="-18"/>
                <w:w w:val="90"/>
                <w:sz w:val="16"/>
              </w:rPr>
              <w:t> </w:t>
            </w:r>
            <w:r>
              <w:rPr>
                <w:w w:val="90"/>
                <w:sz w:val="16"/>
              </w:rPr>
              <w:t>en </w:t>
            </w:r>
            <w:r>
              <w:rPr>
                <w:w w:val="85"/>
                <w:sz w:val="16"/>
              </w:rPr>
              <w:t>la</w:t>
            </w:r>
            <w:r>
              <w:rPr>
                <w:spacing w:val="-18"/>
                <w:w w:val="85"/>
                <w:sz w:val="16"/>
              </w:rPr>
              <w:t> </w:t>
            </w:r>
            <w:r>
              <w:rPr>
                <w:w w:val="85"/>
                <w:sz w:val="16"/>
              </w:rPr>
              <w:t>integración</w:t>
            </w:r>
            <w:r>
              <w:rPr>
                <w:spacing w:val="-18"/>
                <w:w w:val="85"/>
                <w:sz w:val="16"/>
              </w:rPr>
              <w:t> </w:t>
            </w:r>
            <w:r>
              <w:rPr>
                <w:w w:val="85"/>
                <w:sz w:val="16"/>
              </w:rPr>
              <w:t>de</w:t>
            </w:r>
            <w:r>
              <w:rPr>
                <w:spacing w:val="-18"/>
                <w:w w:val="85"/>
                <w:sz w:val="16"/>
              </w:rPr>
              <w:t> </w:t>
            </w:r>
            <w:r>
              <w:rPr>
                <w:w w:val="85"/>
                <w:sz w:val="16"/>
              </w:rPr>
              <w:t>la</w:t>
            </w:r>
            <w:r>
              <w:rPr>
                <w:spacing w:val="-18"/>
                <w:w w:val="85"/>
                <w:sz w:val="16"/>
              </w:rPr>
              <w:t> </w:t>
            </w:r>
            <w:r>
              <w:rPr>
                <w:w w:val="85"/>
                <w:sz w:val="16"/>
              </w:rPr>
              <w:t>legislatura:</w:t>
            </w:r>
            <w:r>
              <w:rPr>
                <w:spacing w:val="-19"/>
                <w:w w:val="85"/>
                <w:sz w:val="16"/>
              </w:rPr>
              <w:t> </w:t>
            </w:r>
            <w:r>
              <w:rPr>
                <w:w w:val="85"/>
                <w:sz w:val="16"/>
              </w:rPr>
              <w:t>3.0.</w:t>
            </w:r>
          </w:p>
          <w:p>
            <w:pPr>
              <w:pStyle w:val="TableParagraph"/>
              <w:spacing w:line="183" w:lineRule="exact" w:before="1"/>
              <w:jc w:val="both"/>
              <w:rPr>
                <w:sz w:val="16"/>
              </w:rPr>
            </w:pPr>
            <w:r>
              <w:rPr>
                <w:w w:val="85"/>
                <w:sz w:val="16"/>
              </w:rPr>
              <w:t>-Baja, un partido tiene mayoría absoluta 50%</w:t>
            </w:r>
          </w:p>
          <w:p>
            <w:pPr>
              <w:pStyle w:val="TableParagraph"/>
              <w:spacing w:line="183" w:lineRule="exact"/>
              <w:jc w:val="both"/>
              <w:rPr>
                <w:sz w:val="16"/>
              </w:rPr>
            </w:pPr>
            <w:r>
              <w:rPr>
                <w:w w:val="85"/>
                <w:sz w:val="16"/>
              </w:rPr>
              <w:t>+1 en la integración de la legislatura: 2.0.</w:t>
            </w:r>
          </w:p>
          <w:p>
            <w:pPr>
              <w:pStyle w:val="TableParagraph"/>
              <w:spacing w:before="1"/>
              <w:ind w:right="103"/>
              <w:jc w:val="both"/>
              <w:rPr>
                <w:sz w:val="16"/>
              </w:rPr>
            </w:pPr>
            <w:r>
              <w:rPr>
                <w:w w:val="90"/>
                <w:sz w:val="16"/>
              </w:rPr>
              <w:t>-Nula,</w:t>
            </w:r>
            <w:r>
              <w:rPr>
                <w:spacing w:val="-25"/>
                <w:w w:val="90"/>
                <w:sz w:val="16"/>
              </w:rPr>
              <w:t> </w:t>
            </w:r>
            <w:r>
              <w:rPr>
                <w:w w:val="90"/>
                <w:sz w:val="16"/>
              </w:rPr>
              <w:t>un</w:t>
            </w:r>
            <w:r>
              <w:rPr>
                <w:spacing w:val="-25"/>
                <w:w w:val="90"/>
                <w:sz w:val="16"/>
              </w:rPr>
              <w:t> </w:t>
            </w:r>
            <w:r>
              <w:rPr>
                <w:w w:val="90"/>
                <w:sz w:val="16"/>
              </w:rPr>
              <w:t>partido</w:t>
            </w:r>
            <w:r>
              <w:rPr>
                <w:spacing w:val="-24"/>
                <w:w w:val="90"/>
                <w:sz w:val="16"/>
              </w:rPr>
              <w:t> </w:t>
            </w:r>
            <w:r>
              <w:rPr>
                <w:w w:val="90"/>
                <w:sz w:val="16"/>
              </w:rPr>
              <w:t>tiene</w:t>
            </w:r>
            <w:r>
              <w:rPr>
                <w:spacing w:val="-24"/>
                <w:w w:val="90"/>
                <w:sz w:val="16"/>
              </w:rPr>
              <w:t> </w:t>
            </w:r>
            <w:r>
              <w:rPr>
                <w:w w:val="90"/>
                <w:sz w:val="16"/>
              </w:rPr>
              <w:t>el</w:t>
            </w:r>
            <w:r>
              <w:rPr>
                <w:spacing w:val="-25"/>
                <w:w w:val="90"/>
                <w:sz w:val="16"/>
              </w:rPr>
              <w:t> </w:t>
            </w:r>
            <w:r>
              <w:rPr>
                <w:w w:val="90"/>
                <w:sz w:val="16"/>
              </w:rPr>
              <w:t>100%</w:t>
            </w:r>
            <w:r>
              <w:rPr>
                <w:spacing w:val="-24"/>
                <w:w w:val="90"/>
                <w:sz w:val="16"/>
              </w:rPr>
              <w:t> </w:t>
            </w:r>
            <w:r>
              <w:rPr>
                <w:w w:val="90"/>
                <w:sz w:val="16"/>
              </w:rPr>
              <w:t>de</w:t>
            </w:r>
            <w:r>
              <w:rPr>
                <w:spacing w:val="-24"/>
                <w:w w:val="90"/>
                <w:sz w:val="16"/>
              </w:rPr>
              <w:t> </w:t>
            </w:r>
            <w:r>
              <w:rPr>
                <w:w w:val="90"/>
                <w:sz w:val="16"/>
              </w:rPr>
              <w:t>los</w:t>
            </w:r>
            <w:r>
              <w:rPr>
                <w:spacing w:val="-25"/>
                <w:w w:val="90"/>
                <w:sz w:val="16"/>
              </w:rPr>
              <w:t> </w:t>
            </w:r>
            <w:r>
              <w:rPr>
                <w:w w:val="90"/>
                <w:sz w:val="16"/>
              </w:rPr>
              <w:t>curules: 1.0.</w:t>
            </w:r>
          </w:p>
        </w:tc>
      </w:tr>
      <w:tr>
        <w:trPr>
          <w:trHeight w:val="425" w:hRule="exact"/>
        </w:trPr>
        <w:tc>
          <w:tcPr>
            <w:tcW w:w="1138" w:type="dxa"/>
            <w:vMerge/>
          </w:tcPr>
          <w:p>
            <w:pPr/>
          </w:p>
        </w:tc>
        <w:tc>
          <w:tcPr>
            <w:tcW w:w="9354" w:type="dxa"/>
            <w:gridSpan w:val="5"/>
          </w:tcPr>
          <w:p>
            <w:pPr>
              <w:pStyle w:val="TableParagraph"/>
              <w:spacing w:line="201" w:lineRule="exact"/>
              <w:ind w:left="123" w:right="106"/>
              <w:jc w:val="right"/>
              <w:rPr>
                <w:b/>
                <w:sz w:val="18"/>
              </w:rPr>
            </w:pPr>
            <w:r>
              <w:rPr>
                <w:b/>
                <w:sz w:val="18"/>
              </w:rPr>
              <w:t>Evaluación sólo de la variable Régimen político</w:t>
            </w:r>
          </w:p>
          <w:p>
            <w:pPr>
              <w:pStyle w:val="TableParagraph"/>
              <w:spacing w:line="207" w:lineRule="exact"/>
              <w:ind w:left="123" w:right="102"/>
              <w:jc w:val="right"/>
              <w:rPr>
                <w:b/>
                <w:sz w:val="18"/>
              </w:rPr>
            </w:pPr>
            <w:r>
              <w:rPr>
                <w:b/>
                <w:sz w:val="18"/>
              </w:rPr>
              <w:t>Alto: 3.0; Medio: 2.0; Bajo: 1.0.</w:t>
            </w:r>
          </w:p>
        </w:tc>
      </w:tr>
      <w:tr>
        <w:trPr>
          <w:trHeight w:val="838" w:hRule="exact"/>
        </w:trPr>
        <w:tc>
          <w:tcPr>
            <w:tcW w:w="1138" w:type="dxa"/>
            <w:vMerge/>
          </w:tcPr>
          <w:p>
            <w:pPr/>
          </w:p>
        </w:tc>
        <w:tc>
          <w:tcPr>
            <w:tcW w:w="9354" w:type="dxa"/>
            <w:gridSpan w:val="5"/>
          </w:tcPr>
          <w:p>
            <w:pPr>
              <w:pStyle w:val="TableParagraph"/>
              <w:spacing w:line="201" w:lineRule="exact"/>
              <w:ind w:left="123" w:right="106"/>
              <w:jc w:val="right"/>
              <w:rPr>
                <w:b/>
                <w:sz w:val="18"/>
              </w:rPr>
            </w:pPr>
            <w:r>
              <w:rPr>
                <w:b/>
                <w:sz w:val="18"/>
              </w:rPr>
              <w:t>PROMEDIO DE LA DIMENSIÓN</w:t>
            </w:r>
          </w:p>
          <w:p>
            <w:pPr>
              <w:pStyle w:val="TableParagraph"/>
              <w:spacing w:line="202" w:lineRule="exact" w:before="11"/>
              <w:ind w:left="123" w:right="102"/>
              <w:jc w:val="right"/>
              <w:rPr>
                <w:b/>
                <w:sz w:val="18"/>
              </w:rPr>
            </w:pPr>
            <w:r>
              <w:rPr>
                <w:sz w:val="18"/>
              </w:rPr>
              <w:t>Para determinar los rangos se restó la evaluación más baja (1) a la más alta (3)=2. Dicho resultado se dividió</w:t>
            </w:r>
            <w:r>
              <w:rPr>
                <w:w w:val="99"/>
                <w:sz w:val="18"/>
              </w:rPr>
              <w:t> </w:t>
            </w:r>
            <w:r>
              <w:rPr>
                <w:sz w:val="18"/>
              </w:rPr>
              <w:t>entre los tres rangos a crear= 0.66, este fue el factor para determinar los rangos. Así </w:t>
            </w:r>
            <w:r>
              <w:rPr>
                <w:b/>
                <w:sz w:val="18"/>
              </w:rPr>
              <w:t>de 2.34 a 3.0 alto, de 1.67 a</w:t>
            </w:r>
          </w:p>
          <w:p>
            <w:pPr>
              <w:pStyle w:val="TableParagraph"/>
              <w:spacing w:line="207" w:lineRule="exact"/>
              <w:ind w:left="100"/>
              <w:rPr>
                <w:b/>
                <w:sz w:val="18"/>
              </w:rPr>
            </w:pPr>
            <w:r>
              <w:rPr>
                <w:b/>
                <w:sz w:val="18"/>
              </w:rPr>
              <w:t>2.33 medio y de 1.0 a 1.66 bajo.</w:t>
            </w:r>
          </w:p>
        </w:tc>
      </w:tr>
    </w:tbl>
    <w:p>
      <w:pPr>
        <w:pStyle w:val="BodyText"/>
        <w:rPr>
          <w:rFonts w:ascii="Times New Roman"/>
          <w:sz w:val="20"/>
        </w:rPr>
      </w:pPr>
    </w:p>
    <w:p>
      <w:pPr>
        <w:pStyle w:val="BodyText"/>
        <w:spacing w:before="1"/>
        <w:rPr>
          <w:rFonts w:ascii="Times New Roman"/>
          <w:sz w:val="11"/>
        </w:rPr>
      </w:pPr>
    </w:p>
    <w:tbl>
      <w:tblPr>
        <w:tblW w:w="0" w:type="auto"/>
        <w:jc w:val="left"/>
        <w:tblInd w:w="2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97"/>
        <w:gridCol w:w="1133"/>
        <w:gridCol w:w="2410"/>
        <w:gridCol w:w="1419"/>
        <w:gridCol w:w="1416"/>
        <w:gridCol w:w="2977"/>
      </w:tblGrid>
      <w:tr>
        <w:trPr>
          <w:trHeight w:val="425" w:hRule="exact"/>
        </w:trPr>
        <w:tc>
          <w:tcPr>
            <w:tcW w:w="1097" w:type="dxa"/>
            <w:shd w:val="clear" w:color="auto" w:fill="D9D9D9"/>
          </w:tcPr>
          <w:p>
            <w:pPr>
              <w:pStyle w:val="TableParagraph"/>
              <w:spacing w:line="242" w:lineRule="auto"/>
              <w:ind w:left="487" w:right="121" w:hanging="351"/>
              <w:rPr>
                <w:b/>
                <w:sz w:val="18"/>
              </w:rPr>
            </w:pPr>
            <w:r>
              <w:rPr>
                <w:b/>
                <w:sz w:val="18"/>
              </w:rPr>
              <w:t>Dimensió n</w:t>
            </w:r>
          </w:p>
        </w:tc>
        <w:tc>
          <w:tcPr>
            <w:tcW w:w="1133" w:type="dxa"/>
            <w:shd w:val="clear" w:color="auto" w:fill="D9D9D9"/>
          </w:tcPr>
          <w:p>
            <w:pPr>
              <w:pStyle w:val="TableParagraph"/>
              <w:spacing w:line="201" w:lineRule="exact"/>
              <w:ind w:left="208" w:right="101"/>
              <w:rPr>
                <w:b/>
                <w:sz w:val="18"/>
              </w:rPr>
            </w:pPr>
            <w:r>
              <w:rPr>
                <w:b/>
                <w:sz w:val="18"/>
              </w:rPr>
              <w:t>Variable</w:t>
            </w:r>
          </w:p>
        </w:tc>
        <w:tc>
          <w:tcPr>
            <w:tcW w:w="2410" w:type="dxa"/>
            <w:shd w:val="clear" w:color="auto" w:fill="D9D9D9"/>
          </w:tcPr>
          <w:p>
            <w:pPr>
              <w:pStyle w:val="TableParagraph"/>
              <w:spacing w:line="242" w:lineRule="auto"/>
              <w:ind w:left="1015" w:right="187" w:hanging="812"/>
              <w:rPr>
                <w:b/>
                <w:sz w:val="18"/>
              </w:rPr>
            </w:pPr>
            <w:r>
              <w:rPr>
                <w:b/>
                <w:sz w:val="18"/>
              </w:rPr>
              <w:t>Preguntas o conceptos guía</w:t>
            </w:r>
          </w:p>
        </w:tc>
        <w:tc>
          <w:tcPr>
            <w:tcW w:w="1419" w:type="dxa"/>
            <w:shd w:val="clear" w:color="auto" w:fill="D9D9D9"/>
          </w:tcPr>
          <w:p>
            <w:pPr>
              <w:pStyle w:val="TableParagraph"/>
              <w:spacing w:line="201" w:lineRule="exact"/>
              <w:ind w:left="199" w:right="-11"/>
              <w:rPr>
                <w:b/>
                <w:sz w:val="18"/>
              </w:rPr>
            </w:pPr>
            <w:r>
              <w:rPr>
                <w:b/>
                <w:sz w:val="18"/>
              </w:rPr>
              <w:t>Indicadores</w:t>
            </w:r>
          </w:p>
        </w:tc>
        <w:tc>
          <w:tcPr>
            <w:tcW w:w="1416" w:type="dxa"/>
            <w:shd w:val="clear" w:color="auto" w:fill="D9D9D9"/>
          </w:tcPr>
          <w:p>
            <w:pPr>
              <w:pStyle w:val="TableParagraph"/>
              <w:spacing w:line="242" w:lineRule="auto"/>
              <w:ind w:left="184" w:right="172" w:firstLine="38"/>
              <w:rPr>
                <w:b/>
                <w:sz w:val="18"/>
              </w:rPr>
            </w:pPr>
            <w:r>
              <w:rPr>
                <w:b/>
                <w:sz w:val="18"/>
              </w:rPr>
              <w:t>Fuentes de información</w:t>
            </w:r>
          </w:p>
        </w:tc>
        <w:tc>
          <w:tcPr>
            <w:tcW w:w="2977" w:type="dxa"/>
            <w:shd w:val="clear" w:color="auto" w:fill="D9D9D9"/>
          </w:tcPr>
          <w:p>
            <w:pPr>
              <w:pStyle w:val="TableParagraph"/>
              <w:spacing w:line="201" w:lineRule="exact"/>
              <w:ind w:left="988" w:right="988"/>
              <w:jc w:val="center"/>
              <w:rPr>
                <w:b/>
                <w:sz w:val="18"/>
              </w:rPr>
            </w:pPr>
            <w:r>
              <w:rPr>
                <w:b/>
                <w:sz w:val="18"/>
              </w:rPr>
              <w:t>Evaluación</w:t>
            </w:r>
          </w:p>
        </w:tc>
      </w:tr>
      <w:tr>
        <w:trPr>
          <w:trHeight w:val="1296" w:hRule="exact"/>
        </w:trPr>
        <w:tc>
          <w:tcPr>
            <w:tcW w:w="1097" w:type="dxa"/>
            <w:vMerge w:val="restart"/>
          </w:tcPr>
          <w:p>
            <w:pPr>
              <w:pStyle w:val="TableParagraph"/>
              <w:spacing w:line="181" w:lineRule="exact"/>
              <w:ind w:right="121"/>
              <w:rPr>
                <w:rFonts w:ascii="Trebuchet MS"/>
                <w:b/>
                <w:sz w:val="16"/>
              </w:rPr>
            </w:pPr>
            <w:r>
              <w:rPr>
                <w:rFonts w:ascii="Trebuchet MS"/>
                <w:b/>
                <w:w w:val="90"/>
                <w:sz w:val="16"/>
              </w:rPr>
              <w:t>II</w:t>
            </w:r>
          </w:p>
          <w:p>
            <w:pPr>
              <w:pStyle w:val="TableParagraph"/>
              <w:tabs>
                <w:tab w:pos="911" w:val="left" w:leader="none"/>
              </w:tabs>
              <w:spacing w:line="182" w:lineRule="exact" w:before="4"/>
              <w:ind w:right="100"/>
              <w:rPr>
                <w:rFonts w:ascii="Trebuchet MS"/>
                <w:b/>
                <w:sz w:val="16"/>
              </w:rPr>
            </w:pPr>
            <w:r>
              <w:rPr>
                <w:rFonts w:ascii="Trebuchet MS"/>
                <w:b/>
                <w:w w:val="90"/>
                <w:sz w:val="16"/>
              </w:rPr>
              <w:t>Independen- cia</w:t>
              <w:tab/>
            </w:r>
            <w:r>
              <w:rPr>
                <w:rFonts w:ascii="Trebuchet MS"/>
                <w:b/>
                <w:w w:val="80"/>
                <w:sz w:val="16"/>
              </w:rPr>
              <w:t>e</w:t>
            </w:r>
          </w:p>
          <w:p>
            <w:pPr>
              <w:pStyle w:val="TableParagraph"/>
              <w:tabs>
                <w:tab w:pos="796" w:val="left" w:leader="none"/>
              </w:tabs>
              <w:spacing w:line="182" w:lineRule="exact" w:before="2"/>
              <w:ind w:right="101"/>
              <w:rPr>
                <w:rFonts w:ascii="Trebuchet MS"/>
                <w:b/>
                <w:sz w:val="16"/>
              </w:rPr>
            </w:pPr>
            <w:r>
              <w:rPr>
                <w:rFonts w:ascii="Trebuchet MS"/>
                <w:b/>
                <w:w w:val="85"/>
                <w:sz w:val="16"/>
              </w:rPr>
              <w:t>imparcialidad </w:t>
            </w:r>
            <w:r>
              <w:rPr>
                <w:rFonts w:ascii="Trebuchet MS"/>
                <w:b/>
                <w:w w:val="95"/>
                <w:sz w:val="16"/>
              </w:rPr>
              <w:t>de</w:t>
              <w:tab/>
            </w:r>
            <w:r>
              <w:rPr>
                <w:rFonts w:ascii="Trebuchet MS"/>
                <w:b/>
                <w:w w:val="90"/>
                <w:sz w:val="16"/>
              </w:rPr>
              <w:t>los</w:t>
            </w:r>
          </w:p>
          <w:p>
            <w:pPr>
              <w:pStyle w:val="TableParagraph"/>
              <w:spacing w:line="182" w:lineRule="exact" w:before="3"/>
              <w:ind w:right="121"/>
              <w:rPr>
                <w:rFonts w:ascii="Trebuchet MS" w:hAnsi="Trebuchet MS"/>
                <w:b/>
                <w:sz w:val="16"/>
              </w:rPr>
            </w:pPr>
            <w:r>
              <w:rPr>
                <w:rFonts w:ascii="Trebuchet MS" w:hAnsi="Trebuchet MS"/>
                <w:b/>
                <w:w w:val="95"/>
                <w:sz w:val="16"/>
              </w:rPr>
              <w:t>órganos </w:t>
            </w:r>
            <w:r>
              <w:rPr>
                <w:rFonts w:ascii="Trebuchet MS" w:hAnsi="Trebuchet MS"/>
                <w:b/>
                <w:w w:val="80"/>
                <w:sz w:val="16"/>
              </w:rPr>
              <w:t>electorales</w:t>
            </w:r>
          </w:p>
        </w:tc>
        <w:tc>
          <w:tcPr>
            <w:tcW w:w="1133" w:type="dxa"/>
            <w:vMerge w:val="restart"/>
          </w:tcPr>
          <w:p>
            <w:pPr>
              <w:pStyle w:val="TableParagraph"/>
              <w:tabs>
                <w:tab w:pos="865" w:val="left" w:leader="none"/>
              </w:tabs>
              <w:spacing w:line="237" w:lineRule="auto"/>
              <w:ind w:left="100" w:right="103"/>
              <w:rPr>
                <w:rFonts w:ascii="Trebuchet MS" w:hAnsi="Trebuchet MS"/>
                <w:b/>
                <w:sz w:val="16"/>
              </w:rPr>
            </w:pPr>
            <w:r>
              <w:rPr>
                <w:rFonts w:ascii="Trebuchet MS" w:hAnsi="Trebuchet MS"/>
                <w:b/>
                <w:w w:val="95"/>
                <w:sz w:val="16"/>
              </w:rPr>
              <w:t>Elección</w:t>
              <w:tab/>
            </w:r>
            <w:r>
              <w:rPr>
                <w:rFonts w:ascii="Trebuchet MS" w:hAnsi="Trebuchet MS"/>
                <w:b/>
                <w:w w:val="80"/>
                <w:sz w:val="16"/>
              </w:rPr>
              <w:t>de </w:t>
            </w:r>
            <w:r>
              <w:rPr>
                <w:rFonts w:ascii="Trebuchet MS" w:hAnsi="Trebuchet MS"/>
                <w:b/>
                <w:w w:val="95"/>
                <w:sz w:val="16"/>
              </w:rPr>
              <w:t>consejeros y magistrados electorales</w:t>
            </w:r>
          </w:p>
        </w:tc>
        <w:tc>
          <w:tcPr>
            <w:tcW w:w="2410" w:type="dxa"/>
          </w:tcPr>
          <w:p>
            <w:pPr>
              <w:pStyle w:val="TableParagraph"/>
              <w:ind w:left="-1" w:right="1"/>
              <w:jc w:val="both"/>
              <w:rPr>
                <w:sz w:val="16"/>
              </w:rPr>
            </w:pPr>
            <w:r>
              <w:rPr>
                <w:w w:val="85"/>
                <w:sz w:val="16"/>
              </w:rPr>
              <w:t>Estructura,</w:t>
            </w:r>
            <w:r>
              <w:rPr>
                <w:spacing w:val="-16"/>
                <w:w w:val="85"/>
                <w:sz w:val="16"/>
              </w:rPr>
              <w:t> </w:t>
            </w:r>
            <w:r>
              <w:rPr>
                <w:w w:val="85"/>
                <w:sz w:val="16"/>
              </w:rPr>
              <w:t>funcionamiento</w:t>
            </w:r>
            <w:r>
              <w:rPr>
                <w:spacing w:val="-15"/>
                <w:w w:val="85"/>
                <w:sz w:val="16"/>
              </w:rPr>
              <w:t> </w:t>
            </w:r>
            <w:r>
              <w:rPr>
                <w:w w:val="85"/>
                <w:sz w:val="16"/>
              </w:rPr>
              <w:t>e</w:t>
            </w:r>
            <w:r>
              <w:rPr>
                <w:spacing w:val="-15"/>
                <w:w w:val="85"/>
                <w:sz w:val="16"/>
              </w:rPr>
              <w:t> </w:t>
            </w:r>
            <w:r>
              <w:rPr>
                <w:w w:val="85"/>
                <w:sz w:val="16"/>
              </w:rPr>
              <w:t>integración del</w:t>
            </w:r>
            <w:r>
              <w:rPr>
                <w:spacing w:val="-13"/>
                <w:w w:val="85"/>
                <w:sz w:val="16"/>
              </w:rPr>
              <w:t> </w:t>
            </w:r>
            <w:r>
              <w:rPr>
                <w:w w:val="85"/>
                <w:sz w:val="16"/>
              </w:rPr>
              <w:t>IFE,</w:t>
            </w:r>
            <w:r>
              <w:rPr>
                <w:spacing w:val="-14"/>
                <w:w w:val="85"/>
                <w:sz w:val="16"/>
              </w:rPr>
              <w:t> </w:t>
            </w:r>
            <w:r>
              <w:rPr>
                <w:w w:val="85"/>
                <w:sz w:val="16"/>
              </w:rPr>
              <w:t>IEEM</w:t>
            </w:r>
            <w:r>
              <w:rPr>
                <w:spacing w:val="-13"/>
                <w:w w:val="85"/>
                <w:sz w:val="16"/>
              </w:rPr>
              <w:t> </w:t>
            </w:r>
            <w:r>
              <w:rPr>
                <w:w w:val="85"/>
                <w:sz w:val="16"/>
              </w:rPr>
              <w:t>y</w:t>
            </w:r>
            <w:r>
              <w:rPr>
                <w:spacing w:val="-14"/>
                <w:w w:val="85"/>
                <w:sz w:val="16"/>
              </w:rPr>
              <w:t> </w:t>
            </w:r>
            <w:r>
              <w:rPr>
                <w:w w:val="85"/>
                <w:sz w:val="16"/>
              </w:rPr>
              <w:t>TSE.</w:t>
            </w:r>
          </w:p>
          <w:p>
            <w:pPr>
              <w:pStyle w:val="TableParagraph"/>
              <w:ind w:left="-1"/>
              <w:jc w:val="both"/>
              <w:rPr>
                <w:sz w:val="16"/>
              </w:rPr>
            </w:pPr>
            <w:r>
              <w:rPr>
                <w:w w:val="90"/>
                <w:sz w:val="16"/>
              </w:rPr>
              <w:t>Imparcialidad</w:t>
            </w:r>
            <w:r>
              <w:rPr>
                <w:spacing w:val="-12"/>
                <w:w w:val="90"/>
                <w:sz w:val="16"/>
              </w:rPr>
              <w:t> </w:t>
            </w:r>
            <w:r>
              <w:rPr>
                <w:w w:val="90"/>
                <w:sz w:val="16"/>
              </w:rPr>
              <w:t>en</w:t>
            </w:r>
            <w:r>
              <w:rPr>
                <w:spacing w:val="-12"/>
                <w:w w:val="90"/>
                <w:sz w:val="16"/>
              </w:rPr>
              <w:t> </w:t>
            </w:r>
            <w:r>
              <w:rPr>
                <w:w w:val="90"/>
                <w:sz w:val="16"/>
              </w:rPr>
              <w:t>las</w:t>
            </w:r>
            <w:r>
              <w:rPr>
                <w:spacing w:val="-13"/>
                <w:w w:val="90"/>
                <w:sz w:val="16"/>
              </w:rPr>
              <w:t> </w:t>
            </w:r>
            <w:r>
              <w:rPr>
                <w:w w:val="90"/>
                <w:sz w:val="16"/>
              </w:rPr>
              <w:t>designaciones</w:t>
            </w:r>
            <w:r>
              <w:rPr>
                <w:spacing w:val="-13"/>
                <w:w w:val="90"/>
                <w:sz w:val="16"/>
              </w:rPr>
              <w:t> </w:t>
            </w:r>
            <w:r>
              <w:rPr>
                <w:w w:val="90"/>
                <w:sz w:val="16"/>
              </w:rPr>
              <w:t>de consejeros o magistrados adscritos a </w:t>
            </w:r>
            <w:r>
              <w:rPr>
                <w:w w:val="85"/>
                <w:sz w:val="16"/>
              </w:rPr>
              <w:t>órganos</w:t>
            </w:r>
            <w:r>
              <w:rPr>
                <w:spacing w:val="-18"/>
                <w:w w:val="85"/>
                <w:sz w:val="16"/>
              </w:rPr>
              <w:t> </w:t>
            </w:r>
            <w:r>
              <w:rPr>
                <w:w w:val="85"/>
                <w:sz w:val="16"/>
              </w:rPr>
              <w:t>centrales</w:t>
            </w:r>
            <w:r>
              <w:rPr>
                <w:spacing w:val="-18"/>
                <w:w w:val="85"/>
                <w:sz w:val="16"/>
              </w:rPr>
              <w:t> </w:t>
            </w:r>
            <w:r>
              <w:rPr>
                <w:w w:val="85"/>
                <w:sz w:val="16"/>
              </w:rPr>
              <w:t>del</w:t>
            </w:r>
            <w:r>
              <w:rPr>
                <w:spacing w:val="-17"/>
                <w:w w:val="85"/>
                <w:sz w:val="16"/>
              </w:rPr>
              <w:t> </w:t>
            </w:r>
            <w:r>
              <w:rPr>
                <w:w w:val="85"/>
                <w:sz w:val="16"/>
              </w:rPr>
              <w:t>IFE,</w:t>
            </w:r>
            <w:r>
              <w:rPr>
                <w:spacing w:val="-18"/>
                <w:w w:val="85"/>
                <w:sz w:val="16"/>
              </w:rPr>
              <w:t> </w:t>
            </w:r>
            <w:r>
              <w:rPr>
                <w:w w:val="85"/>
                <w:sz w:val="16"/>
              </w:rPr>
              <w:t>IEEM</w:t>
            </w:r>
            <w:r>
              <w:rPr>
                <w:spacing w:val="-17"/>
                <w:w w:val="85"/>
                <w:sz w:val="16"/>
              </w:rPr>
              <w:t> </w:t>
            </w:r>
            <w:r>
              <w:rPr>
                <w:w w:val="85"/>
                <w:sz w:val="16"/>
              </w:rPr>
              <w:t>y</w:t>
            </w:r>
            <w:r>
              <w:rPr>
                <w:spacing w:val="-18"/>
                <w:w w:val="85"/>
                <w:sz w:val="16"/>
              </w:rPr>
              <w:t> </w:t>
            </w:r>
            <w:r>
              <w:rPr>
                <w:w w:val="85"/>
                <w:sz w:val="16"/>
              </w:rPr>
              <w:t>TSE.</w:t>
            </w:r>
          </w:p>
          <w:p>
            <w:pPr>
              <w:pStyle w:val="TableParagraph"/>
              <w:spacing w:before="1"/>
              <w:ind w:left="-1" w:right="1"/>
              <w:jc w:val="both"/>
              <w:rPr>
                <w:sz w:val="16"/>
              </w:rPr>
            </w:pPr>
            <w:r>
              <w:rPr>
                <w:w w:val="90"/>
                <w:sz w:val="16"/>
              </w:rPr>
              <w:t>¿La</w:t>
            </w:r>
            <w:r>
              <w:rPr>
                <w:spacing w:val="-12"/>
                <w:w w:val="90"/>
                <w:sz w:val="16"/>
              </w:rPr>
              <w:t> </w:t>
            </w:r>
            <w:r>
              <w:rPr>
                <w:w w:val="90"/>
                <w:sz w:val="16"/>
              </w:rPr>
              <w:t>selección</w:t>
            </w:r>
            <w:r>
              <w:rPr>
                <w:spacing w:val="-12"/>
                <w:w w:val="90"/>
                <w:sz w:val="16"/>
              </w:rPr>
              <w:t> </w:t>
            </w:r>
            <w:r>
              <w:rPr>
                <w:w w:val="90"/>
                <w:sz w:val="16"/>
              </w:rPr>
              <w:t>se</w:t>
            </w:r>
            <w:r>
              <w:rPr>
                <w:spacing w:val="-12"/>
                <w:w w:val="90"/>
                <w:sz w:val="16"/>
              </w:rPr>
              <w:t> </w:t>
            </w:r>
            <w:r>
              <w:rPr>
                <w:w w:val="90"/>
                <w:sz w:val="16"/>
              </w:rPr>
              <w:t>realizó</w:t>
            </w:r>
            <w:r>
              <w:rPr>
                <w:spacing w:val="-12"/>
                <w:w w:val="90"/>
                <w:sz w:val="16"/>
              </w:rPr>
              <w:t> </w:t>
            </w:r>
            <w:r>
              <w:rPr>
                <w:w w:val="90"/>
                <w:sz w:val="16"/>
              </w:rPr>
              <w:t>conforme</w:t>
            </w:r>
            <w:r>
              <w:rPr>
                <w:spacing w:val="-12"/>
                <w:w w:val="90"/>
                <w:sz w:val="16"/>
              </w:rPr>
              <w:t> </w:t>
            </w:r>
            <w:r>
              <w:rPr>
                <w:w w:val="90"/>
                <w:sz w:val="16"/>
              </w:rPr>
              <w:t>a</w:t>
            </w:r>
            <w:r>
              <w:rPr>
                <w:spacing w:val="-12"/>
                <w:w w:val="90"/>
                <w:sz w:val="16"/>
              </w:rPr>
              <w:t> </w:t>
            </w:r>
            <w:r>
              <w:rPr>
                <w:w w:val="90"/>
                <w:sz w:val="16"/>
              </w:rPr>
              <w:t>lo </w:t>
            </w:r>
            <w:r>
              <w:rPr>
                <w:w w:val="85"/>
                <w:sz w:val="16"/>
              </w:rPr>
              <w:t>estipulado</w:t>
            </w:r>
            <w:r>
              <w:rPr>
                <w:spacing w:val="-19"/>
                <w:w w:val="85"/>
                <w:sz w:val="16"/>
              </w:rPr>
              <w:t> </w:t>
            </w:r>
            <w:r>
              <w:rPr>
                <w:w w:val="85"/>
                <w:sz w:val="16"/>
              </w:rPr>
              <w:t>en</w:t>
            </w:r>
            <w:r>
              <w:rPr>
                <w:spacing w:val="-19"/>
                <w:w w:val="85"/>
                <w:sz w:val="16"/>
              </w:rPr>
              <w:t> </w:t>
            </w:r>
            <w:r>
              <w:rPr>
                <w:w w:val="85"/>
                <w:sz w:val="16"/>
              </w:rPr>
              <w:t>la</w:t>
            </w:r>
            <w:r>
              <w:rPr>
                <w:spacing w:val="-19"/>
                <w:w w:val="85"/>
                <w:sz w:val="16"/>
              </w:rPr>
              <w:t> </w:t>
            </w:r>
            <w:r>
              <w:rPr>
                <w:w w:val="85"/>
                <w:sz w:val="16"/>
              </w:rPr>
              <w:t>ley?</w:t>
            </w:r>
            <w:r>
              <w:rPr>
                <w:spacing w:val="-19"/>
                <w:w w:val="85"/>
                <w:sz w:val="16"/>
              </w:rPr>
              <w:t> </w:t>
            </w:r>
            <w:r>
              <w:rPr>
                <w:w w:val="85"/>
                <w:sz w:val="16"/>
              </w:rPr>
              <w:t>(Origen</w:t>
            </w:r>
            <w:r>
              <w:rPr>
                <w:spacing w:val="-19"/>
                <w:w w:val="85"/>
                <w:sz w:val="16"/>
              </w:rPr>
              <w:t> </w:t>
            </w:r>
            <w:r>
              <w:rPr>
                <w:w w:val="85"/>
                <w:sz w:val="16"/>
              </w:rPr>
              <w:t>legal)</w:t>
            </w:r>
          </w:p>
        </w:tc>
        <w:tc>
          <w:tcPr>
            <w:tcW w:w="1419" w:type="dxa"/>
          </w:tcPr>
          <w:p>
            <w:pPr>
              <w:pStyle w:val="TableParagraph"/>
              <w:spacing w:line="180" w:lineRule="exact"/>
              <w:ind w:left="0" w:right="-11"/>
              <w:rPr>
                <w:sz w:val="16"/>
              </w:rPr>
            </w:pPr>
            <w:r>
              <w:rPr>
                <w:w w:val="85"/>
                <w:sz w:val="16"/>
              </w:rPr>
              <w:t>Apego a la ley</w:t>
            </w:r>
          </w:p>
        </w:tc>
        <w:tc>
          <w:tcPr>
            <w:tcW w:w="1416" w:type="dxa"/>
          </w:tcPr>
          <w:p>
            <w:pPr>
              <w:pStyle w:val="TableParagraph"/>
              <w:tabs>
                <w:tab w:pos="498" w:val="left" w:leader="none"/>
                <w:tab w:pos="1112" w:val="left" w:leader="none"/>
              </w:tabs>
              <w:spacing w:line="180" w:lineRule="exact"/>
              <w:ind w:left="-3"/>
              <w:rPr>
                <w:sz w:val="16"/>
              </w:rPr>
            </w:pPr>
            <w:r>
              <w:rPr>
                <w:w w:val="90"/>
                <w:sz w:val="16"/>
              </w:rPr>
              <w:t>IFE,</w:t>
              <w:tab/>
              <w:t>IEEM,</w:t>
              <w:tab/>
            </w:r>
            <w:r>
              <w:rPr>
                <w:w w:val="80"/>
                <w:sz w:val="16"/>
              </w:rPr>
              <w:t>TSE,</w:t>
            </w:r>
          </w:p>
          <w:p>
            <w:pPr>
              <w:pStyle w:val="TableParagraph"/>
              <w:tabs>
                <w:tab w:pos="704" w:val="left" w:leader="none"/>
                <w:tab w:pos="1340" w:val="left" w:leader="none"/>
              </w:tabs>
              <w:spacing w:before="1"/>
              <w:ind w:left="-3"/>
              <w:rPr>
                <w:sz w:val="16"/>
              </w:rPr>
            </w:pPr>
            <w:r>
              <w:rPr>
                <w:w w:val="90"/>
                <w:sz w:val="16"/>
              </w:rPr>
              <w:t>constituciones, legislaturas </w:t>
            </w:r>
            <w:r>
              <w:rPr>
                <w:w w:val="85"/>
                <w:sz w:val="16"/>
              </w:rPr>
              <w:t>(votaciones, debates), </w:t>
            </w:r>
            <w:r>
              <w:rPr>
                <w:w w:val="90"/>
                <w:sz w:val="16"/>
              </w:rPr>
              <w:t>TEPJF,</w:t>
              <w:tab/>
              <w:t>TEEM</w:t>
              <w:tab/>
            </w:r>
            <w:r>
              <w:rPr>
                <w:w w:val="80"/>
                <w:sz w:val="16"/>
              </w:rPr>
              <w:t>y</w:t>
            </w:r>
          </w:p>
          <w:p>
            <w:pPr>
              <w:pStyle w:val="TableParagraph"/>
              <w:spacing w:before="1"/>
              <w:ind w:left="-3" w:right="169"/>
              <w:rPr>
                <w:sz w:val="16"/>
              </w:rPr>
            </w:pPr>
            <w:r>
              <w:rPr>
                <w:w w:val="90"/>
                <w:sz w:val="16"/>
              </w:rPr>
              <w:t>convocatorias.</w:t>
            </w:r>
          </w:p>
        </w:tc>
        <w:tc>
          <w:tcPr>
            <w:tcW w:w="2977" w:type="dxa"/>
          </w:tcPr>
          <w:p>
            <w:pPr>
              <w:pStyle w:val="TableParagraph"/>
              <w:ind w:right="99"/>
              <w:jc w:val="both"/>
              <w:rPr>
                <w:sz w:val="16"/>
              </w:rPr>
            </w:pPr>
            <w:r>
              <w:rPr>
                <w:w w:val="85"/>
                <w:sz w:val="16"/>
              </w:rPr>
              <w:t>Si</w:t>
            </w:r>
            <w:r>
              <w:rPr>
                <w:spacing w:val="-11"/>
                <w:w w:val="85"/>
                <w:sz w:val="16"/>
              </w:rPr>
              <w:t> </w:t>
            </w:r>
            <w:r>
              <w:rPr>
                <w:w w:val="85"/>
                <w:sz w:val="16"/>
              </w:rPr>
              <w:t>cumplió</w:t>
            </w:r>
            <w:r>
              <w:rPr>
                <w:spacing w:val="-10"/>
                <w:w w:val="85"/>
                <w:sz w:val="16"/>
              </w:rPr>
              <w:t> </w:t>
            </w:r>
            <w:r>
              <w:rPr>
                <w:w w:val="85"/>
                <w:sz w:val="16"/>
              </w:rPr>
              <w:t>con</w:t>
            </w:r>
            <w:r>
              <w:rPr>
                <w:spacing w:val="-10"/>
                <w:w w:val="85"/>
                <w:sz w:val="16"/>
              </w:rPr>
              <w:t> </w:t>
            </w:r>
            <w:r>
              <w:rPr>
                <w:w w:val="85"/>
                <w:sz w:val="16"/>
              </w:rPr>
              <w:t>todos</w:t>
            </w:r>
            <w:r>
              <w:rPr>
                <w:spacing w:val="-11"/>
                <w:w w:val="85"/>
                <w:sz w:val="16"/>
              </w:rPr>
              <w:t> </w:t>
            </w:r>
            <w:r>
              <w:rPr>
                <w:w w:val="85"/>
                <w:sz w:val="16"/>
              </w:rPr>
              <w:t>los</w:t>
            </w:r>
            <w:r>
              <w:rPr>
                <w:spacing w:val="-11"/>
                <w:w w:val="85"/>
                <w:sz w:val="16"/>
              </w:rPr>
              <w:t> </w:t>
            </w:r>
            <w:r>
              <w:rPr>
                <w:w w:val="85"/>
                <w:sz w:val="16"/>
              </w:rPr>
              <w:t>requisitos:</w:t>
            </w:r>
            <w:r>
              <w:rPr>
                <w:spacing w:val="-10"/>
                <w:w w:val="85"/>
                <w:sz w:val="16"/>
              </w:rPr>
              <w:t> </w:t>
            </w:r>
            <w:r>
              <w:rPr>
                <w:w w:val="85"/>
                <w:sz w:val="16"/>
              </w:rPr>
              <w:t>3.0;</w:t>
            </w:r>
            <w:r>
              <w:rPr>
                <w:spacing w:val="-11"/>
                <w:w w:val="85"/>
                <w:sz w:val="16"/>
              </w:rPr>
              <w:t> </w:t>
            </w:r>
            <w:r>
              <w:rPr>
                <w:w w:val="85"/>
                <w:sz w:val="16"/>
              </w:rPr>
              <w:t>sí</w:t>
            </w:r>
            <w:r>
              <w:rPr>
                <w:spacing w:val="-11"/>
                <w:w w:val="85"/>
                <w:sz w:val="16"/>
              </w:rPr>
              <w:t> </w:t>
            </w:r>
            <w:r>
              <w:rPr>
                <w:w w:val="85"/>
                <w:sz w:val="16"/>
              </w:rPr>
              <w:t>tuvo irregularidades: 2.0; con violaciones graves: </w:t>
            </w:r>
            <w:r>
              <w:rPr>
                <w:w w:val="90"/>
                <w:sz w:val="16"/>
              </w:rPr>
              <w:t>1.0.</w:t>
            </w:r>
          </w:p>
        </w:tc>
      </w:tr>
      <w:tr>
        <w:trPr>
          <w:trHeight w:val="2396" w:hRule="exact"/>
        </w:trPr>
        <w:tc>
          <w:tcPr>
            <w:tcW w:w="1097" w:type="dxa"/>
            <w:vMerge/>
          </w:tcPr>
          <w:p>
            <w:pPr/>
          </w:p>
        </w:tc>
        <w:tc>
          <w:tcPr>
            <w:tcW w:w="1133" w:type="dxa"/>
            <w:vMerge/>
          </w:tcPr>
          <w:p>
            <w:pPr/>
          </w:p>
        </w:tc>
        <w:tc>
          <w:tcPr>
            <w:tcW w:w="2410" w:type="dxa"/>
          </w:tcPr>
          <w:p>
            <w:pPr>
              <w:pStyle w:val="TableParagraph"/>
              <w:spacing w:line="182" w:lineRule="exact" w:before="1"/>
              <w:ind w:left="-1" w:right="1"/>
              <w:jc w:val="both"/>
              <w:rPr>
                <w:sz w:val="16"/>
              </w:rPr>
            </w:pPr>
            <w:r>
              <w:rPr>
                <w:w w:val="90"/>
                <w:sz w:val="16"/>
              </w:rPr>
              <w:t>¿Quién propuso a los funcionarios </w:t>
            </w:r>
            <w:r>
              <w:rPr>
                <w:w w:val="80"/>
                <w:sz w:val="16"/>
              </w:rPr>
              <w:t>electorales? (Origen real)</w:t>
            </w:r>
          </w:p>
          <w:p>
            <w:pPr>
              <w:pStyle w:val="TableParagraph"/>
              <w:ind w:left="-1"/>
              <w:jc w:val="both"/>
              <w:rPr>
                <w:sz w:val="16"/>
              </w:rPr>
            </w:pPr>
            <w:r>
              <w:rPr>
                <w:w w:val="85"/>
                <w:sz w:val="16"/>
              </w:rPr>
              <w:t>Origen de las propuestas de</w:t>
            </w:r>
            <w:r>
              <w:rPr>
                <w:spacing w:val="-20"/>
                <w:w w:val="85"/>
                <w:sz w:val="16"/>
              </w:rPr>
              <w:t> </w:t>
            </w:r>
            <w:r>
              <w:rPr>
                <w:w w:val="85"/>
                <w:sz w:val="16"/>
              </w:rPr>
              <w:t>candidatos en</w:t>
            </w:r>
            <w:r>
              <w:rPr>
                <w:spacing w:val="-14"/>
                <w:w w:val="85"/>
                <w:sz w:val="16"/>
              </w:rPr>
              <w:t> </w:t>
            </w:r>
            <w:r>
              <w:rPr>
                <w:w w:val="85"/>
                <w:sz w:val="16"/>
              </w:rPr>
              <w:t>función</w:t>
            </w:r>
            <w:r>
              <w:rPr>
                <w:spacing w:val="-14"/>
                <w:w w:val="85"/>
                <w:sz w:val="16"/>
              </w:rPr>
              <w:t> </w:t>
            </w:r>
            <w:r>
              <w:rPr>
                <w:w w:val="85"/>
                <w:sz w:val="16"/>
              </w:rPr>
              <w:t>de</w:t>
            </w:r>
            <w:r>
              <w:rPr>
                <w:spacing w:val="-14"/>
                <w:w w:val="85"/>
                <w:sz w:val="16"/>
              </w:rPr>
              <w:t> </w:t>
            </w:r>
            <w:r>
              <w:rPr>
                <w:w w:val="85"/>
                <w:sz w:val="16"/>
              </w:rPr>
              <w:t>dos</w:t>
            </w:r>
            <w:r>
              <w:rPr>
                <w:spacing w:val="-16"/>
                <w:w w:val="85"/>
                <w:sz w:val="16"/>
              </w:rPr>
              <w:t> </w:t>
            </w:r>
            <w:r>
              <w:rPr>
                <w:w w:val="85"/>
                <w:sz w:val="16"/>
              </w:rPr>
              <w:t>elementos:</w:t>
            </w:r>
            <w:r>
              <w:rPr>
                <w:spacing w:val="-15"/>
                <w:w w:val="85"/>
                <w:sz w:val="16"/>
              </w:rPr>
              <w:t> </w:t>
            </w:r>
            <w:r>
              <w:rPr>
                <w:w w:val="85"/>
                <w:sz w:val="16"/>
              </w:rPr>
              <w:t>el</w:t>
            </w:r>
            <w:r>
              <w:rPr>
                <w:spacing w:val="-16"/>
                <w:w w:val="85"/>
                <w:sz w:val="16"/>
              </w:rPr>
              <w:t> </w:t>
            </w:r>
            <w:r>
              <w:rPr>
                <w:w w:val="85"/>
                <w:sz w:val="16"/>
              </w:rPr>
              <w:t>universo </w:t>
            </w:r>
            <w:r>
              <w:rPr>
                <w:w w:val="90"/>
                <w:sz w:val="16"/>
              </w:rPr>
              <w:t>de ciudadanos que participan en la selección y la participación de los </w:t>
            </w:r>
            <w:r>
              <w:rPr>
                <w:w w:val="85"/>
                <w:sz w:val="16"/>
              </w:rPr>
              <w:t>partidos</w:t>
            </w:r>
            <w:r>
              <w:rPr>
                <w:spacing w:val="-23"/>
                <w:w w:val="85"/>
                <w:sz w:val="16"/>
              </w:rPr>
              <w:t> </w:t>
            </w:r>
            <w:r>
              <w:rPr>
                <w:w w:val="85"/>
                <w:sz w:val="16"/>
              </w:rPr>
              <w:t>políticos</w:t>
            </w:r>
            <w:r>
              <w:rPr>
                <w:spacing w:val="-23"/>
                <w:w w:val="85"/>
                <w:sz w:val="16"/>
              </w:rPr>
              <w:t> </w:t>
            </w:r>
            <w:r>
              <w:rPr>
                <w:w w:val="85"/>
                <w:sz w:val="16"/>
              </w:rPr>
              <w:t>o</w:t>
            </w:r>
            <w:r>
              <w:rPr>
                <w:spacing w:val="-22"/>
                <w:w w:val="85"/>
                <w:sz w:val="16"/>
              </w:rPr>
              <w:t> </w:t>
            </w:r>
            <w:r>
              <w:rPr>
                <w:w w:val="85"/>
                <w:sz w:val="16"/>
              </w:rPr>
              <w:t>del</w:t>
            </w:r>
            <w:r>
              <w:rPr>
                <w:spacing w:val="-22"/>
                <w:w w:val="85"/>
                <w:sz w:val="16"/>
              </w:rPr>
              <w:t> </w:t>
            </w:r>
            <w:r>
              <w:rPr>
                <w:w w:val="85"/>
                <w:sz w:val="16"/>
              </w:rPr>
              <w:t>Ejecutivo.</w:t>
            </w:r>
          </w:p>
        </w:tc>
        <w:tc>
          <w:tcPr>
            <w:tcW w:w="1419" w:type="dxa"/>
          </w:tcPr>
          <w:p>
            <w:pPr>
              <w:pStyle w:val="TableParagraph"/>
              <w:tabs>
                <w:tab w:pos="743" w:val="left" w:leader="none"/>
                <w:tab w:pos="1242" w:val="left" w:leader="none"/>
              </w:tabs>
              <w:spacing w:line="180" w:lineRule="exact"/>
              <w:ind w:left="0"/>
              <w:rPr>
                <w:sz w:val="16"/>
              </w:rPr>
            </w:pPr>
            <w:r>
              <w:rPr>
                <w:w w:val="90"/>
                <w:sz w:val="16"/>
              </w:rPr>
              <w:t>Origen</w:t>
              <w:tab/>
              <w:t>de</w:t>
              <w:tab/>
            </w:r>
            <w:r>
              <w:rPr>
                <w:spacing w:val="-1"/>
                <w:w w:val="80"/>
                <w:sz w:val="16"/>
              </w:rPr>
              <w:t>las</w:t>
            </w:r>
          </w:p>
          <w:p>
            <w:pPr>
              <w:pStyle w:val="TableParagraph"/>
              <w:tabs>
                <w:tab w:pos="1261" w:val="left" w:leader="none"/>
              </w:tabs>
              <w:ind w:left="0" w:right="-1"/>
              <w:rPr>
                <w:sz w:val="16"/>
              </w:rPr>
            </w:pPr>
            <w:r>
              <w:rPr>
                <w:w w:val="85"/>
                <w:sz w:val="16"/>
              </w:rPr>
              <w:t>propuestas</w:t>
              <w:tab/>
            </w:r>
            <w:r>
              <w:rPr>
                <w:w w:val="80"/>
                <w:sz w:val="16"/>
              </w:rPr>
              <w:t>de </w:t>
            </w:r>
            <w:r>
              <w:rPr>
                <w:w w:val="90"/>
                <w:sz w:val="16"/>
              </w:rPr>
              <w:t>candidatos.</w:t>
            </w:r>
          </w:p>
        </w:tc>
        <w:tc>
          <w:tcPr>
            <w:tcW w:w="1416" w:type="dxa"/>
          </w:tcPr>
          <w:p>
            <w:pPr>
              <w:pStyle w:val="TableParagraph"/>
              <w:ind w:left="-3" w:right="-1"/>
              <w:jc w:val="both"/>
              <w:rPr>
                <w:sz w:val="16"/>
              </w:rPr>
            </w:pPr>
            <w:r>
              <w:rPr>
                <w:w w:val="90"/>
                <w:sz w:val="16"/>
              </w:rPr>
              <w:t>Diario de debates, </w:t>
            </w:r>
            <w:r>
              <w:rPr>
                <w:w w:val="80"/>
                <w:sz w:val="16"/>
              </w:rPr>
              <w:t>gacetas, convocatorias, </w:t>
            </w:r>
            <w:r>
              <w:rPr>
                <w:w w:val="90"/>
                <w:sz w:val="16"/>
              </w:rPr>
              <w:t>actas, minutas de </w:t>
            </w:r>
            <w:r>
              <w:rPr>
                <w:w w:val="85"/>
                <w:sz w:val="16"/>
              </w:rPr>
              <w:t>trabajo, direcciones del </w:t>
            </w:r>
            <w:r>
              <w:rPr>
                <w:w w:val="90"/>
                <w:sz w:val="16"/>
              </w:rPr>
              <w:t>Servicio Electoral </w:t>
            </w:r>
            <w:r>
              <w:rPr>
                <w:w w:val="80"/>
                <w:sz w:val="16"/>
              </w:rPr>
              <w:t>Profesional (SEP).</w:t>
            </w:r>
          </w:p>
        </w:tc>
        <w:tc>
          <w:tcPr>
            <w:tcW w:w="2977" w:type="dxa"/>
          </w:tcPr>
          <w:p>
            <w:pPr>
              <w:pStyle w:val="TableParagraph"/>
              <w:ind w:right="98"/>
              <w:jc w:val="both"/>
              <w:rPr>
                <w:sz w:val="16"/>
              </w:rPr>
            </w:pPr>
            <w:r>
              <w:rPr>
                <w:w w:val="85"/>
                <w:sz w:val="16"/>
              </w:rPr>
              <w:t>Mediante convocatoria pública (participando</w:t>
            </w:r>
            <w:r>
              <w:rPr>
                <w:spacing w:val="37"/>
                <w:w w:val="85"/>
                <w:sz w:val="16"/>
              </w:rPr>
              <w:t> </w:t>
            </w:r>
            <w:r>
              <w:rPr>
                <w:w w:val="90"/>
                <w:sz w:val="16"/>
              </w:rPr>
              <w:t>todos los sectores de la población) y los </w:t>
            </w:r>
            <w:r>
              <w:rPr>
                <w:w w:val="85"/>
                <w:sz w:val="16"/>
              </w:rPr>
              <w:t>partidos</w:t>
            </w:r>
            <w:r>
              <w:rPr>
                <w:spacing w:val="-19"/>
                <w:w w:val="85"/>
                <w:sz w:val="16"/>
              </w:rPr>
              <w:t> </w:t>
            </w:r>
            <w:r>
              <w:rPr>
                <w:w w:val="85"/>
                <w:sz w:val="16"/>
              </w:rPr>
              <w:t>políticos</w:t>
            </w:r>
            <w:r>
              <w:rPr>
                <w:spacing w:val="-19"/>
                <w:w w:val="85"/>
                <w:sz w:val="16"/>
              </w:rPr>
              <w:t> </w:t>
            </w:r>
            <w:r>
              <w:rPr>
                <w:w w:val="85"/>
                <w:sz w:val="16"/>
              </w:rPr>
              <w:t>o</w:t>
            </w:r>
            <w:r>
              <w:rPr>
                <w:spacing w:val="-18"/>
                <w:w w:val="85"/>
                <w:sz w:val="16"/>
              </w:rPr>
              <w:t> </w:t>
            </w:r>
            <w:r>
              <w:rPr>
                <w:w w:val="85"/>
                <w:sz w:val="16"/>
              </w:rPr>
              <w:t>el</w:t>
            </w:r>
            <w:r>
              <w:rPr>
                <w:spacing w:val="-19"/>
                <w:w w:val="85"/>
                <w:sz w:val="16"/>
              </w:rPr>
              <w:t> </w:t>
            </w:r>
            <w:r>
              <w:rPr>
                <w:w w:val="85"/>
                <w:sz w:val="16"/>
              </w:rPr>
              <w:t>ejecutivo</w:t>
            </w:r>
            <w:r>
              <w:rPr>
                <w:spacing w:val="-18"/>
                <w:w w:val="85"/>
                <w:sz w:val="16"/>
              </w:rPr>
              <w:t> </w:t>
            </w:r>
            <w:r>
              <w:rPr>
                <w:w w:val="85"/>
                <w:sz w:val="16"/>
              </w:rPr>
              <w:t>no</w:t>
            </w:r>
            <w:r>
              <w:rPr>
                <w:spacing w:val="-18"/>
                <w:w w:val="85"/>
                <w:sz w:val="16"/>
              </w:rPr>
              <w:t> </w:t>
            </w:r>
            <w:r>
              <w:rPr>
                <w:w w:val="85"/>
                <w:sz w:val="16"/>
              </w:rPr>
              <w:t>intervinieron: </w:t>
            </w:r>
            <w:r>
              <w:rPr>
                <w:w w:val="90"/>
                <w:sz w:val="16"/>
              </w:rPr>
              <w:t>3.0; si se realizó a través del Consejo de la Judicatura, Corte Suprema de Justicia, </w:t>
            </w:r>
            <w:r>
              <w:rPr>
                <w:w w:val="85"/>
                <w:sz w:val="16"/>
              </w:rPr>
              <w:t>instituciones académicas u organizaciones</w:t>
            </w:r>
            <w:r>
              <w:rPr>
                <w:spacing w:val="-22"/>
                <w:w w:val="85"/>
                <w:sz w:val="16"/>
              </w:rPr>
              <w:t> </w:t>
            </w:r>
            <w:r>
              <w:rPr>
                <w:w w:val="85"/>
                <w:sz w:val="16"/>
              </w:rPr>
              <w:t>de profesionistas</w:t>
            </w:r>
            <w:r>
              <w:rPr>
                <w:spacing w:val="-19"/>
                <w:w w:val="85"/>
                <w:sz w:val="16"/>
              </w:rPr>
              <w:t> </w:t>
            </w:r>
            <w:r>
              <w:rPr>
                <w:w w:val="85"/>
                <w:sz w:val="16"/>
              </w:rPr>
              <w:t>indica</w:t>
            </w:r>
            <w:r>
              <w:rPr>
                <w:spacing w:val="-18"/>
                <w:w w:val="85"/>
                <w:sz w:val="16"/>
              </w:rPr>
              <w:t> </w:t>
            </w:r>
            <w:r>
              <w:rPr>
                <w:w w:val="85"/>
                <w:sz w:val="16"/>
              </w:rPr>
              <w:t>que</w:t>
            </w:r>
            <w:r>
              <w:rPr>
                <w:spacing w:val="-18"/>
                <w:w w:val="85"/>
                <w:sz w:val="16"/>
              </w:rPr>
              <w:t> </w:t>
            </w:r>
            <w:r>
              <w:rPr>
                <w:w w:val="85"/>
                <w:sz w:val="16"/>
              </w:rPr>
              <w:t>sólo</w:t>
            </w:r>
            <w:r>
              <w:rPr>
                <w:spacing w:val="-18"/>
                <w:w w:val="85"/>
                <w:sz w:val="16"/>
              </w:rPr>
              <w:t> </w:t>
            </w:r>
            <w:r>
              <w:rPr>
                <w:w w:val="85"/>
                <w:sz w:val="16"/>
              </w:rPr>
              <w:t>unos</w:t>
            </w:r>
            <w:r>
              <w:rPr>
                <w:spacing w:val="-19"/>
                <w:w w:val="85"/>
                <w:sz w:val="16"/>
              </w:rPr>
              <w:t> </w:t>
            </w:r>
            <w:r>
              <w:rPr>
                <w:w w:val="85"/>
                <w:sz w:val="16"/>
              </w:rPr>
              <w:t>sectores</w:t>
            </w:r>
            <w:r>
              <w:rPr>
                <w:spacing w:val="-19"/>
                <w:w w:val="85"/>
                <w:sz w:val="16"/>
              </w:rPr>
              <w:t> </w:t>
            </w:r>
            <w:r>
              <w:rPr>
                <w:w w:val="85"/>
                <w:sz w:val="16"/>
              </w:rPr>
              <w:t>de la población pudieron participar y los partidos </w:t>
            </w:r>
            <w:r>
              <w:rPr>
                <w:w w:val="90"/>
                <w:sz w:val="16"/>
              </w:rPr>
              <w:t>políticos</w:t>
            </w:r>
            <w:r>
              <w:rPr>
                <w:spacing w:val="-23"/>
                <w:w w:val="90"/>
                <w:sz w:val="16"/>
              </w:rPr>
              <w:t> </w:t>
            </w:r>
            <w:r>
              <w:rPr>
                <w:w w:val="90"/>
                <w:sz w:val="16"/>
              </w:rPr>
              <w:t>o</w:t>
            </w:r>
            <w:r>
              <w:rPr>
                <w:spacing w:val="-24"/>
                <w:w w:val="90"/>
                <w:sz w:val="16"/>
              </w:rPr>
              <w:t> </w:t>
            </w:r>
            <w:r>
              <w:rPr>
                <w:w w:val="90"/>
                <w:sz w:val="16"/>
              </w:rPr>
              <w:t>el</w:t>
            </w:r>
            <w:r>
              <w:rPr>
                <w:spacing w:val="-23"/>
                <w:w w:val="90"/>
                <w:sz w:val="16"/>
              </w:rPr>
              <w:t> </w:t>
            </w:r>
            <w:r>
              <w:rPr>
                <w:w w:val="90"/>
                <w:sz w:val="16"/>
              </w:rPr>
              <w:t>Ejecutivo</w:t>
            </w:r>
            <w:r>
              <w:rPr>
                <w:spacing w:val="-23"/>
                <w:w w:val="90"/>
                <w:sz w:val="16"/>
              </w:rPr>
              <w:t> </w:t>
            </w:r>
            <w:r>
              <w:rPr>
                <w:w w:val="90"/>
                <w:sz w:val="16"/>
              </w:rPr>
              <w:t>no</w:t>
            </w:r>
            <w:r>
              <w:rPr>
                <w:spacing w:val="-22"/>
                <w:w w:val="90"/>
                <w:sz w:val="16"/>
              </w:rPr>
              <w:t> </w:t>
            </w:r>
            <w:r>
              <w:rPr>
                <w:w w:val="90"/>
                <w:sz w:val="16"/>
              </w:rPr>
              <w:t>intervinieron:</w:t>
            </w:r>
            <w:r>
              <w:rPr>
                <w:spacing w:val="-24"/>
                <w:w w:val="90"/>
                <w:sz w:val="16"/>
              </w:rPr>
              <w:t> </w:t>
            </w:r>
            <w:r>
              <w:rPr>
                <w:w w:val="90"/>
                <w:sz w:val="16"/>
              </w:rPr>
              <w:t>2.0;</w:t>
            </w:r>
            <w:r>
              <w:rPr>
                <w:spacing w:val="-23"/>
                <w:w w:val="90"/>
                <w:sz w:val="16"/>
              </w:rPr>
              <w:t> </w:t>
            </w:r>
            <w:r>
              <w:rPr>
                <w:w w:val="90"/>
                <w:sz w:val="16"/>
              </w:rPr>
              <w:t>si </w:t>
            </w:r>
            <w:r>
              <w:rPr>
                <w:w w:val="85"/>
                <w:sz w:val="16"/>
              </w:rPr>
              <w:t>las</w:t>
            </w:r>
            <w:r>
              <w:rPr>
                <w:spacing w:val="-17"/>
                <w:w w:val="85"/>
                <w:sz w:val="16"/>
              </w:rPr>
              <w:t> </w:t>
            </w:r>
            <w:r>
              <w:rPr>
                <w:w w:val="85"/>
                <w:sz w:val="16"/>
              </w:rPr>
              <w:t>propuestas</w:t>
            </w:r>
            <w:r>
              <w:rPr>
                <w:spacing w:val="-17"/>
                <w:w w:val="85"/>
                <w:sz w:val="16"/>
              </w:rPr>
              <w:t> </w:t>
            </w:r>
            <w:r>
              <w:rPr>
                <w:w w:val="85"/>
                <w:sz w:val="16"/>
              </w:rPr>
              <w:t>se</w:t>
            </w:r>
            <w:r>
              <w:rPr>
                <w:spacing w:val="-16"/>
                <w:w w:val="85"/>
                <w:sz w:val="16"/>
              </w:rPr>
              <w:t> </w:t>
            </w:r>
            <w:r>
              <w:rPr>
                <w:w w:val="85"/>
                <w:sz w:val="16"/>
              </w:rPr>
              <w:t>debieron</w:t>
            </w:r>
            <w:r>
              <w:rPr>
                <w:spacing w:val="-16"/>
                <w:w w:val="85"/>
                <w:sz w:val="16"/>
              </w:rPr>
              <w:t> </w:t>
            </w:r>
            <w:r>
              <w:rPr>
                <w:w w:val="85"/>
                <w:sz w:val="16"/>
              </w:rPr>
              <w:t>a</w:t>
            </w:r>
            <w:r>
              <w:rPr>
                <w:spacing w:val="-16"/>
                <w:w w:val="85"/>
                <w:sz w:val="16"/>
              </w:rPr>
              <w:t> </w:t>
            </w:r>
            <w:r>
              <w:rPr>
                <w:w w:val="85"/>
                <w:sz w:val="16"/>
              </w:rPr>
              <w:t>partidos</w:t>
            </w:r>
            <w:r>
              <w:rPr>
                <w:spacing w:val="-17"/>
                <w:w w:val="85"/>
                <w:sz w:val="16"/>
              </w:rPr>
              <w:t> </w:t>
            </w:r>
            <w:r>
              <w:rPr>
                <w:w w:val="85"/>
                <w:sz w:val="16"/>
              </w:rPr>
              <w:t>políticos, grupos</w:t>
            </w:r>
            <w:r>
              <w:rPr>
                <w:spacing w:val="-10"/>
                <w:w w:val="85"/>
                <w:sz w:val="16"/>
              </w:rPr>
              <w:t> </w:t>
            </w:r>
            <w:r>
              <w:rPr>
                <w:w w:val="85"/>
                <w:sz w:val="16"/>
              </w:rPr>
              <w:t>parlamentarios,</w:t>
            </w:r>
            <w:r>
              <w:rPr>
                <w:spacing w:val="-10"/>
                <w:w w:val="85"/>
                <w:sz w:val="16"/>
              </w:rPr>
              <w:t> </w:t>
            </w:r>
            <w:r>
              <w:rPr>
                <w:w w:val="85"/>
                <w:sz w:val="16"/>
              </w:rPr>
              <w:t>ejecutivo</w:t>
            </w:r>
            <w:r>
              <w:rPr>
                <w:spacing w:val="-9"/>
                <w:w w:val="85"/>
                <w:sz w:val="16"/>
              </w:rPr>
              <w:t> </w:t>
            </w:r>
            <w:r>
              <w:rPr>
                <w:w w:val="85"/>
                <w:sz w:val="16"/>
              </w:rPr>
              <w:t>o</w:t>
            </w:r>
            <w:r>
              <w:rPr>
                <w:spacing w:val="-9"/>
                <w:w w:val="85"/>
                <w:sz w:val="16"/>
              </w:rPr>
              <w:t> </w:t>
            </w:r>
            <w:r>
              <w:rPr>
                <w:w w:val="85"/>
                <w:sz w:val="16"/>
              </w:rPr>
              <w:t>funcionario de</w:t>
            </w:r>
            <w:r>
              <w:rPr>
                <w:spacing w:val="-9"/>
                <w:w w:val="85"/>
                <w:sz w:val="16"/>
              </w:rPr>
              <w:t> </w:t>
            </w:r>
            <w:r>
              <w:rPr>
                <w:w w:val="85"/>
                <w:sz w:val="16"/>
              </w:rPr>
              <w:t>gobierno</w:t>
            </w:r>
            <w:r>
              <w:rPr>
                <w:spacing w:val="-7"/>
                <w:w w:val="85"/>
                <w:sz w:val="16"/>
              </w:rPr>
              <w:t> </w:t>
            </w:r>
            <w:r>
              <w:rPr>
                <w:w w:val="85"/>
                <w:sz w:val="16"/>
              </w:rPr>
              <w:t>la</w:t>
            </w:r>
            <w:r>
              <w:rPr>
                <w:spacing w:val="-9"/>
                <w:w w:val="85"/>
                <w:sz w:val="16"/>
              </w:rPr>
              <w:t> </w:t>
            </w:r>
            <w:r>
              <w:rPr>
                <w:w w:val="85"/>
                <w:sz w:val="16"/>
              </w:rPr>
              <w:t>participación</w:t>
            </w:r>
            <w:r>
              <w:rPr>
                <w:spacing w:val="-7"/>
                <w:w w:val="85"/>
                <w:sz w:val="16"/>
              </w:rPr>
              <w:t> </w:t>
            </w:r>
            <w:r>
              <w:rPr>
                <w:w w:val="85"/>
                <w:sz w:val="16"/>
              </w:rPr>
              <w:t>fue</w:t>
            </w:r>
            <w:r>
              <w:rPr>
                <w:spacing w:val="-7"/>
                <w:w w:val="85"/>
                <w:sz w:val="16"/>
              </w:rPr>
              <w:t> </w:t>
            </w:r>
            <w:r>
              <w:rPr>
                <w:w w:val="85"/>
                <w:sz w:val="16"/>
              </w:rPr>
              <w:t>limitada</w:t>
            </w:r>
            <w:r>
              <w:rPr>
                <w:spacing w:val="-9"/>
                <w:w w:val="85"/>
                <w:sz w:val="16"/>
              </w:rPr>
              <w:t> </w:t>
            </w:r>
            <w:r>
              <w:rPr>
                <w:w w:val="85"/>
                <w:sz w:val="16"/>
              </w:rPr>
              <w:t>sólo</w:t>
            </w:r>
            <w:r>
              <w:rPr>
                <w:spacing w:val="-9"/>
                <w:w w:val="85"/>
                <w:sz w:val="16"/>
              </w:rPr>
              <w:t> </w:t>
            </w:r>
            <w:r>
              <w:rPr>
                <w:w w:val="85"/>
                <w:sz w:val="16"/>
              </w:rPr>
              <w:t>a ese</w:t>
            </w:r>
            <w:r>
              <w:rPr>
                <w:spacing w:val="-18"/>
                <w:w w:val="85"/>
                <w:sz w:val="16"/>
              </w:rPr>
              <w:t> </w:t>
            </w:r>
            <w:r>
              <w:rPr>
                <w:w w:val="85"/>
                <w:sz w:val="16"/>
              </w:rPr>
              <w:t>sector:</w:t>
            </w:r>
            <w:r>
              <w:rPr>
                <w:spacing w:val="-19"/>
                <w:w w:val="85"/>
                <w:sz w:val="16"/>
              </w:rPr>
              <w:t> </w:t>
            </w:r>
            <w:r>
              <w:rPr>
                <w:w w:val="85"/>
                <w:sz w:val="16"/>
              </w:rPr>
              <w:t>1.0.</w:t>
            </w:r>
          </w:p>
        </w:tc>
      </w:tr>
      <w:tr>
        <w:trPr>
          <w:trHeight w:val="1114" w:hRule="exact"/>
        </w:trPr>
        <w:tc>
          <w:tcPr>
            <w:tcW w:w="1097" w:type="dxa"/>
            <w:vMerge/>
          </w:tcPr>
          <w:p>
            <w:pPr/>
          </w:p>
        </w:tc>
        <w:tc>
          <w:tcPr>
            <w:tcW w:w="1133" w:type="dxa"/>
            <w:vMerge/>
          </w:tcPr>
          <w:p>
            <w:pPr/>
          </w:p>
        </w:tc>
        <w:tc>
          <w:tcPr>
            <w:tcW w:w="2410" w:type="dxa"/>
          </w:tcPr>
          <w:p>
            <w:pPr>
              <w:pStyle w:val="TableParagraph"/>
              <w:ind w:left="-1" w:right="-4"/>
              <w:rPr>
                <w:sz w:val="16"/>
              </w:rPr>
            </w:pPr>
            <w:r>
              <w:rPr>
                <w:w w:val="90"/>
                <w:sz w:val="16"/>
              </w:rPr>
              <w:t>Votación</w:t>
            </w:r>
            <w:r>
              <w:rPr>
                <w:spacing w:val="-13"/>
                <w:w w:val="90"/>
                <w:sz w:val="16"/>
              </w:rPr>
              <w:t> </w:t>
            </w:r>
            <w:r>
              <w:rPr>
                <w:w w:val="90"/>
                <w:sz w:val="16"/>
              </w:rPr>
              <w:t>de</w:t>
            </w:r>
            <w:r>
              <w:rPr>
                <w:spacing w:val="-12"/>
                <w:w w:val="90"/>
                <w:sz w:val="16"/>
              </w:rPr>
              <w:t> </w:t>
            </w:r>
            <w:r>
              <w:rPr>
                <w:w w:val="90"/>
                <w:sz w:val="16"/>
              </w:rPr>
              <w:t>la</w:t>
            </w:r>
            <w:r>
              <w:rPr>
                <w:spacing w:val="-12"/>
                <w:w w:val="90"/>
                <w:sz w:val="16"/>
              </w:rPr>
              <w:t> </w:t>
            </w:r>
            <w:r>
              <w:rPr>
                <w:w w:val="90"/>
                <w:sz w:val="16"/>
              </w:rPr>
              <w:t>legislatura</w:t>
            </w:r>
            <w:r>
              <w:rPr>
                <w:spacing w:val="-13"/>
                <w:w w:val="90"/>
                <w:sz w:val="16"/>
              </w:rPr>
              <w:t> </w:t>
            </w:r>
            <w:r>
              <w:rPr>
                <w:w w:val="90"/>
                <w:sz w:val="16"/>
              </w:rPr>
              <w:t>o</w:t>
            </w:r>
            <w:r>
              <w:rPr>
                <w:spacing w:val="-13"/>
                <w:w w:val="90"/>
                <w:sz w:val="16"/>
              </w:rPr>
              <w:t> </w:t>
            </w:r>
            <w:r>
              <w:rPr>
                <w:w w:val="90"/>
                <w:sz w:val="16"/>
              </w:rPr>
              <w:t>de</w:t>
            </w:r>
            <w:r>
              <w:rPr>
                <w:spacing w:val="-12"/>
                <w:w w:val="90"/>
                <w:sz w:val="16"/>
              </w:rPr>
              <w:t> </w:t>
            </w:r>
            <w:r>
              <w:rPr>
                <w:w w:val="90"/>
                <w:sz w:val="16"/>
              </w:rPr>
              <w:t>la</w:t>
            </w:r>
            <w:r>
              <w:rPr>
                <w:spacing w:val="-13"/>
                <w:w w:val="90"/>
                <w:sz w:val="16"/>
              </w:rPr>
              <w:t> </w:t>
            </w:r>
            <w:r>
              <w:rPr>
                <w:w w:val="90"/>
                <w:sz w:val="16"/>
              </w:rPr>
              <w:t>Corte Suprema de Justicia dada a las </w:t>
            </w:r>
            <w:r>
              <w:rPr>
                <w:w w:val="85"/>
                <w:sz w:val="16"/>
              </w:rPr>
              <w:t>propuestas de funcionarios electorales. </w:t>
            </w:r>
            <w:r>
              <w:rPr>
                <w:w w:val="90"/>
                <w:sz w:val="16"/>
              </w:rPr>
              <w:t>Votos a favor o en contra de las </w:t>
            </w:r>
            <w:r>
              <w:rPr>
                <w:w w:val="85"/>
                <w:sz w:val="16"/>
              </w:rPr>
              <w:t>propuestas, razones que se expusieron al</w:t>
            </w:r>
            <w:r>
              <w:rPr>
                <w:spacing w:val="-17"/>
                <w:w w:val="85"/>
                <w:sz w:val="16"/>
              </w:rPr>
              <w:t> </w:t>
            </w:r>
            <w:r>
              <w:rPr>
                <w:w w:val="85"/>
                <w:sz w:val="16"/>
              </w:rPr>
              <w:t>votar</w:t>
            </w:r>
            <w:r>
              <w:rPr>
                <w:spacing w:val="-17"/>
                <w:w w:val="85"/>
                <w:sz w:val="16"/>
              </w:rPr>
              <w:t> </w:t>
            </w:r>
            <w:r>
              <w:rPr>
                <w:w w:val="85"/>
                <w:sz w:val="16"/>
              </w:rPr>
              <w:t>en</w:t>
            </w:r>
            <w:r>
              <w:rPr>
                <w:spacing w:val="-16"/>
                <w:w w:val="85"/>
                <w:sz w:val="16"/>
              </w:rPr>
              <w:t> </w:t>
            </w:r>
            <w:r>
              <w:rPr>
                <w:w w:val="85"/>
                <w:sz w:val="16"/>
              </w:rPr>
              <w:t>contra.</w:t>
            </w:r>
          </w:p>
        </w:tc>
        <w:tc>
          <w:tcPr>
            <w:tcW w:w="1419" w:type="dxa"/>
          </w:tcPr>
          <w:p>
            <w:pPr>
              <w:pStyle w:val="TableParagraph"/>
              <w:ind w:left="0" w:right="-1"/>
              <w:jc w:val="both"/>
              <w:rPr>
                <w:sz w:val="16"/>
              </w:rPr>
            </w:pPr>
            <w:r>
              <w:rPr>
                <w:w w:val="90"/>
                <w:sz w:val="16"/>
              </w:rPr>
              <w:t>Votación de la </w:t>
            </w:r>
            <w:r>
              <w:rPr>
                <w:w w:val="85"/>
                <w:sz w:val="16"/>
              </w:rPr>
              <w:t>legislatura</w:t>
            </w:r>
            <w:r>
              <w:rPr>
                <w:spacing w:val="-9"/>
                <w:w w:val="85"/>
                <w:sz w:val="16"/>
              </w:rPr>
              <w:t> </w:t>
            </w:r>
            <w:r>
              <w:rPr>
                <w:w w:val="85"/>
                <w:sz w:val="16"/>
              </w:rPr>
              <w:t>o</w:t>
            </w:r>
            <w:r>
              <w:rPr>
                <w:spacing w:val="-9"/>
                <w:w w:val="85"/>
                <w:sz w:val="16"/>
              </w:rPr>
              <w:t> </w:t>
            </w:r>
            <w:r>
              <w:rPr>
                <w:w w:val="85"/>
                <w:sz w:val="16"/>
              </w:rPr>
              <w:t>de</w:t>
            </w:r>
            <w:r>
              <w:rPr>
                <w:spacing w:val="-8"/>
                <w:w w:val="85"/>
                <w:sz w:val="16"/>
              </w:rPr>
              <w:t> </w:t>
            </w:r>
            <w:r>
              <w:rPr>
                <w:w w:val="85"/>
                <w:sz w:val="16"/>
              </w:rPr>
              <w:t>la</w:t>
            </w:r>
            <w:r>
              <w:rPr>
                <w:spacing w:val="-11"/>
                <w:w w:val="85"/>
                <w:sz w:val="16"/>
              </w:rPr>
              <w:t> </w:t>
            </w:r>
            <w:r>
              <w:rPr>
                <w:w w:val="85"/>
                <w:sz w:val="16"/>
              </w:rPr>
              <w:t>Corte </w:t>
            </w:r>
            <w:r>
              <w:rPr>
                <w:w w:val="90"/>
                <w:sz w:val="16"/>
              </w:rPr>
              <w:t>Suprema de Justicia (CSJ).</w:t>
            </w:r>
          </w:p>
        </w:tc>
        <w:tc>
          <w:tcPr>
            <w:tcW w:w="1416" w:type="dxa"/>
          </w:tcPr>
          <w:p>
            <w:pPr>
              <w:pStyle w:val="TableParagraph"/>
              <w:ind w:left="-3" w:right="-1"/>
              <w:rPr>
                <w:sz w:val="16"/>
              </w:rPr>
            </w:pPr>
            <w:r>
              <w:rPr>
                <w:w w:val="90"/>
                <w:sz w:val="16"/>
              </w:rPr>
              <w:t>Gacetas parlamentarias, actas </w:t>
            </w:r>
            <w:r>
              <w:rPr>
                <w:w w:val="85"/>
                <w:sz w:val="16"/>
              </w:rPr>
              <w:t>de sesiones, acuerdos </w:t>
            </w:r>
            <w:r>
              <w:rPr>
                <w:w w:val="80"/>
                <w:sz w:val="16"/>
              </w:rPr>
              <w:t>y</w:t>
            </w:r>
            <w:r>
              <w:rPr>
                <w:spacing w:val="10"/>
                <w:w w:val="80"/>
                <w:sz w:val="16"/>
              </w:rPr>
              <w:t> </w:t>
            </w:r>
            <w:r>
              <w:rPr>
                <w:w w:val="80"/>
                <w:sz w:val="16"/>
              </w:rPr>
              <w:t>decretos.</w:t>
            </w:r>
          </w:p>
        </w:tc>
        <w:tc>
          <w:tcPr>
            <w:tcW w:w="2977" w:type="dxa"/>
          </w:tcPr>
          <w:p>
            <w:pPr>
              <w:pStyle w:val="TableParagraph"/>
              <w:spacing w:line="180" w:lineRule="exact"/>
              <w:rPr>
                <w:sz w:val="16"/>
              </w:rPr>
            </w:pPr>
            <w:r>
              <w:rPr>
                <w:w w:val="90"/>
                <w:sz w:val="16"/>
              </w:rPr>
              <w:t>Por unanimidad  (100%): 3.0, por  mayoría</w:t>
            </w:r>
          </w:p>
          <w:p>
            <w:pPr>
              <w:pStyle w:val="TableParagraph"/>
              <w:spacing w:before="1"/>
              <w:rPr>
                <w:sz w:val="16"/>
              </w:rPr>
            </w:pPr>
            <w:r>
              <w:rPr>
                <w:w w:val="90"/>
                <w:sz w:val="16"/>
              </w:rPr>
              <w:t>absoluta (50% más 1): 2.0, por mayoría </w:t>
            </w:r>
            <w:r>
              <w:rPr>
                <w:w w:val="85"/>
                <w:sz w:val="16"/>
              </w:rPr>
              <w:t>relativa (el % mayor): 1.0.</w:t>
            </w:r>
          </w:p>
        </w:tc>
      </w:tr>
    </w:tbl>
    <w:p>
      <w:pPr>
        <w:spacing w:after="0"/>
        <w:rPr>
          <w:sz w:val="16"/>
        </w:rPr>
        <w:sectPr>
          <w:pgSz w:w="12240" w:h="15840"/>
          <w:pgMar w:header="749" w:footer="1003" w:top="960" w:bottom="1200" w:left="760" w:right="640"/>
        </w:sectPr>
      </w:pPr>
    </w:p>
    <w:p>
      <w:pPr>
        <w:pStyle w:val="BodyText"/>
        <w:rPr>
          <w:rFonts w:ascii="Times New Roman"/>
          <w:sz w:val="20"/>
        </w:rPr>
      </w:pPr>
    </w:p>
    <w:p>
      <w:pPr>
        <w:pStyle w:val="BodyText"/>
        <w:spacing w:before="9"/>
        <w:rPr>
          <w:rFonts w:ascii="Times New Roman"/>
          <w:sz w:val="18"/>
        </w:r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97"/>
        <w:gridCol w:w="1133"/>
        <w:gridCol w:w="2410"/>
        <w:gridCol w:w="1419"/>
        <w:gridCol w:w="1416"/>
        <w:gridCol w:w="2977"/>
      </w:tblGrid>
      <w:tr>
        <w:trPr>
          <w:trHeight w:val="5154" w:hRule="exact"/>
        </w:trPr>
        <w:tc>
          <w:tcPr>
            <w:tcW w:w="1097" w:type="dxa"/>
            <w:vMerge w:val="restart"/>
          </w:tcPr>
          <w:p>
            <w:pPr/>
          </w:p>
        </w:tc>
        <w:tc>
          <w:tcPr>
            <w:tcW w:w="1133" w:type="dxa"/>
            <w:vMerge w:val="restart"/>
          </w:tcPr>
          <w:p>
            <w:pPr>
              <w:pStyle w:val="TableParagraph"/>
              <w:spacing w:line="237" w:lineRule="auto"/>
              <w:ind w:left="100" w:right="101"/>
              <w:rPr>
                <w:rFonts w:ascii="Trebuchet MS" w:hAnsi="Trebuchet MS"/>
                <w:b/>
                <w:sz w:val="16"/>
              </w:rPr>
            </w:pPr>
            <w:r>
              <w:rPr>
                <w:rFonts w:ascii="Trebuchet MS" w:hAnsi="Trebuchet MS"/>
                <w:b/>
                <w:w w:val="90"/>
                <w:sz w:val="16"/>
              </w:rPr>
              <w:t>Actuación de </w:t>
            </w:r>
            <w:r>
              <w:rPr>
                <w:rFonts w:ascii="Trebuchet MS" w:hAnsi="Trebuchet MS"/>
                <w:b/>
                <w:w w:val="95"/>
                <w:sz w:val="16"/>
              </w:rPr>
              <w:t>consejeros y magistrados electorales</w:t>
            </w:r>
          </w:p>
        </w:tc>
        <w:tc>
          <w:tcPr>
            <w:tcW w:w="2410" w:type="dxa"/>
          </w:tcPr>
          <w:p>
            <w:pPr>
              <w:pStyle w:val="TableParagraph"/>
              <w:ind w:left="-1" w:right="-1"/>
              <w:jc w:val="both"/>
              <w:rPr>
                <w:sz w:val="16"/>
              </w:rPr>
            </w:pPr>
            <w:r>
              <w:rPr>
                <w:i/>
                <w:w w:val="90"/>
                <w:sz w:val="16"/>
              </w:rPr>
              <w:t>Número de acuerdos revocados</w:t>
            </w:r>
            <w:r>
              <w:rPr>
                <w:w w:val="90"/>
                <w:sz w:val="16"/>
              </w:rPr>
              <w:t>. Promedio</w:t>
            </w:r>
            <w:r>
              <w:rPr>
                <w:spacing w:val="-14"/>
                <w:w w:val="90"/>
                <w:sz w:val="16"/>
              </w:rPr>
              <w:t> </w:t>
            </w:r>
            <w:r>
              <w:rPr>
                <w:w w:val="90"/>
                <w:sz w:val="16"/>
              </w:rPr>
              <w:t>de</w:t>
            </w:r>
            <w:r>
              <w:rPr>
                <w:spacing w:val="-14"/>
                <w:w w:val="90"/>
                <w:sz w:val="16"/>
              </w:rPr>
              <w:t> </w:t>
            </w:r>
            <w:r>
              <w:rPr>
                <w:w w:val="90"/>
                <w:sz w:val="16"/>
              </w:rPr>
              <w:t>acuerdos</w:t>
            </w:r>
            <w:r>
              <w:rPr>
                <w:spacing w:val="-14"/>
                <w:w w:val="90"/>
                <w:sz w:val="16"/>
              </w:rPr>
              <w:t> </w:t>
            </w:r>
            <w:r>
              <w:rPr>
                <w:w w:val="90"/>
                <w:sz w:val="16"/>
              </w:rPr>
              <w:t>revocados</w:t>
            </w:r>
            <w:r>
              <w:rPr>
                <w:spacing w:val="-14"/>
                <w:w w:val="90"/>
                <w:sz w:val="16"/>
              </w:rPr>
              <w:t> </w:t>
            </w:r>
            <w:r>
              <w:rPr>
                <w:w w:val="90"/>
                <w:sz w:val="16"/>
              </w:rPr>
              <w:t>(por los tribunales) sobre acuerdos </w:t>
            </w:r>
            <w:r>
              <w:rPr>
                <w:w w:val="80"/>
                <w:sz w:val="16"/>
              </w:rPr>
              <w:t>impugnados (ante los</w:t>
            </w:r>
            <w:r>
              <w:rPr>
                <w:spacing w:val="28"/>
                <w:w w:val="80"/>
                <w:sz w:val="16"/>
              </w:rPr>
              <w:t> </w:t>
            </w:r>
            <w:r>
              <w:rPr>
                <w:w w:val="80"/>
                <w:sz w:val="16"/>
              </w:rPr>
              <w:t>tribunales).</w:t>
            </w:r>
          </w:p>
          <w:p>
            <w:pPr>
              <w:pStyle w:val="TableParagraph"/>
              <w:tabs>
                <w:tab w:pos="1086" w:val="left" w:leader="none"/>
                <w:tab w:pos="2026" w:val="left" w:leader="none"/>
              </w:tabs>
              <w:spacing w:before="1"/>
              <w:ind w:left="-1"/>
              <w:jc w:val="both"/>
              <w:rPr>
                <w:sz w:val="16"/>
              </w:rPr>
            </w:pPr>
            <w:r>
              <w:rPr>
                <w:w w:val="90"/>
                <w:sz w:val="16"/>
              </w:rPr>
              <w:t>Número</w:t>
            </w:r>
            <w:r>
              <w:rPr>
                <w:spacing w:val="-19"/>
                <w:w w:val="90"/>
                <w:sz w:val="16"/>
              </w:rPr>
              <w:t> </w:t>
            </w:r>
            <w:r>
              <w:rPr>
                <w:w w:val="90"/>
                <w:sz w:val="16"/>
              </w:rPr>
              <w:t>de</w:t>
            </w:r>
            <w:r>
              <w:rPr>
                <w:spacing w:val="-19"/>
                <w:w w:val="90"/>
                <w:sz w:val="16"/>
              </w:rPr>
              <w:t> </w:t>
            </w:r>
            <w:r>
              <w:rPr>
                <w:w w:val="90"/>
                <w:sz w:val="16"/>
              </w:rPr>
              <w:t>sentencias</w:t>
            </w:r>
            <w:r>
              <w:rPr>
                <w:spacing w:val="-21"/>
                <w:w w:val="90"/>
                <w:sz w:val="16"/>
              </w:rPr>
              <w:t> </w:t>
            </w:r>
            <w:r>
              <w:rPr>
                <w:w w:val="90"/>
                <w:sz w:val="16"/>
              </w:rPr>
              <w:t>emitidas</w:t>
            </w:r>
            <w:r>
              <w:rPr>
                <w:spacing w:val="-20"/>
                <w:w w:val="90"/>
                <w:sz w:val="16"/>
              </w:rPr>
              <w:t> </w:t>
            </w:r>
            <w:r>
              <w:rPr>
                <w:w w:val="90"/>
                <w:sz w:val="16"/>
              </w:rPr>
              <w:t>por</w:t>
            </w:r>
            <w:r>
              <w:rPr>
                <w:spacing w:val="-20"/>
                <w:w w:val="90"/>
                <w:sz w:val="16"/>
              </w:rPr>
              <w:t> </w:t>
            </w:r>
            <w:r>
              <w:rPr>
                <w:w w:val="90"/>
                <w:sz w:val="16"/>
              </w:rPr>
              <w:t>los </w:t>
            </w:r>
            <w:r>
              <w:rPr>
                <w:w w:val="85"/>
                <w:sz w:val="16"/>
              </w:rPr>
              <w:t>tribunales;</w:t>
              <w:tab/>
            </w:r>
            <w:r>
              <w:rPr>
                <w:w w:val="90"/>
                <w:sz w:val="16"/>
              </w:rPr>
              <w:t>cuántas</w:t>
              <w:tab/>
            </w:r>
            <w:r>
              <w:rPr>
                <w:spacing w:val="-1"/>
                <w:w w:val="80"/>
                <w:sz w:val="16"/>
              </w:rPr>
              <w:t>fueron </w:t>
            </w:r>
            <w:r>
              <w:rPr>
                <w:w w:val="85"/>
                <w:sz w:val="16"/>
              </w:rPr>
              <w:t>confirmatorias, cuántas modificatorias, </w:t>
            </w:r>
            <w:r>
              <w:rPr>
                <w:w w:val="90"/>
                <w:sz w:val="16"/>
              </w:rPr>
              <w:t>cuántas</w:t>
            </w:r>
            <w:r>
              <w:rPr>
                <w:spacing w:val="-11"/>
                <w:w w:val="90"/>
                <w:sz w:val="16"/>
              </w:rPr>
              <w:t> </w:t>
            </w:r>
            <w:r>
              <w:rPr>
                <w:w w:val="90"/>
                <w:sz w:val="16"/>
              </w:rPr>
              <w:t>revocatorias</w:t>
            </w:r>
            <w:r>
              <w:rPr>
                <w:spacing w:val="-11"/>
                <w:w w:val="90"/>
                <w:sz w:val="16"/>
              </w:rPr>
              <w:t> </w:t>
            </w:r>
            <w:r>
              <w:rPr>
                <w:w w:val="90"/>
                <w:sz w:val="16"/>
              </w:rPr>
              <w:t>y</w:t>
            </w:r>
            <w:r>
              <w:rPr>
                <w:spacing w:val="-11"/>
                <w:w w:val="90"/>
                <w:sz w:val="16"/>
              </w:rPr>
              <w:t> </w:t>
            </w:r>
            <w:r>
              <w:rPr>
                <w:w w:val="90"/>
                <w:sz w:val="16"/>
              </w:rPr>
              <w:t>cuántas</w:t>
            </w:r>
            <w:r>
              <w:rPr>
                <w:spacing w:val="-11"/>
                <w:w w:val="90"/>
                <w:sz w:val="16"/>
              </w:rPr>
              <w:t> </w:t>
            </w:r>
            <w:r>
              <w:rPr>
                <w:w w:val="90"/>
                <w:sz w:val="16"/>
              </w:rPr>
              <w:t>fueron </w:t>
            </w:r>
            <w:r>
              <w:rPr>
                <w:w w:val="85"/>
                <w:sz w:val="16"/>
              </w:rPr>
              <w:t>resueltas</w:t>
            </w:r>
            <w:r>
              <w:rPr>
                <w:spacing w:val="-24"/>
                <w:w w:val="85"/>
                <w:sz w:val="16"/>
              </w:rPr>
              <w:t> </w:t>
            </w:r>
            <w:r>
              <w:rPr>
                <w:w w:val="85"/>
                <w:sz w:val="16"/>
              </w:rPr>
              <w:t>en</w:t>
            </w:r>
            <w:r>
              <w:rPr>
                <w:spacing w:val="-23"/>
                <w:w w:val="85"/>
                <w:sz w:val="16"/>
              </w:rPr>
              <w:t> </w:t>
            </w:r>
            <w:r>
              <w:rPr>
                <w:w w:val="85"/>
                <w:sz w:val="16"/>
              </w:rPr>
              <w:t>otro</w:t>
            </w:r>
            <w:r>
              <w:rPr>
                <w:spacing w:val="-22"/>
                <w:w w:val="85"/>
                <w:sz w:val="16"/>
              </w:rPr>
              <w:t> </w:t>
            </w:r>
            <w:r>
              <w:rPr>
                <w:w w:val="85"/>
                <w:sz w:val="16"/>
              </w:rPr>
              <w:t>sentido.</w:t>
            </w:r>
          </w:p>
          <w:p>
            <w:pPr>
              <w:pStyle w:val="TableParagraph"/>
              <w:tabs>
                <w:tab w:pos="546" w:val="left" w:leader="none"/>
                <w:tab w:pos="920" w:val="left" w:leader="none"/>
                <w:tab w:pos="1079" w:val="left" w:leader="none"/>
                <w:tab w:pos="1633" w:val="left" w:leader="none"/>
              </w:tabs>
              <w:ind w:left="-1"/>
              <w:rPr>
                <w:sz w:val="16"/>
              </w:rPr>
            </w:pPr>
            <w:r>
              <w:rPr>
                <w:w w:val="90"/>
                <w:sz w:val="16"/>
              </w:rPr>
              <w:t>Tipos</w:t>
              <w:tab/>
              <w:t>de</w:t>
              <w:tab/>
              <w:t>recursos</w:t>
              <w:tab/>
            </w:r>
            <w:r>
              <w:rPr>
                <w:spacing w:val="-1"/>
                <w:w w:val="80"/>
                <w:sz w:val="16"/>
              </w:rPr>
              <w:t>interpuestos: </w:t>
            </w:r>
            <w:r>
              <w:rPr>
                <w:w w:val="90"/>
                <w:sz w:val="16"/>
              </w:rPr>
              <w:t>apelación, juicio de inconformidad, </w:t>
            </w:r>
            <w:r>
              <w:rPr>
                <w:w w:val="85"/>
                <w:sz w:val="16"/>
              </w:rPr>
              <w:t>reconsideración</w:t>
            </w:r>
            <w:r>
              <w:rPr>
                <w:spacing w:val="-17"/>
                <w:w w:val="85"/>
                <w:sz w:val="16"/>
              </w:rPr>
              <w:t> </w:t>
            </w:r>
            <w:r>
              <w:rPr>
                <w:w w:val="85"/>
                <w:sz w:val="16"/>
              </w:rPr>
              <w:t>(ante</w:t>
            </w:r>
            <w:r>
              <w:rPr>
                <w:spacing w:val="-18"/>
                <w:w w:val="85"/>
                <w:sz w:val="16"/>
              </w:rPr>
              <w:t> </w:t>
            </w:r>
            <w:r>
              <w:rPr>
                <w:w w:val="85"/>
                <w:sz w:val="16"/>
              </w:rPr>
              <w:t>el</w:t>
            </w:r>
            <w:r>
              <w:rPr>
                <w:spacing w:val="-17"/>
                <w:w w:val="85"/>
                <w:sz w:val="16"/>
              </w:rPr>
              <w:t> </w:t>
            </w:r>
            <w:r>
              <w:rPr>
                <w:w w:val="85"/>
                <w:sz w:val="16"/>
              </w:rPr>
              <w:t>propio</w:t>
            </w:r>
            <w:r>
              <w:rPr>
                <w:spacing w:val="-18"/>
                <w:w w:val="85"/>
                <w:sz w:val="16"/>
              </w:rPr>
              <w:t> </w:t>
            </w:r>
            <w:r>
              <w:rPr>
                <w:w w:val="85"/>
                <w:sz w:val="16"/>
              </w:rPr>
              <w:t>órgano). Otras resoluciones: desechar de plano, declaración</w:t>
              <w:tab/>
              <w:tab/>
            </w:r>
            <w:r>
              <w:rPr>
                <w:w w:val="90"/>
                <w:sz w:val="16"/>
              </w:rPr>
              <w:t>de</w:t>
              <w:tab/>
            </w:r>
            <w:r>
              <w:rPr>
                <w:spacing w:val="-1"/>
                <w:w w:val="80"/>
                <w:sz w:val="16"/>
              </w:rPr>
              <w:t>notoriamente </w:t>
            </w:r>
            <w:r>
              <w:rPr>
                <w:w w:val="85"/>
                <w:sz w:val="16"/>
              </w:rPr>
              <w:t>improcedente, sobreseído, infundado o tenerlo</w:t>
            </w:r>
            <w:r>
              <w:rPr>
                <w:spacing w:val="-24"/>
                <w:w w:val="85"/>
                <w:sz w:val="16"/>
              </w:rPr>
              <w:t> </w:t>
            </w:r>
            <w:r>
              <w:rPr>
                <w:w w:val="85"/>
                <w:sz w:val="16"/>
              </w:rPr>
              <w:t>como</w:t>
            </w:r>
            <w:r>
              <w:rPr>
                <w:spacing w:val="-24"/>
                <w:w w:val="85"/>
                <w:sz w:val="16"/>
              </w:rPr>
              <w:t> </w:t>
            </w:r>
            <w:r>
              <w:rPr>
                <w:w w:val="85"/>
                <w:sz w:val="16"/>
              </w:rPr>
              <w:t>no</w:t>
            </w:r>
            <w:r>
              <w:rPr>
                <w:spacing w:val="-24"/>
                <w:w w:val="85"/>
                <w:sz w:val="16"/>
              </w:rPr>
              <w:t> </w:t>
            </w:r>
            <w:r>
              <w:rPr>
                <w:w w:val="85"/>
                <w:sz w:val="16"/>
              </w:rPr>
              <w:t>presentado.</w:t>
            </w:r>
          </w:p>
          <w:p>
            <w:pPr>
              <w:pStyle w:val="TableParagraph"/>
              <w:spacing w:before="1"/>
              <w:ind w:left="-1" w:right="-2"/>
              <w:jc w:val="both"/>
              <w:rPr>
                <w:sz w:val="16"/>
              </w:rPr>
            </w:pPr>
            <w:r>
              <w:rPr>
                <w:w w:val="85"/>
                <w:sz w:val="16"/>
              </w:rPr>
              <w:t>Nota: analizar cuando se sobresee una impugnación si existe una resolución</w:t>
            </w:r>
            <w:r>
              <w:rPr>
                <w:spacing w:val="-27"/>
                <w:w w:val="85"/>
                <w:sz w:val="16"/>
              </w:rPr>
              <w:t> </w:t>
            </w:r>
            <w:r>
              <w:rPr>
                <w:w w:val="85"/>
                <w:sz w:val="16"/>
              </w:rPr>
              <w:t>de </w:t>
            </w:r>
            <w:r>
              <w:rPr>
                <w:w w:val="90"/>
                <w:sz w:val="16"/>
              </w:rPr>
              <w:t>un acto infundado, desechado o una sentencia de un acto confirmado, </w:t>
            </w:r>
            <w:r>
              <w:rPr>
                <w:w w:val="85"/>
                <w:sz w:val="16"/>
              </w:rPr>
              <w:t>modificado</w:t>
            </w:r>
            <w:r>
              <w:rPr>
                <w:spacing w:val="-14"/>
                <w:w w:val="85"/>
                <w:sz w:val="16"/>
              </w:rPr>
              <w:t> </w:t>
            </w:r>
            <w:r>
              <w:rPr>
                <w:w w:val="85"/>
                <w:sz w:val="16"/>
              </w:rPr>
              <w:t>o</w:t>
            </w:r>
            <w:r>
              <w:rPr>
                <w:spacing w:val="-14"/>
                <w:w w:val="85"/>
                <w:sz w:val="16"/>
              </w:rPr>
              <w:t> </w:t>
            </w:r>
            <w:r>
              <w:rPr>
                <w:w w:val="85"/>
                <w:sz w:val="16"/>
              </w:rPr>
              <w:t>revocado;</w:t>
            </w:r>
            <w:r>
              <w:rPr>
                <w:spacing w:val="-15"/>
                <w:w w:val="85"/>
                <w:sz w:val="16"/>
              </w:rPr>
              <w:t> </w:t>
            </w:r>
            <w:r>
              <w:rPr>
                <w:w w:val="85"/>
                <w:sz w:val="16"/>
              </w:rPr>
              <w:t>así</w:t>
            </w:r>
            <w:r>
              <w:rPr>
                <w:spacing w:val="-15"/>
                <w:w w:val="85"/>
                <w:sz w:val="16"/>
              </w:rPr>
              <w:t> </w:t>
            </w:r>
            <w:r>
              <w:rPr>
                <w:w w:val="85"/>
                <w:sz w:val="16"/>
              </w:rPr>
              <w:t>como</w:t>
            </w:r>
            <w:r>
              <w:rPr>
                <w:spacing w:val="-14"/>
                <w:w w:val="85"/>
                <w:sz w:val="16"/>
              </w:rPr>
              <w:t> </w:t>
            </w:r>
            <w:r>
              <w:rPr>
                <w:w w:val="85"/>
                <w:sz w:val="16"/>
              </w:rPr>
              <w:t>si</w:t>
            </w:r>
            <w:r>
              <w:rPr>
                <w:spacing w:val="-15"/>
                <w:w w:val="85"/>
                <w:sz w:val="16"/>
              </w:rPr>
              <w:t> </w:t>
            </w:r>
            <w:r>
              <w:rPr>
                <w:w w:val="85"/>
                <w:sz w:val="16"/>
              </w:rPr>
              <w:t>hubo </w:t>
            </w:r>
            <w:r>
              <w:rPr>
                <w:w w:val="90"/>
                <w:sz w:val="16"/>
              </w:rPr>
              <w:t>desistimiento expreso. Por otro lado, </w:t>
            </w:r>
            <w:r>
              <w:rPr>
                <w:w w:val="85"/>
                <w:sz w:val="16"/>
              </w:rPr>
              <w:t>cuando</w:t>
            </w:r>
            <w:r>
              <w:rPr>
                <w:spacing w:val="-11"/>
                <w:w w:val="85"/>
                <w:sz w:val="16"/>
              </w:rPr>
              <w:t> </w:t>
            </w:r>
            <w:r>
              <w:rPr>
                <w:w w:val="85"/>
                <w:sz w:val="16"/>
              </w:rPr>
              <w:t>en</w:t>
            </w:r>
            <w:r>
              <w:rPr>
                <w:spacing w:val="-11"/>
                <w:w w:val="85"/>
                <w:sz w:val="16"/>
              </w:rPr>
              <w:t> </w:t>
            </w:r>
            <w:r>
              <w:rPr>
                <w:w w:val="85"/>
                <w:sz w:val="16"/>
              </w:rPr>
              <w:t>una</w:t>
            </w:r>
            <w:r>
              <w:rPr>
                <w:spacing w:val="-11"/>
                <w:w w:val="85"/>
                <w:sz w:val="16"/>
              </w:rPr>
              <w:t> </w:t>
            </w:r>
            <w:r>
              <w:rPr>
                <w:w w:val="85"/>
                <w:sz w:val="16"/>
              </w:rPr>
              <w:t>sentencia</w:t>
            </w:r>
            <w:r>
              <w:rPr>
                <w:spacing w:val="-13"/>
                <w:w w:val="85"/>
                <w:sz w:val="16"/>
              </w:rPr>
              <w:t> </w:t>
            </w:r>
            <w:r>
              <w:rPr>
                <w:w w:val="85"/>
                <w:sz w:val="16"/>
              </w:rPr>
              <w:t>algún</w:t>
            </w:r>
            <w:r>
              <w:rPr>
                <w:spacing w:val="-13"/>
                <w:w w:val="85"/>
                <w:sz w:val="16"/>
              </w:rPr>
              <w:t> </w:t>
            </w:r>
            <w:r>
              <w:rPr>
                <w:w w:val="85"/>
                <w:sz w:val="16"/>
              </w:rPr>
              <w:t>punto</w:t>
            </w:r>
            <w:r>
              <w:rPr>
                <w:spacing w:val="-13"/>
                <w:w w:val="85"/>
                <w:sz w:val="16"/>
              </w:rPr>
              <w:t> </w:t>
            </w:r>
            <w:r>
              <w:rPr>
                <w:w w:val="85"/>
                <w:sz w:val="16"/>
              </w:rPr>
              <w:t>de acuerdo</w:t>
            </w:r>
            <w:r>
              <w:rPr>
                <w:spacing w:val="-14"/>
                <w:w w:val="85"/>
                <w:sz w:val="16"/>
              </w:rPr>
              <w:t> </w:t>
            </w:r>
            <w:r>
              <w:rPr>
                <w:w w:val="85"/>
                <w:sz w:val="16"/>
              </w:rPr>
              <w:t>sea</w:t>
            </w:r>
            <w:r>
              <w:rPr>
                <w:spacing w:val="-14"/>
                <w:w w:val="85"/>
                <w:sz w:val="16"/>
              </w:rPr>
              <w:t> </w:t>
            </w:r>
            <w:r>
              <w:rPr>
                <w:w w:val="85"/>
                <w:sz w:val="16"/>
              </w:rPr>
              <w:t>modificado</w:t>
            </w:r>
            <w:r>
              <w:rPr>
                <w:spacing w:val="-13"/>
                <w:w w:val="85"/>
                <w:sz w:val="16"/>
              </w:rPr>
              <w:t> </w:t>
            </w:r>
            <w:r>
              <w:rPr>
                <w:w w:val="85"/>
                <w:sz w:val="16"/>
              </w:rPr>
              <w:t>y</w:t>
            </w:r>
            <w:r>
              <w:rPr>
                <w:spacing w:val="-16"/>
                <w:w w:val="85"/>
                <w:sz w:val="16"/>
              </w:rPr>
              <w:t> </w:t>
            </w:r>
            <w:r>
              <w:rPr>
                <w:w w:val="85"/>
                <w:sz w:val="16"/>
              </w:rPr>
              <w:t>otro</w:t>
            </w:r>
            <w:r>
              <w:rPr>
                <w:spacing w:val="-13"/>
                <w:w w:val="85"/>
                <w:sz w:val="16"/>
              </w:rPr>
              <w:t> </w:t>
            </w:r>
            <w:r>
              <w:rPr>
                <w:w w:val="85"/>
                <w:sz w:val="16"/>
              </w:rPr>
              <w:t>revocado, </w:t>
            </w:r>
            <w:r>
              <w:rPr>
                <w:w w:val="90"/>
                <w:sz w:val="16"/>
              </w:rPr>
              <w:t>éste último dará la evaluación por ser considerado más grave y por lo tanto más significativo para el presente estudio.</w:t>
            </w:r>
          </w:p>
        </w:tc>
        <w:tc>
          <w:tcPr>
            <w:tcW w:w="1419" w:type="dxa"/>
          </w:tcPr>
          <w:p>
            <w:pPr>
              <w:pStyle w:val="TableParagraph"/>
              <w:tabs>
                <w:tab w:pos="880" w:val="left" w:leader="none"/>
                <w:tab w:pos="1307" w:val="left" w:leader="none"/>
              </w:tabs>
              <w:ind w:left="0" w:right="-2"/>
              <w:rPr>
                <w:sz w:val="16"/>
              </w:rPr>
            </w:pPr>
            <w:r>
              <w:rPr>
                <w:w w:val="90"/>
                <w:sz w:val="16"/>
              </w:rPr>
              <w:t>Congruencia </w:t>
            </w:r>
            <w:r>
              <w:rPr>
                <w:i/>
                <w:w w:val="85"/>
                <w:sz w:val="16"/>
              </w:rPr>
              <w:t>cuantitativa</w:t>
              <w:tab/>
            </w:r>
            <w:r>
              <w:rPr>
                <w:w w:val="90"/>
                <w:sz w:val="16"/>
              </w:rPr>
              <w:t>con</w:t>
              <w:tab/>
            </w:r>
            <w:r>
              <w:rPr>
                <w:w w:val="80"/>
                <w:sz w:val="16"/>
              </w:rPr>
              <w:t>la </w:t>
            </w:r>
            <w:r>
              <w:rPr>
                <w:w w:val="85"/>
                <w:sz w:val="16"/>
              </w:rPr>
              <w:t>legalidad</w:t>
            </w:r>
            <w:r>
              <w:rPr>
                <w:spacing w:val="-23"/>
                <w:w w:val="85"/>
                <w:sz w:val="16"/>
              </w:rPr>
              <w:t> </w:t>
            </w:r>
            <w:r>
              <w:rPr>
                <w:w w:val="85"/>
                <w:sz w:val="16"/>
              </w:rPr>
              <w:t>(porcentaje</w:t>
            </w:r>
            <w:r>
              <w:rPr>
                <w:spacing w:val="-24"/>
                <w:w w:val="85"/>
                <w:sz w:val="16"/>
              </w:rPr>
              <w:t> </w:t>
            </w:r>
            <w:r>
              <w:rPr>
                <w:w w:val="85"/>
                <w:sz w:val="16"/>
              </w:rPr>
              <w:t>de </w:t>
            </w:r>
            <w:r>
              <w:rPr>
                <w:w w:val="80"/>
                <w:sz w:val="16"/>
              </w:rPr>
              <w:t>acuerdos</w:t>
            </w:r>
            <w:r>
              <w:rPr>
                <w:spacing w:val="16"/>
                <w:w w:val="80"/>
                <w:sz w:val="16"/>
              </w:rPr>
              <w:t> </w:t>
            </w:r>
            <w:r>
              <w:rPr>
                <w:w w:val="80"/>
                <w:sz w:val="16"/>
              </w:rPr>
              <w:t>revocados)</w:t>
            </w:r>
          </w:p>
        </w:tc>
        <w:tc>
          <w:tcPr>
            <w:tcW w:w="1416" w:type="dxa"/>
          </w:tcPr>
          <w:p>
            <w:pPr>
              <w:pStyle w:val="TableParagraph"/>
              <w:ind w:left="-3" w:right="-1"/>
              <w:jc w:val="both"/>
              <w:rPr>
                <w:sz w:val="16"/>
              </w:rPr>
            </w:pPr>
            <w:r>
              <w:rPr>
                <w:w w:val="90"/>
                <w:sz w:val="16"/>
              </w:rPr>
              <w:t>Acuerdos de consejo </w:t>
            </w:r>
            <w:r>
              <w:rPr>
                <w:w w:val="85"/>
                <w:sz w:val="16"/>
              </w:rPr>
              <w:t>general</w:t>
            </w:r>
            <w:r>
              <w:rPr>
                <w:spacing w:val="-10"/>
                <w:w w:val="85"/>
                <w:sz w:val="16"/>
              </w:rPr>
              <w:t> </w:t>
            </w:r>
            <w:r>
              <w:rPr>
                <w:w w:val="85"/>
                <w:sz w:val="16"/>
              </w:rPr>
              <w:t>del</w:t>
            </w:r>
            <w:r>
              <w:rPr>
                <w:spacing w:val="-10"/>
                <w:w w:val="85"/>
                <w:sz w:val="16"/>
              </w:rPr>
              <w:t> </w:t>
            </w:r>
            <w:r>
              <w:rPr>
                <w:w w:val="85"/>
                <w:sz w:val="16"/>
              </w:rPr>
              <w:t>IFE,</w:t>
            </w:r>
            <w:r>
              <w:rPr>
                <w:spacing w:val="-10"/>
                <w:w w:val="85"/>
                <w:sz w:val="16"/>
              </w:rPr>
              <w:t> </w:t>
            </w:r>
            <w:r>
              <w:rPr>
                <w:w w:val="85"/>
                <w:sz w:val="16"/>
              </w:rPr>
              <w:t>IEEM</w:t>
            </w:r>
            <w:r>
              <w:rPr>
                <w:spacing w:val="-9"/>
                <w:w w:val="85"/>
                <w:sz w:val="16"/>
              </w:rPr>
              <w:t> </w:t>
            </w:r>
            <w:r>
              <w:rPr>
                <w:w w:val="85"/>
                <w:sz w:val="16"/>
              </w:rPr>
              <w:t>y </w:t>
            </w:r>
            <w:r>
              <w:rPr>
                <w:w w:val="90"/>
                <w:sz w:val="16"/>
              </w:rPr>
              <w:t>del TSE; sentencias dadas</w:t>
            </w:r>
            <w:r>
              <w:rPr>
                <w:spacing w:val="-16"/>
                <w:w w:val="90"/>
                <w:sz w:val="16"/>
              </w:rPr>
              <w:t> </w:t>
            </w:r>
            <w:r>
              <w:rPr>
                <w:w w:val="90"/>
                <w:sz w:val="16"/>
              </w:rPr>
              <w:t>por</w:t>
            </w:r>
            <w:r>
              <w:rPr>
                <w:spacing w:val="-16"/>
                <w:w w:val="90"/>
                <w:sz w:val="16"/>
              </w:rPr>
              <w:t> </w:t>
            </w:r>
            <w:r>
              <w:rPr>
                <w:w w:val="90"/>
                <w:sz w:val="16"/>
              </w:rPr>
              <w:t>el</w:t>
            </w:r>
            <w:r>
              <w:rPr>
                <w:spacing w:val="-16"/>
                <w:w w:val="90"/>
                <w:sz w:val="16"/>
              </w:rPr>
              <w:t> </w:t>
            </w:r>
            <w:r>
              <w:rPr>
                <w:w w:val="90"/>
                <w:sz w:val="16"/>
              </w:rPr>
              <w:t>TEPJF,</w:t>
            </w:r>
            <w:r>
              <w:rPr>
                <w:spacing w:val="-16"/>
                <w:w w:val="90"/>
                <w:sz w:val="16"/>
              </w:rPr>
              <w:t> </w:t>
            </w:r>
            <w:r>
              <w:rPr>
                <w:w w:val="90"/>
                <w:sz w:val="16"/>
              </w:rPr>
              <w:t>el TEEM    y    el   </w:t>
            </w:r>
            <w:r>
              <w:rPr>
                <w:spacing w:val="17"/>
                <w:w w:val="90"/>
                <w:sz w:val="16"/>
              </w:rPr>
              <w:t> </w:t>
            </w:r>
            <w:r>
              <w:rPr>
                <w:w w:val="90"/>
                <w:sz w:val="16"/>
              </w:rPr>
              <w:t>TSE,</w:t>
            </w:r>
          </w:p>
          <w:p>
            <w:pPr>
              <w:pStyle w:val="TableParagraph"/>
              <w:tabs>
                <w:tab w:pos="1216" w:val="left" w:leader="none"/>
              </w:tabs>
              <w:ind w:left="-3" w:right="-1"/>
              <w:rPr>
                <w:sz w:val="16"/>
              </w:rPr>
            </w:pPr>
            <w:r>
              <w:rPr>
                <w:w w:val="90"/>
                <w:sz w:val="16"/>
              </w:rPr>
              <w:t>impugnaciones </w:t>
            </w:r>
            <w:r>
              <w:rPr>
                <w:w w:val="85"/>
                <w:sz w:val="16"/>
              </w:rPr>
              <w:t>interpuestas</w:t>
              <w:tab/>
            </w:r>
            <w:r>
              <w:rPr>
                <w:spacing w:val="-1"/>
                <w:w w:val="80"/>
                <w:sz w:val="16"/>
              </w:rPr>
              <w:t>por </w:t>
            </w:r>
            <w:r>
              <w:rPr>
                <w:w w:val="85"/>
                <w:sz w:val="16"/>
              </w:rPr>
              <w:t>partidos políticos, APN </w:t>
            </w:r>
            <w:r>
              <w:rPr>
                <w:w w:val="90"/>
                <w:sz w:val="16"/>
              </w:rPr>
              <w:t>o ciudadanos ante los tribunales.</w:t>
            </w:r>
          </w:p>
        </w:tc>
        <w:tc>
          <w:tcPr>
            <w:tcW w:w="2977" w:type="dxa"/>
          </w:tcPr>
          <w:p>
            <w:pPr>
              <w:pStyle w:val="TableParagraph"/>
              <w:ind w:right="97"/>
              <w:jc w:val="both"/>
              <w:rPr>
                <w:sz w:val="16"/>
              </w:rPr>
            </w:pPr>
            <w:r>
              <w:rPr>
                <w:w w:val="90"/>
                <w:sz w:val="16"/>
              </w:rPr>
              <w:t>Si</w:t>
            </w:r>
            <w:r>
              <w:rPr>
                <w:spacing w:val="-12"/>
                <w:w w:val="90"/>
                <w:sz w:val="16"/>
              </w:rPr>
              <w:t> </w:t>
            </w:r>
            <w:r>
              <w:rPr>
                <w:w w:val="90"/>
                <w:sz w:val="16"/>
              </w:rPr>
              <w:t>del</w:t>
            </w:r>
            <w:r>
              <w:rPr>
                <w:spacing w:val="-12"/>
                <w:w w:val="90"/>
                <w:sz w:val="16"/>
              </w:rPr>
              <w:t> </w:t>
            </w:r>
            <w:r>
              <w:rPr>
                <w:w w:val="90"/>
                <w:sz w:val="16"/>
              </w:rPr>
              <w:t>total</w:t>
            </w:r>
            <w:r>
              <w:rPr>
                <w:spacing w:val="-12"/>
                <w:w w:val="90"/>
                <w:sz w:val="16"/>
              </w:rPr>
              <w:t> </w:t>
            </w:r>
            <w:r>
              <w:rPr>
                <w:w w:val="90"/>
                <w:sz w:val="16"/>
              </w:rPr>
              <w:t>de</w:t>
            </w:r>
            <w:r>
              <w:rPr>
                <w:spacing w:val="-12"/>
                <w:w w:val="90"/>
                <w:sz w:val="16"/>
              </w:rPr>
              <w:t> </w:t>
            </w:r>
            <w:r>
              <w:rPr>
                <w:w w:val="90"/>
                <w:sz w:val="16"/>
              </w:rPr>
              <w:t>los</w:t>
            </w:r>
            <w:r>
              <w:rPr>
                <w:spacing w:val="-13"/>
                <w:w w:val="90"/>
                <w:sz w:val="16"/>
              </w:rPr>
              <w:t> </w:t>
            </w:r>
            <w:r>
              <w:rPr>
                <w:w w:val="90"/>
                <w:sz w:val="16"/>
              </w:rPr>
              <w:t>acuerdos</w:t>
            </w:r>
            <w:r>
              <w:rPr>
                <w:spacing w:val="-14"/>
                <w:w w:val="90"/>
                <w:sz w:val="16"/>
              </w:rPr>
              <w:t> </w:t>
            </w:r>
            <w:r>
              <w:rPr>
                <w:w w:val="90"/>
                <w:sz w:val="16"/>
              </w:rPr>
              <w:t>aprobados</w:t>
            </w:r>
            <w:r>
              <w:rPr>
                <w:spacing w:val="-14"/>
                <w:w w:val="90"/>
                <w:sz w:val="16"/>
              </w:rPr>
              <w:t> </w:t>
            </w:r>
            <w:r>
              <w:rPr>
                <w:w w:val="90"/>
                <w:sz w:val="16"/>
              </w:rPr>
              <w:t>por</w:t>
            </w:r>
            <w:r>
              <w:rPr>
                <w:spacing w:val="-14"/>
                <w:w w:val="90"/>
                <w:sz w:val="16"/>
              </w:rPr>
              <w:t> </w:t>
            </w:r>
            <w:r>
              <w:rPr>
                <w:w w:val="90"/>
                <w:sz w:val="16"/>
              </w:rPr>
              <w:t>el órgano electoral menos del 15% de sus acuerdos fueron revocados o no hubo impugnaciones: 3.0, igual o más del 15% y menos del 30% de sus acuerdos fueron revocados:   2.0,   más   del   30%  </w:t>
            </w:r>
            <w:r>
              <w:rPr>
                <w:spacing w:val="33"/>
                <w:w w:val="90"/>
                <w:sz w:val="16"/>
              </w:rPr>
              <w:t> </w:t>
            </w:r>
            <w:r>
              <w:rPr>
                <w:w w:val="90"/>
                <w:sz w:val="16"/>
              </w:rPr>
              <w:t>fueron</w:t>
            </w:r>
          </w:p>
          <w:p>
            <w:pPr>
              <w:pStyle w:val="TableParagraph"/>
              <w:spacing w:before="1"/>
              <w:jc w:val="both"/>
              <w:rPr>
                <w:sz w:val="16"/>
              </w:rPr>
            </w:pPr>
            <w:r>
              <w:rPr>
                <w:w w:val="80"/>
                <w:sz w:val="16"/>
              </w:rPr>
              <w:t>revocados: 1.0.</w:t>
            </w:r>
          </w:p>
        </w:tc>
      </w:tr>
      <w:tr>
        <w:trPr>
          <w:trHeight w:val="2580" w:hRule="exact"/>
        </w:trPr>
        <w:tc>
          <w:tcPr>
            <w:tcW w:w="1097" w:type="dxa"/>
            <w:vMerge/>
          </w:tcPr>
          <w:p>
            <w:pPr/>
          </w:p>
        </w:tc>
        <w:tc>
          <w:tcPr>
            <w:tcW w:w="1133" w:type="dxa"/>
            <w:vMerge/>
          </w:tcPr>
          <w:p>
            <w:pPr/>
          </w:p>
        </w:tc>
        <w:tc>
          <w:tcPr>
            <w:tcW w:w="2410" w:type="dxa"/>
          </w:tcPr>
          <w:p>
            <w:pPr>
              <w:pStyle w:val="TableParagraph"/>
              <w:spacing w:line="180" w:lineRule="exact"/>
              <w:ind w:left="-1"/>
              <w:jc w:val="both"/>
              <w:rPr>
                <w:i/>
                <w:sz w:val="16"/>
              </w:rPr>
            </w:pPr>
            <w:r>
              <w:rPr>
                <w:i/>
                <w:w w:val="85"/>
                <w:sz w:val="16"/>
              </w:rPr>
              <w:t>Causa de la revocación.</w:t>
            </w:r>
          </w:p>
          <w:p>
            <w:pPr>
              <w:pStyle w:val="TableParagraph"/>
              <w:ind w:left="-1" w:right="-1"/>
              <w:jc w:val="both"/>
              <w:rPr>
                <w:sz w:val="16"/>
              </w:rPr>
            </w:pPr>
            <w:r>
              <w:rPr>
                <w:w w:val="90"/>
                <w:sz w:val="16"/>
              </w:rPr>
              <w:t>Imparcialidad de la actuación de los órganos electorales, en cuanto al resultado</w:t>
            </w:r>
            <w:r>
              <w:rPr>
                <w:spacing w:val="-11"/>
                <w:w w:val="90"/>
                <w:sz w:val="16"/>
              </w:rPr>
              <w:t> </w:t>
            </w:r>
            <w:r>
              <w:rPr>
                <w:w w:val="90"/>
                <w:sz w:val="16"/>
              </w:rPr>
              <w:t>de</w:t>
            </w:r>
            <w:r>
              <w:rPr>
                <w:spacing w:val="-11"/>
                <w:w w:val="90"/>
                <w:sz w:val="16"/>
              </w:rPr>
              <w:t> </w:t>
            </w:r>
            <w:r>
              <w:rPr>
                <w:w w:val="90"/>
                <w:sz w:val="16"/>
              </w:rPr>
              <w:t>la</w:t>
            </w:r>
            <w:r>
              <w:rPr>
                <w:spacing w:val="-11"/>
                <w:w w:val="90"/>
                <w:sz w:val="16"/>
              </w:rPr>
              <w:t> </w:t>
            </w:r>
            <w:r>
              <w:rPr>
                <w:w w:val="90"/>
                <w:sz w:val="16"/>
              </w:rPr>
              <w:t>elección</w:t>
            </w:r>
            <w:r>
              <w:rPr>
                <w:spacing w:val="-9"/>
                <w:w w:val="90"/>
                <w:sz w:val="16"/>
              </w:rPr>
              <w:t> </w:t>
            </w:r>
            <w:r>
              <w:rPr>
                <w:w w:val="90"/>
                <w:sz w:val="16"/>
              </w:rPr>
              <w:t>y/o</w:t>
            </w:r>
            <w:r>
              <w:rPr>
                <w:spacing w:val="-11"/>
                <w:w w:val="90"/>
                <w:sz w:val="16"/>
              </w:rPr>
              <w:t> </w:t>
            </w:r>
            <w:r>
              <w:rPr>
                <w:w w:val="90"/>
                <w:sz w:val="16"/>
              </w:rPr>
              <w:t>el</w:t>
            </w:r>
            <w:r>
              <w:rPr>
                <w:spacing w:val="-10"/>
                <w:w w:val="90"/>
                <w:sz w:val="16"/>
              </w:rPr>
              <w:t> </w:t>
            </w:r>
            <w:r>
              <w:rPr>
                <w:w w:val="90"/>
                <w:sz w:val="16"/>
              </w:rPr>
              <w:t>proceso electoral, a través del análisis de los </w:t>
            </w:r>
            <w:r>
              <w:rPr>
                <w:w w:val="80"/>
                <w:sz w:val="16"/>
              </w:rPr>
              <w:t>acuerdos</w:t>
            </w:r>
            <w:r>
              <w:rPr>
                <w:spacing w:val="16"/>
                <w:w w:val="80"/>
                <w:sz w:val="16"/>
              </w:rPr>
              <w:t> </w:t>
            </w:r>
            <w:r>
              <w:rPr>
                <w:w w:val="80"/>
                <w:sz w:val="16"/>
              </w:rPr>
              <w:t>revocados.</w:t>
            </w:r>
          </w:p>
          <w:p>
            <w:pPr>
              <w:pStyle w:val="TableParagraph"/>
              <w:spacing w:before="1"/>
              <w:ind w:left="-1" w:right="1"/>
              <w:jc w:val="both"/>
              <w:rPr>
                <w:sz w:val="16"/>
              </w:rPr>
            </w:pPr>
            <w:r>
              <w:rPr>
                <w:w w:val="90"/>
                <w:sz w:val="16"/>
              </w:rPr>
              <w:t>Estudiar los acuerdos revocados en cuanto a la causa que le dio origen a dicha revocación; de acuerdo con las </w:t>
            </w:r>
            <w:r>
              <w:rPr>
                <w:w w:val="85"/>
                <w:sz w:val="16"/>
              </w:rPr>
              <w:t>sentencias</w:t>
            </w:r>
            <w:r>
              <w:rPr>
                <w:spacing w:val="-15"/>
                <w:w w:val="85"/>
                <w:sz w:val="16"/>
              </w:rPr>
              <w:t> </w:t>
            </w:r>
            <w:r>
              <w:rPr>
                <w:w w:val="85"/>
                <w:sz w:val="16"/>
              </w:rPr>
              <w:t>dadas</w:t>
            </w:r>
            <w:r>
              <w:rPr>
                <w:spacing w:val="-15"/>
                <w:w w:val="85"/>
                <w:sz w:val="16"/>
              </w:rPr>
              <w:t> </w:t>
            </w:r>
            <w:r>
              <w:rPr>
                <w:w w:val="85"/>
                <w:sz w:val="16"/>
              </w:rPr>
              <w:t>las</w:t>
            </w:r>
            <w:r>
              <w:rPr>
                <w:spacing w:val="-14"/>
                <w:w w:val="85"/>
                <w:sz w:val="16"/>
              </w:rPr>
              <w:t> </w:t>
            </w:r>
            <w:r>
              <w:rPr>
                <w:w w:val="85"/>
                <w:sz w:val="16"/>
              </w:rPr>
              <w:t>causas</w:t>
            </w:r>
            <w:r>
              <w:rPr>
                <w:spacing w:val="-15"/>
                <w:w w:val="85"/>
                <w:sz w:val="16"/>
              </w:rPr>
              <w:t> </w:t>
            </w:r>
            <w:r>
              <w:rPr>
                <w:w w:val="85"/>
                <w:sz w:val="16"/>
              </w:rPr>
              <w:t>pueden</w:t>
            </w:r>
            <w:r>
              <w:rPr>
                <w:spacing w:val="-13"/>
                <w:w w:val="85"/>
                <w:sz w:val="16"/>
              </w:rPr>
              <w:t> </w:t>
            </w:r>
            <w:r>
              <w:rPr>
                <w:w w:val="85"/>
                <w:sz w:val="16"/>
              </w:rPr>
              <w:t>ser </w:t>
            </w:r>
            <w:r>
              <w:rPr>
                <w:w w:val="90"/>
                <w:sz w:val="16"/>
              </w:rPr>
              <w:t>de tres tipos: falta grave, leve o administrativa.</w:t>
            </w:r>
          </w:p>
        </w:tc>
        <w:tc>
          <w:tcPr>
            <w:tcW w:w="1419" w:type="dxa"/>
          </w:tcPr>
          <w:p>
            <w:pPr>
              <w:pStyle w:val="TableParagraph"/>
              <w:ind w:left="0" w:right="-1"/>
              <w:jc w:val="both"/>
              <w:rPr>
                <w:sz w:val="16"/>
              </w:rPr>
            </w:pPr>
            <w:r>
              <w:rPr>
                <w:w w:val="80"/>
                <w:sz w:val="16"/>
              </w:rPr>
              <w:t>Imparcialidad </w:t>
            </w:r>
            <w:r>
              <w:rPr>
                <w:i/>
                <w:w w:val="80"/>
                <w:sz w:val="16"/>
              </w:rPr>
              <w:t>cualitativa </w:t>
            </w:r>
            <w:r>
              <w:rPr>
                <w:w w:val="90"/>
                <w:sz w:val="16"/>
              </w:rPr>
              <w:t>en el resultado de la elección.</w:t>
            </w:r>
          </w:p>
        </w:tc>
        <w:tc>
          <w:tcPr>
            <w:tcW w:w="1416" w:type="dxa"/>
          </w:tcPr>
          <w:p>
            <w:pPr>
              <w:pStyle w:val="TableParagraph"/>
              <w:ind w:left="-3" w:right="-1"/>
              <w:jc w:val="both"/>
              <w:rPr>
                <w:sz w:val="16"/>
              </w:rPr>
            </w:pPr>
            <w:r>
              <w:rPr>
                <w:w w:val="90"/>
                <w:sz w:val="16"/>
              </w:rPr>
              <w:t>Sentencias dadas por el</w:t>
            </w:r>
            <w:r>
              <w:rPr>
                <w:spacing w:val="-18"/>
                <w:w w:val="90"/>
                <w:sz w:val="16"/>
              </w:rPr>
              <w:t> </w:t>
            </w:r>
            <w:r>
              <w:rPr>
                <w:w w:val="90"/>
                <w:sz w:val="16"/>
              </w:rPr>
              <w:t>TEPJF,</w:t>
            </w:r>
            <w:r>
              <w:rPr>
                <w:spacing w:val="-18"/>
                <w:w w:val="90"/>
                <w:sz w:val="16"/>
              </w:rPr>
              <w:t> </w:t>
            </w:r>
            <w:r>
              <w:rPr>
                <w:w w:val="90"/>
                <w:sz w:val="16"/>
              </w:rPr>
              <w:t>el</w:t>
            </w:r>
            <w:r>
              <w:rPr>
                <w:spacing w:val="-18"/>
                <w:w w:val="90"/>
                <w:sz w:val="16"/>
              </w:rPr>
              <w:t> </w:t>
            </w:r>
            <w:r>
              <w:rPr>
                <w:w w:val="90"/>
                <w:sz w:val="16"/>
              </w:rPr>
              <w:t>TEEM</w:t>
            </w:r>
            <w:r>
              <w:rPr>
                <w:spacing w:val="-17"/>
                <w:w w:val="90"/>
                <w:sz w:val="16"/>
              </w:rPr>
              <w:t> </w:t>
            </w:r>
            <w:r>
              <w:rPr>
                <w:w w:val="90"/>
                <w:sz w:val="16"/>
              </w:rPr>
              <w:t>y</w:t>
            </w:r>
            <w:r>
              <w:rPr>
                <w:spacing w:val="-18"/>
                <w:w w:val="90"/>
                <w:sz w:val="16"/>
              </w:rPr>
              <w:t> </w:t>
            </w:r>
            <w:r>
              <w:rPr>
                <w:w w:val="90"/>
                <w:sz w:val="16"/>
              </w:rPr>
              <w:t>el TSE.</w:t>
            </w:r>
          </w:p>
        </w:tc>
        <w:tc>
          <w:tcPr>
            <w:tcW w:w="2977" w:type="dxa"/>
          </w:tcPr>
          <w:p>
            <w:pPr>
              <w:pStyle w:val="TableParagraph"/>
              <w:ind w:right="98"/>
              <w:jc w:val="both"/>
              <w:rPr>
                <w:sz w:val="16"/>
              </w:rPr>
            </w:pPr>
            <w:r>
              <w:rPr>
                <w:w w:val="85"/>
                <w:sz w:val="16"/>
              </w:rPr>
              <w:t>Sin sentencias revocatorias o con revocación </w:t>
            </w:r>
            <w:r>
              <w:rPr>
                <w:w w:val="90"/>
                <w:sz w:val="16"/>
              </w:rPr>
              <w:t>por faltas administrativas (aquellas que no afectan el resultado de la elección ni la democraticidad del proceso electoral, referentes</w:t>
            </w:r>
            <w:r>
              <w:rPr>
                <w:spacing w:val="-20"/>
                <w:w w:val="90"/>
                <w:sz w:val="16"/>
              </w:rPr>
              <w:t> </w:t>
            </w:r>
            <w:r>
              <w:rPr>
                <w:w w:val="90"/>
                <w:sz w:val="16"/>
              </w:rPr>
              <w:t>a</w:t>
            </w:r>
            <w:r>
              <w:rPr>
                <w:spacing w:val="-18"/>
                <w:w w:val="90"/>
                <w:sz w:val="16"/>
              </w:rPr>
              <w:t> </w:t>
            </w:r>
            <w:r>
              <w:rPr>
                <w:w w:val="90"/>
                <w:sz w:val="16"/>
              </w:rPr>
              <w:t>requisitos</w:t>
            </w:r>
            <w:r>
              <w:rPr>
                <w:spacing w:val="-19"/>
                <w:w w:val="90"/>
                <w:sz w:val="16"/>
              </w:rPr>
              <w:t> </w:t>
            </w:r>
            <w:r>
              <w:rPr>
                <w:w w:val="90"/>
                <w:sz w:val="16"/>
              </w:rPr>
              <w:t>de</w:t>
            </w:r>
            <w:r>
              <w:rPr>
                <w:spacing w:val="-18"/>
                <w:w w:val="90"/>
                <w:sz w:val="16"/>
              </w:rPr>
              <w:t> </w:t>
            </w:r>
            <w:r>
              <w:rPr>
                <w:w w:val="90"/>
                <w:sz w:val="16"/>
              </w:rPr>
              <w:t>forma</w:t>
            </w:r>
            <w:r>
              <w:rPr>
                <w:spacing w:val="-19"/>
                <w:w w:val="90"/>
                <w:sz w:val="16"/>
              </w:rPr>
              <w:t> </w:t>
            </w:r>
            <w:r>
              <w:rPr>
                <w:w w:val="90"/>
                <w:sz w:val="16"/>
              </w:rPr>
              <w:t>en</w:t>
            </w:r>
            <w:r>
              <w:rPr>
                <w:spacing w:val="-18"/>
                <w:w w:val="90"/>
                <w:sz w:val="16"/>
              </w:rPr>
              <w:t> </w:t>
            </w:r>
            <w:r>
              <w:rPr>
                <w:w w:val="90"/>
                <w:sz w:val="16"/>
              </w:rPr>
              <w:t>informes, administración de los recursos humanos, financieros</w:t>
            </w:r>
            <w:r>
              <w:rPr>
                <w:spacing w:val="-12"/>
                <w:w w:val="90"/>
                <w:sz w:val="16"/>
              </w:rPr>
              <w:t> </w:t>
            </w:r>
            <w:r>
              <w:rPr>
                <w:w w:val="90"/>
                <w:sz w:val="16"/>
              </w:rPr>
              <w:t>o</w:t>
            </w:r>
            <w:r>
              <w:rPr>
                <w:spacing w:val="-12"/>
                <w:w w:val="90"/>
                <w:sz w:val="16"/>
              </w:rPr>
              <w:t> </w:t>
            </w:r>
            <w:r>
              <w:rPr>
                <w:w w:val="90"/>
                <w:sz w:val="16"/>
              </w:rPr>
              <w:t>materiales</w:t>
            </w:r>
            <w:r>
              <w:rPr>
                <w:spacing w:val="-13"/>
                <w:w w:val="90"/>
                <w:sz w:val="16"/>
              </w:rPr>
              <w:t> </w:t>
            </w:r>
            <w:r>
              <w:rPr>
                <w:w w:val="90"/>
                <w:sz w:val="16"/>
              </w:rPr>
              <w:t>que</w:t>
            </w:r>
            <w:r>
              <w:rPr>
                <w:spacing w:val="-12"/>
                <w:w w:val="90"/>
                <w:sz w:val="16"/>
              </w:rPr>
              <w:t> </w:t>
            </w:r>
            <w:r>
              <w:rPr>
                <w:w w:val="90"/>
                <w:sz w:val="16"/>
              </w:rPr>
              <w:t>no</w:t>
            </w:r>
            <w:r>
              <w:rPr>
                <w:spacing w:val="-11"/>
                <w:w w:val="90"/>
                <w:sz w:val="16"/>
              </w:rPr>
              <w:t> </w:t>
            </w:r>
            <w:r>
              <w:rPr>
                <w:w w:val="90"/>
                <w:sz w:val="16"/>
              </w:rPr>
              <w:t>representen robo</w:t>
            </w:r>
            <w:r>
              <w:rPr>
                <w:spacing w:val="-24"/>
                <w:w w:val="90"/>
                <w:sz w:val="16"/>
              </w:rPr>
              <w:t> </w:t>
            </w:r>
            <w:r>
              <w:rPr>
                <w:w w:val="90"/>
                <w:sz w:val="16"/>
              </w:rPr>
              <w:t>al</w:t>
            </w:r>
            <w:r>
              <w:rPr>
                <w:spacing w:val="-24"/>
                <w:w w:val="90"/>
                <w:sz w:val="16"/>
              </w:rPr>
              <w:t> </w:t>
            </w:r>
            <w:r>
              <w:rPr>
                <w:w w:val="90"/>
                <w:sz w:val="16"/>
              </w:rPr>
              <w:t>erario</w:t>
            </w:r>
            <w:r>
              <w:rPr>
                <w:spacing w:val="-24"/>
                <w:w w:val="90"/>
                <w:sz w:val="16"/>
              </w:rPr>
              <w:t> </w:t>
            </w:r>
            <w:r>
              <w:rPr>
                <w:w w:val="90"/>
                <w:sz w:val="16"/>
              </w:rPr>
              <w:t>público):</w:t>
            </w:r>
            <w:r>
              <w:rPr>
                <w:spacing w:val="-25"/>
                <w:w w:val="90"/>
                <w:sz w:val="16"/>
              </w:rPr>
              <w:t> </w:t>
            </w:r>
            <w:r>
              <w:rPr>
                <w:w w:val="90"/>
                <w:sz w:val="16"/>
              </w:rPr>
              <w:t>3.0,</w:t>
            </w:r>
            <w:r>
              <w:rPr>
                <w:spacing w:val="-25"/>
                <w:w w:val="90"/>
                <w:sz w:val="16"/>
              </w:rPr>
              <w:t> </w:t>
            </w:r>
            <w:r>
              <w:rPr>
                <w:w w:val="90"/>
                <w:sz w:val="16"/>
              </w:rPr>
              <w:t>si</w:t>
            </w:r>
            <w:r>
              <w:rPr>
                <w:spacing w:val="-24"/>
                <w:w w:val="90"/>
                <w:sz w:val="16"/>
              </w:rPr>
              <w:t> </w:t>
            </w:r>
            <w:r>
              <w:rPr>
                <w:w w:val="90"/>
                <w:sz w:val="16"/>
              </w:rPr>
              <w:t>uno</w:t>
            </w:r>
            <w:r>
              <w:rPr>
                <w:spacing w:val="-24"/>
                <w:w w:val="90"/>
                <w:sz w:val="16"/>
              </w:rPr>
              <w:t> </w:t>
            </w:r>
            <w:r>
              <w:rPr>
                <w:w w:val="90"/>
                <w:sz w:val="16"/>
              </w:rPr>
              <w:t>o</w:t>
            </w:r>
            <w:r>
              <w:rPr>
                <w:spacing w:val="-24"/>
                <w:w w:val="90"/>
                <w:sz w:val="16"/>
              </w:rPr>
              <w:t> </w:t>
            </w:r>
            <w:r>
              <w:rPr>
                <w:w w:val="90"/>
                <w:sz w:val="16"/>
              </w:rPr>
              <w:t>más</w:t>
            </w:r>
            <w:r>
              <w:rPr>
                <w:spacing w:val="-25"/>
                <w:w w:val="90"/>
                <w:sz w:val="16"/>
              </w:rPr>
              <w:t> </w:t>
            </w:r>
            <w:r>
              <w:rPr>
                <w:w w:val="90"/>
                <w:sz w:val="16"/>
              </w:rPr>
              <w:t>de</w:t>
            </w:r>
            <w:r>
              <w:rPr>
                <w:spacing w:val="-24"/>
                <w:w w:val="90"/>
                <w:sz w:val="16"/>
              </w:rPr>
              <w:t> </w:t>
            </w:r>
            <w:r>
              <w:rPr>
                <w:w w:val="90"/>
                <w:sz w:val="16"/>
              </w:rPr>
              <w:t>los </w:t>
            </w:r>
            <w:r>
              <w:rPr>
                <w:w w:val="85"/>
                <w:sz w:val="16"/>
              </w:rPr>
              <w:t>acuerdos</w:t>
            </w:r>
            <w:r>
              <w:rPr>
                <w:spacing w:val="-11"/>
                <w:w w:val="85"/>
                <w:sz w:val="16"/>
              </w:rPr>
              <w:t> </w:t>
            </w:r>
            <w:r>
              <w:rPr>
                <w:w w:val="85"/>
                <w:sz w:val="16"/>
              </w:rPr>
              <w:t>revocados</w:t>
            </w:r>
            <w:r>
              <w:rPr>
                <w:spacing w:val="-11"/>
                <w:w w:val="85"/>
                <w:sz w:val="16"/>
              </w:rPr>
              <w:t> </w:t>
            </w:r>
            <w:r>
              <w:rPr>
                <w:w w:val="85"/>
                <w:sz w:val="16"/>
              </w:rPr>
              <w:t>se</w:t>
            </w:r>
            <w:r>
              <w:rPr>
                <w:spacing w:val="-11"/>
                <w:w w:val="85"/>
                <w:sz w:val="16"/>
              </w:rPr>
              <w:t> </w:t>
            </w:r>
            <w:r>
              <w:rPr>
                <w:w w:val="85"/>
                <w:sz w:val="16"/>
              </w:rPr>
              <w:t>debieron</w:t>
            </w:r>
            <w:r>
              <w:rPr>
                <w:spacing w:val="-11"/>
                <w:w w:val="85"/>
                <w:sz w:val="16"/>
              </w:rPr>
              <w:t> </w:t>
            </w:r>
            <w:r>
              <w:rPr>
                <w:w w:val="85"/>
                <w:sz w:val="16"/>
              </w:rPr>
              <w:t>a</w:t>
            </w:r>
            <w:r>
              <w:rPr>
                <w:spacing w:val="-9"/>
                <w:w w:val="85"/>
                <w:sz w:val="16"/>
              </w:rPr>
              <w:t> </w:t>
            </w:r>
            <w:r>
              <w:rPr>
                <w:w w:val="85"/>
                <w:sz w:val="16"/>
              </w:rPr>
              <w:t>faltas</w:t>
            </w:r>
            <w:r>
              <w:rPr>
                <w:spacing w:val="-12"/>
                <w:w w:val="85"/>
                <w:sz w:val="16"/>
              </w:rPr>
              <w:t> </w:t>
            </w:r>
            <w:r>
              <w:rPr>
                <w:w w:val="85"/>
                <w:sz w:val="16"/>
              </w:rPr>
              <w:t>leves </w:t>
            </w:r>
            <w:r>
              <w:rPr>
                <w:w w:val="90"/>
                <w:sz w:val="16"/>
              </w:rPr>
              <w:t>(aquellas que afectan la imparcialidad del proceso</w:t>
            </w:r>
            <w:r>
              <w:rPr>
                <w:spacing w:val="-13"/>
                <w:w w:val="90"/>
                <w:sz w:val="16"/>
              </w:rPr>
              <w:t> </w:t>
            </w:r>
            <w:r>
              <w:rPr>
                <w:w w:val="90"/>
                <w:sz w:val="16"/>
              </w:rPr>
              <w:t>electoral):</w:t>
            </w:r>
            <w:r>
              <w:rPr>
                <w:spacing w:val="-12"/>
                <w:w w:val="90"/>
                <w:sz w:val="16"/>
              </w:rPr>
              <w:t> </w:t>
            </w:r>
            <w:r>
              <w:rPr>
                <w:w w:val="90"/>
                <w:sz w:val="16"/>
              </w:rPr>
              <w:t>2.0,</w:t>
            </w:r>
            <w:r>
              <w:rPr>
                <w:spacing w:val="-12"/>
                <w:w w:val="90"/>
                <w:sz w:val="16"/>
              </w:rPr>
              <w:t> </w:t>
            </w:r>
            <w:r>
              <w:rPr>
                <w:w w:val="90"/>
                <w:sz w:val="16"/>
              </w:rPr>
              <w:t>y</w:t>
            </w:r>
            <w:r>
              <w:rPr>
                <w:spacing w:val="-13"/>
                <w:w w:val="90"/>
                <w:sz w:val="16"/>
              </w:rPr>
              <w:t> </w:t>
            </w:r>
            <w:r>
              <w:rPr>
                <w:w w:val="90"/>
                <w:sz w:val="16"/>
              </w:rPr>
              <w:t>si</w:t>
            </w:r>
            <w:r>
              <w:rPr>
                <w:spacing w:val="-12"/>
                <w:w w:val="90"/>
                <w:sz w:val="16"/>
              </w:rPr>
              <w:t> </w:t>
            </w:r>
            <w:r>
              <w:rPr>
                <w:w w:val="90"/>
                <w:sz w:val="16"/>
              </w:rPr>
              <w:t>uno</w:t>
            </w:r>
            <w:r>
              <w:rPr>
                <w:spacing w:val="-11"/>
                <w:w w:val="90"/>
                <w:sz w:val="16"/>
              </w:rPr>
              <w:t> </w:t>
            </w:r>
            <w:r>
              <w:rPr>
                <w:w w:val="90"/>
                <w:sz w:val="16"/>
              </w:rPr>
              <w:t>o</w:t>
            </w:r>
            <w:r>
              <w:rPr>
                <w:spacing w:val="-11"/>
                <w:w w:val="90"/>
                <w:sz w:val="16"/>
              </w:rPr>
              <w:t> </w:t>
            </w:r>
            <w:r>
              <w:rPr>
                <w:w w:val="90"/>
                <w:sz w:val="16"/>
              </w:rPr>
              <w:t>más</w:t>
            </w:r>
            <w:r>
              <w:rPr>
                <w:spacing w:val="-14"/>
                <w:w w:val="90"/>
                <w:sz w:val="16"/>
              </w:rPr>
              <w:t> </w:t>
            </w:r>
            <w:r>
              <w:rPr>
                <w:w w:val="90"/>
                <w:sz w:val="16"/>
              </w:rPr>
              <w:t>de</w:t>
            </w:r>
            <w:r>
              <w:rPr>
                <w:spacing w:val="-11"/>
                <w:w w:val="90"/>
                <w:sz w:val="16"/>
              </w:rPr>
              <w:t> </w:t>
            </w:r>
            <w:r>
              <w:rPr>
                <w:w w:val="90"/>
                <w:sz w:val="16"/>
              </w:rPr>
              <w:t>los acuerdos revocados se debieron a faltas </w:t>
            </w:r>
            <w:r>
              <w:rPr>
                <w:w w:val="85"/>
                <w:sz w:val="16"/>
              </w:rPr>
              <w:t>graves</w:t>
            </w:r>
            <w:r>
              <w:rPr>
                <w:spacing w:val="-12"/>
                <w:w w:val="85"/>
                <w:sz w:val="16"/>
              </w:rPr>
              <w:t> </w:t>
            </w:r>
            <w:r>
              <w:rPr>
                <w:w w:val="85"/>
                <w:sz w:val="16"/>
              </w:rPr>
              <w:t>(aquellas</w:t>
            </w:r>
            <w:r>
              <w:rPr>
                <w:spacing w:val="-12"/>
                <w:w w:val="85"/>
                <w:sz w:val="16"/>
              </w:rPr>
              <w:t> </w:t>
            </w:r>
            <w:r>
              <w:rPr>
                <w:w w:val="85"/>
                <w:sz w:val="16"/>
              </w:rPr>
              <w:t>que</w:t>
            </w:r>
            <w:r>
              <w:rPr>
                <w:spacing w:val="-12"/>
                <w:w w:val="85"/>
                <w:sz w:val="16"/>
              </w:rPr>
              <w:t> </w:t>
            </w:r>
            <w:r>
              <w:rPr>
                <w:w w:val="85"/>
                <w:sz w:val="16"/>
              </w:rPr>
              <w:t>afectan</w:t>
            </w:r>
            <w:r>
              <w:rPr>
                <w:spacing w:val="-12"/>
                <w:w w:val="85"/>
                <w:sz w:val="16"/>
              </w:rPr>
              <w:t> </w:t>
            </w:r>
            <w:r>
              <w:rPr>
                <w:w w:val="85"/>
                <w:sz w:val="16"/>
              </w:rPr>
              <w:t>el</w:t>
            </w:r>
            <w:r>
              <w:rPr>
                <w:spacing w:val="-11"/>
                <w:w w:val="85"/>
                <w:sz w:val="16"/>
              </w:rPr>
              <w:t> </w:t>
            </w:r>
            <w:r>
              <w:rPr>
                <w:w w:val="85"/>
                <w:sz w:val="16"/>
              </w:rPr>
              <w:t>resultado</w:t>
            </w:r>
            <w:r>
              <w:rPr>
                <w:spacing w:val="-12"/>
                <w:w w:val="85"/>
                <w:sz w:val="16"/>
              </w:rPr>
              <w:t> </w:t>
            </w:r>
            <w:r>
              <w:rPr>
                <w:w w:val="85"/>
                <w:sz w:val="16"/>
              </w:rPr>
              <w:t>de</w:t>
            </w:r>
            <w:r>
              <w:rPr>
                <w:spacing w:val="-10"/>
                <w:w w:val="85"/>
                <w:sz w:val="16"/>
              </w:rPr>
              <w:t> </w:t>
            </w:r>
            <w:r>
              <w:rPr>
                <w:w w:val="85"/>
                <w:sz w:val="16"/>
              </w:rPr>
              <w:t>la </w:t>
            </w:r>
            <w:r>
              <w:rPr>
                <w:w w:val="80"/>
                <w:sz w:val="16"/>
              </w:rPr>
              <w:t>elección):</w:t>
            </w:r>
            <w:r>
              <w:rPr>
                <w:spacing w:val="13"/>
                <w:w w:val="80"/>
                <w:sz w:val="16"/>
              </w:rPr>
              <w:t> </w:t>
            </w:r>
            <w:r>
              <w:rPr>
                <w:w w:val="80"/>
                <w:sz w:val="16"/>
              </w:rPr>
              <w:t>1.0.</w:t>
            </w:r>
          </w:p>
        </w:tc>
      </w:tr>
      <w:tr>
        <w:trPr>
          <w:trHeight w:val="4599" w:hRule="exact"/>
        </w:trPr>
        <w:tc>
          <w:tcPr>
            <w:tcW w:w="1097" w:type="dxa"/>
            <w:vMerge/>
          </w:tcPr>
          <w:p>
            <w:pPr/>
          </w:p>
        </w:tc>
        <w:tc>
          <w:tcPr>
            <w:tcW w:w="1133" w:type="dxa"/>
            <w:vMerge/>
          </w:tcPr>
          <w:p>
            <w:pPr/>
          </w:p>
        </w:tc>
        <w:tc>
          <w:tcPr>
            <w:tcW w:w="2410" w:type="dxa"/>
          </w:tcPr>
          <w:p>
            <w:pPr>
              <w:pStyle w:val="TableParagraph"/>
              <w:ind w:left="-1" w:right="-1"/>
              <w:jc w:val="both"/>
              <w:rPr>
                <w:sz w:val="16"/>
              </w:rPr>
            </w:pPr>
            <w:r>
              <w:rPr>
                <w:w w:val="90"/>
                <w:sz w:val="16"/>
              </w:rPr>
              <w:t>Imparcialidad de los acuerdos del órgano electoral con respecto a las organizaciones políticas: partidos, coaliciones</w:t>
            </w:r>
            <w:r>
              <w:rPr>
                <w:spacing w:val="-11"/>
                <w:w w:val="90"/>
                <w:sz w:val="16"/>
              </w:rPr>
              <w:t> </w:t>
            </w:r>
            <w:r>
              <w:rPr>
                <w:w w:val="90"/>
                <w:sz w:val="16"/>
              </w:rPr>
              <w:t>u</w:t>
            </w:r>
            <w:r>
              <w:rPr>
                <w:spacing w:val="-10"/>
                <w:w w:val="90"/>
                <w:sz w:val="16"/>
              </w:rPr>
              <w:t> </w:t>
            </w:r>
            <w:r>
              <w:rPr>
                <w:w w:val="90"/>
                <w:sz w:val="16"/>
              </w:rPr>
              <w:t>organizaciones;</w:t>
            </w:r>
            <w:r>
              <w:rPr>
                <w:spacing w:val="-11"/>
                <w:w w:val="90"/>
                <w:sz w:val="16"/>
              </w:rPr>
              <w:t> </w:t>
            </w:r>
            <w:r>
              <w:rPr>
                <w:w w:val="90"/>
                <w:sz w:val="16"/>
              </w:rPr>
              <w:t>a</w:t>
            </w:r>
            <w:r>
              <w:rPr>
                <w:spacing w:val="-10"/>
                <w:w w:val="90"/>
                <w:sz w:val="16"/>
              </w:rPr>
              <w:t> </w:t>
            </w:r>
            <w:r>
              <w:rPr>
                <w:w w:val="90"/>
                <w:sz w:val="16"/>
              </w:rPr>
              <w:t>través de revisar el número de sentencias revocatorias por partido político, coalición u organización, para determinar su porcentaje; con la finalidad</w:t>
            </w:r>
            <w:r>
              <w:rPr>
                <w:spacing w:val="-11"/>
                <w:w w:val="90"/>
                <w:sz w:val="16"/>
              </w:rPr>
              <w:t> </w:t>
            </w:r>
            <w:r>
              <w:rPr>
                <w:w w:val="90"/>
                <w:sz w:val="16"/>
              </w:rPr>
              <w:t>de</w:t>
            </w:r>
            <w:r>
              <w:rPr>
                <w:spacing w:val="-11"/>
                <w:w w:val="90"/>
                <w:sz w:val="16"/>
              </w:rPr>
              <w:t> </w:t>
            </w:r>
            <w:r>
              <w:rPr>
                <w:w w:val="90"/>
                <w:sz w:val="16"/>
              </w:rPr>
              <w:t>establecer</w:t>
            </w:r>
            <w:r>
              <w:rPr>
                <w:spacing w:val="-10"/>
                <w:w w:val="90"/>
                <w:sz w:val="16"/>
              </w:rPr>
              <w:t> </w:t>
            </w:r>
            <w:r>
              <w:rPr>
                <w:w w:val="90"/>
                <w:sz w:val="16"/>
              </w:rPr>
              <w:t>si</w:t>
            </w:r>
            <w:r>
              <w:rPr>
                <w:spacing w:val="-10"/>
                <w:w w:val="90"/>
                <w:sz w:val="16"/>
              </w:rPr>
              <w:t> </w:t>
            </w:r>
            <w:r>
              <w:rPr>
                <w:w w:val="90"/>
                <w:sz w:val="16"/>
              </w:rPr>
              <w:t>los</w:t>
            </w:r>
            <w:r>
              <w:rPr>
                <w:spacing w:val="-11"/>
                <w:w w:val="90"/>
                <w:sz w:val="16"/>
              </w:rPr>
              <w:t> </w:t>
            </w:r>
            <w:r>
              <w:rPr>
                <w:w w:val="90"/>
                <w:sz w:val="16"/>
              </w:rPr>
              <w:t>acuerdos del árbitro electoral beneficiaron o </w:t>
            </w:r>
            <w:r>
              <w:rPr>
                <w:w w:val="85"/>
                <w:sz w:val="16"/>
              </w:rPr>
              <w:t>agraviaron</w:t>
            </w:r>
            <w:r>
              <w:rPr>
                <w:spacing w:val="-22"/>
                <w:w w:val="85"/>
                <w:sz w:val="16"/>
              </w:rPr>
              <w:t> </w:t>
            </w:r>
            <w:r>
              <w:rPr>
                <w:w w:val="85"/>
                <w:sz w:val="16"/>
              </w:rPr>
              <w:t>a</w:t>
            </w:r>
            <w:r>
              <w:rPr>
                <w:spacing w:val="-23"/>
                <w:w w:val="85"/>
                <w:sz w:val="16"/>
              </w:rPr>
              <w:t> </w:t>
            </w:r>
            <w:r>
              <w:rPr>
                <w:w w:val="85"/>
                <w:sz w:val="16"/>
              </w:rPr>
              <w:t>alguna</w:t>
            </w:r>
            <w:r>
              <w:rPr>
                <w:spacing w:val="-23"/>
                <w:w w:val="85"/>
                <w:sz w:val="16"/>
              </w:rPr>
              <w:t> </w:t>
            </w:r>
            <w:r>
              <w:rPr>
                <w:w w:val="85"/>
                <w:sz w:val="16"/>
              </w:rPr>
              <w:t>organización</w:t>
            </w:r>
            <w:r>
              <w:rPr>
                <w:spacing w:val="-23"/>
                <w:w w:val="85"/>
                <w:sz w:val="16"/>
              </w:rPr>
              <w:t> </w:t>
            </w:r>
            <w:r>
              <w:rPr>
                <w:w w:val="85"/>
                <w:sz w:val="16"/>
              </w:rPr>
              <w:t>política en</w:t>
            </w:r>
            <w:r>
              <w:rPr>
                <w:spacing w:val="-20"/>
                <w:w w:val="85"/>
                <w:sz w:val="16"/>
              </w:rPr>
              <w:t> </w:t>
            </w:r>
            <w:r>
              <w:rPr>
                <w:w w:val="85"/>
                <w:sz w:val="16"/>
              </w:rPr>
              <w:t>particular</w:t>
            </w:r>
            <w:r>
              <w:rPr>
                <w:spacing w:val="-20"/>
                <w:w w:val="85"/>
                <w:sz w:val="16"/>
              </w:rPr>
              <w:t> </w:t>
            </w:r>
            <w:r>
              <w:rPr>
                <w:w w:val="85"/>
                <w:sz w:val="16"/>
              </w:rPr>
              <w:t>en</w:t>
            </w:r>
            <w:r>
              <w:rPr>
                <w:spacing w:val="-19"/>
                <w:w w:val="85"/>
                <w:sz w:val="16"/>
              </w:rPr>
              <w:t> </w:t>
            </w:r>
            <w:r>
              <w:rPr>
                <w:w w:val="85"/>
                <w:sz w:val="16"/>
              </w:rPr>
              <w:t>relación</w:t>
            </w:r>
            <w:r>
              <w:rPr>
                <w:spacing w:val="-19"/>
                <w:w w:val="85"/>
                <w:sz w:val="16"/>
              </w:rPr>
              <w:t> </w:t>
            </w:r>
            <w:r>
              <w:rPr>
                <w:w w:val="85"/>
                <w:sz w:val="16"/>
              </w:rPr>
              <w:t>con</w:t>
            </w:r>
            <w:r>
              <w:rPr>
                <w:spacing w:val="-19"/>
                <w:w w:val="85"/>
                <w:sz w:val="16"/>
              </w:rPr>
              <w:t> </w:t>
            </w:r>
            <w:r>
              <w:rPr>
                <w:w w:val="85"/>
                <w:sz w:val="16"/>
              </w:rPr>
              <w:t>otras.</w:t>
            </w:r>
          </w:p>
          <w:p>
            <w:pPr>
              <w:pStyle w:val="TableParagraph"/>
              <w:spacing w:before="1"/>
              <w:ind w:left="-1" w:right="-2"/>
              <w:jc w:val="both"/>
              <w:rPr>
                <w:sz w:val="16"/>
              </w:rPr>
            </w:pPr>
            <w:r>
              <w:rPr>
                <w:w w:val="90"/>
                <w:sz w:val="16"/>
              </w:rPr>
              <w:t>Dicho</w:t>
            </w:r>
            <w:r>
              <w:rPr>
                <w:spacing w:val="-20"/>
                <w:w w:val="90"/>
                <w:sz w:val="16"/>
              </w:rPr>
              <w:t> </w:t>
            </w:r>
            <w:r>
              <w:rPr>
                <w:w w:val="90"/>
                <w:sz w:val="16"/>
              </w:rPr>
              <w:t>estudio</w:t>
            </w:r>
            <w:r>
              <w:rPr>
                <w:spacing w:val="-19"/>
                <w:w w:val="90"/>
                <w:sz w:val="16"/>
              </w:rPr>
              <w:t> </w:t>
            </w:r>
            <w:r>
              <w:rPr>
                <w:w w:val="90"/>
                <w:sz w:val="16"/>
              </w:rPr>
              <w:t>es</w:t>
            </w:r>
            <w:r>
              <w:rPr>
                <w:spacing w:val="-20"/>
                <w:w w:val="90"/>
                <w:sz w:val="16"/>
              </w:rPr>
              <w:t> </w:t>
            </w:r>
            <w:r>
              <w:rPr>
                <w:w w:val="90"/>
                <w:sz w:val="16"/>
              </w:rPr>
              <w:t>sólo</w:t>
            </w:r>
            <w:r>
              <w:rPr>
                <w:spacing w:val="-19"/>
                <w:w w:val="90"/>
                <w:sz w:val="16"/>
              </w:rPr>
              <w:t> </w:t>
            </w:r>
            <w:r>
              <w:rPr>
                <w:w w:val="90"/>
                <w:sz w:val="16"/>
              </w:rPr>
              <w:t>cuantitativo</w:t>
            </w:r>
            <w:r>
              <w:rPr>
                <w:spacing w:val="-19"/>
                <w:w w:val="90"/>
                <w:sz w:val="16"/>
              </w:rPr>
              <w:t> </w:t>
            </w:r>
            <w:r>
              <w:rPr>
                <w:w w:val="90"/>
                <w:sz w:val="16"/>
              </w:rPr>
              <w:t>pues cualitativamente es difícil evaluar la </w:t>
            </w:r>
            <w:r>
              <w:rPr>
                <w:w w:val="85"/>
                <w:sz w:val="16"/>
              </w:rPr>
              <w:t>imparcialidad del órgano electoral hacia las organizaciones políticas a través</w:t>
            </w:r>
            <w:r>
              <w:rPr>
                <w:spacing w:val="-21"/>
                <w:w w:val="85"/>
                <w:sz w:val="16"/>
              </w:rPr>
              <w:t> </w:t>
            </w:r>
            <w:r>
              <w:rPr>
                <w:w w:val="85"/>
                <w:sz w:val="16"/>
              </w:rPr>
              <w:t>del </w:t>
            </w:r>
            <w:r>
              <w:rPr>
                <w:w w:val="90"/>
                <w:sz w:val="16"/>
              </w:rPr>
              <w:t>estudio</w:t>
            </w:r>
            <w:r>
              <w:rPr>
                <w:spacing w:val="-21"/>
                <w:w w:val="90"/>
                <w:sz w:val="16"/>
              </w:rPr>
              <w:t> </w:t>
            </w:r>
            <w:r>
              <w:rPr>
                <w:w w:val="90"/>
                <w:sz w:val="16"/>
              </w:rPr>
              <w:t>de</w:t>
            </w:r>
            <w:r>
              <w:rPr>
                <w:spacing w:val="-21"/>
                <w:w w:val="90"/>
                <w:sz w:val="16"/>
              </w:rPr>
              <w:t> </w:t>
            </w:r>
            <w:r>
              <w:rPr>
                <w:w w:val="90"/>
                <w:sz w:val="16"/>
              </w:rPr>
              <w:t>las</w:t>
            </w:r>
            <w:r>
              <w:rPr>
                <w:spacing w:val="-22"/>
                <w:w w:val="90"/>
                <w:sz w:val="16"/>
              </w:rPr>
              <w:t> </w:t>
            </w:r>
            <w:r>
              <w:rPr>
                <w:w w:val="90"/>
                <w:sz w:val="16"/>
              </w:rPr>
              <w:t>sentencias,</w:t>
            </w:r>
            <w:r>
              <w:rPr>
                <w:spacing w:val="-22"/>
                <w:w w:val="90"/>
                <w:sz w:val="16"/>
              </w:rPr>
              <w:t> </w:t>
            </w:r>
            <w:r>
              <w:rPr>
                <w:w w:val="90"/>
                <w:sz w:val="16"/>
              </w:rPr>
              <w:t>toda</w:t>
            </w:r>
            <w:r>
              <w:rPr>
                <w:spacing w:val="-21"/>
                <w:w w:val="90"/>
                <w:sz w:val="16"/>
              </w:rPr>
              <w:t> </w:t>
            </w:r>
            <w:r>
              <w:rPr>
                <w:w w:val="90"/>
                <w:sz w:val="16"/>
              </w:rPr>
              <w:t>vez</w:t>
            </w:r>
            <w:r>
              <w:rPr>
                <w:spacing w:val="-22"/>
                <w:w w:val="90"/>
                <w:sz w:val="16"/>
              </w:rPr>
              <w:t> </w:t>
            </w:r>
            <w:r>
              <w:rPr>
                <w:w w:val="90"/>
                <w:sz w:val="16"/>
              </w:rPr>
              <w:t>que los tribunales no determinan explícitamente si los consejeros o magistrados actuaron con dolo, </w:t>
            </w:r>
            <w:r>
              <w:rPr>
                <w:w w:val="85"/>
                <w:sz w:val="16"/>
              </w:rPr>
              <w:t>condición necesaria para determinar la </w:t>
            </w:r>
            <w:r>
              <w:rPr>
                <w:w w:val="90"/>
                <w:sz w:val="16"/>
              </w:rPr>
              <w:t>imparcialidad de los funcionarios electorales.</w:t>
            </w:r>
            <w:r>
              <w:rPr>
                <w:spacing w:val="-10"/>
                <w:w w:val="90"/>
                <w:sz w:val="16"/>
              </w:rPr>
              <w:t> </w:t>
            </w:r>
            <w:r>
              <w:rPr>
                <w:w w:val="90"/>
                <w:sz w:val="16"/>
              </w:rPr>
              <w:t>Los</w:t>
            </w:r>
            <w:r>
              <w:rPr>
                <w:spacing w:val="-11"/>
                <w:w w:val="90"/>
                <w:sz w:val="16"/>
              </w:rPr>
              <w:t> </w:t>
            </w:r>
            <w:r>
              <w:rPr>
                <w:w w:val="90"/>
                <w:sz w:val="16"/>
              </w:rPr>
              <w:t>tribunales</w:t>
            </w:r>
            <w:r>
              <w:rPr>
                <w:spacing w:val="-11"/>
                <w:w w:val="90"/>
                <w:sz w:val="16"/>
              </w:rPr>
              <w:t> </w:t>
            </w:r>
            <w:r>
              <w:rPr>
                <w:w w:val="90"/>
                <w:sz w:val="16"/>
              </w:rPr>
              <w:t>se</w:t>
            </w:r>
            <w:r>
              <w:rPr>
                <w:spacing w:val="-10"/>
                <w:w w:val="90"/>
                <w:sz w:val="16"/>
              </w:rPr>
              <w:t> </w:t>
            </w:r>
            <w:r>
              <w:rPr>
                <w:w w:val="90"/>
                <w:sz w:val="16"/>
              </w:rPr>
              <w:t>limitan</w:t>
            </w:r>
            <w:r>
              <w:rPr>
                <w:spacing w:val="-11"/>
                <w:w w:val="90"/>
                <w:sz w:val="16"/>
              </w:rPr>
              <w:t> </w:t>
            </w:r>
            <w:r>
              <w:rPr>
                <w:w w:val="90"/>
                <w:sz w:val="16"/>
              </w:rPr>
              <w:t>a señalar los errores cometidos por los </w:t>
            </w:r>
            <w:r>
              <w:rPr>
                <w:w w:val="80"/>
                <w:sz w:val="16"/>
              </w:rPr>
              <w:t>funcionarios</w:t>
            </w:r>
            <w:r>
              <w:rPr>
                <w:spacing w:val="19"/>
                <w:w w:val="80"/>
                <w:sz w:val="16"/>
              </w:rPr>
              <w:t> </w:t>
            </w:r>
            <w:r>
              <w:rPr>
                <w:w w:val="80"/>
                <w:sz w:val="16"/>
              </w:rPr>
              <w:t>electorales.</w:t>
            </w:r>
          </w:p>
        </w:tc>
        <w:tc>
          <w:tcPr>
            <w:tcW w:w="1419" w:type="dxa"/>
          </w:tcPr>
          <w:p>
            <w:pPr>
              <w:pStyle w:val="TableParagraph"/>
              <w:tabs>
                <w:tab w:pos="1199" w:val="left" w:leader="none"/>
              </w:tabs>
              <w:spacing w:line="182" w:lineRule="exact"/>
              <w:ind w:left="0" w:right="-1"/>
              <w:rPr>
                <w:sz w:val="16"/>
              </w:rPr>
            </w:pPr>
            <w:r>
              <w:rPr>
                <w:w w:val="90"/>
                <w:sz w:val="16"/>
              </w:rPr>
              <w:t>Imparcialidad </w:t>
            </w:r>
            <w:r>
              <w:rPr>
                <w:w w:val="85"/>
                <w:sz w:val="16"/>
              </w:rPr>
              <w:t>cuantitativa</w:t>
              <w:tab/>
            </w:r>
            <w:r>
              <w:rPr>
                <w:spacing w:val="-1"/>
                <w:w w:val="80"/>
                <w:sz w:val="16"/>
              </w:rPr>
              <w:t>con</w:t>
            </w:r>
          </w:p>
          <w:p>
            <w:pPr>
              <w:pStyle w:val="TableParagraph"/>
              <w:tabs>
                <w:tab w:pos="834" w:val="left" w:leader="none"/>
                <w:tab w:pos="1240" w:val="left" w:leader="none"/>
              </w:tabs>
              <w:ind w:left="0"/>
              <w:rPr>
                <w:sz w:val="16"/>
              </w:rPr>
            </w:pPr>
            <w:r>
              <w:rPr>
                <w:w w:val="90"/>
                <w:sz w:val="16"/>
              </w:rPr>
              <w:t>respecto</w:t>
              <w:tab/>
              <w:t>a</w:t>
              <w:tab/>
            </w:r>
            <w:r>
              <w:rPr>
                <w:w w:val="80"/>
                <w:sz w:val="16"/>
              </w:rPr>
              <w:t>las </w:t>
            </w:r>
            <w:r>
              <w:rPr>
                <w:w w:val="90"/>
                <w:sz w:val="16"/>
              </w:rPr>
              <w:t>organizaciones políticas.</w:t>
            </w:r>
          </w:p>
          <w:p>
            <w:pPr>
              <w:pStyle w:val="TableParagraph"/>
              <w:spacing w:line="182" w:lineRule="exact"/>
              <w:ind w:left="0" w:right="-11"/>
              <w:rPr>
                <w:sz w:val="16"/>
              </w:rPr>
            </w:pPr>
            <w:r>
              <w:rPr>
                <w:w w:val="90"/>
                <w:sz w:val="16"/>
              </w:rPr>
              <w:t>Subindicadores:</w:t>
            </w:r>
          </w:p>
          <w:p>
            <w:pPr>
              <w:pStyle w:val="TableParagraph"/>
              <w:tabs>
                <w:tab w:pos="1218" w:val="left" w:leader="none"/>
              </w:tabs>
              <w:spacing w:before="1"/>
              <w:ind w:left="0" w:right="-3"/>
              <w:rPr>
                <w:sz w:val="16"/>
              </w:rPr>
            </w:pPr>
            <w:r>
              <w:rPr>
                <w:w w:val="85"/>
                <w:sz w:val="16"/>
              </w:rPr>
              <w:t>Medios</w:t>
            </w:r>
            <w:r>
              <w:rPr>
                <w:spacing w:val="-18"/>
                <w:w w:val="85"/>
                <w:sz w:val="16"/>
              </w:rPr>
              <w:t> </w:t>
            </w:r>
            <w:r>
              <w:rPr>
                <w:w w:val="85"/>
                <w:sz w:val="16"/>
              </w:rPr>
              <w:t>de</w:t>
            </w:r>
            <w:r>
              <w:rPr>
                <w:spacing w:val="-15"/>
                <w:w w:val="85"/>
                <w:sz w:val="16"/>
              </w:rPr>
              <w:t> </w:t>
            </w:r>
            <w:r>
              <w:rPr>
                <w:w w:val="85"/>
                <w:sz w:val="16"/>
              </w:rPr>
              <w:t>impugnación interpuestos</w:t>
              <w:tab/>
            </w:r>
            <w:r>
              <w:rPr>
                <w:w w:val="80"/>
                <w:sz w:val="16"/>
              </w:rPr>
              <w:t>por</w:t>
            </w:r>
          </w:p>
          <w:p>
            <w:pPr>
              <w:pStyle w:val="TableParagraph"/>
              <w:tabs>
                <w:tab w:pos="772" w:val="left" w:leader="none"/>
                <w:tab w:pos="978" w:val="left" w:leader="none"/>
                <w:tab w:pos="1218" w:val="left" w:leader="none"/>
              </w:tabs>
              <w:spacing w:before="1"/>
              <w:ind w:left="0" w:right="-2"/>
              <w:rPr>
                <w:sz w:val="16"/>
              </w:rPr>
            </w:pPr>
            <w:r>
              <w:rPr>
                <w:w w:val="85"/>
                <w:sz w:val="16"/>
              </w:rPr>
              <w:t>Agrupación</w:t>
              <w:tab/>
              <w:tab/>
            </w:r>
            <w:r>
              <w:rPr>
                <w:spacing w:val="-1"/>
                <w:w w:val="80"/>
                <w:sz w:val="16"/>
              </w:rPr>
              <w:t>Política </w:t>
            </w:r>
            <w:r>
              <w:rPr>
                <w:w w:val="90"/>
                <w:sz w:val="16"/>
              </w:rPr>
              <w:t>Nacional (número de </w:t>
            </w:r>
            <w:r>
              <w:rPr>
                <w:w w:val="85"/>
                <w:sz w:val="16"/>
              </w:rPr>
              <w:t>recursos interpuestos). </w:t>
            </w:r>
            <w:r>
              <w:rPr>
                <w:w w:val="90"/>
                <w:sz w:val="16"/>
              </w:rPr>
              <w:t>Análisis</w:t>
              <w:tab/>
              <w:t>de</w:t>
              <w:tab/>
              <w:tab/>
              <w:t>las</w:t>
            </w:r>
            <w:r>
              <w:rPr>
                <w:w w:val="82"/>
                <w:sz w:val="16"/>
              </w:rPr>
              <w:t> </w:t>
            </w:r>
            <w:r>
              <w:rPr>
                <w:w w:val="90"/>
                <w:sz w:val="16"/>
              </w:rPr>
              <w:t>sentencias por APN </w:t>
            </w:r>
            <w:r>
              <w:rPr>
                <w:w w:val="85"/>
                <w:sz w:val="16"/>
              </w:rPr>
              <w:t>(número de sentencias revocatorias</w:t>
              <w:tab/>
              <w:tab/>
              <w:tab/>
            </w:r>
            <w:r>
              <w:rPr>
                <w:w w:val="80"/>
                <w:sz w:val="16"/>
              </w:rPr>
              <w:t>por </w:t>
            </w:r>
            <w:r>
              <w:rPr>
                <w:w w:val="90"/>
                <w:sz w:val="16"/>
              </w:rPr>
              <w:t>partido, coalición o APN).</w:t>
            </w:r>
          </w:p>
        </w:tc>
        <w:tc>
          <w:tcPr>
            <w:tcW w:w="1416" w:type="dxa"/>
          </w:tcPr>
          <w:p>
            <w:pPr>
              <w:pStyle w:val="TableParagraph"/>
              <w:tabs>
                <w:tab w:pos="1259" w:val="left" w:leader="none"/>
              </w:tabs>
              <w:spacing w:line="180" w:lineRule="exact"/>
              <w:ind w:left="33"/>
              <w:rPr>
                <w:sz w:val="16"/>
              </w:rPr>
            </w:pPr>
            <w:r>
              <w:rPr>
                <w:w w:val="90"/>
                <w:sz w:val="16"/>
              </w:rPr>
              <w:t>Medios</w:t>
              <w:tab/>
            </w:r>
            <w:r>
              <w:rPr>
                <w:spacing w:val="-1"/>
                <w:w w:val="80"/>
                <w:sz w:val="16"/>
              </w:rPr>
              <w:t>de</w:t>
            </w:r>
          </w:p>
          <w:p>
            <w:pPr>
              <w:pStyle w:val="TableParagraph"/>
              <w:ind w:left="-3" w:right="-11"/>
              <w:rPr>
                <w:sz w:val="16"/>
              </w:rPr>
            </w:pPr>
            <w:r>
              <w:rPr>
                <w:w w:val="90"/>
                <w:sz w:val="16"/>
              </w:rPr>
              <w:t>impugnación interpuestos, </w:t>
            </w:r>
            <w:r>
              <w:rPr>
                <w:w w:val="85"/>
                <w:sz w:val="16"/>
              </w:rPr>
              <w:t>sentencias</w:t>
            </w:r>
            <w:r>
              <w:rPr>
                <w:spacing w:val="-12"/>
                <w:w w:val="85"/>
                <w:sz w:val="16"/>
              </w:rPr>
              <w:t> </w:t>
            </w:r>
            <w:r>
              <w:rPr>
                <w:w w:val="85"/>
                <w:sz w:val="16"/>
              </w:rPr>
              <w:t>dadas</w:t>
            </w:r>
            <w:r>
              <w:rPr>
                <w:spacing w:val="-13"/>
                <w:w w:val="85"/>
                <w:sz w:val="16"/>
              </w:rPr>
              <w:t> </w:t>
            </w:r>
            <w:r>
              <w:rPr>
                <w:w w:val="85"/>
                <w:sz w:val="16"/>
              </w:rPr>
              <w:t>por</w:t>
            </w:r>
            <w:r>
              <w:rPr>
                <w:spacing w:val="-12"/>
                <w:w w:val="85"/>
                <w:sz w:val="16"/>
              </w:rPr>
              <w:t> </w:t>
            </w:r>
            <w:r>
              <w:rPr>
                <w:w w:val="85"/>
                <w:sz w:val="16"/>
              </w:rPr>
              <w:t>el </w:t>
            </w:r>
            <w:r>
              <w:rPr>
                <w:w w:val="90"/>
                <w:sz w:val="16"/>
              </w:rPr>
              <w:t>TEPJF, el TEEM y el TSE.</w:t>
            </w:r>
          </w:p>
        </w:tc>
        <w:tc>
          <w:tcPr>
            <w:tcW w:w="2977" w:type="dxa"/>
          </w:tcPr>
          <w:p>
            <w:pPr>
              <w:pStyle w:val="TableParagraph"/>
              <w:ind w:right="99"/>
              <w:jc w:val="both"/>
              <w:rPr>
                <w:sz w:val="16"/>
              </w:rPr>
            </w:pPr>
            <w:r>
              <w:rPr>
                <w:w w:val="90"/>
                <w:sz w:val="16"/>
              </w:rPr>
              <w:t>Sin sentencias revocatorias por actuación errónea o dolosa de los funcionarios electorales</w:t>
            </w:r>
            <w:r>
              <w:rPr>
                <w:spacing w:val="-24"/>
                <w:w w:val="90"/>
                <w:sz w:val="16"/>
              </w:rPr>
              <w:t> </w:t>
            </w:r>
            <w:r>
              <w:rPr>
                <w:w w:val="90"/>
                <w:sz w:val="16"/>
              </w:rPr>
              <w:t>o</w:t>
            </w:r>
            <w:r>
              <w:rPr>
                <w:spacing w:val="-24"/>
                <w:w w:val="90"/>
                <w:sz w:val="16"/>
              </w:rPr>
              <w:t> </w:t>
            </w:r>
            <w:r>
              <w:rPr>
                <w:w w:val="90"/>
                <w:sz w:val="16"/>
              </w:rPr>
              <w:t>si</w:t>
            </w:r>
            <w:r>
              <w:rPr>
                <w:spacing w:val="-24"/>
                <w:w w:val="90"/>
                <w:sz w:val="16"/>
              </w:rPr>
              <w:t> </w:t>
            </w:r>
            <w:r>
              <w:rPr>
                <w:w w:val="90"/>
                <w:sz w:val="16"/>
              </w:rPr>
              <w:t>uno</w:t>
            </w:r>
            <w:r>
              <w:rPr>
                <w:spacing w:val="-24"/>
                <w:w w:val="90"/>
                <w:sz w:val="16"/>
              </w:rPr>
              <w:t> </w:t>
            </w:r>
            <w:r>
              <w:rPr>
                <w:w w:val="90"/>
                <w:sz w:val="16"/>
              </w:rPr>
              <w:t>o</w:t>
            </w:r>
            <w:r>
              <w:rPr>
                <w:spacing w:val="-24"/>
                <w:w w:val="90"/>
                <w:sz w:val="16"/>
              </w:rPr>
              <w:t> </w:t>
            </w:r>
            <w:r>
              <w:rPr>
                <w:w w:val="90"/>
                <w:sz w:val="16"/>
              </w:rPr>
              <w:t>más</w:t>
            </w:r>
            <w:r>
              <w:rPr>
                <w:spacing w:val="-25"/>
                <w:w w:val="90"/>
                <w:sz w:val="16"/>
              </w:rPr>
              <w:t> </w:t>
            </w:r>
            <w:r>
              <w:rPr>
                <w:w w:val="90"/>
                <w:sz w:val="16"/>
              </w:rPr>
              <w:t>partidos</w:t>
            </w:r>
            <w:r>
              <w:rPr>
                <w:spacing w:val="-25"/>
                <w:w w:val="90"/>
                <w:sz w:val="16"/>
              </w:rPr>
              <w:t> </w:t>
            </w:r>
            <w:r>
              <w:rPr>
                <w:w w:val="90"/>
                <w:sz w:val="16"/>
              </w:rPr>
              <w:t>del</w:t>
            </w:r>
            <w:r>
              <w:rPr>
                <w:spacing w:val="-24"/>
                <w:w w:val="90"/>
                <w:sz w:val="16"/>
              </w:rPr>
              <w:t> </w:t>
            </w:r>
            <w:r>
              <w:rPr>
                <w:w w:val="90"/>
                <w:sz w:val="16"/>
              </w:rPr>
              <w:t>total</w:t>
            </w:r>
            <w:r>
              <w:rPr>
                <w:spacing w:val="-24"/>
                <w:w w:val="90"/>
                <w:sz w:val="16"/>
              </w:rPr>
              <w:t> </w:t>
            </w:r>
            <w:r>
              <w:rPr>
                <w:w w:val="90"/>
                <w:sz w:val="16"/>
              </w:rPr>
              <w:t>de sus impugnaciones presentadas ante los tribunales, obtuvieron en menos del 15% sentencias revocatorias: 3.0, si uno o más partidos</w:t>
            </w:r>
            <w:r>
              <w:rPr>
                <w:spacing w:val="-15"/>
                <w:w w:val="90"/>
                <w:sz w:val="16"/>
              </w:rPr>
              <w:t> </w:t>
            </w:r>
            <w:r>
              <w:rPr>
                <w:w w:val="90"/>
                <w:sz w:val="16"/>
              </w:rPr>
              <w:t>obtuvieron</w:t>
            </w:r>
            <w:r>
              <w:rPr>
                <w:spacing w:val="-15"/>
                <w:w w:val="90"/>
                <w:sz w:val="16"/>
              </w:rPr>
              <w:t> </w:t>
            </w:r>
            <w:r>
              <w:rPr>
                <w:w w:val="90"/>
                <w:sz w:val="16"/>
              </w:rPr>
              <w:t>entre</w:t>
            </w:r>
            <w:r>
              <w:rPr>
                <w:spacing w:val="-14"/>
                <w:w w:val="90"/>
                <w:sz w:val="16"/>
              </w:rPr>
              <w:t> </w:t>
            </w:r>
            <w:r>
              <w:rPr>
                <w:w w:val="90"/>
                <w:sz w:val="16"/>
              </w:rPr>
              <w:t>el</w:t>
            </w:r>
            <w:r>
              <w:rPr>
                <w:spacing w:val="-16"/>
                <w:w w:val="90"/>
                <w:sz w:val="16"/>
              </w:rPr>
              <w:t> </w:t>
            </w:r>
            <w:r>
              <w:rPr>
                <w:w w:val="90"/>
                <w:sz w:val="16"/>
              </w:rPr>
              <w:t>15%</w:t>
            </w:r>
            <w:r>
              <w:rPr>
                <w:spacing w:val="-14"/>
                <w:w w:val="90"/>
                <w:sz w:val="16"/>
              </w:rPr>
              <w:t> </w:t>
            </w:r>
            <w:r>
              <w:rPr>
                <w:w w:val="90"/>
                <w:sz w:val="16"/>
              </w:rPr>
              <w:t>y</w:t>
            </w:r>
            <w:r>
              <w:rPr>
                <w:spacing w:val="-15"/>
                <w:w w:val="90"/>
                <w:sz w:val="16"/>
              </w:rPr>
              <w:t> </w:t>
            </w:r>
            <w:r>
              <w:rPr>
                <w:w w:val="90"/>
                <w:sz w:val="16"/>
              </w:rPr>
              <w:t>el</w:t>
            </w:r>
            <w:r>
              <w:rPr>
                <w:spacing w:val="-13"/>
                <w:w w:val="90"/>
                <w:sz w:val="16"/>
              </w:rPr>
              <w:t> </w:t>
            </w:r>
            <w:r>
              <w:rPr>
                <w:w w:val="90"/>
                <w:sz w:val="16"/>
              </w:rPr>
              <w:t>30%</w:t>
            </w:r>
            <w:r>
              <w:rPr>
                <w:spacing w:val="-15"/>
                <w:w w:val="90"/>
                <w:sz w:val="16"/>
              </w:rPr>
              <w:t> </w:t>
            </w:r>
            <w:r>
              <w:rPr>
                <w:w w:val="90"/>
                <w:sz w:val="16"/>
              </w:rPr>
              <w:t>de sentencias</w:t>
            </w:r>
            <w:r>
              <w:rPr>
                <w:spacing w:val="-7"/>
                <w:w w:val="90"/>
                <w:sz w:val="16"/>
              </w:rPr>
              <w:t> </w:t>
            </w:r>
            <w:r>
              <w:rPr>
                <w:w w:val="90"/>
                <w:sz w:val="16"/>
              </w:rPr>
              <w:t>revocatorias:</w:t>
            </w:r>
            <w:r>
              <w:rPr>
                <w:spacing w:val="-7"/>
                <w:w w:val="90"/>
                <w:sz w:val="16"/>
              </w:rPr>
              <w:t> </w:t>
            </w:r>
            <w:r>
              <w:rPr>
                <w:w w:val="90"/>
                <w:sz w:val="16"/>
              </w:rPr>
              <w:t>2.0,</w:t>
            </w:r>
            <w:r>
              <w:rPr>
                <w:spacing w:val="-8"/>
                <w:w w:val="90"/>
                <w:sz w:val="16"/>
              </w:rPr>
              <w:t> </w:t>
            </w:r>
            <w:r>
              <w:rPr>
                <w:w w:val="90"/>
                <w:sz w:val="16"/>
              </w:rPr>
              <w:t>y</w:t>
            </w:r>
            <w:r>
              <w:rPr>
                <w:spacing w:val="-7"/>
                <w:w w:val="90"/>
                <w:sz w:val="16"/>
              </w:rPr>
              <w:t> </w:t>
            </w:r>
            <w:r>
              <w:rPr>
                <w:w w:val="90"/>
                <w:sz w:val="16"/>
              </w:rPr>
              <w:t>si</w:t>
            </w:r>
            <w:r>
              <w:rPr>
                <w:spacing w:val="-7"/>
                <w:w w:val="90"/>
                <w:sz w:val="16"/>
              </w:rPr>
              <w:t> </w:t>
            </w:r>
            <w:r>
              <w:rPr>
                <w:w w:val="90"/>
                <w:sz w:val="16"/>
              </w:rPr>
              <w:t>uno</w:t>
            </w:r>
            <w:r>
              <w:rPr>
                <w:spacing w:val="-7"/>
                <w:w w:val="90"/>
                <w:sz w:val="16"/>
              </w:rPr>
              <w:t> </w:t>
            </w:r>
            <w:r>
              <w:rPr>
                <w:w w:val="90"/>
                <w:sz w:val="16"/>
              </w:rPr>
              <w:t>o</w:t>
            </w:r>
            <w:r>
              <w:rPr>
                <w:spacing w:val="-7"/>
                <w:w w:val="90"/>
                <w:sz w:val="16"/>
              </w:rPr>
              <w:t> </w:t>
            </w:r>
            <w:r>
              <w:rPr>
                <w:w w:val="90"/>
                <w:sz w:val="16"/>
              </w:rPr>
              <w:t>más alcanzaron más del 30% de sentencias </w:t>
            </w:r>
            <w:r>
              <w:rPr>
                <w:w w:val="80"/>
                <w:sz w:val="16"/>
              </w:rPr>
              <w:t>revocatorias:</w:t>
            </w:r>
            <w:r>
              <w:rPr>
                <w:spacing w:val="16"/>
                <w:w w:val="80"/>
                <w:sz w:val="16"/>
              </w:rPr>
              <w:t> </w:t>
            </w:r>
            <w:r>
              <w:rPr>
                <w:w w:val="80"/>
                <w:sz w:val="16"/>
              </w:rPr>
              <w:t>1.0.</w:t>
            </w:r>
          </w:p>
        </w:tc>
      </w:tr>
      <w:tr>
        <w:trPr>
          <w:trHeight w:val="492" w:hRule="exact"/>
        </w:trPr>
        <w:tc>
          <w:tcPr>
            <w:tcW w:w="1097" w:type="dxa"/>
            <w:vMerge/>
          </w:tcPr>
          <w:p>
            <w:pPr/>
          </w:p>
        </w:tc>
        <w:tc>
          <w:tcPr>
            <w:tcW w:w="9354" w:type="dxa"/>
            <w:gridSpan w:val="5"/>
          </w:tcPr>
          <w:p>
            <w:pPr>
              <w:pStyle w:val="TableParagraph"/>
              <w:spacing w:line="242" w:lineRule="auto"/>
              <w:ind w:left="6680" w:right="99" w:firstLine="218"/>
              <w:jc w:val="right"/>
              <w:rPr>
                <w:b/>
                <w:sz w:val="18"/>
              </w:rPr>
            </w:pPr>
            <w:r>
              <w:rPr>
                <w:b/>
                <w:sz w:val="18"/>
              </w:rPr>
              <w:t>Evaluación de las variables</w:t>
            </w:r>
            <w:r>
              <w:rPr>
                <w:b/>
                <w:w w:val="99"/>
                <w:sz w:val="18"/>
              </w:rPr>
              <w:t> </w:t>
            </w:r>
            <w:r>
              <w:rPr>
                <w:b/>
                <w:sz w:val="18"/>
              </w:rPr>
              <w:t>Alto: 3.0; Medio: 2.0; Bajo: 1.0</w:t>
            </w:r>
          </w:p>
        </w:tc>
      </w:tr>
    </w:tbl>
    <w:p>
      <w:pPr>
        <w:spacing w:after="0" w:line="242" w:lineRule="auto"/>
        <w:jc w:val="right"/>
        <w:rPr>
          <w:sz w:val="18"/>
        </w:rPr>
        <w:sectPr>
          <w:pgSz w:w="12240" w:h="15840"/>
          <w:pgMar w:header="749" w:footer="1003" w:top="960" w:bottom="1200" w:left="920" w:right="640"/>
        </w:sectPr>
      </w:pPr>
    </w:p>
    <w:p>
      <w:pPr>
        <w:pStyle w:val="BodyText"/>
        <w:rPr>
          <w:rFonts w:ascii="Times New Roman"/>
          <w:sz w:val="20"/>
        </w:rPr>
      </w:pPr>
    </w:p>
    <w:p>
      <w:pPr>
        <w:pStyle w:val="BodyText"/>
        <w:spacing w:before="4"/>
        <w:rPr>
          <w:rFonts w:ascii="Times New Roman"/>
          <w:sz w:val="18"/>
        </w:rPr>
      </w:pPr>
    </w:p>
    <w:p>
      <w:pPr>
        <w:pStyle w:val="BodyText"/>
        <w:ind w:left="127"/>
        <w:rPr>
          <w:rFonts w:ascii="Times New Roman"/>
          <w:sz w:val="20"/>
        </w:rPr>
      </w:pPr>
      <w:r>
        <w:rPr>
          <w:rFonts w:ascii="Times New Roman"/>
          <w:sz w:val="20"/>
        </w:rPr>
        <w:pict>
          <v:group style="width:523.1pt;height:43pt;mso-position-horizontal-relative:char;mso-position-vertical-relative:line" coordorigin="0,0" coordsize="10462,860">
            <v:line style="position:absolute" from="10,10" to="1097,10" stroked="true" strokeweight=".48pt" strokecolor="#000000"/>
            <v:line style="position:absolute" from="1107,10" to="10452,10" stroked="true" strokeweight=".48pt" strokecolor="#000000"/>
            <v:line style="position:absolute" from="5,5" to="5,855" stroked="true" strokeweight=".48pt" strokecolor="#000000"/>
            <v:line style="position:absolute" from="10,850" to="1097,850" stroked="true" strokeweight=".48pt" strokecolor="#000000"/>
            <v:line style="position:absolute" from="1102,5" to="1102,855" stroked="true" strokeweight=".48pt" strokecolor="#000000"/>
            <v:line style="position:absolute" from="1107,850" to="10452,850" stroked="true" strokeweight=".48pt" strokecolor="#000000"/>
            <v:line style="position:absolute" from="10457,5" to="10457,855" stroked="true" strokeweight=".47998pt" strokecolor="#000000"/>
            <v:shape style="position:absolute;left:1102;top:10;width:9355;height:841" type="#_x0000_t202" filled="false" stroked="false">
              <v:textbox inset="0,0,0,0">
                <w:txbxContent>
                  <w:p>
                    <w:pPr>
                      <w:spacing w:before="1"/>
                      <w:ind w:left="131" w:right="108" w:firstLine="0"/>
                      <w:jc w:val="right"/>
                      <w:rPr>
                        <w:b/>
                        <w:sz w:val="18"/>
                      </w:rPr>
                    </w:pPr>
                    <w:r>
                      <w:rPr>
                        <w:b/>
                        <w:sz w:val="18"/>
                      </w:rPr>
                      <w:t>PROMEDIO DE LA DIMENSIÓN</w:t>
                    </w:r>
                  </w:p>
                  <w:p>
                    <w:pPr>
                      <w:spacing w:line="202" w:lineRule="exact" w:before="12"/>
                      <w:ind w:left="131" w:right="104" w:firstLine="0"/>
                      <w:jc w:val="right"/>
                      <w:rPr>
                        <w:b/>
                        <w:sz w:val="18"/>
                      </w:rPr>
                    </w:pPr>
                    <w:r>
                      <w:rPr>
                        <w:sz w:val="18"/>
                      </w:rPr>
                      <w:t>Para determinar los rangos se restó la evaluación más baja (1) a la más alta (3)=2. Dicho resultado se dividió</w:t>
                    </w:r>
                    <w:r>
                      <w:rPr>
                        <w:w w:val="99"/>
                        <w:sz w:val="18"/>
                      </w:rPr>
                      <w:t> </w:t>
                    </w:r>
                    <w:r>
                      <w:rPr>
                        <w:sz w:val="18"/>
                      </w:rPr>
                      <w:t>entre los tres rangos a crear= 0.66, este fue el factor para determinar los rangos. Así </w:t>
                    </w:r>
                    <w:r>
                      <w:rPr>
                        <w:b/>
                        <w:sz w:val="18"/>
                      </w:rPr>
                      <w:t>de 2.34 a 3.0 alto, de 1.67 a</w:t>
                    </w:r>
                  </w:p>
                  <w:p>
                    <w:pPr>
                      <w:spacing w:line="204" w:lineRule="exact" w:before="0"/>
                      <w:ind w:left="105" w:right="0" w:firstLine="0"/>
                      <w:jc w:val="left"/>
                      <w:rPr>
                        <w:b/>
                        <w:sz w:val="18"/>
                      </w:rPr>
                    </w:pPr>
                    <w:r>
                      <w:rPr>
                        <w:b/>
                        <w:sz w:val="18"/>
                      </w:rPr>
                      <w:t>2.33 medio y de 1.0 a 1.66 bajo.</w:t>
                    </w:r>
                  </w:p>
                </w:txbxContent>
              </v:textbox>
              <w10:wrap type="none"/>
            </v:shape>
          </v:group>
        </w:pict>
      </w:r>
      <w:r>
        <w:rPr>
          <w:rFonts w:ascii="Times New Roman"/>
          <w:sz w:val="20"/>
        </w:rPr>
      </w:r>
    </w:p>
    <w:p>
      <w:pPr>
        <w:pStyle w:val="BodyText"/>
        <w:spacing w:before="6"/>
        <w:rPr>
          <w:rFonts w:ascii="Times New Roman"/>
          <w:sz w:val="27"/>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75"/>
        <w:gridCol w:w="1135"/>
        <w:gridCol w:w="2693"/>
        <w:gridCol w:w="2410"/>
        <w:gridCol w:w="1419"/>
        <w:gridCol w:w="1560"/>
      </w:tblGrid>
      <w:tr>
        <w:trPr>
          <w:trHeight w:val="425" w:hRule="exact"/>
        </w:trPr>
        <w:tc>
          <w:tcPr>
            <w:tcW w:w="1275" w:type="dxa"/>
            <w:shd w:val="clear" w:color="auto" w:fill="D9D9D9"/>
          </w:tcPr>
          <w:p>
            <w:pPr>
              <w:pStyle w:val="TableParagraph"/>
              <w:spacing w:line="201" w:lineRule="exact"/>
              <w:ind w:left="170" w:right="31"/>
              <w:rPr>
                <w:b/>
                <w:sz w:val="18"/>
              </w:rPr>
            </w:pPr>
            <w:r>
              <w:rPr>
                <w:b/>
                <w:sz w:val="18"/>
              </w:rPr>
              <w:t>Dimensión</w:t>
            </w:r>
          </w:p>
        </w:tc>
        <w:tc>
          <w:tcPr>
            <w:tcW w:w="1135" w:type="dxa"/>
            <w:shd w:val="clear" w:color="auto" w:fill="D9D9D9"/>
          </w:tcPr>
          <w:p>
            <w:pPr>
              <w:pStyle w:val="TableParagraph"/>
              <w:spacing w:line="201" w:lineRule="exact"/>
              <w:ind w:left="211" w:right="101"/>
              <w:rPr>
                <w:b/>
                <w:sz w:val="18"/>
              </w:rPr>
            </w:pPr>
            <w:r>
              <w:rPr>
                <w:b/>
                <w:sz w:val="18"/>
              </w:rPr>
              <w:t>Variable</w:t>
            </w:r>
          </w:p>
        </w:tc>
        <w:tc>
          <w:tcPr>
            <w:tcW w:w="2693" w:type="dxa"/>
            <w:shd w:val="clear" w:color="auto" w:fill="D9D9D9"/>
          </w:tcPr>
          <w:p>
            <w:pPr>
              <w:pStyle w:val="TableParagraph"/>
              <w:spacing w:line="201" w:lineRule="exact"/>
              <w:ind w:left="136" w:right="-13"/>
              <w:rPr>
                <w:b/>
                <w:sz w:val="18"/>
              </w:rPr>
            </w:pPr>
            <w:r>
              <w:rPr>
                <w:b/>
                <w:sz w:val="18"/>
              </w:rPr>
              <w:t>Preguntas o conceptos guía</w:t>
            </w:r>
          </w:p>
        </w:tc>
        <w:tc>
          <w:tcPr>
            <w:tcW w:w="2410" w:type="dxa"/>
            <w:shd w:val="clear" w:color="auto" w:fill="D9D9D9"/>
          </w:tcPr>
          <w:p>
            <w:pPr>
              <w:pStyle w:val="TableParagraph"/>
              <w:spacing w:line="201" w:lineRule="exact"/>
              <w:ind w:left="693" w:right="-5"/>
              <w:rPr>
                <w:b/>
                <w:sz w:val="18"/>
              </w:rPr>
            </w:pPr>
            <w:r>
              <w:rPr>
                <w:b/>
                <w:sz w:val="18"/>
              </w:rPr>
              <w:t>Indicadores</w:t>
            </w:r>
          </w:p>
        </w:tc>
        <w:tc>
          <w:tcPr>
            <w:tcW w:w="1419" w:type="dxa"/>
            <w:shd w:val="clear" w:color="auto" w:fill="D9D9D9"/>
          </w:tcPr>
          <w:p>
            <w:pPr>
              <w:pStyle w:val="TableParagraph"/>
              <w:ind w:left="189" w:right="170" w:firstLine="38"/>
              <w:rPr>
                <w:b/>
                <w:sz w:val="18"/>
              </w:rPr>
            </w:pPr>
            <w:r>
              <w:rPr>
                <w:b/>
                <w:sz w:val="18"/>
              </w:rPr>
              <w:t>Fuentes de información</w:t>
            </w:r>
          </w:p>
        </w:tc>
        <w:tc>
          <w:tcPr>
            <w:tcW w:w="1560" w:type="dxa"/>
            <w:shd w:val="clear" w:color="auto" w:fill="D9D9D9"/>
          </w:tcPr>
          <w:p>
            <w:pPr>
              <w:pStyle w:val="TableParagraph"/>
              <w:spacing w:line="201" w:lineRule="exact"/>
              <w:ind w:left="299" w:right="100"/>
              <w:rPr>
                <w:b/>
                <w:sz w:val="18"/>
              </w:rPr>
            </w:pPr>
            <w:r>
              <w:rPr>
                <w:b/>
                <w:sz w:val="18"/>
              </w:rPr>
              <w:t>Evaluación</w:t>
            </w:r>
          </w:p>
        </w:tc>
      </w:tr>
      <w:tr>
        <w:trPr>
          <w:trHeight w:val="6068" w:hRule="exact"/>
        </w:trPr>
        <w:tc>
          <w:tcPr>
            <w:tcW w:w="1275" w:type="dxa"/>
          </w:tcPr>
          <w:p>
            <w:pPr>
              <w:pStyle w:val="TableParagraph"/>
              <w:spacing w:line="237" w:lineRule="auto"/>
              <w:ind w:left="100" w:right="31"/>
              <w:rPr>
                <w:rFonts w:ascii="Trebuchet MS" w:hAnsi="Trebuchet MS"/>
                <w:b/>
                <w:sz w:val="16"/>
              </w:rPr>
            </w:pPr>
            <w:r>
              <w:rPr>
                <w:rFonts w:ascii="Trebuchet MS" w:hAnsi="Trebuchet MS"/>
                <w:b/>
                <w:w w:val="85"/>
                <w:sz w:val="16"/>
              </w:rPr>
              <w:t>III Legalidad de </w:t>
            </w:r>
            <w:r>
              <w:rPr>
                <w:rFonts w:ascii="Trebuchet MS" w:hAnsi="Trebuchet MS"/>
                <w:b/>
                <w:w w:val="95"/>
                <w:sz w:val="16"/>
              </w:rPr>
              <w:t>los partidos políticos en materia financiera</w:t>
            </w:r>
          </w:p>
        </w:tc>
        <w:tc>
          <w:tcPr>
            <w:tcW w:w="1135" w:type="dxa"/>
          </w:tcPr>
          <w:p>
            <w:pPr>
              <w:pStyle w:val="TableParagraph"/>
              <w:spacing w:line="237" w:lineRule="auto"/>
              <w:ind w:right="102"/>
              <w:jc w:val="both"/>
              <w:rPr>
                <w:rFonts w:ascii="Trebuchet MS" w:hAnsi="Trebuchet MS"/>
                <w:b/>
                <w:sz w:val="16"/>
              </w:rPr>
            </w:pPr>
            <w:r>
              <w:rPr>
                <w:rFonts w:ascii="Trebuchet MS" w:hAnsi="Trebuchet MS"/>
                <w:b/>
                <w:w w:val="95"/>
                <w:sz w:val="16"/>
              </w:rPr>
              <w:t>Costo de los </w:t>
            </w:r>
            <w:r>
              <w:rPr>
                <w:rFonts w:ascii="Trebuchet MS" w:hAnsi="Trebuchet MS"/>
                <w:b/>
                <w:w w:val="90"/>
                <w:sz w:val="16"/>
              </w:rPr>
              <w:t>partidos para </w:t>
            </w:r>
            <w:r>
              <w:rPr>
                <w:rFonts w:ascii="Trebuchet MS" w:hAnsi="Trebuchet MS"/>
                <w:b/>
                <w:w w:val="95"/>
                <w:sz w:val="16"/>
              </w:rPr>
              <w:t>el erario público</w:t>
            </w:r>
          </w:p>
        </w:tc>
        <w:tc>
          <w:tcPr>
            <w:tcW w:w="2693" w:type="dxa"/>
          </w:tcPr>
          <w:p>
            <w:pPr>
              <w:pStyle w:val="TableParagraph"/>
              <w:spacing w:line="182" w:lineRule="exact"/>
              <w:ind w:left="0" w:right="-1"/>
              <w:jc w:val="both"/>
              <w:rPr>
                <w:sz w:val="16"/>
              </w:rPr>
            </w:pPr>
            <w:r>
              <w:rPr>
                <w:w w:val="90"/>
                <w:sz w:val="16"/>
              </w:rPr>
              <w:t>Equidad en el acceso al financiamiento público</w:t>
            </w:r>
          </w:p>
          <w:p>
            <w:pPr>
              <w:pStyle w:val="TableParagraph"/>
              <w:spacing w:before="8"/>
              <w:ind w:left="0"/>
              <w:rPr>
                <w:rFonts w:ascii="Times New Roman"/>
                <w:sz w:val="15"/>
              </w:rPr>
            </w:pPr>
          </w:p>
          <w:p>
            <w:pPr>
              <w:pStyle w:val="TableParagraph"/>
              <w:ind w:left="0"/>
              <w:jc w:val="both"/>
              <w:rPr>
                <w:sz w:val="16"/>
              </w:rPr>
            </w:pPr>
            <w:r>
              <w:rPr>
                <w:w w:val="90"/>
                <w:sz w:val="16"/>
              </w:rPr>
              <w:t>¿Cuál fue el porcentaje mayor del presupuesto público que obtuvieron los </w:t>
            </w:r>
            <w:r>
              <w:rPr>
                <w:w w:val="85"/>
                <w:sz w:val="16"/>
              </w:rPr>
              <w:t>cuatro grupos de partidos? PMaP</w:t>
            </w:r>
          </w:p>
          <w:p>
            <w:pPr>
              <w:pStyle w:val="TableParagraph"/>
              <w:spacing w:before="10"/>
              <w:ind w:left="0"/>
              <w:rPr>
                <w:rFonts w:ascii="Times New Roman"/>
                <w:sz w:val="15"/>
              </w:rPr>
            </w:pPr>
          </w:p>
          <w:p>
            <w:pPr>
              <w:pStyle w:val="TableParagraph"/>
              <w:ind w:left="0" w:right="1"/>
              <w:jc w:val="both"/>
              <w:rPr>
                <w:sz w:val="16"/>
              </w:rPr>
            </w:pPr>
            <w:r>
              <w:rPr>
                <w:w w:val="85"/>
                <w:sz w:val="16"/>
              </w:rPr>
              <w:t>¿Cuál fue porcentaje menor del</w:t>
            </w:r>
            <w:r>
              <w:rPr>
                <w:spacing w:val="-26"/>
                <w:w w:val="85"/>
                <w:sz w:val="16"/>
              </w:rPr>
              <w:t> </w:t>
            </w:r>
            <w:r>
              <w:rPr>
                <w:w w:val="85"/>
                <w:sz w:val="16"/>
              </w:rPr>
              <w:t>presupuesto </w:t>
            </w:r>
            <w:r>
              <w:rPr>
                <w:w w:val="90"/>
                <w:sz w:val="16"/>
              </w:rPr>
              <w:t>público</w:t>
            </w:r>
            <w:r>
              <w:rPr>
                <w:spacing w:val="-21"/>
                <w:w w:val="90"/>
                <w:sz w:val="16"/>
              </w:rPr>
              <w:t> </w:t>
            </w:r>
            <w:r>
              <w:rPr>
                <w:w w:val="90"/>
                <w:sz w:val="16"/>
              </w:rPr>
              <w:t>que</w:t>
            </w:r>
            <w:r>
              <w:rPr>
                <w:spacing w:val="-21"/>
                <w:w w:val="90"/>
                <w:sz w:val="16"/>
              </w:rPr>
              <w:t> </w:t>
            </w:r>
            <w:r>
              <w:rPr>
                <w:w w:val="90"/>
                <w:sz w:val="16"/>
              </w:rPr>
              <w:t>obtuvieron</w:t>
            </w:r>
            <w:r>
              <w:rPr>
                <w:spacing w:val="-20"/>
                <w:w w:val="90"/>
                <w:sz w:val="16"/>
              </w:rPr>
              <w:t> </w:t>
            </w:r>
            <w:r>
              <w:rPr>
                <w:w w:val="90"/>
                <w:sz w:val="16"/>
              </w:rPr>
              <w:t>los</w:t>
            </w:r>
            <w:r>
              <w:rPr>
                <w:spacing w:val="-21"/>
                <w:w w:val="90"/>
                <w:sz w:val="16"/>
              </w:rPr>
              <w:t> </w:t>
            </w:r>
            <w:r>
              <w:rPr>
                <w:w w:val="90"/>
                <w:sz w:val="16"/>
              </w:rPr>
              <w:t>cuatro</w:t>
            </w:r>
            <w:r>
              <w:rPr>
                <w:spacing w:val="-21"/>
                <w:w w:val="90"/>
                <w:sz w:val="16"/>
              </w:rPr>
              <w:t> </w:t>
            </w:r>
            <w:r>
              <w:rPr>
                <w:w w:val="90"/>
                <w:sz w:val="16"/>
              </w:rPr>
              <w:t>grupos</w:t>
            </w:r>
            <w:r>
              <w:rPr>
                <w:spacing w:val="-21"/>
                <w:w w:val="90"/>
                <w:sz w:val="16"/>
              </w:rPr>
              <w:t> </w:t>
            </w:r>
            <w:r>
              <w:rPr>
                <w:w w:val="90"/>
                <w:sz w:val="16"/>
              </w:rPr>
              <w:t>de </w:t>
            </w:r>
            <w:r>
              <w:rPr>
                <w:w w:val="80"/>
                <w:sz w:val="16"/>
              </w:rPr>
              <w:t>partidos?</w:t>
            </w:r>
            <w:r>
              <w:rPr>
                <w:spacing w:val="16"/>
                <w:w w:val="80"/>
                <w:sz w:val="16"/>
              </w:rPr>
              <w:t> </w:t>
            </w:r>
            <w:r>
              <w:rPr>
                <w:w w:val="80"/>
                <w:sz w:val="16"/>
              </w:rPr>
              <w:t>PMeP</w:t>
            </w:r>
          </w:p>
          <w:p>
            <w:pPr>
              <w:pStyle w:val="TableParagraph"/>
              <w:spacing w:before="11"/>
              <w:ind w:left="0"/>
              <w:rPr>
                <w:rFonts w:ascii="Times New Roman"/>
                <w:sz w:val="15"/>
              </w:rPr>
            </w:pPr>
          </w:p>
          <w:p>
            <w:pPr>
              <w:pStyle w:val="TableParagraph"/>
              <w:ind w:left="0" w:right="-1"/>
              <w:jc w:val="both"/>
              <w:rPr>
                <w:sz w:val="16"/>
              </w:rPr>
            </w:pPr>
            <w:r>
              <w:rPr>
                <w:w w:val="90"/>
                <w:sz w:val="16"/>
              </w:rPr>
              <w:t>Determinar el porcentaje diferencial como </w:t>
            </w:r>
            <w:r>
              <w:rPr>
                <w:w w:val="85"/>
                <w:sz w:val="16"/>
              </w:rPr>
              <w:t>resultado de restar PMaP a PMeP = PDP</w:t>
            </w:r>
          </w:p>
          <w:p>
            <w:pPr>
              <w:pStyle w:val="TableParagraph"/>
              <w:spacing w:before="10"/>
              <w:ind w:left="0"/>
              <w:rPr>
                <w:rFonts w:ascii="Times New Roman"/>
                <w:sz w:val="15"/>
              </w:rPr>
            </w:pPr>
          </w:p>
          <w:p>
            <w:pPr>
              <w:pStyle w:val="TableParagraph"/>
              <w:ind w:left="0"/>
              <w:jc w:val="both"/>
              <w:rPr>
                <w:sz w:val="16"/>
              </w:rPr>
            </w:pPr>
            <w:r>
              <w:rPr>
                <w:w w:val="82"/>
                <w:sz w:val="16"/>
              </w:rPr>
              <w:t>.</w:t>
            </w:r>
          </w:p>
        </w:tc>
        <w:tc>
          <w:tcPr>
            <w:tcW w:w="2410" w:type="dxa"/>
          </w:tcPr>
          <w:p>
            <w:pPr>
              <w:pStyle w:val="TableParagraph"/>
              <w:ind w:left="-1" w:right="-2"/>
              <w:jc w:val="both"/>
              <w:rPr>
                <w:sz w:val="16"/>
              </w:rPr>
            </w:pPr>
            <w:r>
              <w:rPr>
                <w:w w:val="85"/>
                <w:sz w:val="16"/>
              </w:rPr>
              <w:t>Financiamiento</w:t>
            </w:r>
            <w:r>
              <w:rPr>
                <w:spacing w:val="-8"/>
                <w:w w:val="85"/>
                <w:sz w:val="16"/>
              </w:rPr>
              <w:t> </w:t>
            </w:r>
            <w:r>
              <w:rPr>
                <w:w w:val="85"/>
                <w:sz w:val="16"/>
              </w:rPr>
              <w:t>público,</w:t>
            </w:r>
            <w:r>
              <w:rPr>
                <w:spacing w:val="-8"/>
                <w:w w:val="85"/>
                <w:sz w:val="16"/>
              </w:rPr>
              <w:t> </w:t>
            </w:r>
            <w:r>
              <w:rPr>
                <w:w w:val="85"/>
                <w:sz w:val="16"/>
              </w:rPr>
              <w:t>pues</w:t>
            </w:r>
            <w:r>
              <w:rPr>
                <w:spacing w:val="-10"/>
                <w:w w:val="85"/>
                <w:sz w:val="16"/>
              </w:rPr>
              <w:t> </w:t>
            </w:r>
            <w:r>
              <w:rPr>
                <w:w w:val="85"/>
                <w:sz w:val="16"/>
              </w:rPr>
              <w:t>es</w:t>
            </w:r>
            <w:r>
              <w:rPr>
                <w:spacing w:val="-8"/>
                <w:w w:val="85"/>
                <w:sz w:val="16"/>
              </w:rPr>
              <w:t> </w:t>
            </w:r>
            <w:r>
              <w:rPr>
                <w:w w:val="85"/>
                <w:sz w:val="16"/>
              </w:rPr>
              <w:t>del</w:t>
            </w:r>
            <w:r>
              <w:rPr>
                <w:spacing w:val="-9"/>
                <w:w w:val="85"/>
                <w:sz w:val="16"/>
              </w:rPr>
              <w:t> </w:t>
            </w:r>
            <w:r>
              <w:rPr>
                <w:w w:val="85"/>
                <w:sz w:val="16"/>
              </w:rPr>
              <w:t>que se</w:t>
            </w:r>
            <w:r>
              <w:rPr>
                <w:spacing w:val="-11"/>
                <w:w w:val="85"/>
                <w:sz w:val="16"/>
              </w:rPr>
              <w:t> </w:t>
            </w:r>
            <w:r>
              <w:rPr>
                <w:w w:val="85"/>
                <w:sz w:val="16"/>
              </w:rPr>
              <w:t>tienen</w:t>
            </w:r>
            <w:r>
              <w:rPr>
                <w:spacing w:val="-11"/>
                <w:w w:val="85"/>
                <w:sz w:val="16"/>
              </w:rPr>
              <w:t> </w:t>
            </w:r>
            <w:r>
              <w:rPr>
                <w:w w:val="85"/>
                <w:sz w:val="16"/>
              </w:rPr>
              <w:t>datos</w:t>
            </w:r>
            <w:r>
              <w:rPr>
                <w:spacing w:val="-13"/>
                <w:w w:val="85"/>
                <w:sz w:val="16"/>
              </w:rPr>
              <w:t> </w:t>
            </w:r>
            <w:r>
              <w:rPr>
                <w:w w:val="85"/>
                <w:sz w:val="16"/>
              </w:rPr>
              <w:t>más</w:t>
            </w:r>
            <w:r>
              <w:rPr>
                <w:spacing w:val="-13"/>
                <w:w w:val="85"/>
                <w:sz w:val="16"/>
              </w:rPr>
              <w:t> </w:t>
            </w:r>
            <w:r>
              <w:rPr>
                <w:w w:val="85"/>
                <w:sz w:val="16"/>
              </w:rPr>
              <w:t>confiables;</w:t>
            </w:r>
            <w:r>
              <w:rPr>
                <w:spacing w:val="-13"/>
                <w:w w:val="85"/>
                <w:sz w:val="16"/>
              </w:rPr>
              <w:t> </w:t>
            </w:r>
            <w:r>
              <w:rPr>
                <w:w w:val="85"/>
                <w:sz w:val="16"/>
              </w:rPr>
              <w:t>toda</w:t>
            </w:r>
            <w:r>
              <w:rPr>
                <w:spacing w:val="-11"/>
                <w:w w:val="85"/>
                <w:sz w:val="16"/>
              </w:rPr>
              <w:t> </w:t>
            </w:r>
            <w:r>
              <w:rPr>
                <w:w w:val="85"/>
                <w:sz w:val="16"/>
              </w:rPr>
              <w:t>vez que el financiamiento privado es menos </w:t>
            </w:r>
            <w:r>
              <w:rPr>
                <w:w w:val="90"/>
                <w:sz w:val="16"/>
              </w:rPr>
              <w:t>transparente.</w:t>
            </w:r>
          </w:p>
        </w:tc>
        <w:tc>
          <w:tcPr>
            <w:tcW w:w="1419" w:type="dxa"/>
          </w:tcPr>
          <w:p>
            <w:pPr>
              <w:pStyle w:val="TableParagraph"/>
              <w:ind w:left="-1" w:right="-1"/>
              <w:jc w:val="both"/>
              <w:rPr>
                <w:sz w:val="16"/>
              </w:rPr>
            </w:pPr>
            <w:r>
              <w:rPr>
                <w:w w:val="80"/>
                <w:sz w:val="16"/>
              </w:rPr>
              <w:t>Constituciones, códigos </w:t>
            </w:r>
            <w:r>
              <w:rPr>
                <w:w w:val="90"/>
                <w:sz w:val="16"/>
              </w:rPr>
              <w:t>electorales: COFIPE, CEEM y CE de Costa Rica.</w:t>
            </w:r>
          </w:p>
        </w:tc>
        <w:tc>
          <w:tcPr>
            <w:tcW w:w="1560" w:type="dxa"/>
          </w:tcPr>
          <w:p>
            <w:pPr>
              <w:pStyle w:val="TableParagraph"/>
              <w:spacing w:line="182" w:lineRule="exact"/>
              <w:ind w:right="100"/>
              <w:rPr>
                <w:sz w:val="16"/>
              </w:rPr>
            </w:pPr>
            <w:r>
              <w:rPr>
                <w:w w:val="90"/>
                <w:sz w:val="16"/>
              </w:rPr>
              <w:t>PMaP=0.56% </w:t>
            </w:r>
            <w:r>
              <w:rPr>
                <w:w w:val="80"/>
                <w:sz w:val="16"/>
              </w:rPr>
              <w:t>PMeSP= 0.012%</w:t>
            </w:r>
          </w:p>
          <w:p>
            <w:pPr>
              <w:pStyle w:val="TableParagraph"/>
              <w:spacing w:line="182" w:lineRule="exact"/>
              <w:jc w:val="both"/>
              <w:rPr>
                <w:sz w:val="16"/>
              </w:rPr>
            </w:pPr>
            <w:r>
              <w:rPr>
                <w:w w:val="80"/>
                <w:sz w:val="16"/>
              </w:rPr>
              <w:t>PDP= 0.548%</w:t>
            </w:r>
          </w:p>
          <w:p>
            <w:pPr>
              <w:pStyle w:val="TableParagraph"/>
              <w:ind w:right="100"/>
              <w:jc w:val="both"/>
              <w:rPr>
                <w:sz w:val="16"/>
              </w:rPr>
            </w:pPr>
            <w:r>
              <w:rPr>
                <w:w w:val="90"/>
                <w:sz w:val="16"/>
              </w:rPr>
              <w:t>El</w:t>
            </w:r>
            <w:r>
              <w:rPr>
                <w:spacing w:val="-25"/>
                <w:w w:val="90"/>
                <w:sz w:val="16"/>
              </w:rPr>
              <w:t> </w:t>
            </w:r>
            <w:r>
              <w:rPr>
                <w:w w:val="90"/>
                <w:sz w:val="16"/>
              </w:rPr>
              <w:t>PDP</w:t>
            </w:r>
            <w:r>
              <w:rPr>
                <w:spacing w:val="-25"/>
                <w:w w:val="90"/>
                <w:sz w:val="16"/>
              </w:rPr>
              <w:t> </w:t>
            </w:r>
            <w:r>
              <w:rPr>
                <w:w w:val="90"/>
                <w:sz w:val="16"/>
              </w:rPr>
              <w:t>se</w:t>
            </w:r>
            <w:r>
              <w:rPr>
                <w:spacing w:val="-25"/>
                <w:w w:val="90"/>
                <w:sz w:val="16"/>
              </w:rPr>
              <w:t> </w:t>
            </w:r>
            <w:r>
              <w:rPr>
                <w:w w:val="90"/>
                <w:sz w:val="16"/>
              </w:rPr>
              <w:t>divide</w:t>
            </w:r>
            <w:r>
              <w:rPr>
                <w:spacing w:val="-26"/>
                <w:w w:val="90"/>
                <w:sz w:val="16"/>
              </w:rPr>
              <w:t> </w:t>
            </w:r>
            <w:r>
              <w:rPr>
                <w:w w:val="90"/>
                <w:sz w:val="16"/>
              </w:rPr>
              <w:t>entre los 3 rangos que quiero crear (alto, medio y bajo) y se obtiene el factor: 0.182%.</w:t>
            </w:r>
          </w:p>
          <w:p>
            <w:pPr>
              <w:pStyle w:val="TableParagraph"/>
              <w:ind w:right="101"/>
              <w:jc w:val="both"/>
              <w:rPr>
                <w:sz w:val="16"/>
              </w:rPr>
            </w:pPr>
            <w:r>
              <w:rPr>
                <w:w w:val="90"/>
                <w:sz w:val="16"/>
              </w:rPr>
              <w:t>Así se crearon los rangos:</w:t>
            </w:r>
          </w:p>
          <w:p>
            <w:pPr>
              <w:pStyle w:val="TableParagraph"/>
              <w:spacing w:line="183" w:lineRule="exact"/>
              <w:jc w:val="both"/>
              <w:rPr>
                <w:sz w:val="16"/>
              </w:rPr>
            </w:pPr>
            <w:r>
              <w:rPr>
                <w:w w:val="90"/>
                <w:sz w:val="16"/>
              </w:rPr>
              <w:t>0.012%  +  0.182% =</w:t>
            </w:r>
          </w:p>
          <w:p>
            <w:pPr>
              <w:pStyle w:val="TableParagraph"/>
              <w:spacing w:line="183" w:lineRule="exact" w:before="1"/>
              <w:jc w:val="both"/>
              <w:rPr>
                <w:sz w:val="16"/>
              </w:rPr>
            </w:pPr>
            <w:r>
              <w:rPr>
                <w:w w:val="90"/>
                <w:sz w:val="16"/>
              </w:rPr>
              <w:t>0.194%;</w:t>
            </w:r>
          </w:p>
          <w:p>
            <w:pPr>
              <w:pStyle w:val="TableParagraph"/>
              <w:spacing w:line="183" w:lineRule="exact"/>
              <w:ind w:left="139"/>
              <w:jc w:val="both"/>
              <w:rPr>
                <w:sz w:val="16"/>
              </w:rPr>
            </w:pPr>
            <w:r>
              <w:rPr>
                <w:w w:val="90"/>
                <w:sz w:val="16"/>
              </w:rPr>
              <w:t>0.195% + 0.182% =</w:t>
            </w:r>
          </w:p>
          <w:p>
            <w:pPr>
              <w:pStyle w:val="TableParagraph"/>
              <w:spacing w:line="183" w:lineRule="exact" w:before="1"/>
              <w:jc w:val="both"/>
              <w:rPr>
                <w:sz w:val="16"/>
              </w:rPr>
            </w:pPr>
            <w:r>
              <w:rPr>
                <w:w w:val="85"/>
                <w:sz w:val="16"/>
              </w:rPr>
              <w:t>0.377%, y</w:t>
            </w:r>
          </w:p>
          <w:p>
            <w:pPr>
              <w:pStyle w:val="TableParagraph"/>
              <w:spacing w:line="183" w:lineRule="exact"/>
              <w:jc w:val="both"/>
              <w:rPr>
                <w:sz w:val="16"/>
              </w:rPr>
            </w:pPr>
            <w:r>
              <w:rPr>
                <w:w w:val="90"/>
                <w:sz w:val="16"/>
              </w:rPr>
              <w:t>0.378%  +  0.182% =</w:t>
            </w:r>
          </w:p>
          <w:p>
            <w:pPr>
              <w:pStyle w:val="TableParagraph"/>
              <w:spacing w:line="183" w:lineRule="exact" w:before="1"/>
              <w:jc w:val="both"/>
              <w:rPr>
                <w:sz w:val="16"/>
              </w:rPr>
            </w:pPr>
            <w:r>
              <w:rPr>
                <w:w w:val="90"/>
                <w:sz w:val="16"/>
              </w:rPr>
              <w:t>0.56%.</w:t>
            </w:r>
          </w:p>
          <w:p>
            <w:pPr>
              <w:pStyle w:val="TableParagraph"/>
              <w:ind w:right="102"/>
              <w:jc w:val="both"/>
              <w:rPr>
                <w:sz w:val="16"/>
              </w:rPr>
            </w:pPr>
            <w:r>
              <w:rPr>
                <w:w w:val="90"/>
                <w:sz w:val="16"/>
              </w:rPr>
              <w:t>Los rangos y </w:t>
            </w:r>
            <w:r>
              <w:rPr>
                <w:w w:val="80"/>
                <w:sz w:val="16"/>
              </w:rPr>
              <w:t>evaluaciones son:</w:t>
            </w:r>
          </w:p>
          <w:p>
            <w:pPr>
              <w:pStyle w:val="TableParagraph"/>
              <w:ind w:right="100"/>
              <w:jc w:val="both"/>
              <w:rPr>
                <w:sz w:val="16"/>
              </w:rPr>
            </w:pPr>
            <w:r>
              <w:rPr>
                <w:w w:val="90"/>
                <w:sz w:val="16"/>
              </w:rPr>
              <w:t>Si los porcentajes se </w:t>
            </w:r>
            <w:r>
              <w:rPr>
                <w:w w:val="85"/>
                <w:sz w:val="16"/>
              </w:rPr>
              <w:t>ubicaron</w:t>
            </w:r>
            <w:r>
              <w:rPr>
                <w:spacing w:val="-22"/>
                <w:w w:val="85"/>
                <w:sz w:val="16"/>
              </w:rPr>
              <w:t> </w:t>
            </w:r>
            <w:r>
              <w:rPr>
                <w:w w:val="85"/>
                <w:sz w:val="16"/>
              </w:rPr>
              <w:t>entre</w:t>
            </w:r>
            <w:r>
              <w:rPr>
                <w:spacing w:val="-21"/>
                <w:w w:val="85"/>
                <w:sz w:val="16"/>
              </w:rPr>
              <w:t> </w:t>
            </w:r>
            <w:r>
              <w:rPr>
                <w:w w:val="85"/>
                <w:sz w:val="16"/>
              </w:rPr>
              <w:t>=.012%</w:t>
            </w:r>
          </w:p>
          <w:p>
            <w:pPr>
              <w:pStyle w:val="TableParagraph"/>
              <w:spacing w:line="182" w:lineRule="exact"/>
              <w:jc w:val="both"/>
              <w:rPr>
                <w:sz w:val="16"/>
              </w:rPr>
            </w:pPr>
            <w:r>
              <w:rPr>
                <w:w w:val="85"/>
                <w:sz w:val="16"/>
              </w:rPr>
              <w:t>y 0.194% = 3.0 (alto);</w:t>
            </w:r>
          </w:p>
          <w:p>
            <w:pPr>
              <w:pStyle w:val="TableParagraph"/>
              <w:spacing w:before="1"/>
              <w:ind w:right="101"/>
              <w:jc w:val="both"/>
              <w:rPr>
                <w:sz w:val="16"/>
              </w:rPr>
            </w:pPr>
            <w:r>
              <w:rPr>
                <w:w w:val="90"/>
                <w:sz w:val="16"/>
              </w:rPr>
              <w:t>Si</w:t>
            </w:r>
            <w:r>
              <w:rPr>
                <w:spacing w:val="-11"/>
                <w:w w:val="90"/>
                <w:sz w:val="16"/>
              </w:rPr>
              <w:t> </w:t>
            </w:r>
            <w:r>
              <w:rPr>
                <w:w w:val="90"/>
                <w:sz w:val="16"/>
              </w:rPr>
              <w:t>fue</w:t>
            </w:r>
            <w:r>
              <w:rPr>
                <w:spacing w:val="-10"/>
                <w:w w:val="90"/>
                <w:sz w:val="16"/>
              </w:rPr>
              <w:t> </w:t>
            </w:r>
            <w:r>
              <w:rPr>
                <w:w w:val="90"/>
                <w:sz w:val="16"/>
              </w:rPr>
              <w:t>entre</w:t>
            </w:r>
            <w:r>
              <w:rPr>
                <w:spacing w:val="-10"/>
                <w:w w:val="90"/>
                <w:sz w:val="16"/>
              </w:rPr>
              <w:t> </w:t>
            </w:r>
            <w:r>
              <w:rPr>
                <w:w w:val="90"/>
                <w:sz w:val="16"/>
              </w:rPr>
              <w:t>0.195%</w:t>
            </w:r>
            <w:r>
              <w:rPr>
                <w:spacing w:val="-9"/>
                <w:w w:val="90"/>
                <w:sz w:val="16"/>
              </w:rPr>
              <w:t> </w:t>
            </w:r>
            <w:r>
              <w:rPr>
                <w:w w:val="90"/>
                <w:sz w:val="16"/>
              </w:rPr>
              <w:t>y </w:t>
            </w:r>
            <w:r>
              <w:rPr>
                <w:w w:val="85"/>
                <w:sz w:val="16"/>
              </w:rPr>
              <w:t>0.377% = 2.0</w:t>
            </w:r>
            <w:r>
              <w:rPr>
                <w:spacing w:val="-9"/>
                <w:w w:val="85"/>
                <w:sz w:val="16"/>
              </w:rPr>
              <w:t> </w:t>
            </w:r>
            <w:r>
              <w:rPr>
                <w:w w:val="85"/>
                <w:sz w:val="16"/>
              </w:rPr>
              <w:t>(medio);</w:t>
            </w:r>
          </w:p>
          <w:p>
            <w:pPr>
              <w:pStyle w:val="TableParagraph"/>
              <w:spacing w:before="1"/>
              <w:ind w:right="100"/>
              <w:jc w:val="both"/>
              <w:rPr>
                <w:sz w:val="16"/>
              </w:rPr>
            </w:pPr>
            <w:r>
              <w:rPr>
                <w:w w:val="90"/>
                <w:sz w:val="16"/>
              </w:rPr>
              <w:t>y</w:t>
            </w:r>
            <w:r>
              <w:rPr>
                <w:spacing w:val="-9"/>
                <w:w w:val="90"/>
                <w:sz w:val="16"/>
              </w:rPr>
              <w:t> </w:t>
            </w:r>
            <w:r>
              <w:rPr>
                <w:w w:val="90"/>
                <w:sz w:val="16"/>
              </w:rPr>
              <w:t>si</w:t>
            </w:r>
            <w:r>
              <w:rPr>
                <w:spacing w:val="-7"/>
                <w:w w:val="90"/>
                <w:sz w:val="16"/>
              </w:rPr>
              <w:t> </w:t>
            </w:r>
            <w:r>
              <w:rPr>
                <w:w w:val="90"/>
                <w:sz w:val="16"/>
              </w:rPr>
              <w:t>se</w:t>
            </w:r>
            <w:r>
              <w:rPr>
                <w:spacing w:val="-7"/>
                <w:w w:val="90"/>
                <w:sz w:val="16"/>
              </w:rPr>
              <w:t> </w:t>
            </w:r>
            <w:r>
              <w:rPr>
                <w:w w:val="90"/>
                <w:sz w:val="16"/>
              </w:rPr>
              <w:t>ubicaron</w:t>
            </w:r>
            <w:r>
              <w:rPr>
                <w:spacing w:val="-9"/>
                <w:w w:val="90"/>
                <w:sz w:val="16"/>
              </w:rPr>
              <w:t> </w:t>
            </w:r>
            <w:r>
              <w:rPr>
                <w:w w:val="90"/>
                <w:sz w:val="16"/>
              </w:rPr>
              <w:t>entre 0.378%</w:t>
            </w:r>
            <w:r>
              <w:rPr>
                <w:spacing w:val="-19"/>
                <w:w w:val="90"/>
                <w:sz w:val="16"/>
              </w:rPr>
              <w:t> </w:t>
            </w:r>
            <w:r>
              <w:rPr>
                <w:w w:val="90"/>
                <w:sz w:val="16"/>
              </w:rPr>
              <w:t>y</w:t>
            </w:r>
            <w:r>
              <w:rPr>
                <w:spacing w:val="-20"/>
                <w:w w:val="90"/>
                <w:sz w:val="16"/>
              </w:rPr>
              <w:t> </w:t>
            </w:r>
            <w:r>
              <w:rPr>
                <w:w w:val="90"/>
                <w:sz w:val="16"/>
              </w:rPr>
              <w:t>0.56%</w:t>
            </w:r>
            <w:r>
              <w:rPr>
                <w:spacing w:val="-18"/>
                <w:w w:val="90"/>
                <w:sz w:val="16"/>
              </w:rPr>
              <w:t> </w:t>
            </w:r>
            <w:r>
              <w:rPr>
                <w:w w:val="90"/>
                <w:sz w:val="16"/>
              </w:rPr>
              <w:t>=</w:t>
            </w:r>
            <w:r>
              <w:rPr>
                <w:spacing w:val="-21"/>
                <w:w w:val="90"/>
                <w:sz w:val="16"/>
              </w:rPr>
              <w:t> </w:t>
            </w:r>
            <w:r>
              <w:rPr>
                <w:w w:val="90"/>
                <w:sz w:val="16"/>
              </w:rPr>
              <w:t>1.0</w:t>
            </w:r>
          </w:p>
          <w:p>
            <w:pPr>
              <w:pStyle w:val="TableParagraph"/>
              <w:spacing w:line="183" w:lineRule="exact" w:before="1"/>
              <w:jc w:val="both"/>
              <w:rPr>
                <w:sz w:val="16"/>
              </w:rPr>
            </w:pPr>
            <w:r>
              <w:rPr>
                <w:w w:val="90"/>
                <w:sz w:val="16"/>
              </w:rPr>
              <w:t>(bajo).</w:t>
            </w:r>
          </w:p>
          <w:p>
            <w:pPr>
              <w:pStyle w:val="TableParagraph"/>
              <w:ind w:right="100"/>
              <w:jc w:val="both"/>
              <w:rPr>
                <w:sz w:val="16"/>
              </w:rPr>
            </w:pPr>
            <w:r>
              <w:rPr>
                <w:w w:val="85"/>
                <w:sz w:val="16"/>
              </w:rPr>
              <w:t>A</w:t>
            </w:r>
            <w:r>
              <w:rPr>
                <w:spacing w:val="-10"/>
                <w:w w:val="85"/>
                <w:sz w:val="16"/>
              </w:rPr>
              <w:t> </w:t>
            </w:r>
            <w:r>
              <w:rPr>
                <w:w w:val="85"/>
                <w:sz w:val="16"/>
              </w:rPr>
              <w:t>mayor</w:t>
            </w:r>
            <w:r>
              <w:rPr>
                <w:spacing w:val="-11"/>
                <w:w w:val="85"/>
                <w:sz w:val="16"/>
              </w:rPr>
              <w:t> </w:t>
            </w:r>
            <w:r>
              <w:rPr>
                <w:w w:val="85"/>
                <w:sz w:val="16"/>
              </w:rPr>
              <w:t>porcentaje</w:t>
            </w:r>
            <w:r>
              <w:rPr>
                <w:spacing w:val="-10"/>
                <w:w w:val="85"/>
                <w:sz w:val="16"/>
              </w:rPr>
              <w:t> </w:t>
            </w:r>
            <w:r>
              <w:rPr>
                <w:w w:val="85"/>
                <w:sz w:val="16"/>
              </w:rPr>
              <w:t>de </w:t>
            </w:r>
            <w:r>
              <w:rPr>
                <w:w w:val="90"/>
                <w:sz w:val="16"/>
              </w:rPr>
              <w:t>presupuesto público más alto costo de</w:t>
            </w:r>
            <w:r>
              <w:rPr>
                <w:spacing w:val="-13"/>
                <w:w w:val="90"/>
                <w:sz w:val="16"/>
              </w:rPr>
              <w:t> </w:t>
            </w:r>
            <w:r>
              <w:rPr>
                <w:w w:val="90"/>
                <w:sz w:val="16"/>
              </w:rPr>
              <w:t>los </w:t>
            </w:r>
            <w:r>
              <w:rPr>
                <w:w w:val="85"/>
                <w:sz w:val="16"/>
              </w:rPr>
              <w:t>partidos</w:t>
            </w:r>
            <w:r>
              <w:rPr>
                <w:spacing w:val="-17"/>
                <w:w w:val="85"/>
                <w:sz w:val="16"/>
              </w:rPr>
              <w:t> </w:t>
            </w:r>
            <w:r>
              <w:rPr>
                <w:w w:val="85"/>
                <w:sz w:val="16"/>
              </w:rPr>
              <w:t>para</w:t>
            </w:r>
            <w:r>
              <w:rPr>
                <w:spacing w:val="-15"/>
                <w:w w:val="85"/>
                <w:sz w:val="16"/>
              </w:rPr>
              <w:t> </w:t>
            </w:r>
            <w:r>
              <w:rPr>
                <w:w w:val="85"/>
                <w:sz w:val="16"/>
              </w:rPr>
              <w:t>el</w:t>
            </w:r>
            <w:r>
              <w:rPr>
                <w:spacing w:val="-16"/>
                <w:w w:val="85"/>
                <w:sz w:val="16"/>
              </w:rPr>
              <w:t> </w:t>
            </w:r>
            <w:r>
              <w:rPr>
                <w:w w:val="85"/>
                <w:sz w:val="16"/>
              </w:rPr>
              <w:t>estado </w:t>
            </w:r>
            <w:r>
              <w:rPr>
                <w:w w:val="90"/>
                <w:sz w:val="16"/>
              </w:rPr>
              <w:t>lo que se refleja en </w:t>
            </w:r>
            <w:r>
              <w:rPr>
                <w:w w:val="80"/>
                <w:sz w:val="16"/>
              </w:rPr>
              <w:t>una menor</w:t>
            </w:r>
            <w:r>
              <w:rPr>
                <w:spacing w:val="20"/>
                <w:w w:val="80"/>
                <w:sz w:val="16"/>
              </w:rPr>
              <w:t> </w:t>
            </w:r>
            <w:r>
              <w:rPr>
                <w:w w:val="80"/>
                <w:sz w:val="16"/>
              </w:rPr>
              <w:t>evaluación.</w:t>
            </w:r>
          </w:p>
        </w:tc>
      </w:tr>
    </w:tbl>
    <w:p>
      <w:pPr>
        <w:spacing w:after="0"/>
        <w:jc w:val="both"/>
        <w:rPr>
          <w:sz w:val="16"/>
        </w:rPr>
        <w:sectPr>
          <w:pgSz w:w="12240" w:h="15840"/>
          <w:pgMar w:header="749" w:footer="1003" w:top="960" w:bottom="1200" w:left="900" w:right="600"/>
        </w:sectPr>
      </w:pPr>
    </w:p>
    <w:p>
      <w:pPr>
        <w:pStyle w:val="BodyText"/>
        <w:rPr>
          <w:rFonts w:ascii="Times New Roman"/>
          <w:sz w:val="20"/>
        </w:rPr>
      </w:pPr>
    </w:p>
    <w:p>
      <w:pPr>
        <w:pStyle w:val="BodyText"/>
        <w:spacing w:before="9"/>
        <w:rPr>
          <w:rFonts w:ascii="Times New Roman"/>
          <w:sz w:val="18"/>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75"/>
        <w:gridCol w:w="1135"/>
        <w:gridCol w:w="2693"/>
        <w:gridCol w:w="2410"/>
        <w:gridCol w:w="1419"/>
        <w:gridCol w:w="1560"/>
      </w:tblGrid>
      <w:tr>
        <w:trPr>
          <w:trHeight w:val="5703" w:hRule="exact"/>
        </w:trPr>
        <w:tc>
          <w:tcPr>
            <w:tcW w:w="1275" w:type="dxa"/>
            <w:vMerge w:val="restart"/>
          </w:tcPr>
          <w:p>
            <w:pPr/>
          </w:p>
        </w:tc>
        <w:tc>
          <w:tcPr>
            <w:tcW w:w="1135" w:type="dxa"/>
            <w:vMerge w:val="restart"/>
          </w:tcPr>
          <w:p>
            <w:pPr>
              <w:pStyle w:val="TableParagraph"/>
              <w:tabs>
                <w:tab w:pos="544" w:val="left" w:leader="none"/>
                <w:tab w:pos="910" w:val="left" w:leader="none"/>
              </w:tabs>
              <w:spacing w:line="237" w:lineRule="auto"/>
              <w:ind w:right="101"/>
              <w:rPr>
                <w:rFonts w:ascii="Trebuchet MS" w:hAnsi="Trebuchet MS"/>
                <w:b/>
                <w:sz w:val="16"/>
              </w:rPr>
            </w:pPr>
            <w:r>
              <w:rPr>
                <w:rFonts w:ascii="Trebuchet MS" w:hAnsi="Trebuchet MS"/>
                <w:b/>
                <w:w w:val="90"/>
                <w:sz w:val="16"/>
              </w:rPr>
              <w:t>Irregularida- des</w:t>
              <w:tab/>
              <w:t>en</w:t>
              <w:tab/>
            </w:r>
            <w:r>
              <w:rPr>
                <w:rFonts w:ascii="Trebuchet MS" w:hAnsi="Trebuchet MS"/>
                <w:b/>
                <w:w w:val="85"/>
                <w:sz w:val="16"/>
              </w:rPr>
              <w:t>la </w:t>
            </w:r>
            <w:r>
              <w:rPr>
                <w:rFonts w:ascii="Trebuchet MS" w:hAnsi="Trebuchet MS"/>
                <w:b/>
                <w:w w:val="90"/>
                <w:sz w:val="16"/>
              </w:rPr>
              <w:t>aplicación</w:t>
            </w:r>
            <w:r>
              <w:rPr>
                <w:rFonts w:ascii="Trebuchet MS" w:hAnsi="Trebuchet MS"/>
                <w:b/>
                <w:spacing w:val="-14"/>
                <w:w w:val="90"/>
                <w:sz w:val="16"/>
              </w:rPr>
              <w:t> </w:t>
            </w:r>
            <w:r>
              <w:rPr>
                <w:rFonts w:ascii="Trebuchet MS" w:hAnsi="Trebuchet MS"/>
                <w:b/>
                <w:w w:val="90"/>
                <w:sz w:val="16"/>
              </w:rPr>
              <w:t>del </w:t>
            </w:r>
            <w:r>
              <w:rPr>
                <w:rFonts w:ascii="Trebuchet MS" w:hAnsi="Trebuchet MS"/>
                <w:b/>
                <w:w w:val="85"/>
                <w:sz w:val="16"/>
              </w:rPr>
              <w:t>financiamien- to</w:t>
            </w:r>
            <w:r>
              <w:rPr>
                <w:rFonts w:ascii="Trebuchet MS" w:hAnsi="Trebuchet MS"/>
                <w:b/>
                <w:spacing w:val="-16"/>
                <w:w w:val="85"/>
                <w:sz w:val="16"/>
              </w:rPr>
              <w:t> </w:t>
            </w:r>
            <w:r>
              <w:rPr>
                <w:rFonts w:ascii="Trebuchet MS" w:hAnsi="Trebuchet MS"/>
                <w:b/>
                <w:w w:val="85"/>
                <w:sz w:val="16"/>
              </w:rPr>
              <w:t>público</w:t>
            </w:r>
          </w:p>
        </w:tc>
        <w:tc>
          <w:tcPr>
            <w:tcW w:w="2693" w:type="dxa"/>
          </w:tcPr>
          <w:p>
            <w:pPr>
              <w:pStyle w:val="TableParagraph"/>
              <w:ind w:left="0" w:right="-3"/>
              <w:jc w:val="both"/>
              <w:rPr>
                <w:sz w:val="16"/>
              </w:rPr>
            </w:pPr>
            <w:r>
              <w:rPr>
                <w:w w:val="85"/>
                <w:sz w:val="16"/>
              </w:rPr>
              <w:t>Sanciones: amonestación pública,</w:t>
            </w:r>
            <w:r>
              <w:rPr>
                <w:spacing w:val="-20"/>
                <w:w w:val="85"/>
                <w:sz w:val="16"/>
              </w:rPr>
              <w:t> </w:t>
            </w:r>
            <w:r>
              <w:rPr>
                <w:w w:val="85"/>
                <w:sz w:val="16"/>
              </w:rPr>
              <w:t>reducción </w:t>
            </w:r>
            <w:r>
              <w:rPr>
                <w:w w:val="90"/>
                <w:sz w:val="16"/>
              </w:rPr>
              <w:t>de hasta el 50% de las ministraciones, supresión total de las ministraciones, negativa de registro de candidaturas, suspensión de registro y cancelación del mismo.</w:t>
            </w:r>
          </w:p>
          <w:p>
            <w:pPr>
              <w:pStyle w:val="TableParagraph"/>
              <w:spacing w:before="1"/>
              <w:ind w:left="0" w:right="-1"/>
              <w:jc w:val="both"/>
              <w:rPr>
                <w:sz w:val="16"/>
              </w:rPr>
            </w:pPr>
            <w:r>
              <w:rPr>
                <w:w w:val="85"/>
                <w:sz w:val="16"/>
              </w:rPr>
              <w:t>Se</w:t>
            </w:r>
            <w:r>
              <w:rPr>
                <w:spacing w:val="-16"/>
                <w:w w:val="85"/>
                <w:sz w:val="16"/>
              </w:rPr>
              <w:t> </w:t>
            </w:r>
            <w:r>
              <w:rPr>
                <w:w w:val="85"/>
                <w:sz w:val="16"/>
              </w:rPr>
              <w:t>interponen</w:t>
            </w:r>
            <w:r>
              <w:rPr>
                <w:spacing w:val="-16"/>
                <w:w w:val="85"/>
                <w:sz w:val="16"/>
              </w:rPr>
              <w:t> </w:t>
            </w:r>
            <w:r>
              <w:rPr>
                <w:w w:val="85"/>
                <w:sz w:val="16"/>
              </w:rPr>
              <w:t>cuando</w:t>
            </w:r>
            <w:r>
              <w:rPr>
                <w:spacing w:val="-18"/>
                <w:w w:val="85"/>
                <w:sz w:val="16"/>
              </w:rPr>
              <w:t> </w:t>
            </w:r>
            <w:r>
              <w:rPr>
                <w:w w:val="85"/>
                <w:sz w:val="16"/>
              </w:rPr>
              <w:t>el</w:t>
            </w:r>
            <w:r>
              <w:rPr>
                <w:spacing w:val="-17"/>
                <w:w w:val="85"/>
                <w:sz w:val="16"/>
              </w:rPr>
              <w:t> </w:t>
            </w:r>
            <w:r>
              <w:rPr>
                <w:w w:val="85"/>
                <w:sz w:val="16"/>
              </w:rPr>
              <w:t>partido</w:t>
            </w:r>
            <w:r>
              <w:rPr>
                <w:spacing w:val="-16"/>
                <w:w w:val="85"/>
                <w:sz w:val="16"/>
              </w:rPr>
              <w:t> </w:t>
            </w:r>
            <w:r>
              <w:rPr>
                <w:w w:val="85"/>
                <w:sz w:val="16"/>
              </w:rPr>
              <w:t>incumpla</w:t>
            </w:r>
            <w:r>
              <w:rPr>
                <w:spacing w:val="-18"/>
                <w:w w:val="85"/>
                <w:sz w:val="16"/>
              </w:rPr>
              <w:t> </w:t>
            </w:r>
            <w:r>
              <w:rPr>
                <w:w w:val="85"/>
                <w:sz w:val="16"/>
              </w:rPr>
              <w:t>con obligaciones señaladas en ordenamientos </w:t>
            </w:r>
            <w:r>
              <w:rPr>
                <w:w w:val="90"/>
                <w:sz w:val="16"/>
              </w:rPr>
              <w:t>legales.</w:t>
            </w:r>
          </w:p>
          <w:p>
            <w:pPr>
              <w:pStyle w:val="TableParagraph"/>
              <w:ind w:left="0" w:right="1"/>
              <w:jc w:val="both"/>
              <w:rPr>
                <w:sz w:val="16"/>
              </w:rPr>
            </w:pPr>
            <w:r>
              <w:rPr>
                <w:w w:val="85"/>
                <w:sz w:val="16"/>
              </w:rPr>
              <w:t>Las</w:t>
            </w:r>
            <w:r>
              <w:rPr>
                <w:spacing w:val="-11"/>
                <w:w w:val="85"/>
                <w:sz w:val="16"/>
              </w:rPr>
              <w:t> </w:t>
            </w:r>
            <w:r>
              <w:rPr>
                <w:w w:val="85"/>
                <w:sz w:val="16"/>
              </w:rPr>
              <w:t>sanciones</w:t>
            </w:r>
            <w:r>
              <w:rPr>
                <w:spacing w:val="-11"/>
                <w:w w:val="85"/>
                <w:sz w:val="16"/>
              </w:rPr>
              <w:t> </w:t>
            </w:r>
            <w:r>
              <w:rPr>
                <w:w w:val="85"/>
                <w:sz w:val="16"/>
              </w:rPr>
              <w:t>se</w:t>
            </w:r>
            <w:r>
              <w:rPr>
                <w:spacing w:val="-9"/>
                <w:w w:val="85"/>
                <w:sz w:val="16"/>
              </w:rPr>
              <w:t> </w:t>
            </w:r>
            <w:r>
              <w:rPr>
                <w:w w:val="85"/>
                <w:sz w:val="16"/>
              </w:rPr>
              <w:t>aplican</w:t>
            </w:r>
            <w:r>
              <w:rPr>
                <w:spacing w:val="-9"/>
                <w:w w:val="85"/>
                <w:sz w:val="16"/>
              </w:rPr>
              <w:t> </w:t>
            </w:r>
            <w:r>
              <w:rPr>
                <w:w w:val="85"/>
                <w:sz w:val="16"/>
              </w:rPr>
              <w:t>tomando</w:t>
            </w:r>
            <w:r>
              <w:rPr>
                <w:spacing w:val="-11"/>
                <w:w w:val="85"/>
                <w:sz w:val="16"/>
              </w:rPr>
              <w:t> </w:t>
            </w:r>
            <w:r>
              <w:rPr>
                <w:w w:val="85"/>
                <w:sz w:val="16"/>
              </w:rPr>
              <w:t>en</w:t>
            </w:r>
            <w:r>
              <w:rPr>
                <w:spacing w:val="-9"/>
                <w:w w:val="85"/>
                <w:sz w:val="16"/>
              </w:rPr>
              <w:t> </w:t>
            </w:r>
            <w:r>
              <w:rPr>
                <w:w w:val="85"/>
                <w:sz w:val="16"/>
              </w:rPr>
              <w:t>cuenta </w:t>
            </w:r>
            <w:r>
              <w:rPr>
                <w:w w:val="90"/>
                <w:sz w:val="16"/>
              </w:rPr>
              <w:t>la gravedad de la irregularidad y se incrementan si la conducta u omisión es reiterada.</w:t>
            </w:r>
          </w:p>
          <w:p>
            <w:pPr>
              <w:pStyle w:val="TableParagraph"/>
              <w:spacing w:before="10"/>
              <w:ind w:left="0"/>
              <w:rPr>
                <w:rFonts w:ascii="Times New Roman"/>
                <w:sz w:val="15"/>
              </w:rPr>
            </w:pPr>
          </w:p>
          <w:p>
            <w:pPr>
              <w:pStyle w:val="TableParagraph"/>
              <w:ind w:left="0"/>
              <w:jc w:val="both"/>
              <w:rPr>
                <w:sz w:val="16"/>
              </w:rPr>
            </w:pPr>
            <w:r>
              <w:rPr>
                <w:w w:val="90"/>
                <w:sz w:val="16"/>
              </w:rPr>
              <w:t>¿Cuál</w:t>
            </w:r>
            <w:r>
              <w:rPr>
                <w:spacing w:val="-12"/>
                <w:w w:val="90"/>
                <w:sz w:val="16"/>
              </w:rPr>
              <w:t> </w:t>
            </w:r>
            <w:r>
              <w:rPr>
                <w:w w:val="90"/>
                <w:sz w:val="16"/>
              </w:rPr>
              <w:t>fue</w:t>
            </w:r>
            <w:r>
              <w:rPr>
                <w:spacing w:val="-13"/>
                <w:w w:val="90"/>
                <w:sz w:val="16"/>
              </w:rPr>
              <w:t> </w:t>
            </w:r>
            <w:r>
              <w:rPr>
                <w:w w:val="90"/>
                <w:sz w:val="16"/>
              </w:rPr>
              <w:t>el</w:t>
            </w:r>
            <w:r>
              <w:rPr>
                <w:spacing w:val="-14"/>
                <w:w w:val="90"/>
                <w:sz w:val="16"/>
              </w:rPr>
              <w:t> </w:t>
            </w:r>
            <w:r>
              <w:rPr>
                <w:w w:val="90"/>
                <w:sz w:val="16"/>
              </w:rPr>
              <w:t>mayor</w:t>
            </w:r>
            <w:r>
              <w:rPr>
                <w:spacing w:val="-13"/>
                <w:w w:val="90"/>
                <w:sz w:val="16"/>
              </w:rPr>
              <w:t> </w:t>
            </w:r>
            <w:r>
              <w:rPr>
                <w:w w:val="90"/>
                <w:sz w:val="16"/>
              </w:rPr>
              <w:t>promedio</w:t>
            </w:r>
            <w:r>
              <w:rPr>
                <w:spacing w:val="-12"/>
                <w:w w:val="90"/>
                <w:sz w:val="16"/>
              </w:rPr>
              <w:t> </w:t>
            </w:r>
            <w:r>
              <w:rPr>
                <w:w w:val="90"/>
                <w:sz w:val="16"/>
              </w:rPr>
              <w:t>de</w:t>
            </w:r>
            <w:r>
              <w:rPr>
                <w:spacing w:val="-12"/>
                <w:w w:val="90"/>
                <w:sz w:val="16"/>
              </w:rPr>
              <w:t> </w:t>
            </w:r>
            <w:r>
              <w:rPr>
                <w:w w:val="90"/>
                <w:sz w:val="16"/>
              </w:rPr>
              <w:t>sanciones </w:t>
            </w:r>
            <w:r>
              <w:rPr>
                <w:w w:val="85"/>
                <w:sz w:val="16"/>
              </w:rPr>
              <w:t>por</w:t>
            </w:r>
            <w:r>
              <w:rPr>
                <w:spacing w:val="-26"/>
                <w:w w:val="85"/>
                <w:sz w:val="16"/>
              </w:rPr>
              <w:t> </w:t>
            </w:r>
            <w:r>
              <w:rPr>
                <w:w w:val="85"/>
                <w:sz w:val="16"/>
              </w:rPr>
              <w:t>partido</w:t>
            </w:r>
            <w:r>
              <w:rPr>
                <w:spacing w:val="-25"/>
                <w:w w:val="85"/>
                <w:sz w:val="16"/>
              </w:rPr>
              <w:t> </w:t>
            </w:r>
            <w:r>
              <w:rPr>
                <w:w w:val="85"/>
                <w:sz w:val="16"/>
              </w:rPr>
              <w:t>político?</w:t>
            </w:r>
            <w:r>
              <w:rPr>
                <w:spacing w:val="-25"/>
                <w:w w:val="85"/>
                <w:sz w:val="16"/>
              </w:rPr>
              <w:t> </w:t>
            </w:r>
            <w:r>
              <w:rPr>
                <w:w w:val="85"/>
                <w:sz w:val="16"/>
              </w:rPr>
              <w:t>PMaSP</w:t>
            </w:r>
          </w:p>
          <w:p>
            <w:pPr>
              <w:pStyle w:val="TableParagraph"/>
              <w:spacing w:before="10"/>
              <w:ind w:left="0"/>
              <w:rPr>
                <w:rFonts w:ascii="Times New Roman"/>
                <w:sz w:val="15"/>
              </w:rPr>
            </w:pPr>
          </w:p>
          <w:p>
            <w:pPr>
              <w:pStyle w:val="TableParagraph"/>
              <w:ind w:left="0" w:right="1"/>
              <w:jc w:val="both"/>
              <w:rPr>
                <w:sz w:val="16"/>
              </w:rPr>
            </w:pPr>
            <w:r>
              <w:rPr>
                <w:w w:val="90"/>
                <w:sz w:val="16"/>
              </w:rPr>
              <w:t>¿Cuál</w:t>
            </w:r>
            <w:r>
              <w:rPr>
                <w:spacing w:val="-14"/>
                <w:w w:val="90"/>
                <w:sz w:val="16"/>
              </w:rPr>
              <w:t> </w:t>
            </w:r>
            <w:r>
              <w:rPr>
                <w:w w:val="90"/>
                <w:sz w:val="16"/>
              </w:rPr>
              <w:t>fue</w:t>
            </w:r>
            <w:r>
              <w:rPr>
                <w:spacing w:val="-13"/>
                <w:w w:val="90"/>
                <w:sz w:val="16"/>
              </w:rPr>
              <w:t> </w:t>
            </w:r>
            <w:r>
              <w:rPr>
                <w:w w:val="90"/>
                <w:sz w:val="16"/>
              </w:rPr>
              <w:t>el</w:t>
            </w:r>
            <w:r>
              <w:rPr>
                <w:spacing w:val="-14"/>
                <w:w w:val="90"/>
                <w:sz w:val="16"/>
              </w:rPr>
              <w:t> </w:t>
            </w:r>
            <w:r>
              <w:rPr>
                <w:w w:val="90"/>
                <w:sz w:val="16"/>
              </w:rPr>
              <w:t>menor</w:t>
            </w:r>
            <w:r>
              <w:rPr>
                <w:spacing w:val="-14"/>
                <w:w w:val="90"/>
                <w:sz w:val="16"/>
              </w:rPr>
              <w:t> </w:t>
            </w:r>
            <w:r>
              <w:rPr>
                <w:w w:val="90"/>
                <w:sz w:val="16"/>
              </w:rPr>
              <w:t>promedio</w:t>
            </w:r>
            <w:r>
              <w:rPr>
                <w:spacing w:val="-13"/>
                <w:w w:val="90"/>
                <w:sz w:val="16"/>
              </w:rPr>
              <w:t> </w:t>
            </w:r>
            <w:r>
              <w:rPr>
                <w:w w:val="90"/>
                <w:sz w:val="16"/>
              </w:rPr>
              <w:t>de</w:t>
            </w:r>
            <w:r>
              <w:rPr>
                <w:spacing w:val="-13"/>
                <w:w w:val="90"/>
                <w:sz w:val="16"/>
              </w:rPr>
              <w:t> </w:t>
            </w:r>
            <w:r>
              <w:rPr>
                <w:w w:val="90"/>
                <w:sz w:val="16"/>
              </w:rPr>
              <w:t>sanciones </w:t>
            </w:r>
            <w:r>
              <w:rPr>
                <w:w w:val="85"/>
                <w:sz w:val="16"/>
              </w:rPr>
              <w:t>por</w:t>
            </w:r>
            <w:r>
              <w:rPr>
                <w:spacing w:val="-26"/>
                <w:w w:val="85"/>
                <w:sz w:val="16"/>
              </w:rPr>
              <w:t> </w:t>
            </w:r>
            <w:r>
              <w:rPr>
                <w:w w:val="85"/>
                <w:sz w:val="16"/>
              </w:rPr>
              <w:t>partido</w:t>
            </w:r>
            <w:r>
              <w:rPr>
                <w:spacing w:val="-25"/>
                <w:w w:val="85"/>
                <w:sz w:val="16"/>
              </w:rPr>
              <w:t> </w:t>
            </w:r>
            <w:r>
              <w:rPr>
                <w:w w:val="85"/>
                <w:sz w:val="16"/>
              </w:rPr>
              <w:t>político?</w:t>
            </w:r>
            <w:r>
              <w:rPr>
                <w:spacing w:val="-25"/>
                <w:w w:val="85"/>
                <w:sz w:val="16"/>
              </w:rPr>
              <w:t> </w:t>
            </w:r>
            <w:r>
              <w:rPr>
                <w:w w:val="85"/>
                <w:sz w:val="16"/>
              </w:rPr>
              <w:t>PMeSP</w:t>
            </w:r>
          </w:p>
          <w:p>
            <w:pPr>
              <w:pStyle w:val="TableParagraph"/>
              <w:spacing w:before="11"/>
              <w:ind w:left="0"/>
              <w:rPr>
                <w:rFonts w:ascii="Times New Roman"/>
                <w:sz w:val="15"/>
              </w:rPr>
            </w:pPr>
          </w:p>
          <w:p>
            <w:pPr>
              <w:pStyle w:val="TableParagraph"/>
              <w:ind w:left="0"/>
              <w:jc w:val="both"/>
              <w:rPr>
                <w:sz w:val="16"/>
              </w:rPr>
            </w:pPr>
            <w:r>
              <w:rPr>
                <w:w w:val="90"/>
                <w:sz w:val="16"/>
              </w:rPr>
              <w:t>Determinar el porcentaje diferencial de </w:t>
            </w:r>
            <w:r>
              <w:rPr>
                <w:w w:val="85"/>
                <w:sz w:val="16"/>
              </w:rPr>
              <w:t>sanciones</w:t>
            </w:r>
            <w:r>
              <w:rPr>
                <w:spacing w:val="-10"/>
                <w:w w:val="85"/>
                <w:sz w:val="16"/>
              </w:rPr>
              <w:t> </w:t>
            </w:r>
            <w:r>
              <w:rPr>
                <w:w w:val="85"/>
                <w:sz w:val="16"/>
              </w:rPr>
              <w:t>por</w:t>
            </w:r>
            <w:r>
              <w:rPr>
                <w:spacing w:val="-9"/>
                <w:w w:val="85"/>
                <w:sz w:val="16"/>
              </w:rPr>
              <w:t> </w:t>
            </w:r>
            <w:r>
              <w:rPr>
                <w:w w:val="85"/>
                <w:sz w:val="16"/>
              </w:rPr>
              <w:t>partido</w:t>
            </w:r>
            <w:r>
              <w:rPr>
                <w:spacing w:val="-8"/>
                <w:w w:val="85"/>
                <w:sz w:val="16"/>
              </w:rPr>
              <w:t> </w:t>
            </w:r>
            <w:r>
              <w:rPr>
                <w:w w:val="85"/>
                <w:sz w:val="16"/>
              </w:rPr>
              <w:t>(PDSP).</w:t>
            </w:r>
            <w:r>
              <w:rPr>
                <w:spacing w:val="-8"/>
                <w:w w:val="85"/>
                <w:sz w:val="16"/>
              </w:rPr>
              <w:t> </w:t>
            </w:r>
            <w:r>
              <w:rPr>
                <w:w w:val="85"/>
                <w:sz w:val="16"/>
              </w:rPr>
              <w:t>Se</w:t>
            </w:r>
            <w:r>
              <w:rPr>
                <w:spacing w:val="-6"/>
                <w:w w:val="85"/>
                <w:sz w:val="16"/>
              </w:rPr>
              <w:t> </w:t>
            </w:r>
            <w:r>
              <w:rPr>
                <w:w w:val="85"/>
                <w:sz w:val="16"/>
              </w:rPr>
              <w:t>obtiene</w:t>
            </w:r>
            <w:r>
              <w:rPr>
                <w:spacing w:val="-8"/>
                <w:w w:val="85"/>
                <w:sz w:val="16"/>
              </w:rPr>
              <w:t> </w:t>
            </w:r>
            <w:r>
              <w:rPr>
                <w:w w:val="85"/>
                <w:sz w:val="16"/>
              </w:rPr>
              <w:t>de </w:t>
            </w:r>
            <w:r>
              <w:rPr>
                <w:w w:val="80"/>
                <w:sz w:val="16"/>
              </w:rPr>
              <w:t>restar a PMaSP-</w:t>
            </w:r>
            <w:r>
              <w:rPr>
                <w:spacing w:val="32"/>
                <w:w w:val="80"/>
                <w:sz w:val="16"/>
              </w:rPr>
              <w:t> </w:t>
            </w:r>
            <w:r>
              <w:rPr>
                <w:w w:val="80"/>
                <w:sz w:val="16"/>
              </w:rPr>
              <w:t>PMeSP=PDSP</w:t>
            </w:r>
          </w:p>
        </w:tc>
        <w:tc>
          <w:tcPr>
            <w:tcW w:w="2410" w:type="dxa"/>
          </w:tcPr>
          <w:p>
            <w:pPr>
              <w:pStyle w:val="TableParagraph"/>
              <w:ind w:left="-1" w:right="-2"/>
              <w:jc w:val="both"/>
              <w:rPr>
                <w:sz w:val="16"/>
              </w:rPr>
            </w:pPr>
            <w:r>
              <w:rPr>
                <w:w w:val="90"/>
                <w:sz w:val="16"/>
              </w:rPr>
              <w:t>Porcentaje que representan las sanciones en relación con el </w:t>
            </w:r>
            <w:r>
              <w:rPr>
                <w:w w:val="85"/>
                <w:sz w:val="16"/>
              </w:rPr>
              <w:t>financiamiento de los partidos</w:t>
            </w:r>
          </w:p>
        </w:tc>
        <w:tc>
          <w:tcPr>
            <w:tcW w:w="1419" w:type="dxa"/>
          </w:tcPr>
          <w:p>
            <w:pPr>
              <w:pStyle w:val="TableParagraph"/>
              <w:tabs>
                <w:tab w:pos="1000" w:val="left" w:leader="none"/>
              </w:tabs>
              <w:ind w:left="-1" w:right="-2"/>
              <w:jc w:val="both"/>
              <w:rPr>
                <w:sz w:val="16"/>
              </w:rPr>
            </w:pPr>
            <w:r>
              <w:rPr>
                <w:w w:val="90"/>
                <w:sz w:val="16"/>
              </w:rPr>
              <w:t>Informes de partidos</w:t>
            </w:r>
            <w:r>
              <w:rPr>
                <w:spacing w:val="-27"/>
                <w:w w:val="90"/>
                <w:sz w:val="16"/>
              </w:rPr>
              <w:t> </w:t>
            </w:r>
            <w:r>
              <w:rPr>
                <w:w w:val="90"/>
                <w:sz w:val="16"/>
              </w:rPr>
              <w:t>a </w:t>
            </w:r>
            <w:r>
              <w:rPr>
                <w:w w:val="85"/>
                <w:sz w:val="16"/>
              </w:rPr>
              <w:t>los</w:t>
            </w:r>
            <w:r>
              <w:rPr>
                <w:spacing w:val="-17"/>
                <w:w w:val="85"/>
                <w:sz w:val="16"/>
              </w:rPr>
              <w:t> </w:t>
            </w:r>
            <w:r>
              <w:rPr>
                <w:w w:val="85"/>
                <w:sz w:val="16"/>
              </w:rPr>
              <w:t>órganos</w:t>
            </w:r>
            <w:r>
              <w:rPr>
                <w:spacing w:val="-17"/>
                <w:w w:val="85"/>
                <w:sz w:val="16"/>
              </w:rPr>
              <w:t> </w:t>
            </w:r>
            <w:r>
              <w:rPr>
                <w:w w:val="85"/>
                <w:sz w:val="16"/>
              </w:rPr>
              <w:t>electorales; así como sentencias</w:t>
            </w:r>
            <w:r>
              <w:rPr>
                <w:spacing w:val="-27"/>
                <w:w w:val="85"/>
                <w:sz w:val="16"/>
              </w:rPr>
              <w:t> </w:t>
            </w:r>
            <w:r>
              <w:rPr>
                <w:w w:val="85"/>
                <w:sz w:val="16"/>
              </w:rPr>
              <w:t>de </w:t>
            </w:r>
            <w:r>
              <w:rPr>
                <w:w w:val="90"/>
                <w:sz w:val="16"/>
              </w:rPr>
              <w:t>tribunales, COFIPE, CEEM,</w:t>
              <w:tab/>
            </w:r>
            <w:r>
              <w:rPr>
                <w:w w:val="80"/>
                <w:sz w:val="16"/>
              </w:rPr>
              <w:t>CECR,</w:t>
            </w:r>
          </w:p>
          <w:p>
            <w:pPr>
              <w:pStyle w:val="TableParagraph"/>
              <w:ind w:left="-1" w:right="423"/>
              <w:rPr>
                <w:sz w:val="16"/>
              </w:rPr>
            </w:pPr>
            <w:r>
              <w:rPr>
                <w:w w:val="85"/>
                <w:sz w:val="16"/>
              </w:rPr>
              <w:t>constituciones, </w:t>
            </w:r>
            <w:r>
              <w:rPr>
                <w:w w:val="80"/>
                <w:sz w:val="16"/>
              </w:rPr>
              <w:t>impugnaciones.</w:t>
            </w:r>
          </w:p>
        </w:tc>
        <w:tc>
          <w:tcPr>
            <w:tcW w:w="1560" w:type="dxa"/>
          </w:tcPr>
          <w:p>
            <w:pPr>
              <w:pStyle w:val="TableParagraph"/>
              <w:ind w:right="100"/>
              <w:rPr>
                <w:sz w:val="16"/>
              </w:rPr>
            </w:pPr>
            <w:r>
              <w:rPr>
                <w:w w:val="80"/>
                <w:sz w:val="16"/>
              </w:rPr>
              <w:t>PMaSP=9.75% PMeSP= 0.17%</w:t>
            </w:r>
          </w:p>
          <w:p>
            <w:pPr>
              <w:pStyle w:val="TableParagraph"/>
              <w:spacing w:line="183" w:lineRule="exact" w:before="1"/>
              <w:jc w:val="both"/>
              <w:rPr>
                <w:sz w:val="16"/>
              </w:rPr>
            </w:pPr>
            <w:r>
              <w:rPr>
                <w:w w:val="80"/>
                <w:sz w:val="16"/>
              </w:rPr>
              <w:t>PDSP= 9.58%</w:t>
            </w:r>
          </w:p>
          <w:p>
            <w:pPr>
              <w:pStyle w:val="TableParagraph"/>
              <w:ind w:right="100"/>
              <w:jc w:val="both"/>
              <w:rPr>
                <w:sz w:val="16"/>
              </w:rPr>
            </w:pPr>
            <w:r>
              <w:rPr>
                <w:w w:val="90"/>
                <w:sz w:val="16"/>
              </w:rPr>
              <w:t>El resultado del </w:t>
            </w:r>
            <w:r>
              <w:rPr>
                <w:w w:val="85"/>
                <w:sz w:val="16"/>
              </w:rPr>
              <w:t>porcentaje diferencial </w:t>
            </w:r>
            <w:r>
              <w:rPr>
                <w:w w:val="90"/>
                <w:sz w:val="16"/>
              </w:rPr>
              <w:t>se divide entre los 3 rangos que quiero crear (alto, medio y bajo) y se obtiene el </w:t>
            </w:r>
            <w:r>
              <w:rPr>
                <w:w w:val="80"/>
                <w:sz w:val="16"/>
              </w:rPr>
              <w:t>factor: 3.19%.</w:t>
            </w:r>
          </w:p>
          <w:p>
            <w:pPr>
              <w:pStyle w:val="TableParagraph"/>
              <w:spacing w:before="1"/>
              <w:ind w:right="100"/>
              <w:jc w:val="both"/>
              <w:rPr>
                <w:sz w:val="16"/>
              </w:rPr>
            </w:pPr>
            <w:r>
              <w:rPr>
                <w:w w:val="90"/>
                <w:sz w:val="16"/>
              </w:rPr>
              <w:t>Así se crearon los rangos:</w:t>
            </w:r>
          </w:p>
          <w:p>
            <w:pPr>
              <w:pStyle w:val="TableParagraph"/>
              <w:spacing w:line="183" w:lineRule="exact" w:before="1"/>
              <w:jc w:val="both"/>
              <w:rPr>
                <w:sz w:val="16"/>
              </w:rPr>
            </w:pPr>
            <w:r>
              <w:rPr>
                <w:w w:val="90"/>
                <w:sz w:val="16"/>
              </w:rPr>
              <w:t>0.17%   +   3.19%  =</w:t>
            </w:r>
          </w:p>
          <w:p>
            <w:pPr>
              <w:pStyle w:val="TableParagraph"/>
              <w:spacing w:line="183" w:lineRule="exact"/>
              <w:jc w:val="both"/>
              <w:rPr>
                <w:sz w:val="16"/>
              </w:rPr>
            </w:pPr>
            <w:r>
              <w:rPr>
                <w:w w:val="85"/>
                <w:sz w:val="16"/>
              </w:rPr>
              <w:t>3.36%; 3.37% + 3.19%</w:t>
            </w:r>
          </w:p>
          <w:p>
            <w:pPr>
              <w:pStyle w:val="TableParagraph"/>
              <w:spacing w:line="183" w:lineRule="exact" w:before="1"/>
              <w:jc w:val="both"/>
              <w:rPr>
                <w:sz w:val="16"/>
              </w:rPr>
            </w:pPr>
            <w:r>
              <w:rPr>
                <w:w w:val="90"/>
                <w:sz w:val="16"/>
              </w:rPr>
              <w:t>=   6.56%,   y  6.57%</w:t>
            </w:r>
          </w:p>
          <w:p>
            <w:pPr>
              <w:pStyle w:val="TableParagraph"/>
              <w:spacing w:line="183" w:lineRule="exact"/>
              <w:jc w:val="both"/>
              <w:rPr>
                <w:sz w:val="16"/>
              </w:rPr>
            </w:pPr>
            <w:r>
              <w:rPr>
                <w:w w:val="85"/>
                <w:sz w:val="16"/>
              </w:rPr>
              <w:t>+3.19% = 9.76%.</w:t>
            </w:r>
          </w:p>
          <w:p>
            <w:pPr>
              <w:pStyle w:val="TableParagraph"/>
              <w:spacing w:line="183" w:lineRule="exact" w:before="1"/>
              <w:jc w:val="both"/>
              <w:rPr>
                <w:sz w:val="16"/>
              </w:rPr>
            </w:pPr>
            <w:r>
              <w:rPr>
                <w:w w:val="85"/>
                <w:sz w:val="16"/>
              </w:rPr>
              <w:t>Los rangos son:</w:t>
            </w:r>
          </w:p>
          <w:p>
            <w:pPr>
              <w:pStyle w:val="TableParagraph"/>
              <w:tabs>
                <w:tab w:pos="1299" w:val="left" w:leader="none"/>
              </w:tabs>
              <w:ind w:right="99"/>
              <w:jc w:val="both"/>
              <w:rPr>
                <w:sz w:val="16"/>
              </w:rPr>
            </w:pPr>
            <w:r>
              <w:rPr>
                <w:w w:val="90"/>
                <w:sz w:val="16"/>
              </w:rPr>
              <w:t>Si las sanciones </w:t>
            </w:r>
            <w:r>
              <w:rPr>
                <w:w w:val="85"/>
                <w:sz w:val="16"/>
              </w:rPr>
              <w:t>representan</w:t>
              <w:tab/>
            </w:r>
            <w:r>
              <w:rPr>
                <w:w w:val="80"/>
                <w:sz w:val="16"/>
              </w:rPr>
              <w:t>en </w:t>
            </w:r>
            <w:r>
              <w:rPr>
                <w:w w:val="90"/>
                <w:sz w:val="16"/>
              </w:rPr>
              <w:t>promedio por partido entre el 0.17% y el 3.36%  por  partido</w:t>
            </w:r>
            <w:r>
              <w:rPr>
                <w:spacing w:val="-5"/>
                <w:w w:val="90"/>
                <w:sz w:val="16"/>
              </w:rPr>
              <w:t> </w:t>
            </w:r>
            <w:r>
              <w:rPr>
                <w:w w:val="90"/>
                <w:sz w:val="16"/>
              </w:rPr>
              <w:t>=</w:t>
            </w:r>
          </w:p>
          <w:p>
            <w:pPr>
              <w:pStyle w:val="TableParagraph"/>
              <w:spacing w:line="183" w:lineRule="exact" w:before="1"/>
              <w:jc w:val="both"/>
              <w:rPr>
                <w:sz w:val="16"/>
              </w:rPr>
            </w:pPr>
            <w:r>
              <w:rPr>
                <w:w w:val="85"/>
                <w:sz w:val="16"/>
              </w:rPr>
              <w:t>3.0 (alto);</w:t>
            </w:r>
          </w:p>
          <w:p>
            <w:pPr>
              <w:pStyle w:val="TableParagraph"/>
              <w:spacing w:line="183" w:lineRule="exact"/>
              <w:jc w:val="both"/>
              <w:rPr>
                <w:sz w:val="16"/>
              </w:rPr>
            </w:pPr>
            <w:r>
              <w:rPr>
                <w:w w:val="90"/>
                <w:sz w:val="16"/>
              </w:rPr>
              <w:t>de 3.37% a 6.56% =</w:t>
            </w:r>
          </w:p>
          <w:p>
            <w:pPr>
              <w:pStyle w:val="TableParagraph"/>
              <w:spacing w:line="183" w:lineRule="exact" w:before="1"/>
              <w:jc w:val="both"/>
              <w:rPr>
                <w:sz w:val="16"/>
              </w:rPr>
            </w:pPr>
            <w:r>
              <w:rPr>
                <w:w w:val="85"/>
                <w:sz w:val="16"/>
              </w:rPr>
              <w:t>2.0 (medio); y</w:t>
            </w:r>
          </w:p>
          <w:p>
            <w:pPr>
              <w:pStyle w:val="TableParagraph"/>
              <w:spacing w:line="183" w:lineRule="exact"/>
              <w:jc w:val="both"/>
              <w:rPr>
                <w:sz w:val="16"/>
              </w:rPr>
            </w:pPr>
            <w:r>
              <w:rPr>
                <w:w w:val="90"/>
                <w:sz w:val="16"/>
              </w:rPr>
              <w:t>de 6.57% a 9.76% =</w:t>
            </w:r>
          </w:p>
          <w:p>
            <w:pPr>
              <w:pStyle w:val="TableParagraph"/>
              <w:spacing w:line="183" w:lineRule="exact" w:before="1"/>
              <w:jc w:val="both"/>
              <w:rPr>
                <w:sz w:val="16"/>
              </w:rPr>
            </w:pPr>
            <w:r>
              <w:rPr>
                <w:w w:val="85"/>
                <w:sz w:val="16"/>
              </w:rPr>
              <w:t>1.0 (bajo).</w:t>
            </w:r>
          </w:p>
          <w:p>
            <w:pPr>
              <w:pStyle w:val="TableParagraph"/>
              <w:ind w:right="100"/>
              <w:jc w:val="both"/>
              <w:rPr>
                <w:sz w:val="16"/>
              </w:rPr>
            </w:pPr>
            <w:r>
              <w:rPr>
                <w:w w:val="85"/>
                <w:sz w:val="16"/>
              </w:rPr>
              <w:t>A</w:t>
            </w:r>
            <w:r>
              <w:rPr>
                <w:spacing w:val="-10"/>
                <w:w w:val="85"/>
                <w:sz w:val="16"/>
              </w:rPr>
              <w:t> </w:t>
            </w:r>
            <w:r>
              <w:rPr>
                <w:w w:val="85"/>
                <w:sz w:val="16"/>
              </w:rPr>
              <w:t>mayor</w:t>
            </w:r>
            <w:r>
              <w:rPr>
                <w:spacing w:val="-11"/>
                <w:w w:val="85"/>
                <w:sz w:val="16"/>
              </w:rPr>
              <w:t> </w:t>
            </w:r>
            <w:r>
              <w:rPr>
                <w:w w:val="85"/>
                <w:sz w:val="16"/>
              </w:rPr>
              <w:t>porcentaje</w:t>
            </w:r>
            <w:r>
              <w:rPr>
                <w:spacing w:val="-10"/>
                <w:w w:val="85"/>
                <w:sz w:val="16"/>
              </w:rPr>
              <w:t> </w:t>
            </w:r>
            <w:r>
              <w:rPr>
                <w:w w:val="85"/>
                <w:sz w:val="16"/>
              </w:rPr>
              <w:t>de </w:t>
            </w:r>
            <w:r>
              <w:rPr>
                <w:w w:val="90"/>
                <w:sz w:val="16"/>
              </w:rPr>
              <w:t>sanción por partido menor grado de legalidad.</w:t>
            </w:r>
          </w:p>
        </w:tc>
      </w:tr>
      <w:tr>
        <w:trPr>
          <w:trHeight w:val="2580" w:hRule="exact"/>
        </w:trPr>
        <w:tc>
          <w:tcPr>
            <w:tcW w:w="1275" w:type="dxa"/>
            <w:vMerge/>
          </w:tcPr>
          <w:p>
            <w:pPr/>
          </w:p>
        </w:tc>
        <w:tc>
          <w:tcPr>
            <w:tcW w:w="1135" w:type="dxa"/>
            <w:vMerge/>
          </w:tcPr>
          <w:p>
            <w:pPr/>
          </w:p>
        </w:tc>
        <w:tc>
          <w:tcPr>
            <w:tcW w:w="2693" w:type="dxa"/>
          </w:tcPr>
          <w:p>
            <w:pPr>
              <w:pStyle w:val="TableParagraph"/>
              <w:ind w:left="0" w:right="-1"/>
              <w:jc w:val="both"/>
              <w:rPr>
                <w:sz w:val="16"/>
              </w:rPr>
            </w:pPr>
            <w:r>
              <w:rPr>
                <w:w w:val="90"/>
                <w:sz w:val="16"/>
              </w:rPr>
              <w:t>Promedio de sanciones aplicadas a los partidos</w:t>
            </w:r>
            <w:r>
              <w:rPr>
                <w:spacing w:val="-6"/>
                <w:w w:val="90"/>
                <w:sz w:val="16"/>
              </w:rPr>
              <w:t> </w:t>
            </w:r>
            <w:r>
              <w:rPr>
                <w:w w:val="90"/>
                <w:sz w:val="16"/>
              </w:rPr>
              <w:t>(acceso</w:t>
            </w:r>
            <w:r>
              <w:rPr>
                <w:spacing w:val="-5"/>
                <w:w w:val="90"/>
                <w:sz w:val="16"/>
              </w:rPr>
              <w:t> </w:t>
            </w:r>
            <w:r>
              <w:rPr>
                <w:w w:val="90"/>
                <w:sz w:val="16"/>
              </w:rPr>
              <w:t>real</w:t>
            </w:r>
            <w:r>
              <w:rPr>
                <w:spacing w:val="-7"/>
                <w:w w:val="90"/>
                <w:sz w:val="16"/>
              </w:rPr>
              <w:t> </w:t>
            </w:r>
            <w:r>
              <w:rPr>
                <w:w w:val="90"/>
                <w:sz w:val="16"/>
              </w:rPr>
              <w:t>de</w:t>
            </w:r>
            <w:r>
              <w:rPr>
                <w:spacing w:val="-5"/>
                <w:w w:val="90"/>
                <w:sz w:val="16"/>
              </w:rPr>
              <w:t> </w:t>
            </w:r>
            <w:r>
              <w:rPr>
                <w:w w:val="90"/>
                <w:sz w:val="16"/>
              </w:rPr>
              <w:t>todos</w:t>
            </w:r>
            <w:r>
              <w:rPr>
                <w:spacing w:val="-6"/>
                <w:w w:val="90"/>
                <w:sz w:val="16"/>
              </w:rPr>
              <w:t> </w:t>
            </w:r>
            <w:r>
              <w:rPr>
                <w:w w:val="90"/>
                <w:sz w:val="16"/>
              </w:rPr>
              <w:t>los</w:t>
            </w:r>
            <w:r>
              <w:rPr>
                <w:spacing w:val="-6"/>
                <w:w w:val="90"/>
                <w:sz w:val="16"/>
              </w:rPr>
              <w:t> </w:t>
            </w:r>
            <w:r>
              <w:rPr>
                <w:w w:val="90"/>
                <w:sz w:val="16"/>
              </w:rPr>
              <w:t>partidos </w:t>
            </w:r>
            <w:r>
              <w:rPr>
                <w:w w:val="80"/>
                <w:sz w:val="16"/>
              </w:rPr>
              <w:t>políticos al financiamiento</w:t>
            </w:r>
            <w:r>
              <w:rPr>
                <w:spacing w:val="28"/>
                <w:w w:val="80"/>
                <w:sz w:val="16"/>
              </w:rPr>
              <w:t> </w:t>
            </w:r>
            <w:r>
              <w:rPr>
                <w:w w:val="80"/>
                <w:sz w:val="16"/>
              </w:rPr>
              <w:t>público)</w:t>
            </w:r>
          </w:p>
          <w:p>
            <w:pPr>
              <w:pStyle w:val="TableParagraph"/>
              <w:spacing w:before="1"/>
              <w:ind w:left="0" w:right="-1"/>
              <w:jc w:val="both"/>
              <w:rPr>
                <w:sz w:val="16"/>
              </w:rPr>
            </w:pPr>
            <w:r>
              <w:rPr>
                <w:w w:val="85"/>
                <w:sz w:val="16"/>
              </w:rPr>
              <w:t>Nota:</w:t>
            </w:r>
            <w:r>
              <w:rPr>
                <w:spacing w:val="-11"/>
                <w:w w:val="85"/>
                <w:sz w:val="16"/>
              </w:rPr>
              <w:t> </w:t>
            </w:r>
            <w:r>
              <w:rPr>
                <w:w w:val="85"/>
                <w:sz w:val="16"/>
              </w:rPr>
              <w:t>esta</w:t>
            </w:r>
            <w:r>
              <w:rPr>
                <w:spacing w:val="-10"/>
                <w:w w:val="85"/>
                <w:sz w:val="16"/>
              </w:rPr>
              <w:t> </w:t>
            </w:r>
            <w:r>
              <w:rPr>
                <w:w w:val="85"/>
                <w:sz w:val="16"/>
              </w:rPr>
              <w:t>variable</w:t>
            </w:r>
            <w:r>
              <w:rPr>
                <w:spacing w:val="-10"/>
                <w:w w:val="85"/>
                <w:sz w:val="16"/>
              </w:rPr>
              <w:t> </w:t>
            </w:r>
            <w:r>
              <w:rPr>
                <w:w w:val="85"/>
                <w:sz w:val="16"/>
              </w:rPr>
              <w:t>sólo</w:t>
            </w:r>
            <w:r>
              <w:rPr>
                <w:spacing w:val="-10"/>
                <w:w w:val="85"/>
                <w:sz w:val="16"/>
              </w:rPr>
              <w:t> </w:t>
            </w:r>
            <w:r>
              <w:rPr>
                <w:w w:val="85"/>
                <w:sz w:val="16"/>
              </w:rPr>
              <w:t>se</w:t>
            </w:r>
            <w:r>
              <w:rPr>
                <w:spacing w:val="-10"/>
                <w:w w:val="85"/>
                <w:sz w:val="16"/>
              </w:rPr>
              <w:t> </w:t>
            </w:r>
            <w:r>
              <w:rPr>
                <w:w w:val="85"/>
                <w:sz w:val="16"/>
              </w:rPr>
              <w:t>estudia</w:t>
            </w:r>
            <w:r>
              <w:rPr>
                <w:spacing w:val="-12"/>
                <w:w w:val="85"/>
                <w:sz w:val="16"/>
              </w:rPr>
              <w:t> </w:t>
            </w:r>
            <w:r>
              <w:rPr>
                <w:w w:val="85"/>
                <w:sz w:val="16"/>
              </w:rPr>
              <w:t>en</w:t>
            </w:r>
            <w:r>
              <w:rPr>
                <w:spacing w:val="-11"/>
                <w:w w:val="85"/>
                <w:sz w:val="16"/>
              </w:rPr>
              <w:t> </w:t>
            </w:r>
            <w:r>
              <w:rPr>
                <w:w w:val="85"/>
                <w:sz w:val="16"/>
              </w:rPr>
              <w:t>México </w:t>
            </w:r>
            <w:r>
              <w:rPr>
                <w:w w:val="90"/>
                <w:sz w:val="16"/>
              </w:rPr>
              <w:t>y</w:t>
            </w:r>
            <w:r>
              <w:rPr>
                <w:spacing w:val="-9"/>
                <w:w w:val="90"/>
                <w:sz w:val="16"/>
              </w:rPr>
              <w:t> </w:t>
            </w:r>
            <w:r>
              <w:rPr>
                <w:w w:val="90"/>
                <w:sz w:val="16"/>
              </w:rPr>
              <w:t>el</w:t>
            </w:r>
            <w:r>
              <w:rPr>
                <w:spacing w:val="-9"/>
                <w:w w:val="90"/>
                <w:sz w:val="16"/>
              </w:rPr>
              <w:t> </w:t>
            </w:r>
            <w:r>
              <w:rPr>
                <w:w w:val="90"/>
                <w:sz w:val="16"/>
              </w:rPr>
              <w:t>Estado</w:t>
            </w:r>
            <w:r>
              <w:rPr>
                <w:spacing w:val="-10"/>
                <w:w w:val="90"/>
                <w:sz w:val="16"/>
              </w:rPr>
              <w:t> </w:t>
            </w:r>
            <w:r>
              <w:rPr>
                <w:w w:val="90"/>
                <w:sz w:val="16"/>
              </w:rPr>
              <w:t>de</w:t>
            </w:r>
            <w:r>
              <w:rPr>
                <w:spacing w:val="-10"/>
                <w:w w:val="90"/>
                <w:sz w:val="16"/>
              </w:rPr>
              <w:t> </w:t>
            </w:r>
            <w:r>
              <w:rPr>
                <w:w w:val="90"/>
                <w:sz w:val="16"/>
              </w:rPr>
              <w:t>México,</w:t>
            </w:r>
            <w:r>
              <w:rPr>
                <w:spacing w:val="-9"/>
                <w:w w:val="90"/>
                <w:sz w:val="16"/>
              </w:rPr>
              <w:t> </w:t>
            </w:r>
            <w:r>
              <w:rPr>
                <w:w w:val="90"/>
                <w:sz w:val="16"/>
              </w:rPr>
              <w:t>pues</w:t>
            </w:r>
            <w:r>
              <w:rPr>
                <w:spacing w:val="-11"/>
                <w:w w:val="90"/>
                <w:sz w:val="16"/>
              </w:rPr>
              <w:t> </w:t>
            </w:r>
            <w:r>
              <w:rPr>
                <w:w w:val="90"/>
                <w:sz w:val="16"/>
              </w:rPr>
              <w:t>en</w:t>
            </w:r>
            <w:r>
              <w:rPr>
                <w:spacing w:val="-9"/>
                <w:w w:val="90"/>
                <w:sz w:val="16"/>
              </w:rPr>
              <w:t> </w:t>
            </w:r>
            <w:r>
              <w:rPr>
                <w:w w:val="90"/>
                <w:sz w:val="16"/>
              </w:rPr>
              <w:t>Costa</w:t>
            </w:r>
            <w:r>
              <w:rPr>
                <w:spacing w:val="-10"/>
                <w:w w:val="90"/>
                <w:sz w:val="16"/>
              </w:rPr>
              <w:t> </w:t>
            </w:r>
            <w:r>
              <w:rPr>
                <w:w w:val="90"/>
                <w:sz w:val="16"/>
              </w:rPr>
              <w:t>Rica no se dan sanciones por concepto de </w:t>
            </w:r>
            <w:r>
              <w:rPr>
                <w:w w:val="85"/>
                <w:sz w:val="16"/>
              </w:rPr>
              <w:t>financiamiento</w:t>
            </w:r>
            <w:r>
              <w:rPr>
                <w:spacing w:val="-25"/>
                <w:w w:val="85"/>
                <w:sz w:val="16"/>
              </w:rPr>
              <w:t> </w:t>
            </w:r>
            <w:r>
              <w:rPr>
                <w:w w:val="85"/>
                <w:sz w:val="16"/>
              </w:rPr>
              <w:t>público,</w:t>
            </w:r>
            <w:r>
              <w:rPr>
                <w:spacing w:val="-26"/>
                <w:w w:val="85"/>
                <w:sz w:val="16"/>
              </w:rPr>
              <w:t> </w:t>
            </w:r>
            <w:r>
              <w:rPr>
                <w:w w:val="85"/>
                <w:sz w:val="16"/>
              </w:rPr>
              <w:t>pues</w:t>
            </w:r>
            <w:r>
              <w:rPr>
                <w:spacing w:val="-26"/>
                <w:w w:val="85"/>
                <w:sz w:val="16"/>
              </w:rPr>
              <w:t> </w:t>
            </w:r>
            <w:r>
              <w:rPr>
                <w:w w:val="85"/>
                <w:sz w:val="16"/>
              </w:rPr>
              <w:t>el</w:t>
            </w:r>
            <w:r>
              <w:rPr>
                <w:spacing w:val="-25"/>
                <w:w w:val="85"/>
                <w:sz w:val="16"/>
              </w:rPr>
              <w:t> </w:t>
            </w:r>
            <w:r>
              <w:rPr>
                <w:w w:val="85"/>
                <w:sz w:val="16"/>
              </w:rPr>
              <w:t>financiamiento </w:t>
            </w:r>
            <w:r>
              <w:rPr>
                <w:w w:val="90"/>
                <w:sz w:val="16"/>
              </w:rPr>
              <w:t>se</w:t>
            </w:r>
            <w:r>
              <w:rPr>
                <w:spacing w:val="-17"/>
                <w:w w:val="90"/>
                <w:sz w:val="16"/>
              </w:rPr>
              <w:t> </w:t>
            </w:r>
            <w:r>
              <w:rPr>
                <w:w w:val="90"/>
                <w:sz w:val="16"/>
              </w:rPr>
              <w:t>da</w:t>
            </w:r>
            <w:r>
              <w:rPr>
                <w:spacing w:val="-17"/>
                <w:w w:val="90"/>
                <w:sz w:val="16"/>
              </w:rPr>
              <w:t> </w:t>
            </w:r>
            <w:r>
              <w:rPr>
                <w:w w:val="90"/>
                <w:sz w:val="16"/>
              </w:rPr>
              <w:t>mediante</w:t>
            </w:r>
            <w:r>
              <w:rPr>
                <w:spacing w:val="-17"/>
                <w:w w:val="90"/>
                <w:sz w:val="16"/>
              </w:rPr>
              <w:t> </w:t>
            </w:r>
            <w:r>
              <w:rPr>
                <w:w w:val="90"/>
                <w:sz w:val="16"/>
              </w:rPr>
              <w:t>rembolso.</w:t>
            </w:r>
            <w:r>
              <w:rPr>
                <w:spacing w:val="-19"/>
                <w:w w:val="90"/>
                <w:sz w:val="16"/>
              </w:rPr>
              <w:t> </w:t>
            </w:r>
            <w:r>
              <w:rPr>
                <w:w w:val="90"/>
                <w:sz w:val="16"/>
              </w:rPr>
              <w:t>Los</w:t>
            </w:r>
            <w:r>
              <w:rPr>
                <w:spacing w:val="-18"/>
                <w:w w:val="90"/>
                <w:sz w:val="16"/>
              </w:rPr>
              <w:t> </w:t>
            </w:r>
            <w:r>
              <w:rPr>
                <w:w w:val="90"/>
                <w:sz w:val="16"/>
              </w:rPr>
              <w:t>únicos</w:t>
            </w:r>
            <w:r>
              <w:rPr>
                <w:spacing w:val="-18"/>
                <w:w w:val="90"/>
                <w:sz w:val="16"/>
              </w:rPr>
              <w:t> </w:t>
            </w:r>
            <w:r>
              <w:rPr>
                <w:w w:val="90"/>
                <w:sz w:val="16"/>
              </w:rPr>
              <w:t>datos que</w:t>
            </w:r>
            <w:r>
              <w:rPr>
                <w:spacing w:val="-17"/>
                <w:w w:val="90"/>
                <w:sz w:val="16"/>
              </w:rPr>
              <w:t> </w:t>
            </w:r>
            <w:r>
              <w:rPr>
                <w:w w:val="90"/>
                <w:sz w:val="16"/>
              </w:rPr>
              <w:t>se</w:t>
            </w:r>
            <w:r>
              <w:rPr>
                <w:spacing w:val="-18"/>
                <w:w w:val="90"/>
                <w:sz w:val="16"/>
              </w:rPr>
              <w:t> </w:t>
            </w:r>
            <w:r>
              <w:rPr>
                <w:w w:val="90"/>
                <w:sz w:val="16"/>
              </w:rPr>
              <w:t>tienen</w:t>
            </w:r>
            <w:r>
              <w:rPr>
                <w:spacing w:val="-18"/>
                <w:w w:val="90"/>
                <w:sz w:val="16"/>
              </w:rPr>
              <w:t> </w:t>
            </w:r>
            <w:r>
              <w:rPr>
                <w:w w:val="90"/>
                <w:sz w:val="16"/>
              </w:rPr>
              <w:t>en</w:t>
            </w:r>
            <w:r>
              <w:rPr>
                <w:spacing w:val="-18"/>
                <w:w w:val="90"/>
                <w:sz w:val="16"/>
              </w:rPr>
              <w:t> </w:t>
            </w:r>
            <w:r>
              <w:rPr>
                <w:w w:val="90"/>
                <w:sz w:val="16"/>
              </w:rPr>
              <w:t>Costa</w:t>
            </w:r>
            <w:r>
              <w:rPr>
                <w:spacing w:val="-18"/>
                <w:w w:val="90"/>
                <w:sz w:val="16"/>
              </w:rPr>
              <w:t> </w:t>
            </w:r>
            <w:r>
              <w:rPr>
                <w:w w:val="90"/>
                <w:sz w:val="16"/>
              </w:rPr>
              <w:t>Rica</w:t>
            </w:r>
            <w:r>
              <w:rPr>
                <w:spacing w:val="-17"/>
                <w:w w:val="90"/>
                <w:sz w:val="16"/>
              </w:rPr>
              <w:t> </w:t>
            </w:r>
            <w:r>
              <w:rPr>
                <w:w w:val="90"/>
                <w:sz w:val="16"/>
              </w:rPr>
              <w:t>son</w:t>
            </w:r>
            <w:r>
              <w:rPr>
                <w:spacing w:val="-18"/>
                <w:w w:val="90"/>
                <w:sz w:val="16"/>
              </w:rPr>
              <w:t> </w:t>
            </w:r>
            <w:r>
              <w:rPr>
                <w:w w:val="90"/>
                <w:sz w:val="16"/>
              </w:rPr>
              <w:t>relativos</w:t>
            </w:r>
            <w:r>
              <w:rPr>
                <w:spacing w:val="-18"/>
                <w:w w:val="90"/>
                <w:sz w:val="16"/>
              </w:rPr>
              <w:t> </w:t>
            </w:r>
            <w:r>
              <w:rPr>
                <w:w w:val="90"/>
                <w:sz w:val="16"/>
              </w:rPr>
              <w:t>al financiamiento</w:t>
            </w:r>
            <w:r>
              <w:rPr>
                <w:spacing w:val="-15"/>
                <w:w w:val="90"/>
                <w:sz w:val="16"/>
              </w:rPr>
              <w:t> </w:t>
            </w:r>
            <w:r>
              <w:rPr>
                <w:w w:val="90"/>
                <w:sz w:val="16"/>
              </w:rPr>
              <w:t>privado,</w:t>
            </w:r>
            <w:r>
              <w:rPr>
                <w:spacing w:val="-15"/>
                <w:w w:val="90"/>
                <w:sz w:val="16"/>
              </w:rPr>
              <w:t> </w:t>
            </w:r>
            <w:r>
              <w:rPr>
                <w:w w:val="90"/>
                <w:sz w:val="16"/>
              </w:rPr>
              <w:t>el</w:t>
            </w:r>
            <w:r>
              <w:rPr>
                <w:spacing w:val="-15"/>
                <w:w w:val="90"/>
                <w:sz w:val="16"/>
              </w:rPr>
              <w:t> </w:t>
            </w:r>
            <w:r>
              <w:rPr>
                <w:w w:val="90"/>
                <w:sz w:val="16"/>
              </w:rPr>
              <w:t>cual</w:t>
            </w:r>
            <w:r>
              <w:rPr>
                <w:spacing w:val="-15"/>
                <w:w w:val="90"/>
                <w:sz w:val="16"/>
              </w:rPr>
              <w:t> </w:t>
            </w:r>
            <w:r>
              <w:rPr>
                <w:w w:val="90"/>
                <w:sz w:val="16"/>
              </w:rPr>
              <w:t>no</w:t>
            </w:r>
            <w:r>
              <w:rPr>
                <w:spacing w:val="-15"/>
                <w:w w:val="90"/>
                <w:sz w:val="16"/>
              </w:rPr>
              <w:t> </w:t>
            </w:r>
            <w:r>
              <w:rPr>
                <w:w w:val="90"/>
                <w:sz w:val="16"/>
              </w:rPr>
              <w:t>es</w:t>
            </w:r>
            <w:r>
              <w:rPr>
                <w:spacing w:val="-16"/>
                <w:w w:val="90"/>
                <w:sz w:val="16"/>
              </w:rPr>
              <w:t> </w:t>
            </w:r>
            <w:r>
              <w:rPr>
                <w:w w:val="90"/>
                <w:sz w:val="16"/>
              </w:rPr>
              <w:t>objeto de</w:t>
            </w:r>
            <w:r>
              <w:rPr>
                <w:spacing w:val="-13"/>
                <w:w w:val="90"/>
                <w:sz w:val="16"/>
              </w:rPr>
              <w:t> </w:t>
            </w:r>
            <w:r>
              <w:rPr>
                <w:w w:val="90"/>
                <w:sz w:val="16"/>
              </w:rPr>
              <w:t>la</w:t>
            </w:r>
            <w:r>
              <w:rPr>
                <w:spacing w:val="-14"/>
                <w:w w:val="90"/>
                <w:sz w:val="16"/>
              </w:rPr>
              <w:t> </w:t>
            </w:r>
            <w:r>
              <w:rPr>
                <w:w w:val="90"/>
                <w:sz w:val="16"/>
              </w:rPr>
              <w:t>presente</w:t>
            </w:r>
            <w:r>
              <w:rPr>
                <w:spacing w:val="-13"/>
                <w:w w:val="90"/>
                <w:sz w:val="16"/>
              </w:rPr>
              <w:t> </w:t>
            </w:r>
            <w:r>
              <w:rPr>
                <w:w w:val="90"/>
                <w:sz w:val="16"/>
              </w:rPr>
              <w:t>investigación</w:t>
            </w:r>
            <w:r>
              <w:rPr>
                <w:spacing w:val="-13"/>
                <w:w w:val="90"/>
                <w:sz w:val="16"/>
              </w:rPr>
              <w:t> </w:t>
            </w:r>
            <w:r>
              <w:rPr>
                <w:w w:val="90"/>
                <w:sz w:val="16"/>
              </w:rPr>
              <w:t>pues</w:t>
            </w:r>
            <w:r>
              <w:rPr>
                <w:spacing w:val="-14"/>
                <w:w w:val="90"/>
                <w:sz w:val="16"/>
              </w:rPr>
              <w:t> </w:t>
            </w:r>
            <w:r>
              <w:rPr>
                <w:w w:val="90"/>
                <w:sz w:val="16"/>
              </w:rPr>
              <w:t>los</w:t>
            </w:r>
            <w:r>
              <w:rPr>
                <w:spacing w:val="-14"/>
                <w:w w:val="90"/>
                <w:sz w:val="16"/>
              </w:rPr>
              <w:t> </w:t>
            </w:r>
            <w:r>
              <w:rPr>
                <w:w w:val="90"/>
                <w:sz w:val="16"/>
              </w:rPr>
              <w:t>datos que</w:t>
            </w:r>
            <w:r>
              <w:rPr>
                <w:spacing w:val="-14"/>
                <w:w w:val="90"/>
                <w:sz w:val="16"/>
              </w:rPr>
              <w:t> </w:t>
            </w:r>
            <w:r>
              <w:rPr>
                <w:w w:val="90"/>
                <w:sz w:val="16"/>
              </w:rPr>
              <w:t>se</w:t>
            </w:r>
            <w:r>
              <w:rPr>
                <w:spacing w:val="-14"/>
                <w:w w:val="90"/>
                <w:sz w:val="16"/>
              </w:rPr>
              <w:t> </w:t>
            </w:r>
            <w:r>
              <w:rPr>
                <w:w w:val="90"/>
                <w:sz w:val="16"/>
              </w:rPr>
              <w:t>tienen</w:t>
            </w:r>
            <w:r>
              <w:rPr>
                <w:spacing w:val="-15"/>
                <w:w w:val="90"/>
                <w:sz w:val="16"/>
              </w:rPr>
              <w:t> </w:t>
            </w:r>
            <w:r>
              <w:rPr>
                <w:w w:val="90"/>
                <w:sz w:val="16"/>
              </w:rPr>
              <w:t>al</w:t>
            </w:r>
            <w:r>
              <w:rPr>
                <w:spacing w:val="-14"/>
                <w:w w:val="90"/>
                <w:sz w:val="16"/>
              </w:rPr>
              <w:t> </w:t>
            </w:r>
            <w:r>
              <w:rPr>
                <w:w w:val="90"/>
                <w:sz w:val="16"/>
              </w:rPr>
              <w:t>respecto</w:t>
            </w:r>
            <w:r>
              <w:rPr>
                <w:spacing w:val="-15"/>
                <w:w w:val="90"/>
                <w:sz w:val="16"/>
              </w:rPr>
              <w:t> </w:t>
            </w:r>
            <w:r>
              <w:rPr>
                <w:w w:val="90"/>
                <w:sz w:val="16"/>
              </w:rPr>
              <w:t>no</w:t>
            </w:r>
            <w:r>
              <w:rPr>
                <w:spacing w:val="-14"/>
                <w:w w:val="90"/>
                <w:sz w:val="16"/>
              </w:rPr>
              <w:t> </w:t>
            </w:r>
            <w:r>
              <w:rPr>
                <w:w w:val="90"/>
                <w:sz w:val="16"/>
              </w:rPr>
              <w:t>son</w:t>
            </w:r>
            <w:r>
              <w:rPr>
                <w:spacing w:val="-14"/>
                <w:w w:val="90"/>
                <w:sz w:val="16"/>
              </w:rPr>
              <w:t> </w:t>
            </w:r>
            <w:r>
              <w:rPr>
                <w:w w:val="90"/>
                <w:sz w:val="16"/>
              </w:rPr>
              <w:t>confiables en ninguno de los dos países objeto de estudio.</w:t>
            </w:r>
          </w:p>
        </w:tc>
        <w:tc>
          <w:tcPr>
            <w:tcW w:w="2410" w:type="dxa"/>
          </w:tcPr>
          <w:p>
            <w:pPr>
              <w:pStyle w:val="TableParagraph"/>
              <w:ind w:left="-1" w:firstLine="36"/>
              <w:jc w:val="both"/>
              <w:rPr>
                <w:sz w:val="16"/>
              </w:rPr>
            </w:pPr>
            <w:r>
              <w:rPr>
                <w:w w:val="90"/>
                <w:sz w:val="16"/>
              </w:rPr>
              <w:t>Promedio</w:t>
            </w:r>
            <w:r>
              <w:rPr>
                <w:spacing w:val="-14"/>
                <w:w w:val="90"/>
                <w:sz w:val="16"/>
              </w:rPr>
              <w:t> </w:t>
            </w:r>
            <w:r>
              <w:rPr>
                <w:w w:val="90"/>
                <w:sz w:val="16"/>
              </w:rPr>
              <w:t>de</w:t>
            </w:r>
            <w:r>
              <w:rPr>
                <w:spacing w:val="-14"/>
                <w:w w:val="90"/>
                <w:sz w:val="16"/>
              </w:rPr>
              <w:t> </w:t>
            </w:r>
            <w:r>
              <w:rPr>
                <w:w w:val="90"/>
                <w:sz w:val="16"/>
              </w:rPr>
              <w:t>sanciones</w:t>
            </w:r>
            <w:r>
              <w:rPr>
                <w:spacing w:val="-15"/>
                <w:w w:val="90"/>
                <w:sz w:val="16"/>
              </w:rPr>
              <w:t> </w:t>
            </w:r>
            <w:r>
              <w:rPr>
                <w:w w:val="90"/>
                <w:sz w:val="16"/>
              </w:rPr>
              <w:t>del</w:t>
            </w:r>
            <w:r>
              <w:rPr>
                <w:spacing w:val="-14"/>
                <w:w w:val="90"/>
                <w:sz w:val="16"/>
              </w:rPr>
              <w:t> </w:t>
            </w:r>
            <w:r>
              <w:rPr>
                <w:w w:val="90"/>
                <w:sz w:val="16"/>
              </w:rPr>
              <w:t>Estado</w:t>
            </w:r>
            <w:r>
              <w:rPr>
                <w:spacing w:val="-14"/>
                <w:w w:val="90"/>
                <w:sz w:val="16"/>
              </w:rPr>
              <w:t> </w:t>
            </w:r>
            <w:r>
              <w:rPr>
                <w:w w:val="90"/>
                <w:sz w:val="16"/>
              </w:rPr>
              <w:t>de México</w:t>
            </w:r>
            <w:r>
              <w:rPr>
                <w:spacing w:val="-17"/>
                <w:w w:val="90"/>
                <w:sz w:val="16"/>
              </w:rPr>
              <w:t> </w:t>
            </w:r>
            <w:r>
              <w:rPr>
                <w:w w:val="90"/>
                <w:sz w:val="16"/>
              </w:rPr>
              <w:t>comparado</w:t>
            </w:r>
            <w:r>
              <w:rPr>
                <w:spacing w:val="-18"/>
                <w:w w:val="90"/>
                <w:sz w:val="16"/>
              </w:rPr>
              <w:t> </w:t>
            </w:r>
            <w:r>
              <w:rPr>
                <w:w w:val="90"/>
                <w:sz w:val="16"/>
              </w:rPr>
              <w:t>con</w:t>
            </w:r>
            <w:r>
              <w:rPr>
                <w:spacing w:val="-17"/>
                <w:w w:val="90"/>
                <w:sz w:val="16"/>
              </w:rPr>
              <w:t> </w:t>
            </w:r>
            <w:r>
              <w:rPr>
                <w:w w:val="90"/>
                <w:sz w:val="16"/>
              </w:rPr>
              <w:t>el</w:t>
            </w:r>
            <w:r>
              <w:rPr>
                <w:spacing w:val="-19"/>
                <w:w w:val="90"/>
                <w:sz w:val="16"/>
              </w:rPr>
              <w:t> </w:t>
            </w:r>
            <w:r>
              <w:rPr>
                <w:w w:val="90"/>
                <w:sz w:val="16"/>
              </w:rPr>
              <w:t>promedio</w:t>
            </w:r>
            <w:r>
              <w:rPr>
                <w:spacing w:val="-17"/>
                <w:w w:val="90"/>
                <w:sz w:val="16"/>
              </w:rPr>
              <w:t> </w:t>
            </w:r>
            <w:r>
              <w:rPr>
                <w:w w:val="90"/>
                <w:sz w:val="16"/>
              </w:rPr>
              <w:t>de sanciones por estado en la</w:t>
            </w:r>
            <w:r>
              <w:rPr>
                <w:spacing w:val="-12"/>
                <w:w w:val="90"/>
                <w:sz w:val="16"/>
              </w:rPr>
              <w:t> </w:t>
            </w:r>
            <w:r>
              <w:rPr>
                <w:w w:val="90"/>
                <w:sz w:val="16"/>
              </w:rPr>
              <w:t>República Mexicana.</w:t>
            </w:r>
          </w:p>
        </w:tc>
        <w:tc>
          <w:tcPr>
            <w:tcW w:w="1419" w:type="dxa"/>
          </w:tcPr>
          <w:p>
            <w:pPr>
              <w:pStyle w:val="TableParagraph"/>
              <w:tabs>
                <w:tab w:pos="1000" w:val="left" w:leader="none"/>
              </w:tabs>
              <w:ind w:left="-1" w:right="-2"/>
              <w:jc w:val="both"/>
              <w:rPr>
                <w:sz w:val="16"/>
              </w:rPr>
            </w:pPr>
            <w:r>
              <w:rPr>
                <w:w w:val="90"/>
                <w:sz w:val="16"/>
              </w:rPr>
              <w:t>Informes de partidos</w:t>
            </w:r>
            <w:r>
              <w:rPr>
                <w:spacing w:val="-27"/>
                <w:w w:val="90"/>
                <w:sz w:val="16"/>
              </w:rPr>
              <w:t> </w:t>
            </w:r>
            <w:r>
              <w:rPr>
                <w:w w:val="90"/>
                <w:sz w:val="16"/>
              </w:rPr>
              <w:t>a </w:t>
            </w:r>
            <w:r>
              <w:rPr>
                <w:w w:val="85"/>
                <w:sz w:val="16"/>
              </w:rPr>
              <w:t>los</w:t>
            </w:r>
            <w:r>
              <w:rPr>
                <w:spacing w:val="-17"/>
                <w:w w:val="85"/>
                <w:sz w:val="16"/>
              </w:rPr>
              <w:t> </w:t>
            </w:r>
            <w:r>
              <w:rPr>
                <w:w w:val="85"/>
                <w:sz w:val="16"/>
              </w:rPr>
              <w:t>órganos</w:t>
            </w:r>
            <w:r>
              <w:rPr>
                <w:spacing w:val="-17"/>
                <w:w w:val="85"/>
                <w:sz w:val="16"/>
              </w:rPr>
              <w:t> </w:t>
            </w:r>
            <w:r>
              <w:rPr>
                <w:w w:val="85"/>
                <w:sz w:val="16"/>
              </w:rPr>
              <w:t>electorales; así como sentencias</w:t>
            </w:r>
            <w:r>
              <w:rPr>
                <w:spacing w:val="-27"/>
                <w:w w:val="85"/>
                <w:sz w:val="16"/>
              </w:rPr>
              <w:t> </w:t>
            </w:r>
            <w:r>
              <w:rPr>
                <w:w w:val="85"/>
                <w:sz w:val="16"/>
              </w:rPr>
              <w:t>de </w:t>
            </w:r>
            <w:r>
              <w:rPr>
                <w:w w:val="90"/>
                <w:sz w:val="16"/>
              </w:rPr>
              <w:t>tribunales, COFIPE, CEEM,</w:t>
              <w:tab/>
            </w:r>
            <w:r>
              <w:rPr>
                <w:w w:val="80"/>
                <w:sz w:val="16"/>
              </w:rPr>
              <w:t>CECR,</w:t>
            </w:r>
          </w:p>
          <w:p>
            <w:pPr>
              <w:pStyle w:val="TableParagraph"/>
              <w:spacing w:before="1"/>
              <w:ind w:left="-1" w:right="423"/>
              <w:rPr>
                <w:sz w:val="16"/>
              </w:rPr>
            </w:pPr>
            <w:r>
              <w:rPr>
                <w:w w:val="85"/>
                <w:sz w:val="16"/>
              </w:rPr>
              <w:t>constituciones, </w:t>
            </w:r>
            <w:r>
              <w:rPr>
                <w:w w:val="80"/>
                <w:sz w:val="16"/>
              </w:rPr>
              <w:t>impugnaciones.</w:t>
            </w:r>
          </w:p>
        </w:tc>
        <w:tc>
          <w:tcPr>
            <w:tcW w:w="1560" w:type="dxa"/>
          </w:tcPr>
          <w:p>
            <w:pPr>
              <w:pStyle w:val="TableParagraph"/>
              <w:spacing w:line="180" w:lineRule="exact"/>
              <w:ind w:right="100"/>
              <w:rPr>
                <w:sz w:val="16"/>
              </w:rPr>
            </w:pPr>
            <w:r>
              <w:rPr>
                <w:w w:val="80"/>
                <w:sz w:val="16"/>
              </w:rPr>
              <w:t>Sin evaluación</w:t>
            </w:r>
          </w:p>
        </w:tc>
      </w:tr>
      <w:tr>
        <w:trPr>
          <w:trHeight w:val="2030" w:hRule="exact"/>
        </w:trPr>
        <w:tc>
          <w:tcPr>
            <w:tcW w:w="1275" w:type="dxa"/>
            <w:vMerge/>
          </w:tcPr>
          <w:p>
            <w:pPr/>
          </w:p>
        </w:tc>
        <w:tc>
          <w:tcPr>
            <w:tcW w:w="1135" w:type="dxa"/>
          </w:tcPr>
          <w:p>
            <w:pPr>
              <w:pStyle w:val="TableParagraph"/>
              <w:tabs>
                <w:tab w:pos="868" w:val="left" w:leader="none"/>
              </w:tabs>
              <w:spacing w:line="181" w:lineRule="exact"/>
              <w:rPr>
                <w:rFonts w:ascii="Trebuchet MS"/>
                <w:b/>
                <w:sz w:val="16"/>
              </w:rPr>
            </w:pPr>
            <w:r>
              <w:rPr>
                <w:rFonts w:ascii="Trebuchet MS"/>
                <w:b/>
                <w:w w:val="95"/>
                <w:sz w:val="16"/>
              </w:rPr>
              <w:t>Rebase</w:t>
              <w:tab/>
              <w:t>de</w:t>
            </w:r>
          </w:p>
          <w:p>
            <w:pPr>
              <w:pStyle w:val="TableParagraph"/>
              <w:tabs>
                <w:tab w:pos="868" w:val="left" w:leader="none"/>
              </w:tabs>
              <w:spacing w:line="184" w:lineRule="exact"/>
              <w:rPr>
                <w:rFonts w:ascii="Trebuchet MS"/>
                <w:b/>
                <w:sz w:val="16"/>
              </w:rPr>
            </w:pPr>
            <w:r>
              <w:rPr>
                <w:rFonts w:ascii="Trebuchet MS"/>
                <w:b/>
                <w:w w:val="95"/>
                <w:sz w:val="16"/>
              </w:rPr>
              <w:t>topes</w:t>
              <w:tab/>
              <w:t>de</w:t>
            </w:r>
          </w:p>
          <w:p>
            <w:pPr>
              <w:pStyle w:val="TableParagraph"/>
              <w:tabs>
                <w:tab w:pos="868" w:val="left" w:leader="none"/>
              </w:tabs>
              <w:spacing w:line="184" w:lineRule="exact"/>
              <w:rPr>
                <w:rFonts w:ascii="Trebuchet MS"/>
                <w:b/>
                <w:sz w:val="16"/>
              </w:rPr>
            </w:pPr>
            <w:r>
              <w:rPr>
                <w:rFonts w:ascii="Trebuchet MS"/>
                <w:b/>
                <w:w w:val="95"/>
                <w:sz w:val="16"/>
              </w:rPr>
              <w:t>gasto</w:t>
              <w:tab/>
              <w:t>de</w:t>
            </w:r>
          </w:p>
          <w:p>
            <w:pPr>
              <w:pStyle w:val="TableParagraph"/>
              <w:tabs>
                <w:tab w:pos="940" w:val="left" w:leader="none"/>
              </w:tabs>
              <w:spacing w:line="237" w:lineRule="auto" w:before="1"/>
              <w:ind w:right="102"/>
              <w:rPr>
                <w:rFonts w:ascii="Trebuchet MS" w:hAnsi="Trebuchet MS"/>
                <w:b/>
                <w:sz w:val="16"/>
              </w:rPr>
            </w:pPr>
            <w:r>
              <w:rPr>
                <w:rFonts w:ascii="Trebuchet MS" w:hAnsi="Trebuchet MS"/>
                <w:b/>
                <w:w w:val="90"/>
                <w:sz w:val="16"/>
              </w:rPr>
              <w:t>campaña</w:t>
              <w:tab/>
              <w:t>o </w:t>
            </w:r>
            <w:r>
              <w:rPr>
                <w:rFonts w:ascii="Trebuchet MS" w:hAnsi="Trebuchet MS"/>
                <w:b/>
                <w:w w:val="95"/>
                <w:sz w:val="16"/>
              </w:rPr>
              <w:t>montos máximos.</w:t>
            </w:r>
          </w:p>
        </w:tc>
        <w:tc>
          <w:tcPr>
            <w:tcW w:w="2693" w:type="dxa"/>
          </w:tcPr>
          <w:p>
            <w:pPr>
              <w:pStyle w:val="TableParagraph"/>
              <w:ind w:left="0" w:right="118"/>
              <w:rPr>
                <w:sz w:val="16"/>
              </w:rPr>
            </w:pPr>
            <w:r>
              <w:rPr>
                <w:w w:val="90"/>
                <w:sz w:val="16"/>
              </w:rPr>
              <w:t>Respeto a topes de campaña o montos máximos.</w:t>
            </w:r>
          </w:p>
        </w:tc>
        <w:tc>
          <w:tcPr>
            <w:tcW w:w="2410" w:type="dxa"/>
          </w:tcPr>
          <w:p>
            <w:pPr>
              <w:pStyle w:val="TableParagraph"/>
              <w:ind w:left="-1" w:right="-2"/>
              <w:jc w:val="both"/>
              <w:rPr>
                <w:sz w:val="16"/>
              </w:rPr>
            </w:pPr>
            <w:r>
              <w:rPr>
                <w:w w:val="90"/>
                <w:sz w:val="16"/>
              </w:rPr>
              <w:t>Rebase</w:t>
            </w:r>
            <w:r>
              <w:rPr>
                <w:spacing w:val="-13"/>
                <w:w w:val="90"/>
                <w:sz w:val="16"/>
              </w:rPr>
              <w:t> </w:t>
            </w:r>
            <w:r>
              <w:rPr>
                <w:w w:val="90"/>
                <w:sz w:val="16"/>
              </w:rPr>
              <w:t>a</w:t>
            </w:r>
            <w:r>
              <w:rPr>
                <w:spacing w:val="-13"/>
                <w:w w:val="90"/>
                <w:sz w:val="16"/>
              </w:rPr>
              <w:t> </w:t>
            </w:r>
            <w:r>
              <w:rPr>
                <w:w w:val="90"/>
                <w:sz w:val="16"/>
              </w:rPr>
              <w:t>topes</w:t>
            </w:r>
            <w:r>
              <w:rPr>
                <w:spacing w:val="-14"/>
                <w:w w:val="90"/>
                <w:sz w:val="16"/>
              </w:rPr>
              <w:t> </w:t>
            </w:r>
            <w:r>
              <w:rPr>
                <w:w w:val="90"/>
                <w:sz w:val="16"/>
              </w:rPr>
              <w:t>de</w:t>
            </w:r>
            <w:r>
              <w:rPr>
                <w:spacing w:val="-13"/>
                <w:w w:val="90"/>
                <w:sz w:val="16"/>
              </w:rPr>
              <w:t> </w:t>
            </w:r>
            <w:r>
              <w:rPr>
                <w:w w:val="90"/>
                <w:sz w:val="16"/>
              </w:rPr>
              <w:t>campaña</w:t>
            </w:r>
            <w:r>
              <w:rPr>
                <w:spacing w:val="-15"/>
                <w:w w:val="90"/>
                <w:sz w:val="16"/>
              </w:rPr>
              <w:t> </w:t>
            </w:r>
            <w:r>
              <w:rPr>
                <w:w w:val="90"/>
                <w:sz w:val="16"/>
              </w:rPr>
              <w:t>o</w:t>
            </w:r>
            <w:r>
              <w:rPr>
                <w:spacing w:val="-13"/>
                <w:w w:val="90"/>
                <w:sz w:val="16"/>
              </w:rPr>
              <w:t> </w:t>
            </w:r>
            <w:r>
              <w:rPr>
                <w:w w:val="90"/>
                <w:sz w:val="16"/>
              </w:rPr>
              <w:t>montos </w:t>
            </w:r>
            <w:r>
              <w:rPr>
                <w:w w:val="85"/>
                <w:sz w:val="16"/>
              </w:rPr>
              <w:t>máximos</w:t>
            </w:r>
            <w:r>
              <w:rPr>
                <w:spacing w:val="-18"/>
                <w:w w:val="85"/>
                <w:sz w:val="16"/>
              </w:rPr>
              <w:t> </w:t>
            </w:r>
            <w:r>
              <w:rPr>
                <w:w w:val="85"/>
                <w:sz w:val="16"/>
              </w:rPr>
              <w:t>de</w:t>
            </w:r>
            <w:r>
              <w:rPr>
                <w:spacing w:val="-18"/>
                <w:w w:val="85"/>
                <w:sz w:val="16"/>
              </w:rPr>
              <w:t> </w:t>
            </w:r>
            <w:r>
              <w:rPr>
                <w:w w:val="85"/>
                <w:sz w:val="16"/>
              </w:rPr>
              <w:t>acuerdo</w:t>
            </w:r>
            <w:r>
              <w:rPr>
                <w:spacing w:val="-16"/>
                <w:w w:val="85"/>
                <w:sz w:val="16"/>
              </w:rPr>
              <w:t> </w:t>
            </w:r>
            <w:r>
              <w:rPr>
                <w:w w:val="85"/>
                <w:sz w:val="16"/>
              </w:rPr>
              <w:t>con</w:t>
            </w:r>
            <w:r>
              <w:rPr>
                <w:spacing w:val="-16"/>
                <w:w w:val="85"/>
                <w:sz w:val="16"/>
              </w:rPr>
              <w:t> </w:t>
            </w:r>
            <w:r>
              <w:rPr>
                <w:w w:val="85"/>
                <w:sz w:val="16"/>
              </w:rPr>
              <w:t>lo</w:t>
            </w:r>
            <w:r>
              <w:rPr>
                <w:spacing w:val="-16"/>
                <w:w w:val="85"/>
                <w:sz w:val="16"/>
              </w:rPr>
              <w:t> </w:t>
            </w:r>
            <w:r>
              <w:rPr>
                <w:w w:val="85"/>
                <w:sz w:val="16"/>
              </w:rPr>
              <w:t>señalado</w:t>
            </w:r>
            <w:r>
              <w:rPr>
                <w:spacing w:val="-18"/>
                <w:w w:val="85"/>
                <w:sz w:val="16"/>
              </w:rPr>
              <w:t> </w:t>
            </w:r>
            <w:r>
              <w:rPr>
                <w:w w:val="85"/>
                <w:sz w:val="16"/>
              </w:rPr>
              <w:t>por los</w:t>
            </w:r>
            <w:r>
              <w:rPr>
                <w:spacing w:val="-9"/>
                <w:w w:val="85"/>
                <w:sz w:val="16"/>
              </w:rPr>
              <w:t> </w:t>
            </w:r>
            <w:r>
              <w:rPr>
                <w:w w:val="85"/>
                <w:sz w:val="16"/>
              </w:rPr>
              <w:t>órganos</w:t>
            </w:r>
            <w:r>
              <w:rPr>
                <w:spacing w:val="-9"/>
                <w:w w:val="85"/>
                <w:sz w:val="16"/>
              </w:rPr>
              <w:t> </w:t>
            </w:r>
            <w:r>
              <w:rPr>
                <w:w w:val="85"/>
                <w:sz w:val="16"/>
              </w:rPr>
              <w:t>de</w:t>
            </w:r>
            <w:r>
              <w:rPr>
                <w:spacing w:val="-7"/>
                <w:w w:val="85"/>
                <w:sz w:val="16"/>
              </w:rPr>
              <w:t> </w:t>
            </w:r>
            <w:r>
              <w:rPr>
                <w:w w:val="85"/>
                <w:sz w:val="16"/>
              </w:rPr>
              <w:t>fiscalización</w:t>
            </w:r>
            <w:r>
              <w:rPr>
                <w:spacing w:val="-7"/>
                <w:w w:val="85"/>
                <w:sz w:val="16"/>
              </w:rPr>
              <w:t> </w:t>
            </w:r>
            <w:r>
              <w:rPr>
                <w:w w:val="85"/>
                <w:sz w:val="16"/>
              </w:rPr>
              <w:t>a</w:t>
            </w:r>
            <w:r>
              <w:rPr>
                <w:spacing w:val="-7"/>
                <w:w w:val="85"/>
                <w:sz w:val="16"/>
              </w:rPr>
              <w:t> </w:t>
            </w:r>
            <w:r>
              <w:rPr>
                <w:w w:val="85"/>
                <w:sz w:val="16"/>
              </w:rPr>
              <w:t>la</w:t>
            </w:r>
            <w:r>
              <w:rPr>
                <w:spacing w:val="-7"/>
                <w:w w:val="85"/>
                <w:sz w:val="16"/>
              </w:rPr>
              <w:t> </w:t>
            </w:r>
            <w:r>
              <w:rPr>
                <w:w w:val="85"/>
                <w:sz w:val="16"/>
              </w:rPr>
              <w:t>revisión </w:t>
            </w:r>
            <w:r>
              <w:rPr>
                <w:w w:val="90"/>
                <w:sz w:val="16"/>
              </w:rPr>
              <w:t>de sus informes o por sentencias emitidas debido a impugnaciones </w:t>
            </w:r>
            <w:r>
              <w:rPr>
                <w:w w:val="80"/>
                <w:sz w:val="16"/>
              </w:rPr>
              <w:t>interpuestas por otros</w:t>
            </w:r>
            <w:r>
              <w:rPr>
                <w:spacing w:val="25"/>
                <w:w w:val="80"/>
                <w:sz w:val="16"/>
              </w:rPr>
              <w:t> </w:t>
            </w:r>
            <w:r>
              <w:rPr>
                <w:w w:val="80"/>
                <w:sz w:val="16"/>
              </w:rPr>
              <w:t>partidos.</w:t>
            </w:r>
          </w:p>
        </w:tc>
        <w:tc>
          <w:tcPr>
            <w:tcW w:w="1419" w:type="dxa"/>
          </w:tcPr>
          <w:p>
            <w:pPr>
              <w:pStyle w:val="TableParagraph"/>
              <w:tabs>
                <w:tab w:pos="1000" w:val="left" w:leader="none"/>
              </w:tabs>
              <w:ind w:left="-1" w:right="-2"/>
              <w:jc w:val="both"/>
              <w:rPr>
                <w:sz w:val="16"/>
              </w:rPr>
            </w:pPr>
            <w:r>
              <w:rPr>
                <w:w w:val="90"/>
                <w:sz w:val="16"/>
              </w:rPr>
              <w:t>Informes de partidos</w:t>
            </w:r>
            <w:r>
              <w:rPr>
                <w:spacing w:val="-27"/>
                <w:w w:val="90"/>
                <w:sz w:val="16"/>
              </w:rPr>
              <w:t> </w:t>
            </w:r>
            <w:r>
              <w:rPr>
                <w:w w:val="90"/>
                <w:sz w:val="16"/>
              </w:rPr>
              <w:t>a </w:t>
            </w:r>
            <w:r>
              <w:rPr>
                <w:w w:val="85"/>
                <w:sz w:val="16"/>
              </w:rPr>
              <w:t>los</w:t>
            </w:r>
            <w:r>
              <w:rPr>
                <w:spacing w:val="-16"/>
                <w:w w:val="85"/>
                <w:sz w:val="16"/>
              </w:rPr>
              <w:t> </w:t>
            </w:r>
            <w:r>
              <w:rPr>
                <w:w w:val="85"/>
                <w:sz w:val="16"/>
              </w:rPr>
              <w:t>órganos</w:t>
            </w:r>
            <w:r>
              <w:rPr>
                <w:spacing w:val="-16"/>
                <w:w w:val="85"/>
                <w:sz w:val="16"/>
              </w:rPr>
              <w:t> </w:t>
            </w:r>
            <w:r>
              <w:rPr>
                <w:w w:val="85"/>
                <w:sz w:val="16"/>
              </w:rPr>
              <w:t>electorales; así como sentencias</w:t>
            </w:r>
            <w:r>
              <w:rPr>
                <w:spacing w:val="-27"/>
                <w:w w:val="85"/>
                <w:sz w:val="16"/>
              </w:rPr>
              <w:t> </w:t>
            </w:r>
            <w:r>
              <w:rPr>
                <w:w w:val="85"/>
                <w:sz w:val="16"/>
              </w:rPr>
              <w:t>de </w:t>
            </w:r>
            <w:r>
              <w:rPr>
                <w:w w:val="90"/>
                <w:sz w:val="16"/>
              </w:rPr>
              <w:t>tribunales, COFIPE, CEEM,</w:t>
              <w:tab/>
            </w:r>
            <w:r>
              <w:rPr>
                <w:w w:val="80"/>
                <w:sz w:val="16"/>
              </w:rPr>
              <w:t>CECR,</w:t>
            </w:r>
          </w:p>
          <w:p>
            <w:pPr>
              <w:pStyle w:val="TableParagraph"/>
              <w:tabs>
                <w:tab w:pos="1343" w:val="left" w:leader="none"/>
              </w:tabs>
              <w:spacing w:before="1"/>
              <w:ind w:left="-1" w:right="-1"/>
              <w:rPr>
                <w:sz w:val="16"/>
              </w:rPr>
            </w:pPr>
            <w:r>
              <w:rPr>
                <w:w w:val="90"/>
                <w:sz w:val="16"/>
              </w:rPr>
              <w:t>constituciones, impugnaciones, </w:t>
            </w:r>
            <w:r>
              <w:rPr>
                <w:w w:val="85"/>
                <w:sz w:val="16"/>
              </w:rPr>
              <w:t>monitoreos</w:t>
              <w:tab/>
            </w:r>
            <w:r>
              <w:rPr>
                <w:w w:val="80"/>
                <w:sz w:val="16"/>
              </w:rPr>
              <w:t>y</w:t>
            </w:r>
          </w:p>
          <w:p>
            <w:pPr>
              <w:pStyle w:val="TableParagraph"/>
              <w:tabs>
                <w:tab w:pos="1261" w:val="left" w:leader="none"/>
              </w:tabs>
              <w:ind w:left="-1" w:right="-1"/>
              <w:rPr>
                <w:sz w:val="16"/>
              </w:rPr>
            </w:pPr>
            <w:r>
              <w:rPr>
                <w:w w:val="85"/>
                <w:sz w:val="16"/>
              </w:rPr>
              <w:t>dictámenes</w:t>
              <w:tab/>
            </w:r>
            <w:r>
              <w:rPr>
                <w:w w:val="80"/>
                <w:sz w:val="16"/>
              </w:rPr>
              <w:t>de </w:t>
            </w:r>
            <w:r>
              <w:rPr>
                <w:w w:val="90"/>
                <w:sz w:val="16"/>
              </w:rPr>
              <w:t>comisiones fiscalizadoras.</w:t>
            </w:r>
          </w:p>
        </w:tc>
        <w:tc>
          <w:tcPr>
            <w:tcW w:w="1560" w:type="dxa"/>
          </w:tcPr>
          <w:p>
            <w:pPr>
              <w:pStyle w:val="TableParagraph"/>
              <w:ind w:right="100"/>
              <w:jc w:val="both"/>
              <w:rPr>
                <w:sz w:val="16"/>
              </w:rPr>
            </w:pPr>
            <w:r>
              <w:rPr>
                <w:w w:val="90"/>
                <w:sz w:val="16"/>
              </w:rPr>
              <w:t>No</w:t>
            </w:r>
            <w:r>
              <w:rPr>
                <w:spacing w:val="-15"/>
                <w:w w:val="90"/>
                <w:sz w:val="16"/>
              </w:rPr>
              <w:t> </w:t>
            </w:r>
            <w:r>
              <w:rPr>
                <w:w w:val="90"/>
                <w:sz w:val="16"/>
              </w:rPr>
              <w:t>se</w:t>
            </w:r>
            <w:r>
              <w:rPr>
                <w:spacing w:val="-15"/>
                <w:w w:val="90"/>
                <w:sz w:val="16"/>
              </w:rPr>
              <w:t> </w:t>
            </w:r>
            <w:r>
              <w:rPr>
                <w:w w:val="90"/>
                <w:sz w:val="16"/>
              </w:rPr>
              <w:t>rebasaron:</w:t>
            </w:r>
            <w:r>
              <w:rPr>
                <w:spacing w:val="-15"/>
                <w:w w:val="90"/>
                <w:sz w:val="16"/>
              </w:rPr>
              <w:t> </w:t>
            </w:r>
            <w:r>
              <w:rPr>
                <w:w w:val="90"/>
                <w:sz w:val="16"/>
              </w:rPr>
              <w:t>3.0; se rebasaron por algún partido o </w:t>
            </w:r>
            <w:r>
              <w:rPr>
                <w:w w:val="85"/>
                <w:sz w:val="16"/>
              </w:rPr>
              <w:t>coalición</w:t>
            </w:r>
            <w:r>
              <w:rPr>
                <w:spacing w:val="-19"/>
                <w:w w:val="85"/>
                <w:sz w:val="16"/>
              </w:rPr>
              <w:t> </w:t>
            </w:r>
            <w:r>
              <w:rPr>
                <w:w w:val="85"/>
                <w:sz w:val="16"/>
              </w:rPr>
              <w:t>de</w:t>
            </w:r>
            <w:r>
              <w:rPr>
                <w:spacing w:val="-18"/>
                <w:w w:val="85"/>
                <w:sz w:val="16"/>
              </w:rPr>
              <w:t> </w:t>
            </w:r>
            <w:r>
              <w:rPr>
                <w:w w:val="85"/>
                <w:sz w:val="16"/>
              </w:rPr>
              <w:t>forma</w:t>
            </w:r>
            <w:r>
              <w:rPr>
                <w:spacing w:val="-18"/>
                <w:w w:val="85"/>
                <w:sz w:val="16"/>
              </w:rPr>
              <w:t> </w:t>
            </w:r>
            <w:r>
              <w:rPr>
                <w:w w:val="85"/>
                <w:sz w:val="16"/>
              </w:rPr>
              <w:t>leve </w:t>
            </w:r>
            <w:r>
              <w:rPr>
                <w:w w:val="90"/>
                <w:sz w:val="16"/>
              </w:rPr>
              <w:t>(menos del 10% del </w:t>
            </w:r>
            <w:r>
              <w:rPr>
                <w:w w:val="85"/>
                <w:sz w:val="16"/>
              </w:rPr>
              <w:t>monto permitido): 2.0, se</w:t>
            </w:r>
            <w:r>
              <w:rPr>
                <w:spacing w:val="-10"/>
                <w:w w:val="85"/>
                <w:sz w:val="16"/>
              </w:rPr>
              <w:t> </w:t>
            </w:r>
            <w:r>
              <w:rPr>
                <w:w w:val="85"/>
                <w:sz w:val="16"/>
              </w:rPr>
              <w:t>rebasaron</w:t>
            </w:r>
            <w:r>
              <w:rPr>
                <w:spacing w:val="-10"/>
                <w:w w:val="85"/>
                <w:sz w:val="16"/>
              </w:rPr>
              <w:t> </w:t>
            </w:r>
            <w:r>
              <w:rPr>
                <w:w w:val="85"/>
                <w:sz w:val="16"/>
              </w:rPr>
              <w:t>de</w:t>
            </w:r>
            <w:r>
              <w:rPr>
                <w:spacing w:val="-10"/>
                <w:w w:val="85"/>
                <w:sz w:val="16"/>
              </w:rPr>
              <w:t> </w:t>
            </w:r>
            <w:r>
              <w:rPr>
                <w:w w:val="85"/>
                <w:sz w:val="16"/>
              </w:rPr>
              <w:t>forma </w:t>
            </w:r>
            <w:r>
              <w:rPr>
                <w:w w:val="90"/>
                <w:sz w:val="16"/>
              </w:rPr>
              <w:t>grave</w:t>
            </w:r>
            <w:r>
              <w:rPr>
                <w:spacing w:val="-19"/>
                <w:w w:val="90"/>
                <w:sz w:val="16"/>
              </w:rPr>
              <w:t> </w:t>
            </w:r>
            <w:r>
              <w:rPr>
                <w:w w:val="90"/>
                <w:sz w:val="16"/>
              </w:rPr>
              <w:t>(igual</w:t>
            </w:r>
            <w:r>
              <w:rPr>
                <w:spacing w:val="-20"/>
                <w:w w:val="90"/>
                <w:sz w:val="16"/>
              </w:rPr>
              <w:t> </w:t>
            </w:r>
            <w:r>
              <w:rPr>
                <w:w w:val="90"/>
                <w:sz w:val="16"/>
              </w:rPr>
              <w:t>o</w:t>
            </w:r>
            <w:r>
              <w:rPr>
                <w:spacing w:val="-19"/>
                <w:w w:val="90"/>
                <w:sz w:val="16"/>
              </w:rPr>
              <w:t> </w:t>
            </w:r>
            <w:r>
              <w:rPr>
                <w:w w:val="90"/>
                <w:sz w:val="16"/>
              </w:rPr>
              <w:t>más</w:t>
            </w:r>
            <w:r>
              <w:rPr>
                <w:spacing w:val="-20"/>
                <w:w w:val="90"/>
                <w:sz w:val="16"/>
              </w:rPr>
              <w:t> </w:t>
            </w:r>
            <w:r>
              <w:rPr>
                <w:w w:val="90"/>
                <w:sz w:val="16"/>
              </w:rPr>
              <w:t>del 10%      del    </w:t>
            </w:r>
            <w:r>
              <w:rPr>
                <w:spacing w:val="17"/>
                <w:w w:val="90"/>
                <w:sz w:val="16"/>
              </w:rPr>
              <w:t> </w:t>
            </w:r>
            <w:r>
              <w:rPr>
                <w:w w:val="90"/>
                <w:sz w:val="16"/>
              </w:rPr>
              <w:t>monto</w:t>
            </w:r>
          </w:p>
          <w:p>
            <w:pPr>
              <w:pStyle w:val="TableParagraph"/>
              <w:spacing w:before="1"/>
              <w:jc w:val="both"/>
              <w:rPr>
                <w:sz w:val="16"/>
              </w:rPr>
            </w:pPr>
            <w:r>
              <w:rPr>
                <w:w w:val="80"/>
                <w:sz w:val="16"/>
              </w:rPr>
              <w:t>permitido): 1.0.</w:t>
            </w:r>
          </w:p>
        </w:tc>
      </w:tr>
      <w:tr>
        <w:trPr>
          <w:trHeight w:val="423" w:hRule="exact"/>
        </w:trPr>
        <w:tc>
          <w:tcPr>
            <w:tcW w:w="1275" w:type="dxa"/>
            <w:vMerge/>
          </w:tcPr>
          <w:p>
            <w:pPr/>
          </w:p>
        </w:tc>
        <w:tc>
          <w:tcPr>
            <w:tcW w:w="9218" w:type="dxa"/>
            <w:gridSpan w:val="5"/>
          </w:tcPr>
          <w:p>
            <w:pPr>
              <w:pStyle w:val="TableParagraph"/>
              <w:ind w:left="6540" w:right="101" w:firstLine="218"/>
              <w:jc w:val="right"/>
              <w:rPr>
                <w:b/>
                <w:sz w:val="18"/>
              </w:rPr>
            </w:pPr>
            <w:r>
              <w:rPr>
                <w:b/>
                <w:sz w:val="18"/>
              </w:rPr>
              <w:t>Evaluación de las variables</w:t>
            </w:r>
            <w:r>
              <w:rPr>
                <w:b/>
                <w:w w:val="99"/>
                <w:sz w:val="18"/>
              </w:rPr>
              <w:t> </w:t>
            </w:r>
            <w:r>
              <w:rPr>
                <w:b/>
                <w:sz w:val="18"/>
              </w:rPr>
              <w:t>Alto: 3.0; Medio: 2.0; Bajo: 1.0</w:t>
            </w:r>
          </w:p>
        </w:tc>
      </w:tr>
      <w:tr>
        <w:trPr>
          <w:trHeight w:val="840" w:hRule="exact"/>
        </w:trPr>
        <w:tc>
          <w:tcPr>
            <w:tcW w:w="1275" w:type="dxa"/>
            <w:vMerge/>
          </w:tcPr>
          <w:p>
            <w:pPr/>
          </w:p>
        </w:tc>
        <w:tc>
          <w:tcPr>
            <w:tcW w:w="9218" w:type="dxa"/>
            <w:gridSpan w:val="5"/>
          </w:tcPr>
          <w:p>
            <w:pPr>
              <w:pStyle w:val="TableParagraph"/>
              <w:spacing w:line="204" w:lineRule="exact"/>
              <w:ind w:left="0" w:right="106"/>
              <w:jc w:val="right"/>
              <w:rPr>
                <w:b/>
                <w:sz w:val="18"/>
              </w:rPr>
            </w:pPr>
            <w:r>
              <w:rPr>
                <w:b/>
                <w:sz w:val="18"/>
              </w:rPr>
              <w:t>PROMEDIO DE LA DIMENSIÓN</w:t>
            </w:r>
          </w:p>
          <w:p>
            <w:pPr>
              <w:pStyle w:val="TableParagraph"/>
              <w:spacing w:line="237" w:lineRule="auto" w:before="6"/>
              <w:ind w:right="102"/>
              <w:jc w:val="both"/>
              <w:rPr>
                <w:b/>
                <w:sz w:val="18"/>
              </w:rPr>
            </w:pPr>
            <w:r>
              <w:rPr>
                <w:sz w:val="18"/>
              </w:rPr>
              <w:t>Para determinar los rangos se restó la evaluación más baja (1) a la más alta (3)=2. Dicho resultado se dividió entre los tres rangos a crear= 0.66, este fue el factor para determinar los rangos. Así </w:t>
            </w:r>
            <w:r>
              <w:rPr>
                <w:b/>
                <w:sz w:val="18"/>
              </w:rPr>
              <w:t>de 2.34 a 3.0 alto, de 1.67 a 2.33 medio y de 1.0 a 1.66 bajo.</w:t>
            </w:r>
          </w:p>
        </w:tc>
      </w:tr>
    </w:tbl>
    <w:p>
      <w:pPr>
        <w:spacing w:after="0" w:line="237" w:lineRule="auto"/>
        <w:jc w:val="both"/>
        <w:rPr>
          <w:sz w:val="18"/>
        </w:rPr>
        <w:sectPr>
          <w:pgSz w:w="12240" w:h="15840"/>
          <w:pgMar w:header="749" w:footer="1003" w:top="960" w:bottom="1200" w:left="900" w:right="600"/>
        </w:sectPr>
      </w:pPr>
    </w:p>
    <w:p>
      <w:pPr>
        <w:pStyle w:val="BodyText"/>
        <w:rPr>
          <w:rFonts w:ascii="Times New Roman"/>
          <w:sz w:val="20"/>
        </w:rPr>
      </w:pPr>
    </w:p>
    <w:p>
      <w:pPr>
        <w:pStyle w:val="BodyText"/>
        <w:spacing w:before="10"/>
        <w:rPr>
          <w:rFonts w:ascii="Times New Roman"/>
          <w:sz w:val="18"/>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75"/>
        <w:gridCol w:w="1135"/>
        <w:gridCol w:w="2693"/>
        <w:gridCol w:w="2410"/>
        <w:gridCol w:w="1419"/>
        <w:gridCol w:w="1560"/>
      </w:tblGrid>
      <w:tr>
        <w:trPr>
          <w:trHeight w:val="424" w:hRule="exact"/>
        </w:trPr>
        <w:tc>
          <w:tcPr>
            <w:tcW w:w="1275" w:type="dxa"/>
            <w:shd w:val="clear" w:color="auto" w:fill="D9D9D9"/>
          </w:tcPr>
          <w:p>
            <w:pPr>
              <w:pStyle w:val="TableParagraph"/>
              <w:spacing w:line="203" w:lineRule="exact"/>
              <w:ind w:left="170" w:right="31"/>
              <w:rPr>
                <w:b/>
                <w:sz w:val="18"/>
              </w:rPr>
            </w:pPr>
            <w:r>
              <w:rPr>
                <w:b/>
                <w:sz w:val="18"/>
              </w:rPr>
              <w:t>Dimensión</w:t>
            </w:r>
          </w:p>
        </w:tc>
        <w:tc>
          <w:tcPr>
            <w:tcW w:w="1135" w:type="dxa"/>
            <w:shd w:val="clear" w:color="auto" w:fill="D9D9D9"/>
          </w:tcPr>
          <w:p>
            <w:pPr>
              <w:pStyle w:val="TableParagraph"/>
              <w:spacing w:line="203" w:lineRule="exact"/>
              <w:ind w:left="211" w:right="101"/>
              <w:rPr>
                <w:b/>
                <w:sz w:val="18"/>
              </w:rPr>
            </w:pPr>
            <w:r>
              <w:rPr>
                <w:b/>
                <w:sz w:val="18"/>
              </w:rPr>
              <w:t>Variable</w:t>
            </w:r>
          </w:p>
        </w:tc>
        <w:tc>
          <w:tcPr>
            <w:tcW w:w="2693" w:type="dxa"/>
            <w:shd w:val="clear" w:color="auto" w:fill="D9D9D9"/>
          </w:tcPr>
          <w:p>
            <w:pPr>
              <w:pStyle w:val="TableParagraph"/>
              <w:spacing w:line="203" w:lineRule="exact"/>
              <w:ind w:left="136" w:right="-13"/>
              <w:rPr>
                <w:b/>
                <w:sz w:val="18"/>
              </w:rPr>
            </w:pPr>
            <w:r>
              <w:rPr>
                <w:b/>
                <w:sz w:val="18"/>
              </w:rPr>
              <w:t>Preguntas o conceptos guía</w:t>
            </w:r>
          </w:p>
        </w:tc>
        <w:tc>
          <w:tcPr>
            <w:tcW w:w="2410" w:type="dxa"/>
            <w:shd w:val="clear" w:color="auto" w:fill="D9D9D9"/>
          </w:tcPr>
          <w:p>
            <w:pPr>
              <w:pStyle w:val="TableParagraph"/>
              <w:spacing w:line="203" w:lineRule="exact"/>
              <w:ind w:left="693" w:right="-5"/>
              <w:rPr>
                <w:b/>
                <w:sz w:val="18"/>
              </w:rPr>
            </w:pPr>
            <w:r>
              <w:rPr>
                <w:b/>
                <w:sz w:val="18"/>
              </w:rPr>
              <w:t>Indicadores</w:t>
            </w:r>
          </w:p>
        </w:tc>
        <w:tc>
          <w:tcPr>
            <w:tcW w:w="1419" w:type="dxa"/>
            <w:shd w:val="clear" w:color="auto" w:fill="D9D9D9"/>
          </w:tcPr>
          <w:p>
            <w:pPr>
              <w:pStyle w:val="TableParagraph"/>
              <w:ind w:left="189" w:right="170" w:firstLine="38"/>
              <w:rPr>
                <w:b/>
                <w:sz w:val="18"/>
              </w:rPr>
            </w:pPr>
            <w:r>
              <w:rPr>
                <w:b/>
                <w:sz w:val="18"/>
              </w:rPr>
              <w:t>Fuentes de información</w:t>
            </w:r>
          </w:p>
        </w:tc>
        <w:tc>
          <w:tcPr>
            <w:tcW w:w="1560" w:type="dxa"/>
            <w:shd w:val="clear" w:color="auto" w:fill="D9D9D9"/>
          </w:tcPr>
          <w:p>
            <w:pPr>
              <w:pStyle w:val="TableParagraph"/>
              <w:spacing w:line="203" w:lineRule="exact"/>
              <w:ind w:left="299" w:right="100"/>
              <w:rPr>
                <w:b/>
                <w:sz w:val="18"/>
              </w:rPr>
            </w:pPr>
            <w:r>
              <w:rPr>
                <w:b/>
                <w:sz w:val="18"/>
              </w:rPr>
              <w:t>Evaluación</w:t>
            </w:r>
          </w:p>
        </w:tc>
      </w:tr>
      <w:tr>
        <w:trPr>
          <w:trHeight w:val="5703" w:hRule="exact"/>
        </w:trPr>
        <w:tc>
          <w:tcPr>
            <w:tcW w:w="1275" w:type="dxa"/>
            <w:vMerge w:val="restart"/>
          </w:tcPr>
          <w:p>
            <w:pPr>
              <w:pStyle w:val="TableParagraph"/>
              <w:spacing w:line="237" w:lineRule="auto"/>
              <w:ind w:left="100" w:right="152"/>
              <w:rPr>
                <w:rFonts w:ascii="Trebuchet MS" w:hAnsi="Trebuchet MS"/>
                <w:b/>
                <w:sz w:val="16"/>
              </w:rPr>
            </w:pPr>
            <w:r>
              <w:rPr>
                <w:rFonts w:ascii="Trebuchet MS" w:hAnsi="Trebuchet MS"/>
                <w:b/>
                <w:w w:val="95"/>
                <w:sz w:val="16"/>
              </w:rPr>
              <w:t>IV Equidad de los medios de </w:t>
            </w:r>
            <w:r>
              <w:rPr>
                <w:rFonts w:ascii="Trebuchet MS" w:hAnsi="Trebuchet MS"/>
                <w:b/>
                <w:w w:val="85"/>
                <w:sz w:val="16"/>
              </w:rPr>
              <w:t>comunicación en la cobertura </w:t>
            </w:r>
            <w:r>
              <w:rPr>
                <w:rFonts w:ascii="Trebuchet MS" w:hAnsi="Trebuchet MS"/>
                <w:b/>
                <w:w w:val="95"/>
                <w:sz w:val="16"/>
              </w:rPr>
              <w:t>del proceso electoral</w:t>
            </w:r>
          </w:p>
        </w:tc>
        <w:tc>
          <w:tcPr>
            <w:tcW w:w="1135" w:type="dxa"/>
          </w:tcPr>
          <w:p>
            <w:pPr>
              <w:pStyle w:val="TableParagraph"/>
              <w:tabs>
                <w:tab w:pos="460" w:val="left" w:leader="none"/>
              </w:tabs>
              <w:spacing w:line="237" w:lineRule="auto"/>
              <w:ind w:right="102"/>
              <w:rPr>
                <w:rFonts w:ascii="Trebuchet MS"/>
                <w:b/>
                <w:sz w:val="16"/>
              </w:rPr>
            </w:pPr>
            <w:r>
              <w:rPr>
                <w:rFonts w:ascii="Trebuchet MS"/>
                <w:b/>
                <w:w w:val="95"/>
                <w:sz w:val="16"/>
              </w:rPr>
              <w:t>Monitoreo cuantitativo de</w:t>
              <w:tab/>
            </w:r>
            <w:r>
              <w:rPr>
                <w:rFonts w:ascii="Trebuchet MS"/>
                <w:b/>
                <w:spacing w:val="-1"/>
                <w:w w:val="90"/>
                <w:sz w:val="16"/>
              </w:rPr>
              <w:t>espacios </w:t>
            </w:r>
            <w:r>
              <w:rPr>
                <w:rFonts w:ascii="Trebuchet MS"/>
                <w:b/>
                <w:w w:val="95"/>
                <w:sz w:val="16"/>
              </w:rPr>
              <w:t>noticiosos</w:t>
            </w:r>
          </w:p>
        </w:tc>
        <w:tc>
          <w:tcPr>
            <w:tcW w:w="2693" w:type="dxa"/>
          </w:tcPr>
          <w:p>
            <w:pPr>
              <w:pStyle w:val="TableParagraph"/>
              <w:ind w:left="0"/>
              <w:jc w:val="both"/>
              <w:rPr>
                <w:sz w:val="16"/>
              </w:rPr>
            </w:pPr>
            <w:r>
              <w:rPr>
                <w:w w:val="90"/>
                <w:sz w:val="16"/>
              </w:rPr>
              <w:t>Porcentaje de menciones o notas, en los </w:t>
            </w:r>
            <w:r>
              <w:rPr>
                <w:w w:val="85"/>
                <w:sz w:val="16"/>
              </w:rPr>
              <w:t>espacios</w:t>
            </w:r>
            <w:r>
              <w:rPr>
                <w:spacing w:val="-5"/>
                <w:w w:val="85"/>
                <w:sz w:val="16"/>
              </w:rPr>
              <w:t> </w:t>
            </w:r>
            <w:r>
              <w:rPr>
                <w:w w:val="85"/>
                <w:sz w:val="16"/>
              </w:rPr>
              <w:t>noticiosos</w:t>
            </w:r>
            <w:r>
              <w:rPr>
                <w:spacing w:val="-5"/>
                <w:w w:val="85"/>
                <w:sz w:val="16"/>
              </w:rPr>
              <w:t> </w:t>
            </w:r>
            <w:r>
              <w:rPr>
                <w:w w:val="85"/>
                <w:sz w:val="16"/>
              </w:rPr>
              <w:t>de</w:t>
            </w:r>
            <w:r>
              <w:rPr>
                <w:spacing w:val="-4"/>
                <w:w w:val="85"/>
                <w:sz w:val="16"/>
              </w:rPr>
              <w:t> </w:t>
            </w:r>
            <w:r>
              <w:rPr>
                <w:w w:val="85"/>
                <w:sz w:val="16"/>
              </w:rPr>
              <w:t>radio</w:t>
            </w:r>
            <w:r>
              <w:rPr>
                <w:spacing w:val="-4"/>
                <w:w w:val="85"/>
                <w:sz w:val="16"/>
              </w:rPr>
              <w:t> </w:t>
            </w:r>
            <w:r>
              <w:rPr>
                <w:w w:val="85"/>
                <w:sz w:val="16"/>
              </w:rPr>
              <w:t>y</w:t>
            </w:r>
            <w:r>
              <w:rPr>
                <w:spacing w:val="-5"/>
                <w:w w:val="85"/>
                <w:sz w:val="16"/>
              </w:rPr>
              <w:t> </w:t>
            </w:r>
            <w:r>
              <w:rPr>
                <w:w w:val="85"/>
                <w:sz w:val="16"/>
              </w:rPr>
              <w:t>televisión,</w:t>
            </w:r>
            <w:r>
              <w:rPr>
                <w:spacing w:val="-7"/>
                <w:w w:val="85"/>
                <w:sz w:val="16"/>
              </w:rPr>
              <w:t> </w:t>
            </w:r>
            <w:r>
              <w:rPr>
                <w:w w:val="85"/>
                <w:sz w:val="16"/>
              </w:rPr>
              <w:t>por </w:t>
            </w:r>
            <w:r>
              <w:rPr>
                <w:w w:val="90"/>
                <w:sz w:val="16"/>
              </w:rPr>
              <w:t>partido político durante el periodo de campañas.</w:t>
            </w:r>
          </w:p>
          <w:p>
            <w:pPr>
              <w:pStyle w:val="TableParagraph"/>
              <w:spacing w:line="182" w:lineRule="exact"/>
              <w:ind w:left="0"/>
              <w:jc w:val="both"/>
              <w:rPr>
                <w:sz w:val="16"/>
              </w:rPr>
            </w:pPr>
            <w:r>
              <w:rPr>
                <w:w w:val="80"/>
                <w:sz w:val="16"/>
              </w:rPr>
              <w:t>Por partidos:</w:t>
            </w:r>
          </w:p>
          <w:p>
            <w:pPr>
              <w:pStyle w:val="TableParagraph"/>
              <w:spacing w:before="1"/>
              <w:ind w:left="0" w:right="-1"/>
              <w:jc w:val="both"/>
              <w:rPr>
                <w:sz w:val="16"/>
              </w:rPr>
            </w:pPr>
            <w:r>
              <w:rPr>
                <w:w w:val="90"/>
                <w:sz w:val="16"/>
              </w:rPr>
              <w:t>¿De los tres partidos mayoritarios, por elección, cual fue el porcentaje del que obtuvo el mayor número de menciones? (PMaM)</w:t>
            </w:r>
          </w:p>
          <w:p>
            <w:pPr>
              <w:pStyle w:val="TableParagraph"/>
              <w:spacing w:before="1"/>
              <w:ind w:left="0" w:right="-2"/>
              <w:jc w:val="both"/>
              <w:rPr>
                <w:sz w:val="16"/>
              </w:rPr>
            </w:pPr>
            <w:r>
              <w:rPr>
                <w:w w:val="90"/>
                <w:sz w:val="16"/>
              </w:rPr>
              <w:t>¿De los tres partidos mayoritarios, por elección, cual fue el porcentaje del que obtuvo el menor número de menciones? (PMeM)</w:t>
            </w:r>
          </w:p>
          <w:p>
            <w:pPr>
              <w:pStyle w:val="TableParagraph"/>
              <w:spacing w:before="1"/>
              <w:ind w:left="0" w:right="1"/>
              <w:jc w:val="both"/>
              <w:rPr>
                <w:sz w:val="16"/>
              </w:rPr>
            </w:pPr>
            <w:r>
              <w:rPr>
                <w:w w:val="90"/>
                <w:sz w:val="16"/>
              </w:rPr>
              <w:t>Determinar el porcentaje diferencial de menciones (PDM). Se obtiene de restar a </w:t>
            </w:r>
            <w:r>
              <w:rPr>
                <w:w w:val="80"/>
                <w:sz w:val="16"/>
              </w:rPr>
              <w:t>PMaM-PMeM= PDM</w:t>
            </w:r>
          </w:p>
          <w:p>
            <w:pPr>
              <w:pStyle w:val="TableParagraph"/>
              <w:spacing w:line="182" w:lineRule="exact"/>
              <w:ind w:left="0"/>
              <w:jc w:val="both"/>
              <w:rPr>
                <w:sz w:val="16"/>
              </w:rPr>
            </w:pPr>
            <w:r>
              <w:rPr>
                <w:w w:val="80"/>
                <w:sz w:val="16"/>
              </w:rPr>
              <w:t>Por elecciones:</w:t>
            </w:r>
          </w:p>
          <w:p>
            <w:pPr>
              <w:pStyle w:val="TableParagraph"/>
              <w:spacing w:before="1"/>
              <w:ind w:left="0" w:right="1"/>
              <w:jc w:val="both"/>
              <w:rPr>
                <w:sz w:val="16"/>
              </w:rPr>
            </w:pPr>
            <w:r>
              <w:rPr>
                <w:w w:val="85"/>
                <w:sz w:val="16"/>
              </w:rPr>
              <w:t>¿De</w:t>
            </w:r>
            <w:r>
              <w:rPr>
                <w:spacing w:val="-17"/>
                <w:w w:val="85"/>
                <w:sz w:val="16"/>
              </w:rPr>
              <w:t> </w:t>
            </w:r>
            <w:r>
              <w:rPr>
                <w:w w:val="85"/>
                <w:sz w:val="16"/>
              </w:rPr>
              <w:t>las</w:t>
            </w:r>
            <w:r>
              <w:rPr>
                <w:spacing w:val="-18"/>
                <w:w w:val="85"/>
                <w:sz w:val="16"/>
              </w:rPr>
              <w:t> </w:t>
            </w:r>
            <w:r>
              <w:rPr>
                <w:w w:val="85"/>
                <w:sz w:val="16"/>
              </w:rPr>
              <w:t>cuatro</w:t>
            </w:r>
            <w:r>
              <w:rPr>
                <w:spacing w:val="-18"/>
                <w:w w:val="85"/>
                <w:sz w:val="16"/>
              </w:rPr>
              <w:t> </w:t>
            </w:r>
            <w:r>
              <w:rPr>
                <w:w w:val="85"/>
                <w:sz w:val="16"/>
              </w:rPr>
              <w:t>elecciones</w:t>
            </w:r>
            <w:r>
              <w:rPr>
                <w:spacing w:val="-19"/>
                <w:w w:val="85"/>
                <w:sz w:val="16"/>
              </w:rPr>
              <w:t> </w:t>
            </w:r>
            <w:r>
              <w:rPr>
                <w:w w:val="85"/>
                <w:sz w:val="16"/>
              </w:rPr>
              <w:t>estudiadas</w:t>
            </w:r>
            <w:r>
              <w:rPr>
                <w:spacing w:val="-18"/>
                <w:w w:val="85"/>
                <w:sz w:val="16"/>
              </w:rPr>
              <w:t> </w:t>
            </w:r>
            <w:r>
              <w:rPr>
                <w:w w:val="85"/>
                <w:sz w:val="16"/>
              </w:rPr>
              <w:t>cual</w:t>
            </w:r>
            <w:r>
              <w:rPr>
                <w:spacing w:val="-18"/>
                <w:w w:val="85"/>
                <w:sz w:val="16"/>
              </w:rPr>
              <w:t> </w:t>
            </w:r>
            <w:r>
              <w:rPr>
                <w:w w:val="85"/>
                <w:sz w:val="16"/>
              </w:rPr>
              <w:t>fue </w:t>
            </w:r>
            <w:r>
              <w:rPr>
                <w:w w:val="90"/>
                <w:sz w:val="16"/>
              </w:rPr>
              <w:t>el</w:t>
            </w:r>
            <w:r>
              <w:rPr>
                <w:spacing w:val="-25"/>
                <w:w w:val="90"/>
                <w:sz w:val="16"/>
              </w:rPr>
              <w:t> </w:t>
            </w:r>
            <w:r>
              <w:rPr>
                <w:w w:val="90"/>
                <w:sz w:val="16"/>
              </w:rPr>
              <w:t>PDM</w:t>
            </w:r>
            <w:r>
              <w:rPr>
                <w:spacing w:val="-25"/>
                <w:w w:val="90"/>
                <w:sz w:val="16"/>
              </w:rPr>
              <w:t> </w:t>
            </w:r>
            <w:r>
              <w:rPr>
                <w:w w:val="90"/>
                <w:sz w:val="16"/>
              </w:rPr>
              <w:t>de</w:t>
            </w:r>
            <w:r>
              <w:rPr>
                <w:spacing w:val="-25"/>
                <w:w w:val="90"/>
                <w:sz w:val="16"/>
              </w:rPr>
              <w:t> </w:t>
            </w:r>
            <w:r>
              <w:rPr>
                <w:w w:val="90"/>
                <w:sz w:val="16"/>
              </w:rPr>
              <w:t>la</w:t>
            </w:r>
            <w:r>
              <w:rPr>
                <w:spacing w:val="-26"/>
                <w:w w:val="90"/>
                <w:sz w:val="16"/>
              </w:rPr>
              <w:t> </w:t>
            </w:r>
            <w:r>
              <w:rPr>
                <w:w w:val="90"/>
                <w:sz w:val="16"/>
              </w:rPr>
              <w:t>que</w:t>
            </w:r>
            <w:r>
              <w:rPr>
                <w:spacing w:val="-25"/>
                <w:w w:val="90"/>
                <w:sz w:val="16"/>
              </w:rPr>
              <w:t> </w:t>
            </w:r>
            <w:r>
              <w:rPr>
                <w:w w:val="90"/>
                <w:sz w:val="16"/>
              </w:rPr>
              <w:t>obtuvo</w:t>
            </w:r>
            <w:r>
              <w:rPr>
                <w:spacing w:val="-26"/>
                <w:w w:val="90"/>
                <w:sz w:val="16"/>
              </w:rPr>
              <w:t> </w:t>
            </w:r>
            <w:r>
              <w:rPr>
                <w:w w:val="90"/>
                <w:sz w:val="16"/>
              </w:rPr>
              <w:t>el</w:t>
            </w:r>
            <w:r>
              <w:rPr>
                <w:spacing w:val="-25"/>
                <w:w w:val="90"/>
                <w:sz w:val="16"/>
              </w:rPr>
              <w:t> </w:t>
            </w:r>
            <w:r>
              <w:rPr>
                <w:w w:val="90"/>
                <w:sz w:val="16"/>
              </w:rPr>
              <w:t>mayor</w:t>
            </w:r>
            <w:r>
              <w:rPr>
                <w:spacing w:val="-25"/>
                <w:w w:val="90"/>
                <w:sz w:val="16"/>
              </w:rPr>
              <w:t> </w:t>
            </w:r>
            <w:r>
              <w:rPr>
                <w:w w:val="90"/>
                <w:sz w:val="16"/>
              </w:rPr>
              <w:t>número</w:t>
            </w:r>
            <w:r>
              <w:rPr>
                <w:spacing w:val="-25"/>
                <w:w w:val="90"/>
                <w:sz w:val="16"/>
              </w:rPr>
              <w:t> </w:t>
            </w:r>
            <w:r>
              <w:rPr>
                <w:w w:val="90"/>
                <w:sz w:val="16"/>
              </w:rPr>
              <w:t>de menciones?</w:t>
            </w:r>
          </w:p>
          <w:p>
            <w:pPr>
              <w:pStyle w:val="TableParagraph"/>
              <w:spacing w:line="182" w:lineRule="exact"/>
              <w:ind w:left="0"/>
              <w:jc w:val="both"/>
              <w:rPr>
                <w:sz w:val="16"/>
              </w:rPr>
            </w:pPr>
            <w:r>
              <w:rPr>
                <w:w w:val="90"/>
                <w:sz w:val="16"/>
              </w:rPr>
              <w:t>(PDMma)</w:t>
            </w:r>
          </w:p>
          <w:p>
            <w:pPr>
              <w:pStyle w:val="TableParagraph"/>
              <w:spacing w:before="1"/>
              <w:ind w:left="0" w:right="1"/>
              <w:jc w:val="both"/>
              <w:rPr>
                <w:sz w:val="16"/>
              </w:rPr>
            </w:pPr>
            <w:r>
              <w:rPr>
                <w:w w:val="85"/>
                <w:sz w:val="16"/>
              </w:rPr>
              <w:t>¿De</w:t>
            </w:r>
            <w:r>
              <w:rPr>
                <w:spacing w:val="-17"/>
                <w:w w:val="85"/>
                <w:sz w:val="16"/>
              </w:rPr>
              <w:t> </w:t>
            </w:r>
            <w:r>
              <w:rPr>
                <w:w w:val="85"/>
                <w:sz w:val="16"/>
              </w:rPr>
              <w:t>las</w:t>
            </w:r>
            <w:r>
              <w:rPr>
                <w:spacing w:val="-18"/>
                <w:w w:val="85"/>
                <w:sz w:val="16"/>
              </w:rPr>
              <w:t> </w:t>
            </w:r>
            <w:r>
              <w:rPr>
                <w:w w:val="85"/>
                <w:sz w:val="16"/>
              </w:rPr>
              <w:t>cuatro</w:t>
            </w:r>
            <w:r>
              <w:rPr>
                <w:spacing w:val="-18"/>
                <w:w w:val="85"/>
                <w:sz w:val="16"/>
              </w:rPr>
              <w:t> </w:t>
            </w:r>
            <w:r>
              <w:rPr>
                <w:w w:val="85"/>
                <w:sz w:val="16"/>
              </w:rPr>
              <w:t>elecciones</w:t>
            </w:r>
            <w:r>
              <w:rPr>
                <w:spacing w:val="-19"/>
                <w:w w:val="85"/>
                <w:sz w:val="16"/>
              </w:rPr>
              <w:t> </w:t>
            </w:r>
            <w:r>
              <w:rPr>
                <w:w w:val="85"/>
                <w:sz w:val="16"/>
              </w:rPr>
              <w:t>estudiadas</w:t>
            </w:r>
            <w:r>
              <w:rPr>
                <w:spacing w:val="-18"/>
                <w:w w:val="85"/>
                <w:sz w:val="16"/>
              </w:rPr>
              <w:t> </w:t>
            </w:r>
            <w:r>
              <w:rPr>
                <w:w w:val="85"/>
                <w:sz w:val="16"/>
              </w:rPr>
              <w:t>cual</w:t>
            </w:r>
            <w:r>
              <w:rPr>
                <w:spacing w:val="-18"/>
                <w:w w:val="85"/>
                <w:sz w:val="16"/>
              </w:rPr>
              <w:t> </w:t>
            </w:r>
            <w:r>
              <w:rPr>
                <w:w w:val="85"/>
                <w:sz w:val="16"/>
              </w:rPr>
              <w:t>fue </w:t>
            </w:r>
            <w:r>
              <w:rPr>
                <w:w w:val="90"/>
                <w:sz w:val="16"/>
              </w:rPr>
              <w:t>el</w:t>
            </w:r>
            <w:r>
              <w:rPr>
                <w:spacing w:val="-26"/>
                <w:w w:val="90"/>
                <w:sz w:val="16"/>
              </w:rPr>
              <w:t> </w:t>
            </w:r>
            <w:r>
              <w:rPr>
                <w:w w:val="90"/>
                <w:sz w:val="16"/>
              </w:rPr>
              <w:t>PDM</w:t>
            </w:r>
            <w:r>
              <w:rPr>
                <w:spacing w:val="-26"/>
                <w:w w:val="90"/>
                <w:sz w:val="16"/>
              </w:rPr>
              <w:t> </w:t>
            </w:r>
            <w:r>
              <w:rPr>
                <w:w w:val="90"/>
                <w:sz w:val="16"/>
              </w:rPr>
              <w:t>de</w:t>
            </w:r>
            <w:r>
              <w:rPr>
                <w:spacing w:val="-26"/>
                <w:w w:val="90"/>
                <w:sz w:val="16"/>
              </w:rPr>
              <w:t> </w:t>
            </w:r>
            <w:r>
              <w:rPr>
                <w:w w:val="90"/>
                <w:sz w:val="16"/>
              </w:rPr>
              <w:t>la</w:t>
            </w:r>
            <w:r>
              <w:rPr>
                <w:spacing w:val="-26"/>
                <w:w w:val="90"/>
                <w:sz w:val="16"/>
              </w:rPr>
              <w:t> </w:t>
            </w:r>
            <w:r>
              <w:rPr>
                <w:w w:val="90"/>
                <w:sz w:val="16"/>
              </w:rPr>
              <w:t>que</w:t>
            </w:r>
            <w:r>
              <w:rPr>
                <w:spacing w:val="-26"/>
                <w:w w:val="90"/>
                <w:sz w:val="16"/>
              </w:rPr>
              <w:t> </w:t>
            </w:r>
            <w:r>
              <w:rPr>
                <w:w w:val="90"/>
                <w:sz w:val="16"/>
              </w:rPr>
              <w:t>obtuvo</w:t>
            </w:r>
            <w:r>
              <w:rPr>
                <w:spacing w:val="-26"/>
                <w:w w:val="90"/>
                <w:sz w:val="16"/>
              </w:rPr>
              <w:t> </w:t>
            </w:r>
            <w:r>
              <w:rPr>
                <w:w w:val="90"/>
                <w:sz w:val="16"/>
              </w:rPr>
              <w:t>el</w:t>
            </w:r>
            <w:r>
              <w:rPr>
                <w:spacing w:val="-26"/>
                <w:w w:val="90"/>
                <w:sz w:val="16"/>
              </w:rPr>
              <w:t> </w:t>
            </w:r>
            <w:r>
              <w:rPr>
                <w:w w:val="90"/>
                <w:sz w:val="16"/>
              </w:rPr>
              <w:t>menor</w:t>
            </w:r>
            <w:r>
              <w:rPr>
                <w:spacing w:val="-27"/>
                <w:w w:val="90"/>
                <w:sz w:val="16"/>
              </w:rPr>
              <w:t> </w:t>
            </w:r>
            <w:r>
              <w:rPr>
                <w:w w:val="90"/>
                <w:sz w:val="16"/>
              </w:rPr>
              <w:t>número</w:t>
            </w:r>
            <w:r>
              <w:rPr>
                <w:spacing w:val="-25"/>
                <w:w w:val="90"/>
                <w:sz w:val="16"/>
              </w:rPr>
              <w:t> </w:t>
            </w:r>
            <w:r>
              <w:rPr>
                <w:w w:val="90"/>
                <w:sz w:val="16"/>
              </w:rPr>
              <w:t>de menciones?</w:t>
            </w:r>
          </w:p>
          <w:p>
            <w:pPr>
              <w:pStyle w:val="TableParagraph"/>
              <w:spacing w:line="182" w:lineRule="exact"/>
              <w:ind w:left="0"/>
              <w:jc w:val="both"/>
              <w:rPr>
                <w:sz w:val="16"/>
              </w:rPr>
            </w:pPr>
            <w:r>
              <w:rPr>
                <w:w w:val="90"/>
                <w:sz w:val="16"/>
              </w:rPr>
              <w:t>(PDMme)</w:t>
            </w:r>
          </w:p>
          <w:p>
            <w:pPr>
              <w:pStyle w:val="TableParagraph"/>
              <w:spacing w:before="1"/>
              <w:ind w:left="0" w:right="1"/>
              <w:jc w:val="both"/>
              <w:rPr>
                <w:sz w:val="16"/>
              </w:rPr>
            </w:pPr>
            <w:r>
              <w:rPr>
                <w:w w:val="90"/>
                <w:sz w:val="16"/>
              </w:rPr>
              <w:t>Determinar el porcentaje diferencial de </w:t>
            </w:r>
            <w:r>
              <w:rPr>
                <w:w w:val="85"/>
                <w:sz w:val="16"/>
              </w:rPr>
              <w:t>menciones</w:t>
            </w:r>
            <w:r>
              <w:rPr>
                <w:spacing w:val="-17"/>
                <w:w w:val="85"/>
                <w:sz w:val="16"/>
              </w:rPr>
              <w:t> </w:t>
            </w:r>
            <w:r>
              <w:rPr>
                <w:w w:val="85"/>
                <w:sz w:val="16"/>
              </w:rPr>
              <w:t>total</w:t>
            </w:r>
            <w:r>
              <w:rPr>
                <w:spacing w:val="-17"/>
                <w:w w:val="85"/>
                <w:sz w:val="16"/>
              </w:rPr>
              <w:t> </w:t>
            </w:r>
            <w:r>
              <w:rPr>
                <w:w w:val="85"/>
                <w:sz w:val="16"/>
              </w:rPr>
              <w:t>(PDMT).</w:t>
            </w:r>
            <w:r>
              <w:rPr>
                <w:spacing w:val="-17"/>
                <w:w w:val="85"/>
                <w:sz w:val="16"/>
              </w:rPr>
              <w:t> </w:t>
            </w:r>
            <w:r>
              <w:rPr>
                <w:w w:val="85"/>
                <w:sz w:val="16"/>
              </w:rPr>
              <w:t>Se</w:t>
            </w:r>
            <w:r>
              <w:rPr>
                <w:spacing w:val="-17"/>
                <w:w w:val="85"/>
                <w:sz w:val="16"/>
              </w:rPr>
              <w:t> </w:t>
            </w:r>
            <w:r>
              <w:rPr>
                <w:w w:val="85"/>
                <w:sz w:val="16"/>
              </w:rPr>
              <w:t>obtiene</w:t>
            </w:r>
            <w:r>
              <w:rPr>
                <w:spacing w:val="-16"/>
                <w:w w:val="85"/>
                <w:sz w:val="16"/>
              </w:rPr>
              <w:t> </w:t>
            </w:r>
            <w:r>
              <w:rPr>
                <w:w w:val="85"/>
                <w:sz w:val="16"/>
              </w:rPr>
              <w:t>de</w:t>
            </w:r>
            <w:r>
              <w:rPr>
                <w:spacing w:val="-16"/>
                <w:w w:val="85"/>
                <w:sz w:val="16"/>
              </w:rPr>
              <w:t> </w:t>
            </w:r>
            <w:r>
              <w:rPr>
                <w:w w:val="85"/>
                <w:sz w:val="16"/>
              </w:rPr>
              <w:t>restar </w:t>
            </w:r>
            <w:r>
              <w:rPr>
                <w:w w:val="80"/>
                <w:sz w:val="16"/>
              </w:rPr>
              <w:t>a  PDMme-PDMma=</w:t>
            </w:r>
            <w:r>
              <w:rPr>
                <w:spacing w:val="-3"/>
                <w:w w:val="80"/>
                <w:sz w:val="16"/>
              </w:rPr>
              <w:t> </w:t>
            </w:r>
            <w:r>
              <w:rPr>
                <w:w w:val="80"/>
                <w:sz w:val="16"/>
              </w:rPr>
              <w:t>PDMT</w:t>
            </w:r>
          </w:p>
        </w:tc>
        <w:tc>
          <w:tcPr>
            <w:tcW w:w="2410" w:type="dxa"/>
          </w:tcPr>
          <w:p>
            <w:pPr>
              <w:pStyle w:val="TableParagraph"/>
              <w:ind w:left="-1" w:right="-5"/>
              <w:rPr>
                <w:sz w:val="16"/>
              </w:rPr>
            </w:pPr>
            <w:r>
              <w:rPr>
                <w:w w:val="90"/>
                <w:sz w:val="16"/>
              </w:rPr>
              <w:t>Porcentaje de menciones o notas por partido.</w:t>
            </w:r>
          </w:p>
        </w:tc>
        <w:tc>
          <w:tcPr>
            <w:tcW w:w="1419" w:type="dxa"/>
          </w:tcPr>
          <w:p>
            <w:pPr>
              <w:pStyle w:val="TableParagraph"/>
              <w:tabs>
                <w:tab w:pos="832" w:val="left" w:leader="none"/>
                <w:tab w:pos="1261" w:val="left" w:leader="none"/>
              </w:tabs>
              <w:ind w:left="-1" w:right="-1"/>
              <w:jc w:val="both"/>
              <w:rPr>
                <w:sz w:val="16"/>
              </w:rPr>
            </w:pPr>
            <w:r>
              <w:rPr>
                <w:w w:val="85"/>
                <w:sz w:val="16"/>
              </w:rPr>
              <w:t>Monitoreos</w:t>
            </w:r>
            <w:r>
              <w:rPr>
                <w:spacing w:val="37"/>
                <w:w w:val="85"/>
                <w:sz w:val="16"/>
              </w:rPr>
              <w:t> </w:t>
            </w:r>
            <w:r>
              <w:rPr>
                <w:w w:val="85"/>
                <w:sz w:val="16"/>
              </w:rPr>
              <w:t>realizados </w:t>
            </w:r>
            <w:r>
              <w:rPr>
                <w:w w:val="90"/>
                <w:sz w:val="16"/>
              </w:rPr>
              <w:t>por</w:t>
              <w:tab/>
            </w:r>
            <w:r>
              <w:rPr>
                <w:spacing w:val="-1"/>
                <w:w w:val="80"/>
                <w:sz w:val="16"/>
              </w:rPr>
              <w:t>empresas </w:t>
            </w:r>
            <w:r>
              <w:rPr>
                <w:w w:val="90"/>
                <w:sz w:val="16"/>
              </w:rPr>
              <w:t>contratadas por los órganos electorales. </w:t>
            </w:r>
            <w:r>
              <w:rPr>
                <w:w w:val="85"/>
                <w:sz w:val="16"/>
              </w:rPr>
              <w:t>Dictámenes</w:t>
              <w:tab/>
              <w:tab/>
            </w:r>
            <w:r>
              <w:rPr>
                <w:w w:val="80"/>
                <w:sz w:val="16"/>
              </w:rPr>
              <w:t>de</w:t>
            </w:r>
          </w:p>
          <w:p>
            <w:pPr>
              <w:pStyle w:val="TableParagraph"/>
              <w:tabs>
                <w:tab w:pos="1261" w:val="left" w:leader="none"/>
              </w:tabs>
              <w:spacing w:before="1"/>
              <w:ind w:left="-1" w:right="-1"/>
              <w:jc w:val="both"/>
              <w:rPr>
                <w:sz w:val="16"/>
              </w:rPr>
            </w:pPr>
            <w:r>
              <w:rPr>
                <w:w w:val="85"/>
                <w:sz w:val="16"/>
              </w:rPr>
              <w:t>comisiones</w:t>
              <w:tab/>
            </w:r>
            <w:r>
              <w:rPr>
                <w:w w:val="80"/>
                <w:sz w:val="16"/>
              </w:rPr>
              <w:t>de </w:t>
            </w:r>
            <w:r>
              <w:rPr>
                <w:w w:val="90"/>
                <w:sz w:val="16"/>
              </w:rPr>
              <w:t>radiodifusión.</w:t>
            </w:r>
          </w:p>
        </w:tc>
        <w:tc>
          <w:tcPr>
            <w:tcW w:w="1560" w:type="dxa"/>
          </w:tcPr>
          <w:p>
            <w:pPr>
              <w:pStyle w:val="TableParagraph"/>
              <w:spacing w:line="180" w:lineRule="exact"/>
              <w:jc w:val="both"/>
              <w:rPr>
                <w:sz w:val="16"/>
              </w:rPr>
            </w:pPr>
            <w:r>
              <w:rPr>
                <w:w w:val="85"/>
                <w:sz w:val="16"/>
              </w:rPr>
              <w:t>PDMma = 43.38%</w:t>
            </w:r>
          </w:p>
          <w:p>
            <w:pPr>
              <w:pStyle w:val="TableParagraph"/>
              <w:spacing w:line="183" w:lineRule="exact" w:before="1"/>
              <w:jc w:val="both"/>
              <w:rPr>
                <w:sz w:val="16"/>
              </w:rPr>
            </w:pPr>
            <w:r>
              <w:rPr>
                <w:w w:val="85"/>
                <w:sz w:val="16"/>
              </w:rPr>
              <w:t>PDMme = 5.74%</w:t>
            </w:r>
          </w:p>
          <w:p>
            <w:pPr>
              <w:pStyle w:val="TableParagraph"/>
              <w:spacing w:line="183" w:lineRule="exact"/>
              <w:jc w:val="both"/>
              <w:rPr>
                <w:sz w:val="16"/>
              </w:rPr>
            </w:pPr>
            <w:r>
              <w:rPr>
                <w:w w:val="80"/>
                <w:sz w:val="16"/>
              </w:rPr>
              <w:t>PDMT= 37.64%</w:t>
            </w:r>
          </w:p>
          <w:p>
            <w:pPr>
              <w:pStyle w:val="TableParagraph"/>
              <w:spacing w:before="1"/>
              <w:ind w:right="100"/>
              <w:jc w:val="both"/>
              <w:rPr>
                <w:sz w:val="16"/>
              </w:rPr>
            </w:pPr>
            <w:r>
              <w:rPr>
                <w:w w:val="85"/>
                <w:sz w:val="16"/>
              </w:rPr>
              <w:t>El resultado de PDMT </w:t>
            </w:r>
            <w:r>
              <w:rPr>
                <w:w w:val="90"/>
                <w:sz w:val="16"/>
              </w:rPr>
              <w:t>se divide entre los 3 rangos que quiero crear (alto, medio y bajo) y se obtiene el </w:t>
            </w:r>
            <w:r>
              <w:rPr>
                <w:w w:val="80"/>
                <w:sz w:val="16"/>
              </w:rPr>
              <w:t>factor: 12.54%.</w:t>
            </w:r>
          </w:p>
          <w:p>
            <w:pPr>
              <w:pStyle w:val="TableParagraph"/>
              <w:spacing w:before="1"/>
              <w:ind w:right="101"/>
              <w:jc w:val="both"/>
              <w:rPr>
                <w:sz w:val="16"/>
              </w:rPr>
            </w:pPr>
            <w:r>
              <w:rPr>
                <w:w w:val="90"/>
                <w:sz w:val="16"/>
              </w:rPr>
              <w:t>Así</w:t>
            </w:r>
            <w:r>
              <w:rPr>
                <w:spacing w:val="-15"/>
                <w:w w:val="90"/>
                <w:sz w:val="16"/>
              </w:rPr>
              <w:t> </w:t>
            </w:r>
            <w:r>
              <w:rPr>
                <w:w w:val="90"/>
                <w:sz w:val="16"/>
              </w:rPr>
              <w:t>se</w:t>
            </w:r>
            <w:r>
              <w:rPr>
                <w:spacing w:val="-15"/>
                <w:w w:val="90"/>
                <w:sz w:val="16"/>
              </w:rPr>
              <w:t> </w:t>
            </w:r>
            <w:r>
              <w:rPr>
                <w:w w:val="90"/>
                <w:sz w:val="16"/>
              </w:rPr>
              <w:t>determinan</w:t>
            </w:r>
            <w:r>
              <w:rPr>
                <w:spacing w:val="-15"/>
                <w:w w:val="90"/>
                <w:sz w:val="16"/>
              </w:rPr>
              <w:t> </w:t>
            </w:r>
            <w:r>
              <w:rPr>
                <w:w w:val="90"/>
                <w:sz w:val="16"/>
              </w:rPr>
              <w:t>los rangos:</w:t>
            </w:r>
          </w:p>
          <w:p>
            <w:pPr>
              <w:pStyle w:val="TableParagraph"/>
              <w:spacing w:line="183" w:lineRule="exact" w:before="1"/>
              <w:jc w:val="both"/>
              <w:rPr>
                <w:sz w:val="16"/>
              </w:rPr>
            </w:pPr>
            <w:r>
              <w:rPr>
                <w:w w:val="90"/>
                <w:sz w:val="16"/>
              </w:rPr>
              <w:t>5.74%   +   12.54%=</w:t>
            </w:r>
          </w:p>
          <w:p>
            <w:pPr>
              <w:pStyle w:val="TableParagraph"/>
              <w:spacing w:line="183" w:lineRule="exact"/>
              <w:jc w:val="both"/>
              <w:rPr>
                <w:sz w:val="16"/>
              </w:rPr>
            </w:pPr>
            <w:r>
              <w:rPr>
                <w:w w:val="90"/>
                <w:sz w:val="16"/>
              </w:rPr>
              <w:t>18.28%,</w:t>
            </w:r>
          </w:p>
          <w:p>
            <w:pPr>
              <w:pStyle w:val="TableParagraph"/>
              <w:spacing w:line="183" w:lineRule="exact" w:before="1"/>
              <w:jc w:val="both"/>
              <w:rPr>
                <w:sz w:val="16"/>
              </w:rPr>
            </w:pPr>
            <w:r>
              <w:rPr>
                <w:w w:val="90"/>
                <w:sz w:val="16"/>
              </w:rPr>
              <w:t>18.29%  +  12.54%=</w:t>
            </w:r>
          </w:p>
          <w:p>
            <w:pPr>
              <w:pStyle w:val="TableParagraph"/>
              <w:spacing w:line="183" w:lineRule="exact"/>
              <w:jc w:val="both"/>
              <w:rPr>
                <w:sz w:val="16"/>
              </w:rPr>
            </w:pPr>
            <w:r>
              <w:rPr>
                <w:w w:val="90"/>
                <w:sz w:val="16"/>
              </w:rPr>
              <w:t>30.83%,</w:t>
            </w:r>
          </w:p>
          <w:p>
            <w:pPr>
              <w:pStyle w:val="TableParagraph"/>
              <w:spacing w:line="183" w:lineRule="exact" w:before="1"/>
              <w:jc w:val="both"/>
              <w:rPr>
                <w:sz w:val="16"/>
              </w:rPr>
            </w:pPr>
            <w:r>
              <w:rPr>
                <w:w w:val="90"/>
                <w:sz w:val="16"/>
              </w:rPr>
              <w:t>30.84%  +  12.54%=</w:t>
            </w:r>
          </w:p>
          <w:p>
            <w:pPr>
              <w:pStyle w:val="TableParagraph"/>
              <w:spacing w:line="183" w:lineRule="exact"/>
              <w:jc w:val="both"/>
              <w:rPr>
                <w:sz w:val="16"/>
              </w:rPr>
            </w:pPr>
            <w:r>
              <w:rPr>
                <w:w w:val="90"/>
                <w:sz w:val="16"/>
              </w:rPr>
              <w:t>43.38%.</w:t>
            </w:r>
          </w:p>
          <w:p>
            <w:pPr>
              <w:pStyle w:val="TableParagraph"/>
              <w:spacing w:line="183" w:lineRule="exact" w:before="1"/>
              <w:jc w:val="both"/>
              <w:rPr>
                <w:sz w:val="16"/>
              </w:rPr>
            </w:pPr>
            <w:r>
              <w:rPr>
                <w:w w:val="85"/>
                <w:sz w:val="16"/>
              </w:rPr>
              <w:t>Los rangos son:</w:t>
            </w:r>
          </w:p>
          <w:p>
            <w:pPr>
              <w:pStyle w:val="TableParagraph"/>
              <w:ind w:right="100"/>
              <w:jc w:val="both"/>
              <w:rPr>
                <w:sz w:val="16"/>
              </w:rPr>
            </w:pPr>
            <w:r>
              <w:rPr>
                <w:w w:val="85"/>
                <w:sz w:val="16"/>
              </w:rPr>
              <w:t>Si</w:t>
            </w:r>
            <w:r>
              <w:rPr>
                <w:spacing w:val="-13"/>
                <w:w w:val="85"/>
                <w:sz w:val="16"/>
              </w:rPr>
              <w:t> </w:t>
            </w:r>
            <w:r>
              <w:rPr>
                <w:w w:val="85"/>
                <w:sz w:val="16"/>
              </w:rPr>
              <w:t>la</w:t>
            </w:r>
            <w:r>
              <w:rPr>
                <w:spacing w:val="-12"/>
                <w:w w:val="85"/>
                <w:sz w:val="16"/>
              </w:rPr>
              <w:t> </w:t>
            </w:r>
            <w:r>
              <w:rPr>
                <w:w w:val="85"/>
                <w:sz w:val="16"/>
              </w:rPr>
              <w:t>diferencia</w:t>
            </w:r>
            <w:r>
              <w:rPr>
                <w:spacing w:val="-12"/>
                <w:w w:val="85"/>
                <w:sz w:val="16"/>
              </w:rPr>
              <w:t> </w:t>
            </w:r>
            <w:r>
              <w:rPr>
                <w:w w:val="85"/>
                <w:sz w:val="16"/>
              </w:rPr>
              <w:t>entre</w:t>
            </w:r>
            <w:r>
              <w:rPr>
                <w:spacing w:val="-13"/>
                <w:w w:val="85"/>
                <w:sz w:val="16"/>
              </w:rPr>
              <w:t> </w:t>
            </w:r>
            <w:r>
              <w:rPr>
                <w:w w:val="85"/>
                <w:sz w:val="16"/>
              </w:rPr>
              <w:t>el </w:t>
            </w:r>
            <w:r>
              <w:rPr>
                <w:w w:val="90"/>
                <w:sz w:val="16"/>
              </w:rPr>
              <w:t>PDMma y el PDMme </w:t>
            </w:r>
            <w:r>
              <w:rPr>
                <w:w w:val="85"/>
                <w:sz w:val="16"/>
              </w:rPr>
              <w:t>se</w:t>
            </w:r>
            <w:r>
              <w:rPr>
                <w:spacing w:val="-12"/>
                <w:w w:val="85"/>
                <w:sz w:val="16"/>
              </w:rPr>
              <w:t> </w:t>
            </w:r>
            <w:r>
              <w:rPr>
                <w:w w:val="85"/>
                <w:sz w:val="16"/>
              </w:rPr>
              <w:t>ubica</w:t>
            </w:r>
            <w:r>
              <w:rPr>
                <w:spacing w:val="-13"/>
                <w:w w:val="85"/>
                <w:sz w:val="16"/>
              </w:rPr>
              <w:t> </w:t>
            </w:r>
            <w:r>
              <w:rPr>
                <w:w w:val="85"/>
                <w:sz w:val="16"/>
              </w:rPr>
              <w:t>entre</w:t>
            </w:r>
            <w:r>
              <w:rPr>
                <w:spacing w:val="-12"/>
                <w:w w:val="85"/>
                <w:sz w:val="16"/>
              </w:rPr>
              <w:t> </w:t>
            </w:r>
            <w:r>
              <w:rPr>
                <w:w w:val="85"/>
                <w:sz w:val="16"/>
              </w:rPr>
              <w:t>5.74%</w:t>
            </w:r>
            <w:r>
              <w:rPr>
                <w:spacing w:val="-12"/>
                <w:w w:val="85"/>
                <w:sz w:val="16"/>
              </w:rPr>
              <w:t> </w:t>
            </w:r>
            <w:r>
              <w:rPr>
                <w:w w:val="85"/>
                <w:sz w:val="16"/>
              </w:rPr>
              <w:t>y </w:t>
            </w:r>
            <w:r>
              <w:rPr>
                <w:w w:val="90"/>
                <w:sz w:val="16"/>
              </w:rPr>
              <w:t>18.28%=  3.0 </w:t>
            </w:r>
            <w:r>
              <w:rPr>
                <w:spacing w:val="30"/>
                <w:w w:val="90"/>
                <w:sz w:val="16"/>
              </w:rPr>
              <w:t> </w:t>
            </w:r>
            <w:r>
              <w:rPr>
                <w:w w:val="90"/>
                <w:sz w:val="16"/>
              </w:rPr>
              <w:t>(alto),</w:t>
            </w:r>
          </w:p>
          <w:p>
            <w:pPr>
              <w:pStyle w:val="TableParagraph"/>
              <w:ind w:right="101"/>
              <w:jc w:val="both"/>
              <w:rPr>
                <w:sz w:val="16"/>
              </w:rPr>
            </w:pPr>
            <w:r>
              <w:rPr>
                <w:w w:val="90"/>
                <w:sz w:val="16"/>
              </w:rPr>
              <w:t>entre 18.29 % y </w:t>
            </w:r>
            <w:r>
              <w:rPr>
                <w:w w:val="85"/>
                <w:sz w:val="16"/>
              </w:rPr>
              <w:t>30.83%= 2.0 (medio),</w:t>
            </w:r>
          </w:p>
          <w:p>
            <w:pPr>
              <w:pStyle w:val="TableParagraph"/>
              <w:ind w:right="100"/>
              <w:jc w:val="both"/>
              <w:rPr>
                <w:sz w:val="16"/>
              </w:rPr>
            </w:pPr>
            <w:r>
              <w:rPr>
                <w:w w:val="90"/>
                <w:sz w:val="16"/>
              </w:rPr>
              <w:t>y entre 30.84% y </w:t>
            </w:r>
            <w:r>
              <w:rPr>
                <w:w w:val="85"/>
                <w:sz w:val="16"/>
              </w:rPr>
              <w:t>43.38%= 1.0 (bajo). A</w:t>
            </w:r>
          </w:p>
          <w:p>
            <w:pPr>
              <w:pStyle w:val="TableParagraph"/>
              <w:ind w:right="100"/>
              <w:jc w:val="both"/>
              <w:rPr>
                <w:sz w:val="16"/>
              </w:rPr>
            </w:pPr>
            <w:r>
              <w:rPr>
                <w:w w:val="90"/>
                <w:sz w:val="16"/>
              </w:rPr>
              <w:t>menor porcentaje de diferencia entre el </w:t>
            </w:r>
            <w:r>
              <w:rPr>
                <w:w w:val="85"/>
                <w:sz w:val="16"/>
              </w:rPr>
              <w:t>número de menciones </w:t>
            </w:r>
            <w:r>
              <w:rPr>
                <w:w w:val="90"/>
                <w:sz w:val="16"/>
              </w:rPr>
              <w:t>por partido, mayor equidad.</w:t>
            </w:r>
          </w:p>
        </w:tc>
      </w:tr>
      <w:tr>
        <w:trPr>
          <w:trHeight w:val="4967" w:hRule="exact"/>
        </w:trPr>
        <w:tc>
          <w:tcPr>
            <w:tcW w:w="1275" w:type="dxa"/>
            <w:vMerge/>
          </w:tcPr>
          <w:p>
            <w:pPr/>
          </w:p>
        </w:tc>
        <w:tc>
          <w:tcPr>
            <w:tcW w:w="1135" w:type="dxa"/>
          </w:tcPr>
          <w:p>
            <w:pPr>
              <w:pStyle w:val="TableParagraph"/>
              <w:tabs>
                <w:tab w:pos="460" w:val="left" w:leader="none"/>
              </w:tabs>
              <w:spacing w:line="237" w:lineRule="auto"/>
              <w:ind w:right="102"/>
              <w:rPr>
                <w:rFonts w:ascii="Trebuchet MS"/>
                <w:b/>
                <w:sz w:val="16"/>
              </w:rPr>
            </w:pPr>
            <w:r>
              <w:rPr>
                <w:rFonts w:ascii="Trebuchet MS"/>
                <w:b/>
                <w:sz w:val="16"/>
              </w:rPr>
              <w:t>Monitoreo </w:t>
            </w:r>
            <w:r>
              <w:rPr>
                <w:rFonts w:ascii="Trebuchet MS"/>
                <w:b/>
                <w:w w:val="95"/>
                <w:sz w:val="16"/>
              </w:rPr>
              <w:t>cuantitativo </w:t>
            </w:r>
            <w:r>
              <w:rPr>
                <w:rFonts w:ascii="Trebuchet MS"/>
                <w:b/>
                <w:sz w:val="16"/>
              </w:rPr>
              <w:t>de</w:t>
              <w:tab/>
            </w:r>
            <w:r>
              <w:rPr>
                <w:rFonts w:ascii="Trebuchet MS"/>
                <w:b/>
                <w:spacing w:val="-1"/>
                <w:w w:val="90"/>
                <w:sz w:val="16"/>
              </w:rPr>
              <w:t>espacios </w:t>
            </w:r>
            <w:r>
              <w:rPr>
                <w:rFonts w:ascii="Trebuchet MS"/>
                <w:b/>
                <w:w w:val="85"/>
                <w:sz w:val="16"/>
              </w:rPr>
              <w:t>promocionale </w:t>
            </w:r>
            <w:r>
              <w:rPr>
                <w:rFonts w:ascii="Trebuchet MS"/>
                <w:b/>
                <w:sz w:val="16"/>
              </w:rPr>
              <w:t>s</w:t>
            </w:r>
          </w:p>
        </w:tc>
        <w:tc>
          <w:tcPr>
            <w:tcW w:w="2693" w:type="dxa"/>
          </w:tcPr>
          <w:p>
            <w:pPr>
              <w:pStyle w:val="TableParagraph"/>
              <w:ind w:left="0" w:right="1"/>
              <w:jc w:val="both"/>
              <w:rPr>
                <w:sz w:val="16"/>
              </w:rPr>
            </w:pPr>
            <w:r>
              <w:rPr>
                <w:w w:val="85"/>
                <w:sz w:val="16"/>
              </w:rPr>
              <w:t>Porcentaje</w:t>
            </w:r>
            <w:r>
              <w:rPr>
                <w:spacing w:val="-21"/>
                <w:w w:val="85"/>
                <w:sz w:val="16"/>
              </w:rPr>
              <w:t> </w:t>
            </w:r>
            <w:r>
              <w:rPr>
                <w:w w:val="85"/>
                <w:sz w:val="16"/>
              </w:rPr>
              <w:t>de</w:t>
            </w:r>
            <w:r>
              <w:rPr>
                <w:spacing w:val="-21"/>
                <w:w w:val="85"/>
                <w:sz w:val="16"/>
              </w:rPr>
              <w:t> </w:t>
            </w:r>
            <w:r>
              <w:rPr>
                <w:w w:val="85"/>
                <w:sz w:val="16"/>
              </w:rPr>
              <w:t>promocionales,</w:t>
            </w:r>
            <w:r>
              <w:rPr>
                <w:spacing w:val="-22"/>
                <w:w w:val="85"/>
                <w:sz w:val="16"/>
              </w:rPr>
              <w:t> </w:t>
            </w:r>
            <w:r>
              <w:rPr>
                <w:w w:val="85"/>
                <w:sz w:val="16"/>
              </w:rPr>
              <w:t>en</w:t>
            </w:r>
            <w:r>
              <w:rPr>
                <w:spacing w:val="-20"/>
                <w:w w:val="85"/>
                <w:sz w:val="16"/>
              </w:rPr>
              <w:t> </w:t>
            </w:r>
            <w:r>
              <w:rPr>
                <w:w w:val="85"/>
                <w:sz w:val="16"/>
              </w:rPr>
              <w:t>los</w:t>
            </w:r>
            <w:r>
              <w:rPr>
                <w:spacing w:val="-21"/>
                <w:w w:val="85"/>
                <w:sz w:val="16"/>
              </w:rPr>
              <w:t> </w:t>
            </w:r>
            <w:r>
              <w:rPr>
                <w:w w:val="85"/>
                <w:sz w:val="16"/>
              </w:rPr>
              <w:t>espacios publicitarios de radio y televisión, por</w:t>
            </w:r>
            <w:r>
              <w:rPr>
                <w:spacing w:val="-20"/>
                <w:w w:val="85"/>
                <w:sz w:val="16"/>
              </w:rPr>
              <w:t> </w:t>
            </w:r>
            <w:r>
              <w:rPr>
                <w:w w:val="85"/>
                <w:sz w:val="16"/>
              </w:rPr>
              <w:t>partido político</w:t>
            </w:r>
            <w:r>
              <w:rPr>
                <w:spacing w:val="-22"/>
                <w:w w:val="85"/>
                <w:sz w:val="16"/>
              </w:rPr>
              <w:t> </w:t>
            </w:r>
            <w:r>
              <w:rPr>
                <w:w w:val="85"/>
                <w:sz w:val="16"/>
              </w:rPr>
              <w:t>durante</w:t>
            </w:r>
            <w:r>
              <w:rPr>
                <w:spacing w:val="-23"/>
                <w:w w:val="85"/>
                <w:sz w:val="16"/>
              </w:rPr>
              <w:t> </w:t>
            </w:r>
            <w:r>
              <w:rPr>
                <w:w w:val="85"/>
                <w:sz w:val="16"/>
              </w:rPr>
              <w:t>el</w:t>
            </w:r>
            <w:r>
              <w:rPr>
                <w:spacing w:val="-23"/>
                <w:w w:val="85"/>
                <w:sz w:val="16"/>
              </w:rPr>
              <w:t> </w:t>
            </w:r>
            <w:r>
              <w:rPr>
                <w:w w:val="85"/>
                <w:sz w:val="16"/>
              </w:rPr>
              <w:t>periodo</w:t>
            </w:r>
            <w:r>
              <w:rPr>
                <w:spacing w:val="-22"/>
                <w:w w:val="85"/>
                <w:sz w:val="16"/>
              </w:rPr>
              <w:t> </w:t>
            </w:r>
            <w:r>
              <w:rPr>
                <w:w w:val="85"/>
                <w:sz w:val="16"/>
              </w:rPr>
              <w:t>de</w:t>
            </w:r>
            <w:r>
              <w:rPr>
                <w:spacing w:val="-22"/>
                <w:w w:val="85"/>
                <w:sz w:val="16"/>
              </w:rPr>
              <w:t> </w:t>
            </w:r>
            <w:r>
              <w:rPr>
                <w:w w:val="85"/>
                <w:sz w:val="16"/>
              </w:rPr>
              <w:t>campañas.</w:t>
            </w:r>
          </w:p>
          <w:p>
            <w:pPr>
              <w:pStyle w:val="TableParagraph"/>
              <w:spacing w:line="182" w:lineRule="exact"/>
              <w:ind w:left="0"/>
              <w:jc w:val="both"/>
              <w:rPr>
                <w:sz w:val="16"/>
              </w:rPr>
            </w:pPr>
            <w:r>
              <w:rPr>
                <w:w w:val="80"/>
                <w:sz w:val="16"/>
              </w:rPr>
              <w:t>Por partidos:</w:t>
            </w:r>
          </w:p>
          <w:p>
            <w:pPr>
              <w:pStyle w:val="TableParagraph"/>
              <w:spacing w:before="1"/>
              <w:ind w:left="0" w:right="-1"/>
              <w:jc w:val="both"/>
              <w:rPr>
                <w:sz w:val="16"/>
              </w:rPr>
            </w:pPr>
            <w:r>
              <w:rPr>
                <w:w w:val="90"/>
                <w:sz w:val="16"/>
              </w:rPr>
              <w:t>¿De los tres partidos mayoritarios, por elección, cual fue el porcentaje del que </w:t>
            </w:r>
            <w:r>
              <w:rPr>
                <w:w w:val="85"/>
                <w:sz w:val="16"/>
              </w:rPr>
              <w:t>obtuvo el mayor número de promocionales? </w:t>
            </w:r>
            <w:r>
              <w:rPr>
                <w:w w:val="90"/>
                <w:sz w:val="16"/>
              </w:rPr>
              <w:t>(PMaP)</w:t>
            </w:r>
          </w:p>
          <w:p>
            <w:pPr>
              <w:pStyle w:val="TableParagraph"/>
              <w:spacing w:before="1"/>
              <w:ind w:left="0" w:right="-1"/>
              <w:jc w:val="both"/>
              <w:rPr>
                <w:sz w:val="16"/>
              </w:rPr>
            </w:pPr>
            <w:r>
              <w:rPr>
                <w:w w:val="90"/>
                <w:sz w:val="16"/>
              </w:rPr>
              <w:t>¿De los tres partidos mayoritarios, por elección, cual fue el porcentaje del que </w:t>
            </w:r>
            <w:r>
              <w:rPr>
                <w:w w:val="85"/>
                <w:sz w:val="16"/>
              </w:rPr>
              <w:t>obtuvo el menor número de promocionales? </w:t>
            </w:r>
            <w:r>
              <w:rPr>
                <w:w w:val="90"/>
                <w:sz w:val="16"/>
              </w:rPr>
              <w:t>(PMeP)</w:t>
            </w:r>
          </w:p>
          <w:p>
            <w:pPr>
              <w:pStyle w:val="TableParagraph"/>
              <w:spacing w:before="1"/>
              <w:ind w:left="0"/>
              <w:jc w:val="both"/>
              <w:rPr>
                <w:sz w:val="16"/>
              </w:rPr>
            </w:pPr>
            <w:r>
              <w:rPr>
                <w:w w:val="90"/>
                <w:sz w:val="16"/>
              </w:rPr>
              <w:t>Determinar el porcentaje diferencial de </w:t>
            </w:r>
            <w:r>
              <w:rPr>
                <w:w w:val="85"/>
                <w:sz w:val="16"/>
              </w:rPr>
              <w:t>promocionales</w:t>
            </w:r>
            <w:r>
              <w:rPr>
                <w:spacing w:val="-7"/>
                <w:w w:val="85"/>
                <w:sz w:val="16"/>
              </w:rPr>
              <w:t> </w:t>
            </w:r>
            <w:r>
              <w:rPr>
                <w:w w:val="85"/>
                <w:sz w:val="16"/>
              </w:rPr>
              <w:t>(PDP).</w:t>
            </w:r>
            <w:r>
              <w:rPr>
                <w:spacing w:val="-7"/>
                <w:w w:val="85"/>
                <w:sz w:val="16"/>
              </w:rPr>
              <w:t> </w:t>
            </w:r>
            <w:r>
              <w:rPr>
                <w:w w:val="85"/>
                <w:sz w:val="16"/>
              </w:rPr>
              <w:t>Se</w:t>
            </w:r>
            <w:r>
              <w:rPr>
                <w:spacing w:val="-7"/>
                <w:w w:val="85"/>
                <w:sz w:val="16"/>
              </w:rPr>
              <w:t> </w:t>
            </w:r>
            <w:r>
              <w:rPr>
                <w:w w:val="85"/>
                <w:sz w:val="16"/>
              </w:rPr>
              <w:t>obtiene</w:t>
            </w:r>
            <w:r>
              <w:rPr>
                <w:spacing w:val="-6"/>
                <w:w w:val="85"/>
                <w:sz w:val="16"/>
              </w:rPr>
              <w:t> </w:t>
            </w:r>
            <w:r>
              <w:rPr>
                <w:w w:val="85"/>
                <w:sz w:val="16"/>
              </w:rPr>
              <w:t>de</w:t>
            </w:r>
            <w:r>
              <w:rPr>
                <w:spacing w:val="-6"/>
                <w:w w:val="85"/>
                <w:sz w:val="16"/>
              </w:rPr>
              <w:t> </w:t>
            </w:r>
            <w:r>
              <w:rPr>
                <w:w w:val="85"/>
                <w:sz w:val="16"/>
              </w:rPr>
              <w:t>restar</w:t>
            </w:r>
            <w:r>
              <w:rPr>
                <w:spacing w:val="-7"/>
                <w:w w:val="85"/>
                <w:sz w:val="16"/>
              </w:rPr>
              <w:t> </w:t>
            </w:r>
            <w:r>
              <w:rPr>
                <w:w w:val="85"/>
                <w:sz w:val="16"/>
              </w:rPr>
              <w:t>a </w:t>
            </w:r>
            <w:r>
              <w:rPr>
                <w:w w:val="80"/>
                <w:sz w:val="16"/>
              </w:rPr>
              <w:t>PMaP-PMeP=</w:t>
            </w:r>
            <w:r>
              <w:rPr>
                <w:spacing w:val="22"/>
                <w:w w:val="80"/>
                <w:sz w:val="16"/>
              </w:rPr>
              <w:t> </w:t>
            </w:r>
            <w:r>
              <w:rPr>
                <w:w w:val="80"/>
                <w:sz w:val="16"/>
              </w:rPr>
              <w:t>PDP</w:t>
            </w:r>
          </w:p>
          <w:p>
            <w:pPr>
              <w:pStyle w:val="TableParagraph"/>
              <w:spacing w:line="182" w:lineRule="exact"/>
              <w:ind w:left="0"/>
              <w:jc w:val="both"/>
              <w:rPr>
                <w:sz w:val="16"/>
              </w:rPr>
            </w:pPr>
            <w:r>
              <w:rPr>
                <w:w w:val="80"/>
                <w:sz w:val="16"/>
              </w:rPr>
              <w:t>Por elección:</w:t>
            </w:r>
          </w:p>
          <w:p>
            <w:pPr>
              <w:pStyle w:val="TableParagraph"/>
              <w:spacing w:before="1"/>
              <w:ind w:left="0" w:right="1"/>
              <w:jc w:val="both"/>
              <w:rPr>
                <w:sz w:val="16"/>
              </w:rPr>
            </w:pPr>
            <w:r>
              <w:rPr>
                <w:w w:val="85"/>
                <w:sz w:val="16"/>
              </w:rPr>
              <w:t>¿De</w:t>
            </w:r>
            <w:r>
              <w:rPr>
                <w:spacing w:val="-17"/>
                <w:w w:val="85"/>
                <w:sz w:val="16"/>
              </w:rPr>
              <w:t> </w:t>
            </w:r>
            <w:r>
              <w:rPr>
                <w:w w:val="85"/>
                <w:sz w:val="16"/>
              </w:rPr>
              <w:t>las</w:t>
            </w:r>
            <w:r>
              <w:rPr>
                <w:spacing w:val="-18"/>
                <w:w w:val="85"/>
                <w:sz w:val="16"/>
              </w:rPr>
              <w:t> </w:t>
            </w:r>
            <w:r>
              <w:rPr>
                <w:w w:val="85"/>
                <w:sz w:val="16"/>
              </w:rPr>
              <w:t>cuatro</w:t>
            </w:r>
            <w:r>
              <w:rPr>
                <w:spacing w:val="-18"/>
                <w:w w:val="85"/>
                <w:sz w:val="16"/>
              </w:rPr>
              <w:t> </w:t>
            </w:r>
            <w:r>
              <w:rPr>
                <w:w w:val="85"/>
                <w:sz w:val="16"/>
              </w:rPr>
              <w:t>elecciones</w:t>
            </w:r>
            <w:r>
              <w:rPr>
                <w:spacing w:val="-19"/>
                <w:w w:val="85"/>
                <w:sz w:val="16"/>
              </w:rPr>
              <w:t> </w:t>
            </w:r>
            <w:r>
              <w:rPr>
                <w:w w:val="85"/>
                <w:sz w:val="16"/>
              </w:rPr>
              <w:t>estudiadas</w:t>
            </w:r>
            <w:r>
              <w:rPr>
                <w:spacing w:val="-18"/>
                <w:w w:val="85"/>
                <w:sz w:val="16"/>
              </w:rPr>
              <w:t> </w:t>
            </w:r>
            <w:r>
              <w:rPr>
                <w:w w:val="85"/>
                <w:sz w:val="16"/>
              </w:rPr>
              <w:t>cual</w:t>
            </w:r>
            <w:r>
              <w:rPr>
                <w:spacing w:val="-18"/>
                <w:w w:val="85"/>
                <w:sz w:val="16"/>
              </w:rPr>
              <w:t> </w:t>
            </w:r>
            <w:r>
              <w:rPr>
                <w:w w:val="85"/>
                <w:sz w:val="16"/>
              </w:rPr>
              <w:t>fue </w:t>
            </w:r>
            <w:r>
              <w:rPr>
                <w:w w:val="90"/>
                <w:sz w:val="16"/>
              </w:rPr>
              <w:t>el</w:t>
            </w:r>
            <w:r>
              <w:rPr>
                <w:spacing w:val="-23"/>
                <w:w w:val="90"/>
                <w:sz w:val="16"/>
              </w:rPr>
              <w:t> </w:t>
            </w:r>
            <w:r>
              <w:rPr>
                <w:w w:val="90"/>
                <w:sz w:val="16"/>
              </w:rPr>
              <w:t>PDP</w:t>
            </w:r>
            <w:r>
              <w:rPr>
                <w:spacing w:val="-22"/>
                <w:w w:val="90"/>
                <w:sz w:val="16"/>
              </w:rPr>
              <w:t> </w:t>
            </w:r>
            <w:r>
              <w:rPr>
                <w:w w:val="90"/>
                <w:sz w:val="16"/>
              </w:rPr>
              <w:t>de</w:t>
            </w:r>
            <w:r>
              <w:rPr>
                <w:spacing w:val="-22"/>
                <w:w w:val="90"/>
                <w:sz w:val="16"/>
              </w:rPr>
              <w:t> </w:t>
            </w:r>
            <w:r>
              <w:rPr>
                <w:w w:val="90"/>
                <w:sz w:val="16"/>
              </w:rPr>
              <w:t>la</w:t>
            </w:r>
            <w:r>
              <w:rPr>
                <w:spacing w:val="-24"/>
                <w:w w:val="90"/>
                <w:sz w:val="16"/>
              </w:rPr>
              <w:t> </w:t>
            </w:r>
            <w:r>
              <w:rPr>
                <w:w w:val="90"/>
                <w:sz w:val="16"/>
              </w:rPr>
              <w:t>que</w:t>
            </w:r>
            <w:r>
              <w:rPr>
                <w:spacing w:val="-22"/>
                <w:w w:val="90"/>
                <w:sz w:val="16"/>
              </w:rPr>
              <w:t> </w:t>
            </w:r>
            <w:r>
              <w:rPr>
                <w:w w:val="90"/>
                <w:sz w:val="16"/>
              </w:rPr>
              <w:t>obtuvo</w:t>
            </w:r>
            <w:r>
              <w:rPr>
                <w:spacing w:val="-23"/>
                <w:w w:val="90"/>
                <w:sz w:val="16"/>
              </w:rPr>
              <w:t> </w:t>
            </w:r>
            <w:r>
              <w:rPr>
                <w:w w:val="90"/>
                <w:sz w:val="16"/>
              </w:rPr>
              <w:t>el</w:t>
            </w:r>
            <w:r>
              <w:rPr>
                <w:spacing w:val="-23"/>
                <w:w w:val="90"/>
                <w:sz w:val="16"/>
              </w:rPr>
              <w:t> </w:t>
            </w:r>
            <w:r>
              <w:rPr>
                <w:w w:val="90"/>
                <w:sz w:val="16"/>
              </w:rPr>
              <w:t>mayor</w:t>
            </w:r>
            <w:r>
              <w:rPr>
                <w:spacing w:val="-23"/>
                <w:w w:val="90"/>
                <w:sz w:val="16"/>
              </w:rPr>
              <w:t> </w:t>
            </w:r>
            <w:r>
              <w:rPr>
                <w:w w:val="90"/>
                <w:sz w:val="16"/>
              </w:rPr>
              <w:t>número</w:t>
            </w:r>
            <w:r>
              <w:rPr>
                <w:spacing w:val="-22"/>
                <w:w w:val="90"/>
                <w:sz w:val="16"/>
              </w:rPr>
              <w:t> </w:t>
            </w:r>
            <w:r>
              <w:rPr>
                <w:w w:val="90"/>
                <w:sz w:val="16"/>
              </w:rPr>
              <w:t>de promocionales?</w:t>
            </w:r>
          </w:p>
          <w:p>
            <w:pPr>
              <w:pStyle w:val="TableParagraph"/>
              <w:spacing w:line="182" w:lineRule="exact"/>
              <w:ind w:left="0"/>
              <w:jc w:val="both"/>
              <w:rPr>
                <w:sz w:val="16"/>
              </w:rPr>
            </w:pPr>
            <w:r>
              <w:rPr>
                <w:w w:val="90"/>
                <w:sz w:val="16"/>
              </w:rPr>
              <w:t>(PDPma)</w:t>
            </w:r>
          </w:p>
          <w:p>
            <w:pPr>
              <w:pStyle w:val="TableParagraph"/>
              <w:spacing w:before="1"/>
              <w:ind w:left="0" w:right="1"/>
              <w:jc w:val="both"/>
              <w:rPr>
                <w:sz w:val="16"/>
              </w:rPr>
            </w:pPr>
            <w:r>
              <w:rPr>
                <w:w w:val="85"/>
                <w:sz w:val="16"/>
              </w:rPr>
              <w:t>¿De</w:t>
            </w:r>
            <w:r>
              <w:rPr>
                <w:spacing w:val="-17"/>
                <w:w w:val="85"/>
                <w:sz w:val="16"/>
              </w:rPr>
              <w:t> </w:t>
            </w:r>
            <w:r>
              <w:rPr>
                <w:w w:val="85"/>
                <w:sz w:val="16"/>
              </w:rPr>
              <w:t>las</w:t>
            </w:r>
            <w:r>
              <w:rPr>
                <w:spacing w:val="-18"/>
                <w:w w:val="85"/>
                <w:sz w:val="16"/>
              </w:rPr>
              <w:t> </w:t>
            </w:r>
            <w:r>
              <w:rPr>
                <w:w w:val="85"/>
                <w:sz w:val="16"/>
              </w:rPr>
              <w:t>cuatro</w:t>
            </w:r>
            <w:r>
              <w:rPr>
                <w:spacing w:val="-18"/>
                <w:w w:val="85"/>
                <w:sz w:val="16"/>
              </w:rPr>
              <w:t> </w:t>
            </w:r>
            <w:r>
              <w:rPr>
                <w:w w:val="85"/>
                <w:sz w:val="16"/>
              </w:rPr>
              <w:t>elecciones</w:t>
            </w:r>
            <w:r>
              <w:rPr>
                <w:spacing w:val="-19"/>
                <w:w w:val="85"/>
                <w:sz w:val="16"/>
              </w:rPr>
              <w:t> </w:t>
            </w:r>
            <w:r>
              <w:rPr>
                <w:w w:val="85"/>
                <w:sz w:val="16"/>
              </w:rPr>
              <w:t>estudiadas</w:t>
            </w:r>
            <w:r>
              <w:rPr>
                <w:spacing w:val="-18"/>
                <w:w w:val="85"/>
                <w:sz w:val="16"/>
              </w:rPr>
              <w:t> </w:t>
            </w:r>
            <w:r>
              <w:rPr>
                <w:w w:val="85"/>
                <w:sz w:val="16"/>
              </w:rPr>
              <w:t>cual</w:t>
            </w:r>
            <w:r>
              <w:rPr>
                <w:spacing w:val="-18"/>
                <w:w w:val="85"/>
                <w:sz w:val="16"/>
              </w:rPr>
              <w:t> </w:t>
            </w:r>
            <w:r>
              <w:rPr>
                <w:w w:val="85"/>
                <w:sz w:val="16"/>
              </w:rPr>
              <w:t>fue </w:t>
            </w:r>
            <w:r>
              <w:rPr>
                <w:w w:val="90"/>
                <w:sz w:val="16"/>
              </w:rPr>
              <w:t>el</w:t>
            </w:r>
            <w:r>
              <w:rPr>
                <w:spacing w:val="-23"/>
                <w:w w:val="90"/>
                <w:sz w:val="16"/>
              </w:rPr>
              <w:t> </w:t>
            </w:r>
            <w:r>
              <w:rPr>
                <w:w w:val="90"/>
                <w:sz w:val="16"/>
              </w:rPr>
              <w:t>PDP</w:t>
            </w:r>
            <w:r>
              <w:rPr>
                <w:spacing w:val="-24"/>
                <w:w w:val="90"/>
                <w:sz w:val="16"/>
              </w:rPr>
              <w:t> </w:t>
            </w:r>
            <w:r>
              <w:rPr>
                <w:w w:val="90"/>
                <w:sz w:val="16"/>
              </w:rPr>
              <w:t>de</w:t>
            </w:r>
            <w:r>
              <w:rPr>
                <w:spacing w:val="-23"/>
                <w:w w:val="90"/>
                <w:sz w:val="16"/>
              </w:rPr>
              <w:t> </w:t>
            </w:r>
            <w:r>
              <w:rPr>
                <w:w w:val="90"/>
                <w:sz w:val="16"/>
              </w:rPr>
              <w:t>la</w:t>
            </w:r>
            <w:r>
              <w:rPr>
                <w:spacing w:val="-24"/>
                <w:w w:val="90"/>
                <w:sz w:val="16"/>
              </w:rPr>
              <w:t> </w:t>
            </w:r>
            <w:r>
              <w:rPr>
                <w:w w:val="90"/>
                <w:sz w:val="16"/>
              </w:rPr>
              <w:t>que</w:t>
            </w:r>
            <w:r>
              <w:rPr>
                <w:spacing w:val="-24"/>
                <w:w w:val="90"/>
                <w:sz w:val="16"/>
              </w:rPr>
              <w:t> </w:t>
            </w:r>
            <w:r>
              <w:rPr>
                <w:w w:val="90"/>
                <w:sz w:val="16"/>
              </w:rPr>
              <w:t>obtuvo</w:t>
            </w:r>
            <w:r>
              <w:rPr>
                <w:spacing w:val="-24"/>
                <w:w w:val="90"/>
                <w:sz w:val="16"/>
              </w:rPr>
              <w:t> </w:t>
            </w:r>
            <w:r>
              <w:rPr>
                <w:w w:val="90"/>
                <w:sz w:val="16"/>
              </w:rPr>
              <w:t>el</w:t>
            </w:r>
            <w:r>
              <w:rPr>
                <w:spacing w:val="-23"/>
                <w:w w:val="90"/>
                <w:sz w:val="16"/>
              </w:rPr>
              <w:t> </w:t>
            </w:r>
            <w:r>
              <w:rPr>
                <w:w w:val="90"/>
                <w:sz w:val="16"/>
              </w:rPr>
              <w:t>menor</w:t>
            </w:r>
            <w:r>
              <w:rPr>
                <w:spacing w:val="-25"/>
                <w:w w:val="90"/>
                <w:sz w:val="16"/>
              </w:rPr>
              <w:t> </w:t>
            </w:r>
            <w:r>
              <w:rPr>
                <w:w w:val="90"/>
                <w:sz w:val="16"/>
              </w:rPr>
              <w:t>número</w:t>
            </w:r>
            <w:r>
              <w:rPr>
                <w:spacing w:val="-23"/>
                <w:w w:val="90"/>
                <w:sz w:val="16"/>
              </w:rPr>
              <w:t> </w:t>
            </w:r>
            <w:r>
              <w:rPr>
                <w:w w:val="90"/>
                <w:sz w:val="16"/>
              </w:rPr>
              <w:t>de promocionales?</w:t>
            </w:r>
          </w:p>
          <w:p>
            <w:pPr>
              <w:pStyle w:val="TableParagraph"/>
              <w:spacing w:line="182" w:lineRule="exact"/>
              <w:ind w:left="0"/>
              <w:jc w:val="both"/>
              <w:rPr>
                <w:sz w:val="16"/>
              </w:rPr>
            </w:pPr>
            <w:r>
              <w:rPr>
                <w:w w:val="90"/>
                <w:sz w:val="16"/>
              </w:rPr>
              <w:t>(PDPme)</w:t>
            </w:r>
          </w:p>
          <w:p>
            <w:pPr>
              <w:pStyle w:val="TableParagraph"/>
              <w:spacing w:before="1"/>
              <w:ind w:left="0" w:right="-1"/>
              <w:jc w:val="both"/>
              <w:rPr>
                <w:sz w:val="16"/>
              </w:rPr>
            </w:pPr>
            <w:r>
              <w:rPr>
                <w:w w:val="90"/>
                <w:sz w:val="16"/>
              </w:rPr>
              <w:t>Determinar el porcentaje diferencial de promocionales</w:t>
            </w:r>
            <w:r>
              <w:rPr>
                <w:spacing w:val="-13"/>
                <w:w w:val="90"/>
                <w:sz w:val="16"/>
              </w:rPr>
              <w:t> </w:t>
            </w:r>
            <w:r>
              <w:rPr>
                <w:w w:val="90"/>
                <w:sz w:val="16"/>
              </w:rPr>
              <w:t>total</w:t>
            </w:r>
            <w:r>
              <w:rPr>
                <w:spacing w:val="-13"/>
                <w:w w:val="90"/>
                <w:sz w:val="16"/>
              </w:rPr>
              <w:t> </w:t>
            </w:r>
            <w:r>
              <w:rPr>
                <w:w w:val="90"/>
                <w:sz w:val="16"/>
              </w:rPr>
              <w:t>(PDPT).</w:t>
            </w:r>
            <w:r>
              <w:rPr>
                <w:spacing w:val="-13"/>
                <w:w w:val="90"/>
                <w:sz w:val="16"/>
              </w:rPr>
              <w:t> </w:t>
            </w:r>
            <w:r>
              <w:rPr>
                <w:w w:val="90"/>
                <w:sz w:val="16"/>
              </w:rPr>
              <w:t>Se</w:t>
            </w:r>
            <w:r>
              <w:rPr>
                <w:spacing w:val="-13"/>
                <w:w w:val="90"/>
                <w:sz w:val="16"/>
              </w:rPr>
              <w:t> </w:t>
            </w:r>
            <w:r>
              <w:rPr>
                <w:w w:val="90"/>
                <w:sz w:val="16"/>
              </w:rPr>
              <w:t>obtiene</w:t>
            </w:r>
            <w:r>
              <w:rPr>
                <w:spacing w:val="-12"/>
                <w:w w:val="90"/>
                <w:sz w:val="16"/>
              </w:rPr>
              <w:t> </w:t>
            </w:r>
            <w:r>
              <w:rPr>
                <w:w w:val="90"/>
                <w:sz w:val="16"/>
              </w:rPr>
              <w:t>de </w:t>
            </w:r>
            <w:r>
              <w:rPr>
                <w:w w:val="85"/>
                <w:sz w:val="16"/>
              </w:rPr>
              <w:t>restar</w:t>
            </w:r>
            <w:r>
              <w:rPr>
                <w:spacing w:val="-15"/>
                <w:w w:val="85"/>
                <w:sz w:val="16"/>
              </w:rPr>
              <w:t> </w:t>
            </w:r>
            <w:r>
              <w:rPr>
                <w:w w:val="85"/>
                <w:sz w:val="16"/>
              </w:rPr>
              <w:t>a</w:t>
            </w:r>
            <w:r>
              <w:rPr>
                <w:spacing w:val="-14"/>
                <w:w w:val="85"/>
                <w:sz w:val="16"/>
              </w:rPr>
              <w:t> </w:t>
            </w:r>
            <w:r>
              <w:rPr>
                <w:w w:val="85"/>
                <w:sz w:val="16"/>
              </w:rPr>
              <w:t>PDPma</w:t>
            </w:r>
            <w:r>
              <w:rPr>
                <w:spacing w:val="-13"/>
                <w:w w:val="85"/>
                <w:sz w:val="16"/>
              </w:rPr>
              <w:t> </w:t>
            </w:r>
            <w:r>
              <w:rPr>
                <w:w w:val="85"/>
                <w:sz w:val="16"/>
              </w:rPr>
              <w:t>-</w:t>
            </w:r>
            <w:r>
              <w:rPr>
                <w:spacing w:val="-15"/>
                <w:w w:val="85"/>
                <w:sz w:val="16"/>
              </w:rPr>
              <w:t> </w:t>
            </w:r>
            <w:r>
              <w:rPr>
                <w:w w:val="85"/>
                <w:sz w:val="16"/>
              </w:rPr>
              <w:t>PDPme</w:t>
            </w:r>
            <w:r>
              <w:rPr>
                <w:spacing w:val="-14"/>
                <w:w w:val="85"/>
                <w:sz w:val="16"/>
              </w:rPr>
              <w:t> </w:t>
            </w:r>
            <w:r>
              <w:rPr>
                <w:w w:val="85"/>
                <w:sz w:val="16"/>
              </w:rPr>
              <w:t>=</w:t>
            </w:r>
            <w:r>
              <w:rPr>
                <w:spacing w:val="-15"/>
                <w:w w:val="85"/>
                <w:sz w:val="16"/>
              </w:rPr>
              <w:t> </w:t>
            </w:r>
            <w:r>
              <w:rPr>
                <w:w w:val="85"/>
                <w:sz w:val="16"/>
              </w:rPr>
              <w:t>PDPT</w:t>
            </w:r>
          </w:p>
        </w:tc>
        <w:tc>
          <w:tcPr>
            <w:tcW w:w="2410" w:type="dxa"/>
          </w:tcPr>
          <w:p>
            <w:pPr>
              <w:pStyle w:val="TableParagraph"/>
              <w:spacing w:line="182" w:lineRule="exact" w:before="1"/>
              <w:ind w:left="-1" w:right="-5"/>
              <w:rPr>
                <w:sz w:val="16"/>
              </w:rPr>
            </w:pPr>
            <w:r>
              <w:rPr>
                <w:w w:val="85"/>
                <w:sz w:val="16"/>
              </w:rPr>
              <w:t>Porcentaje de espacios promocionales </w:t>
            </w:r>
            <w:r>
              <w:rPr>
                <w:w w:val="80"/>
                <w:sz w:val="16"/>
              </w:rPr>
              <w:t>por</w:t>
            </w:r>
            <w:r>
              <w:rPr>
                <w:spacing w:val="10"/>
                <w:w w:val="80"/>
                <w:sz w:val="16"/>
              </w:rPr>
              <w:t> </w:t>
            </w:r>
            <w:r>
              <w:rPr>
                <w:w w:val="80"/>
                <w:sz w:val="16"/>
              </w:rPr>
              <w:t>partido.</w:t>
            </w:r>
          </w:p>
        </w:tc>
        <w:tc>
          <w:tcPr>
            <w:tcW w:w="1419" w:type="dxa"/>
          </w:tcPr>
          <w:p>
            <w:pPr>
              <w:pStyle w:val="TableParagraph"/>
              <w:tabs>
                <w:tab w:pos="832" w:val="left" w:leader="none"/>
                <w:tab w:pos="1261" w:val="left" w:leader="none"/>
              </w:tabs>
              <w:ind w:left="-1" w:right="-1"/>
              <w:jc w:val="both"/>
              <w:rPr>
                <w:sz w:val="16"/>
              </w:rPr>
            </w:pPr>
            <w:r>
              <w:rPr>
                <w:w w:val="85"/>
                <w:sz w:val="16"/>
              </w:rPr>
              <w:t>Monitoreos</w:t>
            </w:r>
            <w:r>
              <w:rPr>
                <w:spacing w:val="37"/>
                <w:w w:val="85"/>
                <w:sz w:val="16"/>
              </w:rPr>
              <w:t> </w:t>
            </w:r>
            <w:r>
              <w:rPr>
                <w:w w:val="85"/>
                <w:sz w:val="16"/>
              </w:rPr>
              <w:t>realizados </w:t>
            </w:r>
            <w:r>
              <w:rPr>
                <w:w w:val="90"/>
                <w:sz w:val="16"/>
              </w:rPr>
              <w:t>por</w:t>
              <w:tab/>
            </w:r>
            <w:r>
              <w:rPr>
                <w:spacing w:val="-1"/>
                <w:w w:val="80"/>
                <w:sz w:val="16"/>
              </w:rPr>
              <w:t>empresas </w:t>
            </w:r>
            <w:r>
              <w:rPr>
                <w:w w:val="90"/>
                <w:sz w:val="16"/>
              </w:rPr>
              <w:t>contratadas por los órganos electorales. </w:t>
            </w:r>
            <w:r>
              <w:rPr>
                <w:w w:val="85"/>
                <w:sz w:val="16"/>
              </w:rPr>
              <w:t>Dictámenes</w:t>
              <w:tab/>
              <w:tab/>
            </w:r>
            <w:r>
              <w:rPr>
                <w:w w:val="80"/>
                <w:sz w:val="16"/>
              </w:rPr>
              <w:t>de</w:t>
            </w:r>
          </w:p>
          <w:p>
            <w:pPr>
              <w:pStyle w:val="TableParagraph"/>
              <w:tabs>
                <w:tab w:pos="1261" w:val="left" w:leader="none"/>
              </w:tabs>
              <w:ind w:left="-1" w:right="-1"/>
              <w:jc w:val="both"/>
              <w:rPr>
                <w:sz w:val="16"/>
              </w:rPr>
            </w:pPr>
            <w:r>
              <w:rPr>
                <w:w w:val="85"/>
                <w:sz w:val="16"/>
              </w:rPr>
              <w:t>comisiones</w:t>
              <w:tab/>
            </w:r>
            <w:r>
              <w:rPr>
                <w:w w:val="80"/>
                <w:sz w:val="16"/>
              </w:rPr>
              <w:t>de </w:t>
            </w:r>
            <w:r>
              <w:rPr>
                <w:w w:val="90"/>
                <w:sz w:val="16"/>
              </w:rPr>
              <w:t>radiodifusión.</w:t>
            </w:r>
          </w:p>
        </w:tc>
        <w:tc>
          <w:tcPr>
            <w:tcW w:w="1560" w:type="dxa"/>
          </w:tcPr>
          <w:p>
            <w:pPr>
              <w:pStyle w:val="TableParagraph"/>
              <w:spacing w:line="180" w:lineRule="exact"/>
              <w:jc w:val="both"/>
              <w:rPr>
                <w:sz w:val="16"/>
              </w:rPr>
            </w:pPr>
            <w:r>
              <w:rPr>
                <w:w w:val="85"/>
                <w:sz w:val="16"/>
              </w:rPr>
              <w:t>PDPma = 24.02%</w:t>
            </w:r>
          </w:p>
          <w:p>
            <w:pPr>
              <w:pStyle w:val="TableParagraph"/>
              <w:spacing w:line="183" w:lineRule="exact"/>
              <w:jc w:val="both"/>
              <w:rPr>
                <w:sz w:val="16"/>
              </w:rPr>
            </w:pPr>
            <w:r>
              <w:rPr>
                <w:w w:val="85"/>
                <w:sz w:val="16"/>
              </w:rPr>
              <w:t>PDPme = 7.5%</w:t>
            </w:r>
          </w:p>
          <w:p>
            <w:pPr>
              <w:pStyle w:val="TableParagraph"/>
              <w:spacing w:line="183" w:lineRule="exact" w:before="1"/>
              <w:jc w:val="both"/>
              <w:rPr>
                <w:sz w:val="16"/>
              </w:rPr>
            </w:pPr>
            <w:r>
              <w:rPr>
                <w:w w:val="85"/>
                <w:sz w:val="16"/>
              </w:rPr>
              <w:t>PDPT = 16.52%</w:t>
            </w:r>
          </w:p>
          <w:p>
            <w:pPr>
              <w:pStyle w:val="TableParagraph"/>
              <w:ind w:right="99"/>
              <w:jc w:val="both"/>
              <w:rPr>
                <w:sz w:val="16"/>
              </w:rPr>
            </w:pPr>
            <w:r>
              <w:rPr>
                <w:w w:val="90"/>
                <w:sz w:val="16"/>
              </w:rPr>
              <w:t>El resultado de</w:t>
            </w:r>
            <w:r>
              <w:rPr>
                <w:spacing w:val="-26"/>
                <w:w w:val="90"/>
                <w:sz w:val="16"/>
              </w:rPr>
              <w:t> </w:t>
            </w:r>
            <w:r>
              <w:rPr>
                <w:w w:val="90"/>
                <w:sz w:val="16"/>
              </w:rPr>
              <w:t>PDpT se divide entre los 3 rangos que quiero crear (alto, medio y bajo) y se obtiene el </w:t>
            </w:r>
            <w:r>
              <w:rPr>
                <w:w w:val="80"/>
                <w:sz w:val="16"/>
              </w:rPr>
              <w:t>factor:</w:t>
            </w:r>
            <w:r>
              <w:rPr>
                <w:spacing w:val="16"/>
                <w:w w:val="80"/>
                <w:sz w:val="16"/>
              </w:rPr>
              <w:t> </w:t>
            </w:r>
            <w:r>
              <w:rPr>
                <w:w w:val="80"/>
                <w:sz w:val="16"/>
              </w:rPr>
              <w:t>5.5%.</w:t>
            </w:r>
          </w:p>
          <w:p>
            <w:pPr>
              <w:pStyle w:val="TableParagraph"/>
              <w:ind w:right="101"/>
              <w:jc w:val="both"/>
              <w:rPr>
                <w:sz w:val="16"/>
              </w:rPr>
            </w:pPr>
            <w:r>
              <w:rPr>
                <w:w w:val="90"/>
                <w:sz w:val="16"/>
              </w:rPr>
              <w:t>Así</w:t>
            </w:r>
            <w:r>
              <w:rPr>
                <w:spacing w:val="-15"/>
                <w:w w:val="90"/>
                <w:sz w:val="16"/>
              </w:rPr>
              <w:t> </w:t>
            </w:r>
            <w:r>
              <w:rPr>
                <w:w w:val="90"/>
                <w:sz w:val="16"/>
              </w:rPr>
              <w:t>se</w:t>
            </w:r>
            <w:r>
              <w:rPr>
                <w:spacing w:val="-15"/>
                <w:w w:val="90"/>
                <w:sz w:val="16"/>
              </w:rPr>
              <w:t> </w:t>
            </w:r>
            <w:r>
              <w:rPr>
                <w:w w:val="90"/>
                <w:sz w:val="16"/>
              </w:rPr>
              <w:t>determinan</w:t>
            </w:r>
            <w:r>
              <w:rPr>
                <w:spacing w:val="-15"/>
                <w:w w:val="90"/>
                <w:sz w:val="16"/>
              </w:rPr>
              <w:t> </w:t>
            </w:r>
            <w:r>
              <w:rPr>
                <w:w w:val="90"/>
                <w:sz w:val="16"/>
              </w:rPr>
              <w:t>los rangos:</w:t>
            </w:r>
          </w:p>
          <w:p>
            <w:pPr>
              <w:pStyle w:val="TableParagraph"/>
              <w:spacing w:line="182" w:lineRule="exact"/>
              <w:jc w:val="both"/>
              <w:rPr>
                <w:sz w:val="16"/>
              </w:rPr>
            </w:pPr>
            <w:r>
              <w:rPr>
                <w:w w:val="85"/>
                <w:sz w:val="16"/>
              </w:rPr>
              <w:t>7.5% + 5.5%= 13%,</w:t>
            </w:r>
          </w:p>
          <w:p>
            <w:pPr>
              <w:pStyle w:val="TableParagraph"/>
              <w:spacing w:line="183" w:lineRule="exact" w:before="1"/>
              <w:jc w:val="both"/>
              <w:rPr>
                <w:sz w:val="16"/>
              </w:rPr>
            </w:pPr>
            <w:r>
              <w:rPr>
                <w:w w:val="85"/>
                <w:sz w:val="16"/>
              </w:rPr>
              <w:t>13.1% + 5.5%= 18.6%,</w:t>
            </w:r>
          </w:p>
          <w:p>
            <w:pPr>
              <w:pStyle w:val="TableParagraph"/>
              <w:spacing w:line="183" w:lineRule="exact"/>
              <w:jc w:val="both"/>
              <w:rPr>
                <w:sz w:val="16"/>
              </w:rPr>
            </w:pPr>
            <w:r>
              <w:rPr>
                <w:w w:val="85"/>
                <w:sz w:val="16"/>
              </w:rPr>
              <w:t>18.7% + 5.5%= 24.2%.</w:t>
            </w:r>
          </w:p>
          <w:p>
            <w:pPr>
              <w:pStyle w:val="TableParagraph"/>
              <w:spacing w:line="183" w:lineRule="exact" w:before="1"/>
              <w:jc w:val="both"/>
              <w:rPr>
                <w:sz w:val="16"/>
              </w:rPr>
            </w:pPr>
            <w:r>
              <w:rPr>
                <w:w w:val="85"/>
                <w:sz w:val="16"/>
              </w:rPr>
              <w:t>Los rangos son:</w:t>
            </w:r>
          </w:p>
          <w:p>
            <w:pPr>
              <w:pStyle w:val="TableParagraph"/>
              <w:ind w:right="100"/>
              <w:jc w:val="both"/>
              <w:rPr>
                <w:sz w:val="16"/>
              </w:rPr>
            </w:pPr>
            <w:r>
              <w:rPr>
                <w:w w:val="90"/>
                <w:sz w:val="16"/>
              </w:rPr>
              <w:t>Si la diferencia entre PDPma y el PDPme se</w:t>
            </w:r>
            <w:r>
              <w:rPr>
                <w:spacing w:val="-11"/>
                <w:w w:val="90"/>
                <w:sz w:val="16"/>
              </w:rPr>
              <w:t> </w:t>
            </w:r>
            <w:r>
              <w:rPr>
                <w:w w:val="90"/>
                <w:sz w:val="16"/>
              </w:rPr>
              <w:t>ubica</w:t>
            </w:r>
            <w:r>
              <w:rPr>
                <w:spacing w:val="-12"/>
                <w:w w:val="90"/>
                <w:sz w:val="16"/>
              </w:rPr>
              <w:t> </w:t>
            </w:r>
            <w:r>
              <w:rPr>
                <w:w w:val="90"/>
                <w:sz w:val="16"/>
              </w:rPr>
              <w:t>entre</w:t>
            </w:r>
            <w:r>
              <w:rPr>
                <w:spacing w:val="-12"/>
                <w:w w:val="90"/>
                <w:sz w:val="16"/>
              </w:rPr>
              <w:t> </w:t>
            </w:r>
            <w:r>
              <w:rPr>
                <w:w w:val="90"/>
                <w:sz w:val="16"/>
              </w:rPr>
              <w:t>7.5%</w:t>
            </w:r>
            <w:r>
              <w:rPr>
                <w:spacing w:val="-11"/>
                <w:w w:val="90"/>
                <w:sz w:val="16"/>
              </w:rPr>
              <w:t> </w:t>
            </w:r>
            <w:r>
              <w:rPr>
                <w:w w:val="90"/>
                <w:sz w:val="16"/>
              </w:rPr>
              <w:t>y 13%=</w:t>
            </w:r>
            <w:r>
              <w:rPr>
                <w:spacing w:val="-19"/>
                <w:w w:val="90"/>
                <w:sz w:val="16"/>
              </w:rPr>
              <w:t> </w:t>
            </w:r>
            <w:r>
              <w:rPr>
                <w:w w:val="90"/>
                <w:sz w:val="16"/>
              </w:rPr>
              <w:t>3.0</w:t>
            </w:r>
            <w:r>
              <w:rPr>
                <w:spacing w:val="-19"/>
                <w:w w:val="90"/>
                <w:sz w:val="16"/>
              </w:rPr>
              <w:t> </w:t>
            </w:r>
            <w:r>
              <w:rPr>
                <w:w w:val="90"/>
                <w:sz w:val="16"/>
              </w:rPr>
              <w:t>(alto),</w:t>
            </w:r>
            <w:r>
              <w:rPr>
                <w:spacing w:val="-20"/>
                <w:w w:val="90"/>
                <w:sz w:val="16"/>
              </w:rPr>
              <w:t> </w:t>
            </w:r>
            <w:r>
              <w:rPr>
                <w:w w:val="90"/>
                <w:sz w:val="16"/>
              </w:rPr>
              <w:t>entre</w:t>
            </w:r>
          </w:p>
          <w:p>
            <w:pPr>
              <w:pStyle w:val="TableParagraph"/>
              <w:spacing w:line="182" w:lineRule="exact"/>
              <w:jc w:val="both"/>
              <w:rPr>
                <w:sz w:val="16"/>
              </w:rPr>
            </w:pPr>
            <w:r>
              <w:rPr>
                <w:w w:val="90"/>
                <w:sz w:val="16"/>
              </w:rPr>
              <w:t>13.1 % y 18.6%= 2.0</w:t>
            </w:r>
          </w:p>
          <w:p>
            <w:pPr>
              <w:pStyle w:val="TableParagraph"/>
              <w:spacing w:before="1"/>
              <w:ind w:right="101"/>
              <w:jc w:val="both"/>
              <w:rPr>
                <w:sz w:val="16"/>
              </w:rPr>
            </w:pPr>
            <w:r>
              <w:rPr>
                <w:w w:val="85"/>
                <w:sz w:val="16"/>
              </w:rPr>
              <w:t>(medio),</w:t>
            </w:r>
            <w:r>
              <w:rPr>
                <w:spacing w:val="-14"/>
                <w:w w:val="85"/>
                <w:sz w:val="16"/>
              </w:rPr>
              <w:t> </w:t>
            </w:r>
            <w:r>
              <w:rPr>
                <w:w w:val="85"/>
                <w:sz w:val="16"/>
              </w:rPr>
              <w:t>y</w:t>
            </w:r>
            <w:r>
              <w:rPr>
                <w:spacing w:val="-14"/>
                <w:w w:val="85"/>
                <w:sz w:val="16"/>
              </w:rPr>
              <w:t> </w:t>
            </w:r>
            <w:r>
              <w:rPr>
                <w:w w:val="85"/>
                <w:sz w:val="16"/>
              </w:rPr>
              <w:t>entre</w:t>
            </w:r>
            <w:r>
              <w:rPr>
                <w:spacing w:val="-12"/>
                <w:w w:val="85"/>
                <w:sz w:val="16"/>
              </w:rPr>
              <w:t> </w:t>
            </w:r>
            <w:r>
              <w:rPr>
                <w:w w:val="85"/>
                <w:sz w:val="16"/>
              </w:rPr>
              <w:t>18.7% </w:t>
            </w:r>
            <w:r>
              <w:rPr>
                <w:w w:val="90"/>
                <w:sz w:val="16"/>
              </w:rPr>
              <w:t>y</w:t>
            </w:r>
            <w:r>
              <w:rPr>
                <w:spacing w:val="-25"/>
                <w:w w:val="90"/>
                <w:sz w:val="16"/>
              </w:rPr>
              <w:t> </w:t>
            </w:r>
            <w:r>
              <w:rPr>
                <w:w w:val="90"/>
                <w:sz w:val="16"/>
              </w:rPr>
              <w:t>24.2%=</w:t>
            </w:r>
            <w:r>
              <w:rPr>
                <w:spacing w:val="-25"/>
                <w:w w:val="90"/>
                <w:sz w:val="16"/>
              </w:rPr>
              <w:t> </w:t>
            </w:r>
            <w:r>
              <w:rPr>
                <w:w w:val="90"/>
                <w:sz w:val="16"/>
              </w:rPr>
              <w:t>1.0</w:t>
            </w:r>
            <w:r>
              <w:rPr>
                <w:spacing w:val="-24"/>
                <w:w w:val="90"/>
                <w:sz w:val="16"/>
              </w:rPr>
              <w:t> </w:t>
            </w:r>
            <w:r>
              <w:rPr>
                <w:w w:val="90"/>
                <w:sz w:val="16"/>
              </w:rPr>
              <w:t>(bajo).</w:t>
            </w:r>
            <w:r>
              <w:rPr>
                <w:spacing w:val="-25"/>
                <w:w w:val="90"/>
                <w:sz w:val="16"/>
              </w:rPr>
              <w:t> </w:t>
            </w:r>
            <w:r>
              <w:rPr>
                <w:w w:val="90"/>
                <w:sz w:val="16"/>
              </w:rPr>
              <w:t>A</w:t>
            </w:r>
          </w:p>
          <w:p>
            <w:pPr>
              <w:pStyle w:val="TableParagraph"/>
              <w:spacing w:before="1"/>
              <w:ind w:right="100"/>
              <w:jc w:val="both"/>
              <w:rPr>
                <w:sz w:val="16"/>
              </w:rPr>
            </w:pPr>
            <w:r>
              <w:rPr>
                <w:w w:val="90"/>
                <w:sz w:val="16"/>
              </w:rPr>
              <w:t>menor porcentaje de diferencia entre el </w:t>
            </w:r>
            <w:r>
              <w:rPr>
                <w:w w:val="85"/>
                <w:sz w:val="16"/>
              </w:rPr>
              <w:t>número de menciones </w:t>
            </w:r>
            <w:r>
              <w:rPr>
                <w:w w:val="90"/>
                <w:sz w:val="16"/>
              </w:rPr>
              <w:t>por partido, mayor equidad.</w:t>
            </w:r>
          </w:p>
        </w:tc>
      </w:tr>
    </w:tbl>
    <w:p>
      <w:pPr>
        <w:spacing w:after="0"/>
        <w:jc w:val="both"/>
        <w:rPr>
          <w:sz w:val="16"/>
        </w:rPr>
        <w:sectPr>
          <w:pgSz w:w="12240" w:h="15840"/>
          <w:pgMar w:header="749" w:footer="1003" w:top="960" w:bottom="1200" w:left="900" w:right="600"/>
        </w:sectPr>
      </w:pPr>
    </w:p>
    <w:p>
      <w:pPr>
        <w:pStyle w:val="BodyText"/>
        <w:rPr>
          <w:rFonts w:ascii="Times New Roman"/>
          <w:sz w:val="20"/>
        </w:rPr>
      </w:pPr>
    </w:p>
    <w:p>
      <w:pPr>
        <w:pStyle w:val="BodyText"/>
        <w:spacing w:before="9"/>
        <w:rPr>
          <w:rFonts w:ascii="Times New Roman"/>
          <w:sz w:val="18"/>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75"/>
        <w:gridCol w:w="1135"/>
        <w:gridCol w:w="2693"/>
        <w:gridCol w:w="2410"/>
        <w:gridCol w:w="1419"/>
        <w:gridCol w:w="1560"/>
      </w:tblGrid>
      <w:tr>
        <w:trPr>
          <w:trHeight w:val="8092" w:hRule="exact"/>
        </w:trPr>
        <w:tc>
          <w:tcPr>
            <w:tcW w:w="1275" w:type="dxa"/>
            <w:vMerge w:val="restart"/>
          </w:tcPr>
          <w:p>
            <w:pPr/>
          </w:p>
        </w:tc>
        <w:tc>
          <w:tcPr>
            <w:tcW w:w="1135" w:type="dxa"/>
          </w:tcPr>
          <w:p>
            <w:pPr>
              <w:pStyle w:val="TableParagraph"/>
              <w:spacing w:line="182" w:lineRule="exact" w:before="3"/>
              <w:ind w:right="359"/>
              <w:rPr>
                <w:rFonts w:ascii="Trebuchet MS"/>
                <w:b/>
                <w:sz w:val="16"/>
              </w:rPr>
            </w:pPr>
            <w:r>
              <w:rPr>
                <w:rFonts w:ascii="Trebuchet MS"/>
                <w:b/>
                <w:w w:val="85"/>
                <w:sz w:val="16"/>
              </w:rPr>
              <w:t>Monitoreo </w:t>
            </w:r>
            <w:r>
              <w:rPr>
                <w:rFonts w:ascii="Trebuchet MS"/>
                <w:b/>
                <w:w w:val="80"/>
                <w:sz w:val="16"/>
              </w:rPr>
              <w:t>cualitativo</w:t>
            </w:r>
          </w:p>
        </w:tc>
        <w:tc>
          <w:tcPr>
            <w:tcW w:w="2693" w:type="dxa"/>
          </w:tcPr>
          <w:p>
            <w:pPr>
              <w:pStyle w:val="TableParagraph"/>
              <w:ind w:left="0" w:right="1"/>
              <w:jc w:val="both"/>
              <w:rPr>
                <w:sz w:val="16"/>
              </w:rPr>
            </w:pPr>
            <w:r>
              <w:rPr>
                <w:w w:val="90"/>
                <w:sz w:val="16"/>
              </w:rPr>
              <w:t>Neutralidad de las notas, mediante el </w:t>
            </w:r>
            <w:r>
              <w:rPr>
                <w:w w:val="85"/>
                <w:sz w:val="16"/>
              </w:rPr>
              <w:t>porcentaje</w:t>
            </w:r>
            <w:r>
              <w:rPr>
                <w:spacing w:val="-18"/>
                <w:w w:val="85"/>
                <w:sz w:val="16"/>
              </w:rPr>
              <w:t> </w:t>
            </w:r>
            <w:r>
              <w:rPr>
                <w:w w:val="85"/>
                <w:sz w:val="16"/>
              </w:rPr>
              <w:t>de</w:t>
            </w:r>
            <w:r>
              <w:rPr>
                <w:spacing w:val="-19"/>
                <w:w w:val="85"/>
                <w:sz w:val="16"/>
              </w:rPr>
              <w:t> </w:t>
            </w:r>
            <w:r>
              <w:rPr>
                <w:w w:val="85"/>
                <w:sz w:val="16"/>
              </w:rPr>
              <w:t>menciones</w:t>
            </w:r>
            <w:r>
              <w:rPr>
                <w:spacing w:val="-19"/>
                <w:w w:val="85"/>
                <w:sz w:val="16"/>
              </w:rPr>
              <w:t> </w:t>
            </w:r>
            <w:r>
              <w:rPr>
                <w:w w:val="85"/>
                <w:sz w:val="16"/>
              </w:rPr>
              <w:t>positivas,</w:t>
            </w:r>
            <w:r>
              <w:rPr>
                <w:spacing w:val="-19"/>
                <w:w w:val="85"/>
                <w:sz w:val="16"/>
              </w:rPr>
              <w:t> </w:t>
            </w:r>
            <w:r>
              <w:rPr>
                <w:w w:val="85"/>
                <w:sz w:val="16"/>
              </w:rPr>
              <w:t>negativas y</w:t>
            </w:r>
            <w:r>
              <w:rPr>
                <w:spacing w:val="-25"/>
                <w:w w:val="85"/>
                <w:sz w:val="16"/>
              </w:rPr>
              <w:t> </w:t>
            </w:r>
            <w:r>
              <w:rPr>
                <w:w w:val="85"/>
                <w:sz w:val="16"/>
              </w:rPr>
              <w:t>neutras.</w:t>
            </w:r>
          </w:p>
          <w:p>
            <w:pPr>
              <w:pStyle w:val="TableParagraph"/>
              <w:ind w:left="0" w:right="-13"/>
              <w:rPr>
                <w:sz w:val="16"/>
              </w:rPr>
            </w:pPr>
            <w:r>
              <w:rPr>
                <w:w w:val="90"/>
                <w:sz w:val="16"/>
              </w:rPr>
              <w:t>Se</w:t>
            </w:r>
            <w:r>
              <w:rPr>
                <w:spacing w:val="-10"/>
                <w:w w:val="90"/>
                <w:sz w:val="16"/>
              </w:rPr>
              <w:t> </w:t>
            </w:r>
            <w:r>
              <w:rPr>
                <w:w w:val="90"/>
                <w:sz w:val="16"/>
              </w:rPr>
              <w:t>evaluaron</w:t>
            </w:r>
            <w:r>
              <w:rPr>
                <w:spacing w:val="-9"/>
                <w:w w:val="90"/>
                <w:sz w:val="16"/>
              </w:rPr>
              <w:t> </w:t>
            </w:r>
            <w:r>
              <w:rPr>
                <w:w w:val="90"/>
                <w:sz w:val="16"/>
              </w:rPr>
              <w:t>las</w:t>
            </w:r>
            <w:r>
              <w:rPr>
                <w:spacing w:val="-10"/>
                <w:w w:val="90"/>
                <w:sz w:val="16"/>
              </w:rPr>
              <w:t> </w:t>
            </w:r>
            <w:r>
              <w:rPr>
                <w:w w:val="90"/>
                <w:sz w:val="16"/>
              </w:rPr>
              <w:t>notas</w:t>
            </w:r>
            <w:r>
              <w:rPr>
                <w:spacing w:val="-11"/>
                <w:w w:val="90"/>
                <w:sz w:val="16"/>
              </w:rPr>
              <w:t> </w:t>
            </w:r>
            <w:r>
              <w:rPr>
                <w:w w:val="90"/>
                <w:sz w:val="16"/>
              </w:rPr>
              <w:t>ubicadas</w:t>
            </w:r>
            <w:r>
              <w:rPr>
                <w:spacing w:val="-10"/>
                <w:w w:val="90"/>
                <w:sz w:val="16"/>
              </w:rPr>
              <w:t> </w:t>
            </w:r>
            <w:r>
              <w:rPr>
                <w:w w:val="90"/>
                <w:sz w:val="16"/>
              </w:rPr>
              <w:t>dentro</w:t>
            </w:r>
            <w:r>
              <w:rPr>
                <w:spacing w:val="-9"/>
                <w:w w:val="90"/>
                <w:sz w:val="16"/>
              </w:rPr>
              <w:t> </w:t>
            </w:r>
            <w:r>
              <w:rPr>
                <w:w w:val="90"/>
                <w:sz w:val="16"/>
              </w:rPr>
              <w:t>de los</w:t>
            </w:r>
            <w:r>
              <w:rPr>
                <w:spacing w:val="-13"/>
                <w:w w:val="90"/>
                <w:sz w:val="16"/>
              </w:rPr>
              <w:t> </w:t>
            </w:r>
            <w:r>
              <w:rPr>
                <w:w w:val="90"/>
                <w:sz w:val="16"/>
              </w:rPr>
              <w:t>géneros</w:t>
            </w:r>
            <w:r>
              <w:rPr>
                <w:spacing w:val="-13"/>
                <w:w w:val="90"/>
                <w:sz w:val="16"/>
              </w:rPr>
              <w:t> </w:t>
            </w:r>
            <w:r>
              <w:rPr>
                <w:w w:val="90"/>
                <w:sz w:val="16"/>
              </w:rPr>
              <w:t>de:</w:t>
            </w:r>
            <w:r>
              <w:rPr>
                <w:spacing w:val="-13"/>
                <w:w w:val="90"/>
                <w:sz w:val="16"/>
              </w:rPr>
              <w:t> </w:t>
            </w:r>
            <w:r>
              <w:rPr>
                <w:w w:val="90"/>
                <w:sz w:val="16"/>
              </w:rPr>
              <w:t>nota</w:t>
            </w:r>
            <w:r>
              <w:rPr>
                <w:spacing w:val="-12"/>
                <w:w w:val="90"/>
                <w:sz w:val="16"/>
              </w:rPr>
              <w:t> </w:t>
            </w:r>
            <w:r>
              <w:rPr>
                <w:w w:val="90"/>
                <w:sz w:val="16"/>
              </w:rPr>
              <w:t>informativa,</w:t>
            </w:r>
            <w:r>
              <w:rPr>
                <w:spacing w:val="-13"/>
                <w:w w:val="90"/>
                <w:sz w:val="16"/>
              </w:rPr>
              <w:t> </w:t>
            </w:r>
            <w:r>
              <w:rPr>
                <w:w w:val="90"/>
                <w:sz w:val="16"/>
              </w:rPr>
              <w:t>reportaje, análisis,</w:t>
            </w:r>
            <w:r>
              <w:rPr>
                <w:spacing w:val="-27"/>
                <w:w w:val="90"/>
                <w:sz w:val="16"/>
              </w:rPr>
              <w:t> </w:t>
            </w:r>
            <w:r>
              <w:rPr>
                <w:w w:val="90"/>
                <w:sz w:val="16"/>
              </w:rPr>
              <w:t>editorial</w:t>
            </w:r>
            <w:r>
              <w:rPr>
                <w:spacing w:val="-26"/>
                <w:w w:val="90"/>
                <w:sz w:val="16"/>
              </w:rPr>
              <w:t> </w:t>
            </w:r>
            <w:r>
              <w:rPr>
                <w:w w:val="90"/>
                <w:sz w:val="16"/>
              </w:rPr>
              <w:t>o</w:t>
            </w:r>
            <w:r>
              <w:rPr>
                <w:spacing w:val="-26"/>
                <w:w w:val="90"/>
                <w:sz w:val="16"/>
              </w:rPr>
              <w:t> </w:t>
            </w:r>
            <w:r>
              <w:rPr>
                <w:w w:val="90"/>
                <w:sz w:val="16"/>
              </w:rPr>
              <w:t>crítica</w:t>
            </w:r>
            <w:r>
              <w:rPr>
                <w:spacing w:val="-26"/>
                <w:w w:val="90"/>
                <w:sz w:val="16"/>
              </w:rPr>
              <w:t> </w:t>
            </w:r>
            <w:r>
              <w:rPr>
                <w:w w:val="90"/>
                <w:sz w:val="16"/>
              </w:rPr>
              <w:t>política</w:t>
            </w:r>
            <w:r>
              <w:rPr>
                <w:spacing w:val="-26"/>
                <w:w w:val="90"/>
                <w:sz w:val="16"/>
              </w:rPr>
              <w:t> </w:t>
            </w:r>
            <w:r>
              <w:rPr>
                <w:w w:val="90"/>
                <w:sz w:val="16"/>
              </w:rPr>
              <w:t>y</w:t>
            </w:r>
            <w:r>
              <w:rPr>
                <w:spacing w:val="-27"/>
                <w:w w:val="90"/>
                <w:sz w:val="16"/>
              </w:rPr>
              <w:t> </w:t>
            </w:r>
            <w:r>
              <w:rPr>
                <w:w w:val="90"/>
                <w:sz w:val="16"/>
              </w:rPr>
              <w:t>crónica. No se evaluaron en los monitoreos las valoradas en espacios de opinión como: mesa de análisis, entrevista, encuesta, </w:t>
            </w:r>
            <w:r>
              <w:rPr>
                <w:w w:val="85"/>
                <w:sz w:val="16"/>
              </w:rPr>
              <w:t>sondeo, estudios de opinión, sátira política y </w:t>
            </w:r>
            <w:r>
              <w:rPr>
                <w:w w:val="90"/>
                <w:sz w:val="16"/>
              </w:rPr>
              <w:t>debate.</w:t>
            </w:r>
          </w:p>
          <w:p>
            <w:pPr>
              <w:pStyle w:val="TableParagraph"/>
              <w:ind w:left="0" w:right="-1"/>
              <w:jc w:val="both"/>
              <w:rPr>
                <w:sz w:val="16"/>
              </w:rPr>
            </w:pPr>
            <w:r>
              <w:rPr>
                <w:w w:val="90"/>
                <w:sz w:val="16"/>
              </w:rPr>
              <w:t>De los procesos evaluados ¿cuál fue el porcentaje mayor de notas neutras en </w:t>
            </w:r>
            <w:r>
              <w:rPr>
                <w:w w:val="80"/>
                <w:sz w:val="16"/>
              </w:rPr>
              <w:t>general? PMaN</w:t>
            </w:r>
          </w:p>
          <w:p>
            <w:pPr>
              <w:pStyle w:val="TableParagraph"/>
              <w:spacing w:before="1"/>
              <w:ind w:left="0" w:right="-1"/>
              <w:jc w:val="both"/>
              <w:rPr>
                <w:sz w:val="16"/>
              </w:rPr>
            </w:pPr>
            <w:r>
              <w:rPr>
                <w:w w:val="90"/>
                <w:sz w:val="16"/>
              </w:rPr>
              <w:t>¿Cuál fue el porcentaje menor de notas </w:t>
            </w:r>
            <w:r>
              <w:rPr>
                <w:w w:val="85"/>
                <w:sz w:val="16"/>
              </w:rPr>
              <w:t>neutras en general? PMeN</w:t>
            </w:r>
          </w:p>
          <w:p>
            <w:pPr>
              <w:pStyle w:val="TableParagraph"/>
              <w:spacing w:before="1"/>
              <w:ind w:left="0" w:right="-1"/>
              <w:jc w:val="both"/>
              <w:rPr>
                <w:sz w:val="16"/>
              </w:rPr>
            </w:pPr>
            <w:r>
              <w:rPr>
                <w:w w:val="85"/>
                <w:sz w:val="16"/>
              </w:rPr>
              <w:t>Determinar</w:t>
            </w:r>
            <w:r>
              <w:rPr>
                <w:spacing w:val="-8"/>
                <w:w w:val="85"/>
                <w:sz w:val="16"/>
              </w:rPr>
              <w:t> </w:t>
            </w:r>
            <w:r>
              <w:rPr>
                <w:w w:val="85"/>
                <w:sz w:val="16"/>
              </w:rPr>
              <w:t>el</w:t>
            </w:r>
            <w:r>
              <w:rPr>
                <w:spacing w:val="-8"/>
                <w:w w:val="85"/>
                <w:sz w:val="16"/>
              </w:rPr>
              <w:t> </w:t>
            </w:r>
            <w:r>
              <w:rPr>
                <w:w w:val="85"/>
                <w:sz w:val="16"/>
              </w:rPr>
              <w:t>porcentaje</w:t>
            </w:r>
            <w:r>
              <w:rPr>
                <w:spacing w:val="-9"/>
                <w:w w:val="85"/>
                <w:sz w:val="16"/>
              </w:rPr>
              <w:t> </w:t>
            </w:r>
            <w:r>
              <w:rPr>
                <w:w w:val="85"/>
                <w:sz w:val="16"/>
              </w:rPr>
              <w:t>diferencial</w:t>
            </w:r>
            <w:r>
              <w:rPr>
                <w:spacing w:val="-8"/>
                <w:w w:val="85"/>
                <w:sz w:val="16"/>
              </w:rPr>
              <w:t> </w:t>
            </w:r>
            <w:r>
              <w:rPr>
                <w:w w:val="85"/>
                <w:sz w:val="16"/>
              </w:rPr>
              <w:t>de</w:t>
            </w:r>
            <w:r>
              <w:rPr>
                <w:spacing w:val="-8"/>
                <w:w w:val="85"/>
                <w:sz w:val="16"/>
              </w:rPr>
              <w:t> </w:t>
            </w:r>
            <w:r>
              <w:rPr>
                <w:w w:val="85"/>
                <w:sz w:val="16"/>
              </w:rPr>
              <w:t>notas neutras</w:t>
            </w:r>
            <w:r>
              <w:rPr>
                <w:spacing w:val="-11"/>
                <w:w w:val="85"/>
                <w:sz w:val="16"/>
              </w:rPr>
              <w:t> </w:t>
            </w:r>
            <w:r>
              <w:rPr>
                <w:w w:val="85"/>
                <w:sz w:val="16"/>
              </w:rPr>
              <w:t>(PDN).</w:t>
            </w:r>
            <w:r>
              <w:rPr>
                <w:spacing w:val="-11"/>
                <w:w w:val="85"/>
                <w:sz w:val="16"/>
              </w:rPr>
              <w:t> </w:t>
            </w:r>
            <w:r>
              <w:rPr>
                <w:w w:val="85"/>
                <w:sz w:val="16"/>
              </w:rPr>
              <w:t>Se</w:t>
            </w:r>
            <w:r>
              <w:rPr>
                <w:spacing w:val="-10"/>
                <w:w w:val="85"/>
                <w:sz w:val="16"/>
              </w:rPr>
              <w:t> </w:t>
            </w:r>
            <w:r>
              <w:rPr>
                <w:w w:val="85"/>
                <w:sz w:val="16"/>
              </w:rPr>
              <w:t>obtiene</w:t>
            </w:r>
            <w:r>
              <w:rPr>
                <w:spacing w:val="-12"/>
                <w:w w:val="85"/>
                <w:sz w:val="16"/>
              </w:rPr>
              <w:t> </w:t>
            </w:r>
            <w:r>
              <w:rPr>
                <w:w w:val="85"/>
                <w:sz w:val="16"/>
              </w:rPr>
              <w:t>de</w:t>
            </w:r>
            <w:r>
              <w:rPr>
                <w:spacing w:val="-10"/>
                <w:w w:val="85"/>
                <w:sz w:val="16"/>
              </w:rPr>
              <w:t> </w:t>
            </w:r>
            <w:r>
              <w:rPr>
                <w:w w:val="85"/>
                <w:sz w:val="16"/>
              </w:rPr>
              <w:t>restar</w:t>
            </w:r>
            <w:r>
              <w:rPr>
                <w:spacing w:val="-11"/>
                <w:w w:val="85"/>
                <w:sz w:val="16"/>
              </w:rPr>
              <w:t> </w:t>
            </w:r>
            <w:r>
              <w:rPr>
                <w:w w:val="85"/>
                <w:sz w:val="16"/>
              </w:rPr>
              <w:t>a</w:t>
            </w:r>
            <w:r>
              <w:rPr>
                <w:spacing w:val="-12"/>
                <w:w w:val="85"/>
                <w:sz w:val="16"/>
              </w:rPr>
              <w:t> </w:t>
            </w:r>
            <w:r>
              <w:rPr>
                <w:w w:val="85"/>
                <w:sz w:val="16"/>
              </w:rPr>
              <w:t>PMaN- </w:t>
            </w:r>
            <w:r>
              <w:rPr>
                <w:w w:val="80"/>
                <w:sz w:val="16"/>
              </w:rPr>
              <w:t>PMeN=</w:t>
            </w:r>
            <w:r>
              <w:rPr>
                <w:spacing w:val="14"/>
                <w:w w:val="80"/>
                <w:sz w:val="16"/>
              </w:rPr>
              <w:t> </w:t>
            </w:r>
            <w:r>
              <w:rPr>
                <w:w w:val="80"/>
                <w:sz w:val="16"/>
              </w:rPr>
              <w:t>PDN</w:t>
            </w:r>
          </w:p>
          <w:p>
            <w:pPr>
              <w:pStyle w:val="TableParagraph"/>
              <w:ind w:left="0" w:right="1"/>
              <w:jc w:val="both"/>
              <w:rPr>
                <w:sz w:val="16"/>
              </w:rPr>
            </w:pPr>
            <w:r>
              <w:rPr>
                <w:w w:val="90"/>
                <w:sz w:val="16"/>
              </w:rPr>
              <w:t>Sólo se estudia en México, pues en</w:t>
            </w:r>
            <w:r>
              <w:rPr>
                <w:spacing w:val="-20"/>
                <w:w w:val="90"/>
                <w:sz w:val="16"/>
              </w:rPr>
              <w:t> </w:t>
            </w:r>
            <w:r>
              <w:rPr>
                <w:w w:val="90"/>
                <w:sz w:val="16"/>
              </w:rPr>
              <w:t>Costa </w:t>
            </w:r>
            <w:r>
              <w:rPr>
                <w:w w:val="85"/>
                <w:sz w:val="16"/>
              </w:rPr>
              <w:t>Rica</w:t>
            </w:r>
            <w:r>
              <w:rPr>
                <w:spacing w:val="-24"/>
                <w:w w:val="85"/>
                <w:sz w:val="16"/>
              </w:rPr>
              <w:t> </w:t>
            </w:r>
            <w:r>
              <w:rPr>
                <w:w w:val="85"/>
                <w:sz w:val="16"/>
              </w:rPr>
              <w:t>no</w:t>
            </w:r>
            <w:r>
              <w:rPr>
                <w:spacing w:val="-24"/>
                <w:w w:val="85"/>
                <w:sz w:val="16"/>
              </w:rPr>
              <w:t> </w:t>
            </w:r>
            <w:r>
              <w:rPr>
                <w:w w:val="85"/>
                <w:sz w:val="16"/>
              </w:rPr>
              <w:t>se</w:t>
            </w:r>
            <w:r>
              <w:rPr>
                <w:spacing w:val="-24"/>
                <w:w w:val="85"/>
                <w:sz w:val="16"/>
              </w:rPr>
              <w:t> </w:t>
            </w:r>
            <w:r>
              <w:rPr>
                <w:w w:val="85"/>
                <w:sz w:val="16"/>
              </w:rPr>
              <w:t>realizan</w:t>
            </w:r>
            <w:r>
              <w:rPr>
                <w:spacing w:val="-24"/>
                <w:w w:val="85"/>
                <w:sz w:val="16"/>
              </w:rPr>
              <w:t> </w:t>
            </w:r>
            <w:r>
              <w:rPr>
                <w:w w:val="85"/>
                <w:sz w:val="16"/>
              </w:rPr>
              <w:t>monitoreos</w:t>
            </w:r>
            <w:r>
              <w:rPr>
                <w:spacing w:val="-25"/>
                <w:w w:val="85"/>
                <w:sz w:val="16"/>
              </w:rPr>
              <w:t> </w:t>
            </w:r>
            <w:r>
              <w:rPr>
                <w:w w:val="85"/>
                <w:sz w:val="16"/>
              </w:rPr>
              <w:t>cualitativos.</w:t>
            </w:r>
          </w:p>
        </w:tc>
        <w:tc>
          <w:tcPr>
            <w:tcW w:w="2410" w:type="dxa"/>
          </w:tcPr>
          <w:p>
            <w:pPr>
              <w:pStyle w:val="TableParagraph"/>
              <w:ind w:left="-1" w:right="-5"/>
              <w:rPr>
                <w:sz w:val="16"/>
              </w:rPr>
            </w:pPr>
            <w:r>
              <w:rPr>
                <w:w w:val="90"/>
                <w:sz w:val="16"/>
              </w:rPr>
              <w:t>Porcentaje de menciones positivas, </w:t>
            </w:r>
            <w:r>
              <w:rPr>
                <w:w w:val="85"/>
                <w:sz w:val="16"/>
              </w:rPr>
              <w:t>negativas o neutras en general.</w:t>
            </w:r>
          </w:p>
        </w:tc>
        <w:tc>
          <w:tcPr>
            <w:tcW w:w="1419" w:type="dxa"/>
          </w:tcPr>
          <w:p>
            <w:pPr>
              <w:pStyle w:val="TableParagraph"/>
              <w:tabs>
                <w:tab w:pos="832" w:val="left" w:leader="none"/>
                <w:tab w:pos="1261" w:val="left" w:leader="none"/>
              </w:tabs>
              <w:ind w:left="-1" w:right="-1"/>
              <w:jc w:val="both"/>
              <w:rPr>
                <w:sz w:val="16"/>
              </w:rPr>
            </w:pPr>
            <w:r>
              <w:rPr>
                <w:w w:val="85"/>
                <w:sz w:val="16"/>
              </w:rPr>
              <w:t>Monitoreos</w:t>
            </w:r>
            <w:r>
              <w:rPr>
                <w:spacing w:val="37"/>
                <w:w w:val="85"/>
                <w:sz w:val="16"/>
              </w:rPr>
              <w:t> </w:t>
            </w:r>
            <w:r>
              <w:rPr>
                <w:w w:val="85"/>
                <w:sz w:val="16"/>
              </w:rPr>
              <w:t>realizados </w:t>
            </w:r>
            <w:r>
              <w:rPr>
                <w:w w:val="90"/>
                <w:sz w:val="16"/>
              </w:rPr>
              <w:t>por</w:t>
              <w:tab/>
            </w:r>
            <w:r>
              <w:rPr>
                <w:spacing w:val="-1"/>
                <w:w w:val="80"/>
                <w:sz w:val="16"/>
              </w:rPr>
              <w:t>empresas </w:t>
            </w:r>
            <w:r>
              <w:rPr>
                <w:w w:val="90"/>
                <w:sz w:val="16"/>
              </w:rPr>
              <w:t>contratadas por los órganos electorales. </w:t>
            </w:r>
            <w:r>
              <w:rPr>
                <w:w w:val="85"/>
                <w:sz w:val="16"/>
              </w:rPr>
              <w:t>Dictámenes</w:t>
              <w:tab/>
              <w:tab/>
            </w:r>
            <w:r>
              <w:rPr>
                <w:w w:val="80"/>
                <w:sz w:val="16"/>
              </w:rPr>
              <w:t>de</w:t>
            </w:r>
          </w:p>
          <w:p>
            <w:pPr>
              <w:pStyle w:val="TableParagraph"/>
              <w:tabs>
                <w:tab w:pos="1261" w:val="left" w:leader="none"/>
              </w:tabs>
              <w:ind w:left="-1" w:right="-1"/>
              <w:jc w:val="both"/>
              <w:rPr>
                <w:sz w:val="16"/>
              </w:rPr>
            </w:pPr>
            <w:r>
              <w:rPr>
                <w:w w:val="85"/>
                <w:sz w:val="16"/>
              </w:rPr>
              <w:t>comisiones</w:t>
              <w:tab/>
            </w:r>
            <w:r>
              <w:rPr>
                <w:w w:val="80"/>
                <w:sz w:val="16"/>
              </w:rPr>
              <w:t>de </w:t>
            </w:r>
            <w:r>
              <w:rPr>
                <w:w w:val="90"/>
                <w:sz w:val="16"/>
              </w:rPr>
              <w:t>radiodifusión.</w:t>
            </w:r>
          </w:p>
        </w:tc>
        <w:tc>
          <w:tcPr>
            <w:tcW w:w="1560" w:type="dxa"/>
          </w:tcPr>
          <w:p>
            <w:pPr>
              <w:pStyle w:val="TableParagraph"/>
              <w:tabs>
                <w:tab w:pos="585" w:val="left" w:leader="none"/>
                <w:tab w:pos="906" w:val="left" w:leader="none"/>
                <w:tab w:pos="1127" w:val="left" w:leader="none"/>
              </w:tabs>
              <w:ind w:right="100"/>
              <w:rPr>
                <w:sz w:val="16"/>
              </w:rPr>
            </w:pPr>
            <w:r>
              <w:rPr>
                <w:w w:val="85"/>
                <w:sz w:val="16"/>
              </w:rPr>
              <w:t>Estas evaluaciones</w:t>
            </w:r>
            <w:r>
              <w:rPr>
                <w:spacing w:val="-23"/>
                <w:w w:val="85"/>
                <w:sz w:val="16"/>
              </w:rPr>
              <w:t> </w:t>
            </w:r>
            <w:r>
              <w:rPr>
                <w:w w:val="85"/>
                <w:sz w:val="16"/>
              </w:rPr>
              <w:t>no </w:t>
            </w:r>
            <w:r>
              <w:rPr>
                <w:w w:val="90"/>
                <w:sz w:val="16"/>
              </w:rPr>
              <w:t>se</w:t>
            </w:r>
            <w:r>
              <w:rPr>
                <w:spacing w:val="-17"/>
                <w:w w:val="90"/>
                <w:sz w:val="16"/>
              </w:rPr>
              <w:t> </w:t>
            </w:r>
            <w:r>
              <w:rPr>
                <w:w w:val="90"/>
                <w:sz w:val="16"/>
              </w:rPr>
              <w:t>tomaran</w:t>
            </w:r>
            <w:r>
              <w:rPr>
                <w:spacing w:val="-17"/>
                <w:w w:val="90"/>
                <w:sz w:val="16"/>
              </w:rPr>
              <w:t> </w:t>
            </w:r>
            <w:r>
              <w:rPr>
                <w:w w:val="90"/>
                <w:sz w:val="16"/>
              </w:rPr>
              <w:t>en</w:t>
            </w:r>
            <w:r>
              <w:rPr>
                <w:spacing w:val="-17"/>
                <w:w w:val="90"/>
                <w:sz w:val="16"/>
              </w:rPr>
              <w:t> </w:t>
            </w:r>
            <w:r>
              <w:rPr>
                <w:w w:val="90"/>
                <w:sz w:val="16"/>
              </w:rPr>
              <w:t>cuenta para</w:t>
              <w:tab/>
              <w:t>el</w:t>
              <w:tab/>
            </w:r>
            <w:r>
              <w:rPr>
                <w:spacing w:val="-1"/>
                <w:w w:val="80"/>
                <w:sz w:val="16"/>
              </w:rPr>
              <w:t>resultado </w:t>
            </w:r>
            <w:r>
              <w:rPr>
                <w:w w:val="90"/>
                <w:sz w:val="16"/>
              </w:rPr>
              <w:t>global, toda vez que </w:t>
            </w:r>
            <w:r>
              <w:rPr>
                <w:w w:val="85"/>
                <w:sz w:val="16"/>
              </w:rPr>
              <w:t>no tienen equivalente en</w:t>
            </w:r>
            <w:r>
              <w:rPr>
                <w:spacing w:val="-13"/>
                <w:w w:val="85"/>
                <w:sz w:val="16"/>
              </w:rPr>
              <w:t> </w:t>
            </w:r>
            <w:r>
              <w:rPr>
                <w:w w:val="85"/>
                <w:sz w:val="16"/>
              </w:rPr>
              <w:t>Costa</w:t>
            </w:r>
            <w:r>
              <w:rPr>
                <w:spacing w:val="-13"/>
                <w:w w:val="85"/>
                <w:sz w:val="16"/>
              </w:rPr>
              <w:t> </w:t>
            </w:r>
            <w:r>
              <w:rPr>
                <w:w w:val="85"/>
                <w:sz w:val="16"/>
              </w:rPr>
              <w:t>Rica.</w:t>
            </w:r>
            <w:r>
              <w:rPr>
                <w:spacing w:val="-12"/>
                <w:w w:val="85"/>
                <w:sz w:val="16"/>
              </w:rPr>
              <w:t> </w:t>
            </w:r>
            <w:r>
              <w:rPr>
                <w:w w:val="85"/>
                <w:sz w:val="16"/>
              </w:rPr>
              <w:t>Sólo</w:t>
            </w:r>
            <w:r>
              <w:rPr>
                <w:spacing w:val="-11"/>
                <w:w w:val="85"/>
                <w:sz w:val="16"/>
              </w:rPr>
              <w:t> </w:t>
            </w:r>
            <w:r>
              <w:rPr>
                <w:w w:val="85"/>
                <w:sz w:val="16"/>
              </w:rPr>
              <w:t>se </w:t>
            </w:r>
            <w:r>
              <w:rPr>
                <w:w w:val="90"/>
                <w:sz w:val="16"/>
              </w:rPr>
              <w:t>elaboró la propuesta </w:t>
            </w:r>
            <w:r>
              <w:rPr>
                <w:w w:val="85"/>
                <w:sz w:val="16"/>
              </w:rPr>
              <w:t>metodología</w:t>
              <w:tab/>
              <w:tab/>
            </w:r>
            <w:r>
              <w:rPr>
                <w:spacing w:val="-1"/>
                <w:w w:val="80"/>
                <w:sz w:val="16"/>
              </w:rPr>
              <w:t>como </w:t>
            </w:r>
            <w:r>
              <w:rPr>
                <w:w w:val="85"/>
                <w:sz w:val="16"/>
              </w:rPr>
              <w:t>ejercicio</w:t>
            </w:r>
            <w:r>
              <w:rPr>
                <w:spacing w:val="-6"/>
                <w:w w:val="85"/>
                <w:sz w:val="16"/>
              </w:rPr>
              <w:t> </w:t>
            </w:r>
            <w:r>
              <w:rPr>
                <w:w w:val="85"/>
                <w:sz w:val="16"/>
              </w:rPr>
              <w:t>metodológico para</w:t>
            </w:r>
            <w:r>
              <w:rPr>
                <w:spacing w:val="-12"/>
                <w:w w:val="85"/>
                <w:sz w:val="16"/>
              </w:rPr>
              <w:t> </w:t>
            </w:r>
            <w:r>
              <w:rPr>
                <w:w w:val="85"/>
                <w:sz w:val="16"/>
              </w:rPr>
              <w:t>comparar</w:t>
            </w:r>
            <w:r>
              <w:rPr>
                <w:spacing w:val="-13"/>
                <w:w w:val="85"/>
                <w:sz w:val="16"/>
              </w:rPr>
              <w:t> </w:t>
            </w:r>
            <w:r>
              <w:rPr>
                <w:w w:val="85"/>
                <w:sz w:val="16"/>
              </w:rPr>
              <w:t>al</w:t>
            </w:r>
            <w:r>
              <w:rPr>
                <w:spacing w:val="-13"/>
                <w:w w:val="85"/>
                <w:sz w:val="16"/>
              </w:rPr>
              <w:t> </w:t>
            </w:r>
            <w:r>
              <w:rPr>
                <w:w w:val="85"/>
                <w:sz w:val="16"/>
              </w:rPr>
              <w:t>IFE</w:t>
            </w:r>
            <w:r>
              <w:rPr>
                <w:spacing w:val="-12"/>
                <w:w w:val="85"/>
                <w:sz w:val="16"/>
              </w:rPr>
              <w:t> </w:t>
            </w:r>
            <w:r>
              <w:rPr>
                <w:w w:val="85"/>
                <w:sz w:val="16"/>
              </w:rPr>
              <w:t>y al IEEM, sin repercutir en el resultado global. </w:t>
            </w:r>
            <w:r>
              <w:rPr>
                <w:w w:val="80"/>
                <w:sz w:val="16"/>
              </w:rPr>
              <w:t>PMaN=</w:t>
            </w:r>
            <w:r>
              <w:rPr>
                <w:spacing w:val="14"/>
                <w:w w:val="80"/>
                <w:sz w:val="16"/>
              </w:rPr>
              <w:t> </w:t>
            </w:r>
            <w:r>
              <w:rPr>
                <w:w w:val="80"/>
                <w:sz w:val="16"/>
              </w:rPr>
              <w:t>96%</w:t>
            </w:r>
          </w:p>
          <w:p>
            <w:pPr>
              <w:pStyle w:val="TableParagraph"/>
              <w:spacing w:line="182" w:lineRule="exact"/>
              <w:jc w:val="both"/>
              <w:rPr>
                <w:sz w:val="16"/>
              </w:rPr>
            </w:pPr>
            <w:r>
              <w:rPr>
                <w:w w:val="80"/>
                <w:sz w:val="16"/>
              </w:rPr>
              <w:t>PMeN= 88.46%</w:t>
            </w:r>
          </w:p>
          <w:p>
            <w:pPr>
              <w:pStyle w:val="TableParagraph"/>
              <w:spacing w:line="183" w:lineRule="exact" w:before="1"/>
              <w:jc w:val="both"/>
              <w:rPr>
                <w:sz w:val="16"/>
              </w:rPr>
            </w:pPr>
            <w:r>
              <w:rPr>
                <w:w w:val="80"/>
                <w:sz w:val="16"/>
              </w:rPr>
              <w:t>PDN= 7.54%</w:t>
            </w:r>
          </w:p>
          <w:p>
            <w:pPr>
              <w:pStyle w:val="TableParagraph"/>
              <w:ind w:right="100"/>
              <w:jc w:val="both"/>
              <w:rPr>
                <w:sz w:val="16"/>
              </w:rPr>
            </w:pPr>
            <w:r>
              <w:rPr>
                <w:w w:val="90"/>
                <w:sz w:val="16"/>
              </w:rPr>
              <w:t>El resultado del </w:t>
            </w:r>
            <w:r>
              <w:rPr>
                <w:w w:val="85"/>
                <w:sz w:val="16"/>
              </w:rPr>
              <w:t>porcentaje diferencial </w:t>
            </w:r>
            <w:r>
              <w:rPr>
                <w:w w:val="90"/>
                <w:sz w:val="16"/>
              </w:rPr>
              <w:t>se divide entre los 3 rangos que quiero crear (alto, medio y bajo) y se obtiene el </w:t>
            </w:r>
            <w:r>
              <w:rPr>
                <w:w w:val="80"/>
                <w:sz w:val="16"/>
              </w:rPr>
              <w:t>factor: 2.51%.</w:t>
            </w:r>
          </w:p>
          <w:p>
            <w:pPr>
              <w:pStyle w:val="TableParagraph"/>
              <w:spacing w:before="1"/>
              <w:rPr>
                <w:sz w:val="16"/>
              </w:rPr>
            </w:pPr>
            <w:r>
              <w:rPr>
                <w:w w:val="90"/>
                <w:sz w:val="16"/>
              </w:rPr>
              <w:t>Así se determinan los rangos: </w:t>
            </w:r>
            <w:r>
              <w:rPr>
                <w:w w:val="80"/>
                <w:sz w:val="16"/>
              </w:rPr>
              <w:t>88.46%+2.51%=90.97</w:t>
            </w:r>
          </w:p>
          <w:p>
            <w:pPr>
              <w:pStyle w:val="TableParagraph"/>
              <w:ind w:right="100"/>
              <w:rPr>
                <w:sz w:val="16"/>
              </w:rPr>
            </w:pPr>
            <w:r>
              <w:rPr>
                <w:w w:val="90"/>
                <w:sz w:val="16"/>
              </w:rPr>
              <w:t>%, </w:t>
            </w:r>
            <w:r>
              <w:rPr>
                <w:w w:val="80"/>
                <w:sz w:val="16"/>
              </w:rPr>
              <w:t>90.98%+2.51%=93.49</w:t>
            </w:r>
          </w:p>
          <w:p>
            <w:pPr>
              <w:pStyle w:val="TableParagraph"/>
              <w:ind w:right="423"/>
              <w:rPr>
                <w:sz w:val="16"/>
              </w:rPr>
            </w:pPr>
            <w:r>
              <w:rPr>
                <w:w w:val="90"/>
                <w:sz w:val="16"/>
              </w:rPr>
              <w:t>%, </w:t>
            </w:r>
            <w:r>
              <w:rPr>
                <w:w w:val="80"/>
                <w:sz w:val="16"/>
              </w:rPr>
              <w:t>93.5%+2.51%=</w:t>
            </w:r>
          </w:p>
          <w:p>
            <w:pPr>
              <w:pStyle w:val="TableParagraph"/>
              <w:spacing w:line="182" w:lineRule="exact"/>
              <w:jc w:val="both"/>
              <w:rPr>
                <w:sz w:val="16"/>
              </w:rPr>
            </w:pPr>
            <w:r>
              <w:rPr>
                <w:w w:val="90"/>
                <w:sz w:val="16"/>
              </w:rPr>
              <w:t>96.01%.</w:t>
            </w:r>
          </w:p>
          <w:p>
            <w:pPr>
              <w:pStyle w:val="TableParagraph"/>
              <w:spacing w:line="183" w:lineRule="exact" w:before="1"/>
              <w:jc w:val="both"/>
              <w:rPr>
                <w:sz w:val="16"/>
              </w:rPr>
            </w:pPr>
            <w:r>
              <w:rPr>
                <w:w w:val="85"/>
                <w:sz w:val="16"/>
              </w:rPr>
              <w:t>Los rangos son:</w:t>
            </w:r>
          </w:p>
          <w:p>
            <w:pPr>
              <w:pStyle w:val="TableParagraph"/>
              <w:ind w:right="101"/>
              <w:jc w:val="both"/>
              <w:rPr>
                <w:sz w:val="16"/>
              </w:rPr>
            </w:pPr>
            <w:r>
              <w:rPr>
                <w:w w:val="85"/>
                <w:sz w:val="16"/>
              </w:rPr>
              <w:t>Si</w:t>
            </w:r>
            <w:r>
              <w:rPr>
                <w:spacing w:val="-13"/>
                <w:w w:val="85"/>
                <w:sz w:val="16"/>
              </w:rPr>
              <w:t> </w:t>
            </w:r>
            <w:r>
              <w:rPr>
                <w:w w:val="85"/>
                <w:sz w:val="16"/>
              </w:rPr>
              <w:t>la</w:t>
            </w:r>
            <w:r>
              <w:rPr>
                <w:spacing w:val="-12"/>
                <w:w w:val="85"/>
                <w:sz w:val="16"/>
              </w:rPr>
              <w:t> </w:t>
            </w:r>
            <w:r>
              <w:rPr>
                <w:w w:val="85"/>
                <w:sz w:val="16"/>
              </w:rPr>
              <w:t>diferencia</w:t>
            </w:r>
            <w:r>
              <w:rPr>
                <w:spacing w:val="-12"/>
                <w:w w:val="85"/>
                <w:sz w:val="16"/>
              </w:rPr>
              <w:t> </w:t>
            </w:r>
            <w:r>
              <w:rPr>
                <w:w w:val="85"/>
                <w:sz w:val="16"/>
              </w:rPr>
              <w:t>entre</w:t>
            </w:r>
            <w:r>
              <w:rPr>
                <w:spacing w:val="-13"/>
                <w:w w:val="85"/>
                <w:sz w:val="16"/>
              </w:rPr>
              <w:t> </w:t>
            </w:r>
            <w:r>
              <w:rPr>
                <w:w w:val="85"/>
                <w:sz w:val="16"/>
              </w:rPr>
              <w:t>el </w:t>
            </w:r>
            <w:r>
              <w:rPr>
                <w:w w:val="90"/>
                <w:sz w:val="16"/>
              </w:rPr>
              <w:t>PMaNP y el PMeNP </w:t>
            </w:r>
            <w:r>
              <w:rPr>
                <w:w w:val="85"/>
                <w:sz w:val="16"/>
              </w:rPr>
              <w:t>se ubica entre</w:t>
            </w:r>
            <w:r>
              <w:rPr>
                <w:spacing w:val="-17"/>
                <w:w w:val="85"/>
                <w:sz w:val="16"/>
              </w:rPr>
              <w:t> </w:t>
            </w:r>
            <w:r>
              <w:rPr>
                <w:w w:val="85"/>
                <w:sz w:val="16"/>
              </w:rPr>
              <w:t>96.01% </w:t>
            </w:r>
            <w:r>
              <w:rPr>
                <w:w w:val="90"/>
                <w:sz w:val="16"/>
              </w:rPr>
              <w:t>y  93.5%=  3.0</w:t>
            </w:r>
            <w:r>
              <w:rPr>
                <w:spacing w:val="1"/>
                <w:w w:val="90"/>
                <w:sz w:val="16"/>
              </w:rPr>
              <w:t> </w:t>
            </w:r>
            <w:r>
              <w:rPr>
                <w:w w:val="90"/>
                <w:sz w:val="16"/>
              </w:rPr>
              <w:t>(alto),</w:t>
            </w:r>
          </w:p>
          <w:p>
            <w:pPr>
              <w:pStyle w:val="TableParagraph"/>
              <w:spacing w:line="183" w:lineRule="exact" w:before="1"/>
              <w:jc w:val="both"/>
              <w:rPr>
                <w:sz w:val="16"/>
              </w:rPr>
            </w:pPr>
            <w:r>
              <w:rPr>
                <w:w w:val="90"/>
                <w:sz w:val="16"/>
              </w:rPr>
              <w:t>entre      93.49%     y</w:t>
            </w:r>
          </w:p>
          <w:p>
            <w:pPr>
              <w:pStyle w:val="TableParagraph"/>
              <w:spacing w:line="183" w:lineRule="exact"/>
              <w:jc w:val="both"/>
              <w:rPr>
                <w:sz w:val="16"/>
              </w:rPr>
            </w:pPr>
            <w:r>
              <w:rPr>
                <w:w w:val="85"/>
                <w:sz w:val="16"/>
              </w:rPr>
              <w:t>90.98%= 2.0 (medio),</w:t>
            </w:r>
          </w:p>
          <w:p>
            <w:pPr>
              <w:pStyle w:val="TableParagraph"/>
              <w:spacing w:before="1"/>
              <w:ind w:right="100"/>
              <w:rPr>
                <w:sz w:val="16"/>
              </w:rPr>
            </w:pPr>
            <w:r>
              <w:rPr>
                <w:w w:val="90"/>
                <w:sz w:val="16"/>
              </w:rPr>
              <w:t>y entre 90.97% y </w:t>
            </w:r>
            <w:r>
              <w:rPr>
                <w:w w:val="80"/>
                <w:sz w:val="16"/>
              </w:rPr>
              <w:t>88.46%= 1.0 (bajo).</w:t>
            </w:r>
          </w:p>
          <w:p>
            <w:pPr>
              <w:pStyle w:val="TableParagraph"/>
              <w:tabs>
                <w:tab w:pos="1081" w:val="left" w:leader="none"/>
              </w:tabs>
              <w:spacing w:before="1"/>
              <w:ind w:right="100"/>
              <w:jc w:val="both"/>
              <w:rPr>
                <w:sz w:val="16"/>
              </w:rPr>
            </w:pPr>
            <w:r>
              <w:rPr>
                <w:w w:val="85"/>
                <w:sz w:val="16"/>
              </w:rPr>
              <w:t>A</w:t>
            </w:r>
            <w:r>
              <w:rPr>
                <w:spacing w:val="-10"/>
                <w:w w:val="85"/>
                <w:sz w:val="16"/>
              </w:rPr>
              <w:t> </w:t>
            </w:r>
            <w:r>
              <w:rPr>
                <w:w w:val="85"/>
                <w:sz w:val="16"/>
              </w:rPr>
              <w:t>mayor</w:t>
            </w:r>
            <w:r>
              <w:rPr>
                <w:spacing w:val="-11"/>
                <w:w w:val="85"/>
                <w:sz w:val="16"/>
              </w:rPr>
              <w:t> </w:t>
            </w:r>
            <w:r>
              <w:rPr>
                <w:w w:val="85"/>
                <w:sz w:val="16"/>
              </w:rPr>
              <w:t>porcentaje</w:t>
            </w:r>
            <w:r>
              <w:rPr>
                <w:spacing w:val="-10"/>
                <w:w w:val="85"/>
                <w:sz w:val="16"/>
              </w:rPr>
              <w:t> </w:t>
            </w:r>
            <w:r>
              <w:rPr>
                <w:w w:val="85"/>
                <w:sz w:val="16"/>
              </w:rPr>
              <w:t>de menciones neutras en </w:t>
            </w:r>
            <w:r>
              <w:rPr>
                <w:w w:val="90"/>
                <w:sz w:val="16"/>
              </w:rPr>
              <w:t>general,</w:t>
              <w:tab/>
            </w:r>
            <w:r>
              <w:rPr>
                <w:w w:val="80"/>
                <w:sz w:val="16"/>
              </w:rPr>
              <w:t>mayor</w:t>
            </w:r>
          </w:p>
          <w:p>
            <w:pPr>
              <w:pStyle w:val="TableParagraph"/>
              <w:tabs>
                <w:tab w:pos="851" w:val="left" w:leader="none"/>
                <w:tab w:pos="1280" w:val="left" w:leader="none"/>
              </w:tabs>
              <w:ind w:right="101"/>
              <w:rPr>
                <w:sz w:val="16"/>
              </w:rPr>
            </w:pPr>
            <w:r>
              <w:rPr>
                <w:w w:val="90"/>
                <w:sz w:val="16"/>
              </w:rPr>
              <w:t>equidad</w:t>
              <w:tab/>
              <w:t>de</w:t>
              <w:tab/>
            </w:r>
            <w:r>
              <w:rPr>
                <w:spacing w:val="-1"/>
                <w:w w:val="80"/>
                <w:sz w:val="16"/>
              </w:rPr>
              <w:t>los </w:t>
            </w:r>
            <w:r>
              <w:rPr>
                <w:w w:val="90"/>
                <w:sz w:val="16"/>
              </w:rPr>
              <w:t>medios.</w:t>
            </w:r>
          </w:p>
        </w:tc>
      </w:tr>
      <w:tr>
        <w:trPr>
          <w:trHeight w:val="422" w:hRule="exact"/>
        </w:trPr>
        <w:tc>
          <w:tcPr>
            <w:tcW w:w="1275" w:type="dxa"/>
            <w:vMerge/>
          </w:tcPr>
          <w:p>
            <w:pPr/>
          </w:p>
        </w:tc>
        <w:tc>
          <w:tcPr>
            <w:tcW w:w="9218" w:type="dxa"/>
            <w:gridSpan w:val="5"/>
          </w:tcPr>
          <w:p>
            <w:pPr>
              <w:pStyle w:val="TableParagraph"/>
              <w:ind w:left="6540" w:right="101" w:firstLine="218"/>
              <w:jc w:val="right"/>
              <w:rPr>
                <w:b/>
                <w:sz w:val="18"/>
              </w:rPr>
            </w:pPr>
            <w:r>
              <w:rPr>
                <w:b/>
                <w:sz w:val="18"/>
              </w:rPr>
              <w:t>Evaluación de las variables</w:t>
            </w:r>
            <w:r>
              <w:rPr>
                <w:b/>
                <w:w w:val="99"/>
                <w:sz w:val="18"/>
              </w:rPr>
              <w:t> </w:t>
            </w:r>
            <w:r>
              <w:rPr>
                <w:b/>
                <w:sz w:val="18"/>
              </w:rPr>
              <w:t>Alto: 3.0; Medio: 2.0; Bajo: 1.0</w:t>
            </w:r>
          </w:p>
        </w:tc>
      </w:tr>
      <w:tr>
        <w:trPr>
          <w:trHeight w:val="840" w:hRule="exact"/>
        </w:trPr>
        <w:tc>
          <w:tcPr>
            <w:tcW w:w="1275" w:type="dxa"/>
            <w:vMerge/>
          </w:tcPr>
          <w:p>
            <w:pPr/>
          </w:p>
        </w:tc>
        <w:tc>
          <w:tcPr>
            <w:tcW w:w="9218" w:type="dxa"/>
            <w:gridSpan w:val="5"/>
          </w:tcPr>
          <w:p>
            <w:pPr>
              <w:pStyle w:val="TableParagraph"/>
              <w:spacing w:line="204" w:lineRule="exact"/>
              <w:ind w:left="0" w:right="106"/>
              <w:jc w:val="right"/>
              <w:rPr>
                <w:b/>
                <w:sz w:val="18"/>
              </w:rPr>
            </w:pPr>
            <w:r>
              <w:rPr>
                <w:b/>
                <w:sz w:val="18"/>
              </w:rPr>
              <w:t>PROMEDIO DE LA DIMENSIÓN</w:t>
            </w:r>
          </w:p>
          <w:p>
            <w:pPr>
              <w:pStyle w:val="TableParagraph"/>
              <w:spacing w:line="237" w:lineRule="auto" w:before="6"/>
              <w:ind w:right="102"/>
              <w:jc w:val="both"/>
              <w:rPr>
                <w:b/>
                <w:sz w:val="18"/>
              </w:rPr>
            </w:pPr>
            <w:r>
              <w:rPr>
                <w:sz w:val="18"/>
              </w:rPr>
              <w:t>Para determinar los rangos se restó la evaluación más baja (1) a la más alta (3)=2. Dicho resultado se dividió entre los tres rangos a crear= 0.66, este fue el factor para determinar los rangos. Así </w:t>
            </w:r>
            <w:r>
              <w:rPr>
                <w:b/>
                <w:sz w:val="18"/>
              </w:rPr>
              <w:t>de 2.34 a 3.0 alto, de 1.67 a 2.33 medio y de 1.0 a 1.66 bajo.</w:t>
            </w:r>
          </w:p>
        </w:tc>
      </w:tr>
    </w:tbl>
    <w:p>
      <w:pPr>
        <w:spacing w:after="0" w:line="237" w:lineRule="auto"/>
        <w:jc w:val="both"/>
        <w:rPr>
          <w:sz w:val="18"/>
        </w:rPr>
        <w:sectPr>
          <w:footerReference w:type="default" r:id="rId553"/>
          <w:pgSz w:w="12240" w:h="15840"/>
          <w:pgMar w:footer="1003" w:header="749" w:top="960" w:bottom="1200" w:left="900" w:right="600"/>
          <w:pgNumType w:start="230"/>
        </w:sectPr>
      </w:pPr>
    </w:p>
    <w:p>
      <w:pPr>
        <w:pStyle w:val="BodyText"/>
        <w:rPr>
          <w:rFonts w:ascii="Times New Roman"/>
          <w:sz w:val="20"/>
        </w:rPr>
      </w:pPr>
    </w:p>
    <w:p>
      <w:pPr>
        <w:pStyle w:val="Heading1"/>
        <w:spacing w:before="210"/>
        <w:ind w:left="712" w:right="732"/>
        <w:jc w:val="center"/>
      </w:pPr>
      <w:r>
        <w:rPr/>
        <w:t>FUENTES</w:t>
      </w:r>
    </w:p>
    <w:p>
      <w:pPr>
        <w:pStyle w:val="BodyText"/>
        <w:rPr>
          <w:sz w:val="28"/>
        </w:rPr>
      </w:pPr>
    </w:p>
    <w:p>
      <w:pPr>
        <w:pStyle w:val="BodyText"/>
        <w:spacing w:before="3"/>
        <w:rPr>
          <w:sz w:val="33"/>
        </w:rPr>
      </w:pPr>
    </w:p>
    <w:p>
      <w:pPr>
        <w:spacing w:line="360" w:lineRule="auto" w:before="0"/>
        <w:ind w:left="102" w:right="122" w:firstLine="0"/>
        <w:jc w:val="both"/>
        <w:rPr>
          <w:sz w:val="24"/>
        </w:rPr>
      </w:pPr>
      <w:r>
        <w:rPr>
          <w:sz w:val="24"/>
        </w:rPr>
        <w:t>Ackerman, John M. (2007), </w:t>
      </w:r>
      <w:r>
        <w:rPr>
          <w:i/>
          <w:sz w:val="24"/>
        </w:rPr>
        <w:t>Organismos autónomos y democracia: el caso de </w:t>
      </w:r>
      <w:r>
        <w:rPr>
          <w:i/>
          <w:sz w:val="24"/>
        </w:rPr>
        <w:t>México, </w:t>
      </w:r>
      <w:r>
        <w:rPr>
          <w:sz w:val="24"/>
        </w:rPr>
        <w:t>México</w:t>
      </w:r>
      <w:r>
        <w:rPr>
          <w:i/>
          <w:sz w:val="24"/>
        </w:rPr>
        <w:t>, </w:t>
      </w:r>
      <w:r>
        <w:rPr>
          <w:sz w:val="24"/>
        </w:rPr>
        <w:t>Siglo XXI/UNAM-IIJ</w:t>
      </w:r>
      <w:r>
        <w:rPr>
          <w:i/>
          <w:sz w:val="24"/>
        </w:rPr>
        <w:t>, </w:t>
      </w:r>
      <w:r>
        <w:rPr>
          <w:sz w:val="24"/>
        </w:rPr>
        <w:t>320 pp.</w:t>
      </w:r>
    </w:p>
    <w:p>
      <w:pPr>
        <w:pStyle w:val="BodyText"/>
      </w:pPr>
    </w:p>
    <w:p>
      <w:pPr>
        <w:pStyle w:val="BodyText"/>
        <w:spacing w:line="357" w:lineRule="auto" w:before="144"/>
        <w:ind w:left="102" w:right="123"/>
        <w:jc w:val="both"/>
      </w:pPr>
      <w:r>
        <w:rPr/>
        <w:t>Aguilar, Giannina (2013), “Corte Suprema de Justicia reeligió a magistrado Sobrado por 6 años más”, en </w:t>
      </w:r>
      <w:r>
        <w:rPr>
          <w:i/>
        </w:rPr>
        <w:t>El Elector, </w:t>
      </w:r>
      <w:r>
        <w:rPr/>
        <w:t>marzo</w:t>
      </w:r>
      <w:r>
        <w:rPr>
          <w:i/>
        </w:rPr>
        <w:t>, </w:t>
      </w:r>
      <w:r>
        <w:rPr/>
        <w:t>San José, Costa Rica, TSE, pp. 3</w:t>
      </w:r>
    </w:p>
    <w:p>
      <w:pPr>
        <w:pStyle w:val="BodyText"/>
      </w:pPr>
    </w:p>
    <w:p>
      <w:pPr>
        <w:spacing w:line="360" w:lineRule="auto" w:before="147"/>
        <w:ind w:left="102" w:right="122" w:firstLine="0"/>
        <w:jc w:val="both"/>
        <w:rPr>
          <w:sz w:val="24"/>
        </w:rPr>
      </w:pPr>
      <w:r>
        <w:rPr>
          <w:sz w:val="24"/>
        </w:rPr>
        <w:t>Aguilar Torres, María del Refugio y Lariza Galindo Hernández (2006), “Capítulo 4. Análisis comparativo de financiamiento a sistemas de partidos políticos en México, Argentina, Chile, Uruguay y Perú” en </w:t>
      </w:r>
      <w:r>
        <w:rPr>
          <w:i/>
          <w:sz w:val="24"/>
        </w:rPr>
        <w:t>Análisis comparativo de financiamiento a </w:t>
      </w:r>
      <w:r>
        <w:rPr>
          <w:i/>
          <w:sz w:val="24"/>
        </w:rPr>
        <w:t>sistemas de partidos políticos en México, Argentina, Chile, Uruguay y Perú a junio de 2006 </w:t>
      </w:r>
      <w:r>
        <w:rPr>
          <w:sz w:val="24"/>
        </w:rPr>
        <w:t>(tesis de la licenciatura en Contaduría y Finanzas con orientación en Alta Dirección), Puebla, México, Departamento de finanzas y Contaduría de la Escuela de Negocios y Economía de la Universidad de las Américas Puebla, pp. 75-96.</w:t>
      </w:r>
    </w:p>
    <w:p>
      <w:pPr>
        <w:pStyle w:val="BodyText"/>
      </w:pPr>
    </w:p>
    <w:p>
      <w:pPr>
        <w:pStyle w:val="BodyText"/>
        <w:spacing w:line="360" w:lineRule="auto" w:before="142"/>
        <w:ind w:left="102" w:right="116"/>
        <w:jc w:val="both"/>
      </w:pPr>
      <w:r>
        <w:rPr/>
        <w:t>Alfaro Redondo, Ronald (2002), “Elecciones municipales y debilitamiento del respaldo electoral bipartidista en Costa Rica periodo 1986-2002” en </w:t>
      </w:r>
      <w:r>
        <w:rPr>
          <w:i/>
        </w:rPr>
        <w:t>Anuario de </w:t>
      </w:r>
      <w:r>
        <w:rPr>
          <w:i/>
        </w:rPr>
        <w:t>Estudios Centroamericanos, </w:t>
      </w:r>
      <w:r>
        <w:rPr/>
        <w:t>vol. 28, núm. 1-2, San José de Costa Rica, Universidad de Costa Rica, pp. 89- 135.</w:t>
      </w:r>
    </w:p>
    <w:p>
      <w:pPr>
        <w:pStyle w:val="BodyText"/>
      </w:pPr>
    </w:p>
    <w:p>
      <w:pPr>
        <w:pStyle w:val="BodyText"/>
        <w:tabs>
          <w:tab w:pos="1831" w:val="left" w:leader="none"/>
          <w:tab w:pos="3609" w:val="left" w:leader="none"/>
          <w:tab w:pos="5310" w:val="left" w:leader="none"/>
          <w:tab w:pos="7000" w:val="left" w:leader="none"/>
          <w:tab w:pos="8420" w:val="left" w:leader="none"/>
        </w:tabs>
        <w:spacing w:line="360" w:lineRule="auto" w:before="142"/>
        <w:ind w:left="102" w:right="117"/>
      </w:pPr>
      <w:r>
        <w:rPr/>
        <w:t>ALRCR (Asamblea Legislativa de la República de Costa Rica) (1991), Ley de Inscripción y Cédula Indígena No. 7225 en </w:t>
      </w:r>
      <w:r>
        <w:rPr>
          <w:i/>
        </w:rPr>
        <w:t>La Gaceta, </w:t>
      </w:r>
      <w:r>
        <w:rPr/>
        <w:t>núm. 86, 19 de abril, San José,</w:t>
        <w:tab/>
        <w:t>Costa</w:t>
        <w:tab/>
        <w:t>Rica,</w:t>
        <w:tab/>
        <w:t>TSE,</w:t>
        <w:tab/>
        <w:t>en</w:t>
        <w:tab/>
        <w:t>línea </w:t>
      </w:r>
      <w:hyperlink r:id="rId554">
        <w:r>
          <w:rPr/>
          <w:t>http://www.tse.go.cr/pdf/normativa/leyinscripcionycedulacionindigena.pdf</w:t>
        </w:r>
      </w:hyperlink>
      <w:r>
        <w:rPr/>
        <w:t>, consultada el 10 de junio de</w:t>
      </w:r>
      <w:r>
        <w:rPr>
          <w:spacing w:val="-14"/>
        </w:rPr>
        <w:t> </w:t>
      </w:r>
      <w:r>
        <w:rPr/>
        <w:t>2011.</w:t>
      </w:r>
    </w:p>
    <w:p>
      <w:pPr>
        <w:pStyle w:val="BodyText"/>
      </w:pPr>
    </w:p>
    <w:p>
      <w:pPr>
        <w:pStyle w:val="BodyText"/>
        <w:spacing w:line="360" w:lineRule="auto" w:before="139"/>
        <w:ind w:left="102" w:right="116"/>
        <w:jc w:val="both"/>
      </w:pPr>
      <w:r>
        <w:rPr/>
        <w:t>ALRCR (Asamblea Legislativa de la República de Costa Rica) (2009), </w:t>
      </w:r>
      <w:r>
        <w:rPr>
          <w:i/>
        </w:rPr>
        <w:t>Código </w:t>
      </w:r>
      <w:r>
        <w:rPr>
          <w:i/>
        </w:rPr>
        <w:t>Electoral, </w:t>
      </w:r>
      <w:r>
        <w:rPr/>
        <w:t>Ley No. 8765</w:t>
      </w:r>
      <w:r>
        <w:rPr>
          <w:i/>
        </w:rPr>
        <w:t>, </w:t>
      </w:r>
      <w:r>
        <w:rPr/>
        <w:t>2 de septiembre, San José, Costa Rica, TSE, 125 pp.</w:t>
      </w:r>
    </w:p>
    <w:p>
      <w:pPr>
        <w:spacing w:after="0" w:line="360" w:lineRule="auto"/>
        <w:jc w:val="both"/>
        <w:sectPr>
          <w:pgSz w:w="12240" w:h="15840"/>
          <w:pgMar w:header="749" w:footer="1003" w:top="960" w:bottom="1200" w:left="1600" w:right="1580"/>
        </w:sectPr>
      </w:pPr>
    </w:p>
    <w:p>
      <w:pPr>
        <w:pStyle w:val="BodyText"/>
        <w:rPr>
          <w:sz w:val="20"/>
        </w:rPr>
      </w:pPr>
    </w:p>
    <w:p>
      <w:pPr>
        <w:spacing w:line="360" w:lineRule="auto" w:before="212"/>
        <w:ind w:left="102" w:right="119" w:firstLine="0"/>
        <w:jc w:val="both"/>
        <w:rPr>
          <w:sz w:val="24"/>
        </w:rPr>
      </w:pPr>
      <w:r>
        <w:rPr>
          <w:sz w:val="24"/>
        </w:rPr>
        <w:t>Alvarado Salas, Ronulfo y Pérez Peláez Maribel (2004), </w:t>
      </w:r>
      <w:r>
        <w:rPr>
          <w:i/>
          <w:sz w:val="24"/>
        </w:rPr>
        <w:t>El gobierno local en Costa </w:t>
      </w:r>
      <w:r>
        <w:rPr>
          <w:i/>
          <w:sz w:val="24"/>
        </w:rPr>
        <w:t>Rica. No. 1 Organización política y funciones, </w:t>
      </w:r>
      <w:r>
        <w:rPr>
          <w:sz w:val="24"/>
        </w:rPr>
        <w:t>Serie Administración Municipal No. 1, s/l, Instituto de Fomento y Asesoría Municipal/Dirección de Gestión Municipal, Sección de Investigación y Desarrollo, 53</w:t>
      </w:r>
      <w:r>
        <w:rPr>
          <w:spacing w:val="-11"/>
          <w:sz w:val="24"/>
        </w:rPr>
        <w:t> </w:t>
      </w:r>
      <w:r>
        <w:rPr>
          <w:sz w:val="24"/>
        </w:rPr>
        <w:t>pp.</w:t>
      </w:r>
    </w:p>
    <w:p>
      <w:pPr>
        <w:pStyle w:val="BodyText"/>
      </w:pPr>
    </w:p>
    <w:p>
      <w:pPr>
        <w:spacing w:line="360" w:lineRule="auto" w:before="139"/>
        <w:ind w:left="102" w:right="117" w:firstLine="0"/>
        <w:jc w:val="both"/>
        <w:rPr>
          <w:sz w:val="24"/>
        </w:rPr>
      </w:pPr>
      <w:r>
        <w:rPr>
          <w:sz w:val="24"/>
        </w:rPr>
        <w:t>Álvarez Garro, Laura (2010), </w:t>
      </w:r>
      <w:r>
        <w:rPr>
          <w:i/>
          <w:sz w:val="24"/>
        </w:rPr>
        <w:t>El mito democrático costarricense y su impacto en la </w:t>
      </w:r>
      <w:r>
        <w:rPr>
          <w:i/>
          <w:sz w:val="24"/>
        </w:rPr>
        <w:t>constitución de la práctica política en períodos de conflicto social </w:t>
      </w:r>
      <w:r>
        <w:rPr>
          <w:sz w:val="24"/>
        </w:rPr>
        <w:t>(tesis de la Maestría en Ciencias Sociales), México, D.F., FLACSO, 301 pp.</w:t>
      </w:r>
    </w:p>
    <w:p>
      <w:pPr>
        <w:pStyle w:val="BodyText"/>
      </w:pPr>
    </w:p>
    <w:p>
      <w:pPr>
        <w:spacing w:line="360" w:lineRule="auto" w:before="140"/>
        <w:ind w:left="102" w:right="119" w:firstLine="0"/>
        <w:jc w:val="both"/>
        <w:rPr>
          <w:sz w:val="24"/>
        </w:rPr>
      </w:pPr>
      <w:r>
        <w:rPr>
          <w:sz w:val="24"/>
        </w:rPr>
        <w:t>Álvarez Garro, Laura (2011), </w:t>
      </w:r>
      <w:r>
        <w:rPr>
          <w:i/>
          <w:sz w:val="24"/>
        </w:rPr>
        <w:t>El mito democrático costarricense. La constitución de </w:t>
      </w:r>
      <w:r>
        <w:rPr>
          <w:i/>
          <w:sz w:val="24"/>
        </w:rPr>
        <w:t>la práctica política en períodos de conflicto social</w:t>
      </w:r>
      <w:r>
        <w:rPr>
          <w:sz w:val="24"/>
        </w:rPr>
        <w:t>, México, D.F., FLACSO, 262 pp.</w:t>
      </w:r>
    </w:p>
    <w:p>
      <w:pPr>
        <w:pStyle w:val="BodyText"/>
      </w:pPr>
    </w:p>
    <w:p>
      <w:pPr>
        <w:spacing w:line="360" w:lineRule="auto" w:before="142"/>
        <w:ind w:left="102" w:right="119" w:firstLine="0"/>
        <w:jc w:val="both"/>
        <w:rPr>
          <w:sz w:val="24"/>
        </w:rPr>
      </w:pPr>
      <w:r>
        <w:rPr>
          <w:sz w:val="24"/>
        </w:rPr>
        <w:t>ANC (Asamblea Nacional Constituyente) (1949), </w:t>
      </w:r>
      <w:r>
        <w:rPr>
          <w:i/>
          <w:sz w:val="24"/>
        </w:rPr>
        <w:t>Constitución Política de la </w:t>
      </w:r>
      <w:r>
        <w:rPr>
          <w:i/>
          <w:sz w:val="24"/>
        </w:rPr>
        <w:t>República de Costa Rica, </w:t>
      </w:r>
      <w:r>
        <w:rPr>
          <w:sz w:val="24"/>
        </w:rPr>
        <w:t>San José, Costa Rica, Tribunal Supremo de Elecciones, 65 pp.</w:t>
      </w:r>
    </w:p>
    <w:p>
      <w:pPr>
        <w:pStyle w:val="BodyText"/>
      </w:pPr>
    </w:p>
    <w:p>
      <w:pPr>
        <w:spacing w:line="362" w:lineRule="auto" w:before="139"/>
        <w:ind w:left="102" w:right="120" w:firstLine="0"/>
        <w:jc w:val="both"/>
        <w:rPr>
          <w:sz w:val="24"/>
        </w:rPr>
      </w:pPr>
      <w:r>
        <w:rPr>
          <w:sz w:val="24"/>
        </w:rPr>
        <w:t>Arias Sánchez, Oscar (1985), </w:t>
      </w:r>
      <w:r>
        <w:rPr>
          <w:i/>
          <w:sz w:val="24"/>
        </w:rPr>
        <w:t>Democracia, independencia y sociedad </w:t>
      </w:r>
      <w:r>
        <w:rPr>
          <w:i/>
          <w:sz w:val="24"/>
        </w:rPr>
        <w:t>latinoamericana, </w:t>
      </w:r>
      <w:r>
        <w:rPr>
          <w:sz w:val="24"/>
        </w:rPr>
        <w:t>Heredia, Costa Rica, Centro de Estudios Democráticos de América Latina / Fundación Friedrich Ebert, 120 pp.</w:t>
      </w:r>
    </w:p>
    <w:p>
      <w:pPr>
        <w:pStyle w:val="BodyText"/>
        <w:spacing w:before="10"/>
        <w:rPr>
          <w:sz w:val="35"/>
        </w:rPr>
      </w:pPr>
    </w:p>
    <w:p>
      <w:pPr>
        <w:spacing w:line="360" w:lineRule="auto" w:before="0"/>
        <w:ind w:left="102" w:right="122" w:firstLine="0"/>
        <w:jc w:val="both"/>
        <w:rPr>
          <w:sz w:val="24"/>
        </w:rPr>
      </w:pPr>
      <w:r>
        <w:rPr>
          <w:sz w:val="24"/>
        </w:rPr>
        <w:t>Arias Sánchez, Oscar (1989), </w:t>
      </w:r>
      <w:r>
        <w:rPr>
          <w:i/>
          <w:sz w:val="24"/>
        </w:rPr>
        <w:t>Cien años libres. Discurso pronunciado el 27 de </w:t>
      </w:r>
      <w:r>
        <w:rPr>
          <w:i/>
          <w:sz w:val="24"/>
        </w:rPr>
        <w:t>octubre, en el acto inaugural de la reunión de Jefes de Estado y de Gobierno del Continente Americano, </w:t>
      </w:r>
      <w:r>
        <w:rPr>
          <w:sz w:val="24"/>
        </w:rPr>
        <w:t>Heredia, Costa Rica, Imprenta Nacional Gobierno de la República, 12 pp.</w:t>
      </w:r>
    </w:p>
    <w:p>
      <w:pPr>
        <w:pStyle w:val="BodyText"/>
      </w:pPr>
    </w:p>
    <w:p>
      <w:pPr>
        <w:pStyle w:val="BodyText"/>
        <w:tabs>
          <w:tab w:pos="4846" w:val="left" w:leader="none"/>
          <w:tab w:pos="8418" w:val="left" w:leader="none"/>
        </w:tabs>
        <w:spacing w:line="360" w:lineRule="auto" w:before="139"/>
        <w:ind w:left="102" w:right="117"/>
      </w:pPr>
      <w:r>
        <w:rPr/>
        <w:t>Arrieta, Esteban (2010), “Alcaldes capitalinos no gastan mucho en campaña”, </w:t>
      </w:r>
      <w:r>
        <w:rPr>
          <w:i/>
        </w:rPr>
        <w:t>La </w:t>
      </w:r>
      <w:r>
        <w:rPr>
          <w:i/>
        </w:rPr>
        <w:t>república.net</w:t>
      </w:r>
      <w:r>
        <w:rPr/>
        <w:t>,</w:t>
        <w:tab/>
        <w:t>en</w:t>
        <w:tab/>
        <w:t>línea </w:t>
      </w:r>
      <w:hyperlink r:id="rId555">
        <w:r>
          <w:rPr/>
          <w:t>https://www.larepublica.net/app/cms/www/index.php?pk_articulo=41525</w:t>
        </w:r>
      </w:hyperlink>
      <w:r>
        <w:rPr/>
        <w:t>, consultado el 19 de enero de</w:t>
      </w:r>
      <w:r>
        <w:rPr>
          <w:spacing w:val="-14"/>
        </w:rPr>
        <w:t> </w:t>
      </w:r>
      <w:r>
        <w:rPr/>
        <w:t>2011.</w:t>
      </w:r>
    </w:p>
    <w:p>
      <w:pPr>
        <w:spacing w:after="0" w:line="360" w:lineRule="auto"/>
        <w:sectPr>
          <w:pgSz w:w="12240" w:h="15840"/>
          <w:pgMar w:header="749" w:footer="1003" w:top="960" w:bottom="1200" w:left="1600" w:right="1580"/>
        </w:sectPr>
      </w:pPr>
    </w:p>
    <w:p>
      <w:pPr>
        <w:pStyle w:val="BodyText"/>
        <w:rPr>
          <w:sz w:val="20"/>
        </w:rPr>
      </w:pPr>
    </w:p>
    <w:p>
      <w:pPr>
        <w:spacing w:line="362" w:lineRule="auto" w:before="212"/>
        <w:ind w:left="102" w:right="117" w:firstLine="0"/>
        <w:jc w:val="both"/>
        <w:rPr>
          <w:sz w:val="24"/>
        </w:rPr>
      </w:pPr>
      <w:r>
        <w:rPr>
          <w:sz w:val="24"/>
        </w:rPr>
        <w:t>ASF (Auditoría Superior de la Federación) (2006), </w:t>
      </w:r>
      <w:r>
        <w:rPr>
          <w:i/>
          <w:sz w:val="24"/>
        </w:rPr>
        <w:t>Informe de resultados de la </w:t>
      </w:r>
      <w:r>
        <w:rPr>
          <w:i/>
          <w:sz w:val="24"/>
        </w:rPr>
        <w:t>revisión y fiscalización de la cuenta pública 200</w:t>
      </w:r>
      <w:r>
        <w:rPr>
          <w:sz w:val="24"/>
        </w:rPr>
        <w:t>6, en línea </w:t>
      </w:r>
      <w:hyperlink r:id="rId556">
        <w:r>
          <w:rPr>
            <w:sz w:val="24"/>
          </w:rPr>
          <w:t>http://www.asf.gob.mx/Trans/Informes/ir2006i/Indice/Auditorias.htm</w:t>
        </w:r>
      </w:hyperlink>
      <w:r>
        <w:rPr>
          <w:sz w:val="24"/>
        </w:rPr>
        <w:t>,</w:t>
      </w:r>
    </w:p>
    <w:p>
      <w:pPr>
        <w:pStyle w:val="BodyText"/>
        <w:spacing w:before="2"/>
        <w:ind w:left="102"/>
        <w:jc w:val="both"/>
      </w:pPr>
      <w:r>
        <w:rPr/>
        <w:t>consultado el 20 de marzo de 2013.</w:t>
      </w:r>
    </w:p>
    <w:p>
      <w:pPr>
        <w:pStyle w:val="BodyText"/>
      </w:pPr>
    </w:p>
    <w:p>
      <w:pPr>
        <w:pStyle w:val="BodyText"/>
        <w:spacing w:before="9"/>
        <w:rPr>
          <w:sz w:val="23"/>
        </w:rPr>
      </w:pPr>
    </w:p>
    <w:p>
      <w:pPr>
        <w:spacing w:line="360" w:lineRule="auto" w:before="0"/>
        <w:ind w:left="102" w:right="116" w:firstLine="0"/>
        <w:jc w:val="both"/>
        <w:rPr>
          <w:sz w:val="24"/>
        </w:rPr>
      </w:pPr>
      <w:r>
        <w:rPr>
          <w:sz w:val="24"/>
        </w:rPr>
        <w:t>Astudillo, César y Lorenzo Córdova Vianello (coords.) (2010), </w:t>
      </w:r>
      <w:r>
        <w:rPr>
          <w:i/>
          <w:sz w:val="24"/>
        </w:rPr>
        <w:t>Los árbitros de las </w:t>
      </w:r>
      <w:r>
        <w:rPr>
          <w:i/>
          <w:sz w:val="24"/>
        </w:rPr>
        <w:t>elecciones estatales. Una radiografía de su arquitectura institucional, </w:t>
      </w:r>
      <w:r>
        <w:rPr>
          <w:sz w:val="24"/>
        </w:rPr>
        <w:t>México, Instituto de Investigaciones Jurídicas de la Universidad Nacional Autónoma de México / Instituto Electoral y de Participación Ciudadana del Estado de Jalisco,  389</w:t>
      </w:r>
      <w:r>
        <w:rPr>
          <w:spacing w:val="-3"/>
          <w:sz w:val="24"/>
        </w:rPr>
        <w:t> </w:t>
      </w:r>
      <w:r>
        <w:rPr>
          <w:sz w:val="24"/>
        </w:rPr>
        <w:t>pp.</w:t>
      </w:r>
    </w:p>
    <w:p>
      <w:pPr>
        <w:pStyle w:val="BodyText"/>
      </w:pPr>
    </w:p>
    <w:p>
      <w:pPr>
        <w:spacing w:line="360" w:lineRule="auto" w:before="139"/>
        <w:ind w:left="102" w:right="116" w:firstLine="0"/>
        <w:jc w:val="both"/>
        <w:rPr>
          <w:sz w:val="24"/>
        </w:rPr>
      </w:pPr>
      <w:r>
        <w:rPr>
          <w:sz w:val="24"/>
        </w:rPr>
        <w:t>Ávila García Paublino (2008), </w:t>
      </w:r>
      <w:r>
        <w:rPr>
          <w:i/>
          <w:sz w:val="24"/>
        </w:rPr>
        <w:t>El principio de equidad en los procesos electorales </w:t>
      </w:r>
      <w:r>
        <w:rPr>
          <w:i/>
          <w:sz w:val="24"/>
        </w:rPr>
        <w:t>en el Estado de Michoacán </w:t>
      </w:r>
      <w:r>
        <w:rPr>
          <w:sz w:val="24"/>
        </w:rPr>
        <w:t>(tesis de la Licenciatura en Derecho), Morelia, México, Facultad de Derecho y Ciencias Sociales de la Universidad Michoacana de San Nicolás de Hidalgo, 66 pp.</w:t>
      </w:r>
    </w:p>
    <w:p>
      <w:pPr>
        <w:pStyle w:val="BodyText"/>
      </w:pPr>
    </w:p>
    <w:p>
      <w:pPr>
        <w:pStyle w:val="BodyText"/>
        <w:spacing w:line="362" w:lineRule="auto" w:before="139"/>
        <w:ind w:left="102" w:right="115"/>
        <w:jc w:val="both"/>
      </w:pPr>
      <w:r>
        <w:rPr/>
        <w:t>Barranco Villafán, Bernardo (2011), “Los escándalos del IEEM”, </w:t>
      </w:r>
      <w:r>
        <w:rPr>
          <w:i/>
        </w:rPr>
        <w:t>Milenio Online</w:t>
      </w:r>
      <w:r>
        <w:rPr/>
        <w:t>, 12 de mayo, en línea </w:t>
      </w:r>
      <w:hyperlink r:id="rId557">
        <w:r>
          <w:rPr/>
          <w:t>http://edomex.milenio.com/cdb/doc/impreso/8957356</w:t>
        </w:r>
      </w:hyperlink>
      <w:r>
        <w:rPr/>
        <w:t>,  consultado el 21 de julio de</w:t>
      </w:r>
      <w:r>
        <w:rPr>
          <w:spacing w:val="-15"/>
        </w:rPr>
        <w:t> </w:t>
      </w:r>
      <w:r>
        <w:rPr/>
        <w:t>2012.</w:t>
      </w:r>
    </w:p>
    <w:p>
      <w:pPr>
        <w:pStyle w:val="BodyText"/>
        <w:spacing w:before="10"/>
        <w:rPr>
          <w:sz w:val="35"/>
        </w:rPr>
      </w:pPr>
    </w:p>
    <w:p>
      <w:pPr>
        <w:spacing w:line="360" w:lineRule="auto" w:before="0"/>
        <w:ind w:left="102" w:right="118" w:firstLine="0"/>
        <w:jc w:val="both"/>
        <w:rPr>
          <w:sz w:val="24"/>
        </w:rPr>
      </w:pPr>
      <w:r>
        <w:rPr>
          <w:sz w:val="24"/>
        </w:rPr>
        <w:t>Becerra, Ricardo, Pedro Salazar y José Woldenberg (2005), </w:t>
      </w:r>
      <w:r>
        <w:rPr>
          <w:i/>
          <w:sz w:val="24"/>
        </w:rPr>
        <w:t>La mecánica del </w:t>
      </w:r>
      <w:r>
        <w:rPr>
          <w:i/>
          <w:sz w:val="24"/>
        </w:rPr>
        <w:t>cambio político en México. Elecciones, partidos y reformas, </w:t>
      </w:r>
      <w:r>
        <w:rPr>
          <w:sz w:val="24"/>
        </w:rPr>
        <w:t>México, Cal y arena, 3ª. ed., 590 pp.</w:t>
      </w:r>
    </w:p>
    <w:p>
      <w:pPr>
        <w:pStyle w:val="BodyText"/>
      </w:pPr>
    </w:p>
    <w:p>
      <w:pPr>
        <w:spacing w:line="362" w:lineRule="auto" w:before="139"/>
        <w:ind w:left="102" w:right="114" w:firstLine="0"/>
        <w:jc w:val="both"/>
        <w:rPr>
          <w:sz w:val="24"/>
        </w:rPr>
      </w:pPr>
      <w:r>
        <w:rPr>
          <w:sz w:val="24"/>
        </w:rPr>
        <w:t>Berlín Valenzuela, Francisco (coord.) (1998), </w:t>
      </w:r>
      <w:r>
        <w:rPr>
          <w:i/>
          <w:sz w:val="24"/>
        </w:rPr>
        <w:t>Diccionario universal de términos </w:t>
      </w:r>
      <w:r>
        <w:rPr>
          <w:i/>
          <w:sz w:val="24"/>
        </w:rPr>
        <w:t>parlamentarios</w:t>
      </w:r>
      <w:r>
        <w:rPr>
          <w:sz w:val="24"/>
        </w:rPr>
        <w:t>, México, Cámara de Diputados del H. Congreso de la Unión- Comité del Instituto de Investigaciones Legislativas, LVII Legislatura, 760 pp.</w:t>
      </w:r>
    </w:p>
    <w:p>
      <w:pPr>
        <w:pStyle w:val="BodyText"/>
        <w:spacing w:before="10"/>
        <w:rPr>
          <w:sz w:val="35"/>
        </w:rPr>
      </w:pPr>
    </w:p>
    <w:p>
      <w:pPr>
        <w:spacing w:line="360" w:lineRule="auto" w:before="0"/>
        <w:ind w:left="102" w:right="121" w:firstLine="0"/>
        <w:jc w:val="both"/>
        <w:rPr>
          <w:i/>
          <w:sz w:val="24"/>
        </w:rPr>
      </w:pPr>
      <w:r>
        <w:rPr>
          <w:sz w:val="24"/>
        </w:rPr>
        <w:t>Blanco Randall (2011), </w:t>
      </w:r>
      <w:r>
        <w:rPr>
          <w:i/>
          <w:sz w:val="24"/>
        </w:rPr>
        <w:t>Decimoséptimo informe Estado de la Nación (2010) </w:t>
      </w:r>
      <w:r>
        <w:rPr>
          <w:i/>
          <w:sz w:val="24"/>
        </w:rPr>
        <w:t>Análisis de las elecciones municipales de 2010: resultados, tendencias y</w:t>
      </w:r>
      <w:r>
        <w:rPr>
          <w:i/>
          <w:spacing w:val="36"/>
          <w:sz w:val="24"/>
        </w:rPr>
        <w:t> </w:t>
      </w:r>
      <w:r>
        <w:rPr>
          <w:i/>
          <w:sz w:val="24"/>
        </w:rPr>
        <w:t>desafíos,</w:t>
      </w:r>
    </w:p>
    <w:p>
      <w:pPr>
        <w:spacing w:after="0" w:line="360" w:lineRule="auto"/>
        <w:jc w:val="both"/>
        <w:rPr>
          <w:sz w:val="24"/>
        </w:rPr>
        <w:sectPr>
          <w:pgSz w:w="12240" w:h="15840"/>
          <w:pgMar w:header="749" w:footer="1003" w:top="960" w:bottom="1200" w:left="1600" w:right="1580"/>
        </w:sectPr>
      </w:pPr>
    </w:p>
    <w:p>
      <w:pPr>
        <w:pStyle w:val="BodyText"/>
        <w:rPr>
          <w:i/>
          <w:sz w:val="20"/>
        </w:rPr>
      </w:pPr>
    </w:p>
    <w:p>
      <w:pPr>
        <w:pStyle w:val="BodyText"/>
        <w:spacing w:line="362" w:lineRule="auto" w:before="214"/>
        <w:ind w:left="102" w:right="123"/>
        <w:jc w:val="both"/>
      </w:pPr>
      <w:r>
        <w:rPr/>
        <w:t>San José, Costa Rica, Estado de la nación en desarrollo humano sostenible / CONARE / Defensoría de los habitantes, 32 pp.</w:t>
      </w:r>
    </w:p>
    <w:p>
      <w:pPr>
        <w:pStyle w:val="BodyText"/>
      </w:pPr>
    </w:p>
    <w:p>
      <w:pPr>
        <w:pStyle w:val="BodyText"/>
        <w:spacing w:line="360" w:lineRule="auto" w:before="139"/>
        <w:ind w:left="102" w:right="118"/>
        <w:jc w:val="both"/>
      </w:pPr>
      <w:r>
        <w:rPr/>
        <w:t>Bou Valverde, Zetty (2010), “Sistema electoral costarricense. Seis décadas de probada efectividad” en </w:t>
      </w:r>
      <w:r>
        <w:rPr>
          <w:i/>
        </w:rPr>
        <w:t>Revista derecho electoral, </w:t>
      </w:r>
      <w:r>
        <w:rPr/>
        <w:t>número 9, San José, Costa Rica, Tribunal Supremo de Elecciones, pp. 51-66.</w:t>
      </w:r>
    </w:p>
    <w:p>
      <w:pPr>
        <w:pStyle w:val="BodyText"/>
      </w:pPr>
    </w:p>
    <w:p>
      <w:pPr>
        <w:spacing w:line="360" w:lineRule="auto" w:before="142"/>
        <w:ind w:left="102" w:right="118" w:firstLine="0"/>
        <w:jc w:val="both"/>
        <w:rPr>
          <w:sz w:val="24"/>
        </w:rPr>
      </w:pPr>
      <w:r>
        <w:rPr>
          <w:sz w:val="24"/>
        </w:rPr>
        <w:t>Camacho M., Daniel (1993), “Costa Rica: virtudes y vicios de una democracia “perfecta”” en </w:t>
      </w:r>
      <w:r>
        <w:rPr>
          <w:i/>
          <w:sz w:val="24"/>
        </w:rPr>
        <w:t>Democracia y democratización en Centroamérica, </w:t>
      </w:r>
      <w:r>
        <w:rPr>
          <w:sz w:val="24"/>
        </w:rPr>
        <w:t>San José, Costa Rica, Universidad de Costa Rica, 424 pp.</w:t>
      </w:r>
    </w:p>
    <w:p>
      <w:pPr>
        <w:pStyle w:val="BodyText"/>
      </w:pPr>
    </w:p>
    <w:p>
      <w:pPr>
        <w:pStyle w:val="BodyText"/>
        <w:spacing w:line="360" w:lineRule="auto" w:before="142"/>
        <w:ind w:left="102" w:right="118"/>
      </w:pPr>
      <w:r>
        <w:rPr/>
        <w:t>Cambronero, Cristian (2009), “PLN acapara propaganda electoral. Guevara y Chinchilla parejos en gastos”, </w:t>
      </w:r>
      <w:r>
        <w:rPr>
          <w:i/>
        </w:rPr>
        <w:t>Fusil, </w:t>
      </w:r>
      <w:r>
        <w:rPr/>
        <w:t>publicado el 27 de noviembre, en línea en </w:t>
      </w:r>
      <w:hyperlink r:id="rId558">
        <w:r>
          <w:rPr/>
          <w:t>http://www.fusildechispas.com/2009/11/pln-acapara-propaganda-electoral-</w:t>
        </w:r>
      </w:hyperlink>
      <w:r>
        <w:rPr/>
        <w:t> </w:t>
      </w:r>
      <w:hyperlink r:id="rId558">
        <w:r>
          <w:rPr/>
          <w:t>guevara-y-chinchilla-parejos-en-gastos/</w:t>
        </w:r>
      </w:hyperlink>
      <w:r>
        <w:rPr/>
        <w:t>, consultado el 13 de marzo de 2010.</w:t>
      </w:r>
    </w:p>
    <w:p>
      <w:pPr>
        <w:pStyle w:val="BodyText"/>
      </w:pPr>
    </w:p>
    <w:p>
      <w:pPr>
        <w:pStyle w:val="BodyText"/>
        <w:spacing w:line="360" w:lineRule="auto" w:before="142"/>
        <w:ind w:left="102" w:right="116"/>
        <w:jc w:val="both"/>
      </w:pPr>
      <w:r>
        <w:rPr/>
        <w:t>Cansino, Cesar (2005), “Entre la democracia real y la democracia ideal. Consideraciones críticas”, en </w:t>
      </w:r>
      <w:r>
        <w:rPr>
          <w:i/>
        </w:rPr>
        <w:t>Revista Metapolítica</w:t>
      </w:r>
      <w:r>
        <w:rPr/>
        <w:t>, número 39, enero-febrero, México, pp. 99-108.</w:t>
      </w:r>
    </w:p>
    <w:p>
      <w:pPr>
        <w:pStyle w:val="BodyText"/>
      </w:pPr>
    </w:p>
    <w:p>
      <w:pPr>
        <w:spacing w:line="360" w:lineRule="auto" w:before="139"/>
        <w:ind w:left="102" w:right="117" w:firstLine="0"/>
        <w:jc w:val="both"/>
        <w:rPr>
          <w:sz w:val="24"/>
        </w:rPr>
      </w:pPr>
      <w:r>
        <w:rPr>
          <w:sz w:val="24"/>
        </w:rPr>
        <w:t>Caputo, Dante (coord.) (2004), </w:t>
      </w:r>
      <w:r>
        <w:rPr>
          <w:i/>
          <w:sz w:val="24"/>
        </w:rPr>
        <w:t>La democracia en América Latina. Hacia una </w:t>
      </w:r>
      <w:r>
        <w:rPr>
          <w:i/>
          <w:sz w:val="24"/>
        </w:rPr>
        <w:t>democracia de ciudadanas y ciudadanos</w:t>
      </w:r>
      <w:r>
        <w:rPr>
          <w:sz w:val="24"/>
        </w:rPr>
        <w:t>, Buenos Aires, Programa de las  Naciones Unidas para el Desarrollo, 2ª. ed., 287</w:t>
      </w:r>
      <w:r>
        <w:rPr>
          <w:spacing w:val="-20"/>
          <w:sz w:val="24"/>
        </w:rPr>
        <w:t> </w:t>
      </w:r>
      <w:r>
        <w:rPr>
          <w:sz w:val="24"/>
        </w:rPr>
        <w:t>pp.</w:t>
      </w:r>
    </w:p>
    <w:p>
      <w:pPr>
        <w:pStyle w:val="BodyText"/>
      </w:pPr>
    </w:p>
    <w:p>
      <w:pPr>
        <w:spacing w:line="360" w:lineRule="auto" w:before="142"/>
        <w:ind w:left="102" w:right="114" w:firstLine="0"/>
        <w:jc w:val="both"/>
        <w:rPr>
          <w:sz w:val="24"/>
        </w:rPr>
      </w:pPr>
      <w:r>
        <w:rPr>
          <w:sz w:val="24"/>
        </w:rPr>
        <w:t>CDHCU L LV (Cámara de Diputados del Honorable Congreso de la Unión) (1991), </w:t>
      </w:r>
      <w:r>
        <w:rPr>
          <w:i/>
          <w:sz w:val="24"/>
        </w:rPr>
        <w:t>Las Constituciones de México, 1814-1991</w:t>
      </w:r>
      <w:r>
        <w:rPr>
          <w:sz w:val="24"/>
        </w:rPr>
        <w:t>, México, Comité de Asuntos Editoriales- CDHCU L LV, 592 pp.</w:t>
      </w:r>
    </w:p>
    <w:p>
      <w:pPr>
        <w:pStyle w:val="BodyText"/>
      </w:pPr>
    </w:p>
    <w:p>
      <w:pPr>
        <w:pStyle w:val="BodyText"/>
        <w:spacing w:before="142"/>
        <w:ind w:left="102"/>
        <w:jc w:val="both"/>
      </w:pPr>
      <w:r>
        <w:rPr/>
        <w:t>CDHCU L LVI (Cámara de Diputados del Honorable Congreso de la Unión) (1996),</w:t>
      </w:r>
    </w:p>
    <w:p>
      <w:pPr>
        <w:spacing w:before="134"/>
        <w:ind w:left="102" w:right="0" w:firstLine="0"/>
        <w:jc w:val="both"/>
        <w:rPr>
          <w:i/>
          <w:sz w:val="24"/>
        </w:rPr>
      </w:pPr>
      <w:r>
        <w:rPr>
          <w:i/>
          <w:sz w:val="24"/>
        </w:rPr>
        <w:t>Diario de debates. Primer periodo ordinario de sesiones </w:t>
      </w:r>
      <w:r>
        <w:rPr>
          <w:sz w:val="24"/>
        </w:rPr>
        <w:t>del </w:t>
      </w:r>
      <w:r>
        <w:rPr>
          <w:i/>
          <w:sz w:val="24"/>
        </w:rPr>
        <w:t>tercer año de la LVI</w:t>
      </w:r>
    </w:p>
    <w:p>
      <w:pPr>
        <w:spacing w:after="0"/>
        <w:jc w:val="both"/>
        <w:rPr>
          <w:sz w:val="24"/>
        </w:rPr>
        <w:sectPr>
          <w:pgSz w:w="12240" w:h="15840"/>
          <w:pgMar w:header="749" w:footer="1003" w:top="960" w:bottom="1200" w:left="1600" w:right="1580"/>
        </w:sectPr>
      </w:pPr>
    </w:p>
    <w:p>
      <w:pPr>
        <w:pStyle w:val="BodyText"/>
        <w:rPr>
          <w:i/>
          <w:sz w:val="20"/>
        </w:rPr>
      </w:pPr>
    </w:p>
    <w:p>
      <w:pPr>
        <w:pStyle w:val="BodyText"/>
        <w:spacing w:line="362" w:lineRule="auto" w:before="212"/>
        <w:ind w:left="102" w:right="120"/>
        <w:jc w:val="both"/>
      </w:pPr>
      <w:r>
        <w:rPr>
          <w:i/>
        </w:rPr>
        <w:t>Legislatura</w:t>
      </w:r>
      <w:r>
        <w:rPr/>
        <w:t>. Sesión No. 21, octubre 30, México, Secretaría General/Dirección General de Apoyo Parlamentario.</w:t>
      </w:r>
    </w:p>
    <w:p>
      <w:pPr>
        <w:pStyle w:val="BodyText"/>
      </w:pPr>
    </w:p>
    <w:p>
      <w:pPr>
        <w:spacing w:line="360" w:lineRule="auto" w:before="139"/>
        <w:ind w:left="102" w:right="119" w:firstLine="0"/>
        <w:jc w:val="both"/>
        <w:rPr>
          <w:sz w:val="24"/>
        </w:rPr>
      </w:pPr>
      <w:r>
        <w:rPr>
          <w:sz w:val="24"/>
        </w:rPr>
        <w:t>CDHCU L LIX (Cámara de Diputados del Honorable Congreso de la Unión) (2003a), </w:t>
      </w:r>
      <w:r>
        <w:rPr>
          <w:i/>
          <w:sz w:val="24"/>
        </w:rPr>
        <w:t>Diario de debates. Primer periodo ordinario de sesiones del primer año de </w:t>
      </w:r>
      <w:r>
        <w:rPr>
          <w:i/>
          <w:sz w:val="24"/>
        </w:rPr>
        <w:t>la LIX Legislatura</w:t>
      </w:r>
      <w:r>
        <w:rPr>
          <w:sz w:val="24"/>
        </w:rPr>
        <w:t>. Sesión No. 16, octubre 30-31, México, Secretaría General/Dirección General de Apoyo Parlamentario.</w:t>
      </w:r>
    </w:p>
    <w:p>
      <w:pPr>
        <w:pStyle w:val="BodyText"/>
      </w:pPr>
    </w:p>
    <w:p>
      <w:pPr>
        <w:pStyle w:val="BodyText"/>
        <w:spacing w:line="360" w:lineRule="auto" w:before="142"/>
        <w:ind w:left="102" w:right="123"/>
        <w:jc w:val="both"/>
      </w:pPr>
      <w:r>
        <w:rPr/>
        <w:t>CDHCU L LIX (Cámara de Diputados del Honorable Congreso de la Unión) (2003b), Código Federal de Instituciones y Procedimientos Electorales, México, Secretaría General, 129 pp.</w:t>
      </w:r>
    </w:p>
    <w:p>
      <w:pPr>
        <w:pStyle w:val="BodyText"/>
      </w:pPr>
    </w:p>
    <w:p>
      <w:pPr>
        <w:spacing w:line="360" w:lineRule="auto" w:before="142"/>
        <w:ind w:left="102" w:right="123" w:firstLine="0"/>
        <w:jc w:val="both"/>
        <w:rPr>
          <w:sz w:val="24"/>
        </w:rPr>
      </w:pPr>
      <w:r>
        <w:rPr>
          <w:sz w:val="24"/>
        </w:rPr>
        <w:t>CDHCU L LIX (Cámara de Diputados del Honorable Congreso de la Unión Legislatura LIX) (2005), “Código Federal de Instituciones y Procedimientos Electorales” en </w:t>
      </w:r>
      <w:r>
        <w:rPr>
          <w:i/>
          <w:sz w:val="24"/>
        </w:rPr>
        <w:t>Código Federal de Instituciones y Procedimientos Electorales y </w:t>
      </w:r>
      <w:r>
        <w:rPr>
          <w:i/>
          <w:sz w:val="24"/>
        </w:rPr>
        <w:t>otros ordenamientos electorales</w:t>
      </w:r>
      <w:r>
        <w:rPr>
          <w:sz w:val="24"/>
        </w:rPr>
        <w:t>, México, Instituto Federal Electoral, pp. 1-267.</w:t>
      </w:r>
    </w:p>
    <w:p>
      <w:pPr>
        <w:pStyle w:val="BodyText"/>
      </w:pPr>
    </w:p>
    <w:p>
      <w:pPr>
        <w:pStyle w:val="BodyText"/>
        <w:spacing w:line="360" w:lineRule="auto" w:before="144"/>
        <w:ind w:left="102" w:right="117"/>
        <w:jc w:val="both"/>
      </w:pPr>
      <w:r>
        <w:rPr/>
        <w:t>CDHCU L LX (Cámara de Diputados del Honorable Congreso de la Unión) (2008a), Código Federal de Instituciones y Procedimientos Electorales, México, Secretaría General, 176</w:t>
      </w:r>
      <w:r>
        <w:rPr>
          <w:spacing w:val="-11"/>
        </w:rPr>
        <w:t> </w:t>
      </w:r>
      <w:r>
        <w:rPr/>
        <w:t>pp.</w:t>
      </w:r>
    </w:p>
    <w:p>
      <w:pPr>
        <w:pStyle w:val="BodyText"/>
      </w:pPr>
    </w:p>
    <w:p>
      <w:pPr>
        <w:pStyle w:val="BodyText"/>
        <w:spacing w:line="360" w:lineRule="auto" w:before="142"/>
        <w:ind w:left="102" w:right="120"/>
        <w:jc w:val="both"/>
      </w:pPr>
      <w:r>
        <w:rPr/>
        <w:t>CDHCU L LX (Cámara de Diputados del Honorable Congreso de la Unión) (2008b), Reglamento de la Ley Orgánica de la Procuraduría General de la República, México, Secretaría General, 63</w:t>
      </w:r>
      <w:r>
        <w:rPr>
          <w:spacing w:val="-14"/>
        </w:rPr>
        <w:t> </w:t>
      </w:r>
      <w:r>
        <w:rPr/>
        <w:t>pp.</w:t>
      </w:r>
    </w:p>
    <w:p>
      <w:pPr>
        <w:pStyle w:val="BodyText"/>
      </w:pPr>
    </w:p>
    <w:p>
      <w:pPr>
        <w:spacing w:line="360" w:lineRule="auto" w:before="142"/>
        <w:ind w:left="102" w:right="121" w:firstLine="0"/>
        <w:jc w:val="both"/>
        <w:rPr>
          <w:sz w:val="24"/>
        </w:rPr>
      </w:pPr>
      <w:r>
        <w:rPr>
          <w:sz w:val="24"/>
        </w:rPr>
        <w:t>CDHCU L LX (Cámara de Diputados del Honorable Congreso de la Unión)  (2008c), </w:t>
      </w:r>
      <w:r>
        <w:rPr>
          <w:i/>
          <w:sz w:val="24"/>
        </w:rPr>
        <w:t>Diario de debates. Segundo periodo ordinario de sesiones del segundo </w:t>
      </w:r>
      <w:r>
        <w:rPr>
          <w:i/>
          <w:sz w:val="24"/>
        </w:rPr>
        <w:t>año de la LX Legislatura</w:t>
      </w:r>
      <w:r>
        <w:rPr>
          <w:sz w:val="24"/>
        </w:rPr>
        <w:t>, 7 de febrero, México, Secretaría General/Dirección General de Apoyo</w:t>
      </w:r>
      <w:r>
        <w:rPr>
          <w:spacing w:val="-16"/>
          <w:sz w:val="24"/>
        </w:rPr>
        <w:t> </w:t>
      </w:r>
      <w:r>
        <w:rPr>
          <w:sz w:val="24"/>
        </w:rPr>
        <w:t>Parlamentario.</w:t>
      </w:r>
    </w:p>
    <w:p>
      <w:pPr>
        <w:spacing w:after="0" w:line="360" w:lineRule="auto"/>
        <w:jc w:val="both"/>
        <w:rPr>
          <w:sz w:val="24"/>
        </w:rPr>
        <w:sectPr>
          <w:pgSz w:w="12240" w:h="15840"/>
          <w:pgMar w:header="749" w:footer="1003" w:top="960" w:bottom="1200" w:left="1600" w:right="1580"/>
        </w:sectPr>
      </w:pPr>
    </w:p>
    <w:p>
      <w:pPr>
        <w:pStyle w:val="BodyText"/>
        <w:rPr>
          <w:sz w:val="20"/>
        </w:rPr>
      </w:pPr>
    </w:p>
    <w:p>
      <w:pPr>
        <w:pStyle w:val="BodyText"/>
        <w:spacing w:line="360" w:lineRule="auto" w:before="214"/>
        <w:ind w:left="102" w:right="123"/>
        <w:jc w:val="both"/>
      </w:pPr>
      <w:r>
        <w:rPr/>
        <w:t>CDHCU L LXI (Cámara de Diputados del Honorable Congreso de la Unión) (2011), Ley General del Sistema de Medios de Impugnación en Materia Electoral, México, Instituto Federal Electoral, 110 pp.</w:t>
      </w:r>
    </w:p>
    <w:p>
      <w:pPr>
        <w:pStyle w:val="BodyText"/>
      </w:pPr>
    </w:p>
    <w:p>
      <w:pPr>
        <w:pStyle w:val="BodyText"/>
        <w:spacing w:line="360" w:lineRule="auto" w:before="142"/>
        <w:ind w:left="102" w:right="123"/>
        <w:jc w:val="both"/>
      </w:pPr>
      <w:r>
        <w:rPr/>
        <w:t>CDHCU L LXI (Cámara de Diputados del Honorable Congreso de la Unión) (2012a), Constitución Política de los Estados Unidos Mexicanos, México, Secretaría General, 185 pp.</w:t>
      </w:r>
    </w:p>
    <w:p>
      <w:pPr>
        <w:pStyle w:val="BodyText"/>
      </w:pPr>
    </w:p>
    <w:p>
      <w:pPr>
        <w:pStyle w:val="BodyText"/>
        <w:spacing w:line="360" w:lineRule="auto" w:before="142"/>
        <w:ind w:left="102" w:right="123"/>
        <w:jc w:val="both"/>
      </w:pPr>
      <w:r>
        <w:rPr/>
        <w:t>CDHCU L LXI (Cámara de Diputados del Honorable Congreso de la Unión) (2012b), Ley Orgánica del Poder Judicial de la Federación, México, Secretaría General, 102 pp.</w:t>
      </w:r>
    </w:p>
    <w:p>
      <w:pPr>
        <w:pStyle w:val="BodyText"/>
      </w:pPr>
    </w:p>
    <w:p>
      <w:pPr>
        <w:pStyle w:val="BodyText"/>
        <w:spacing w:line="360" w:lineRule="auto" w:before="142"/>
        <w:ind w:left="102" w:right="115"/>
        <w:jc w:val="both"/>
      </w:pPr>
      <w:r>
        <w:rPr/>
        <w:t>CDHCU L LXII (Cámara de Diputados del Honorable Congreso de la Unión LXII Legislatura) (2013), “Constitución Política de los Estados Unidos Mexicanos”, en el </w:t>
      </w:r>
      <w:r>
        <w:rPr>
          <w:i/>
        </w:rPr>
        <w:t>Diario Oficial de la Federación</w:t>
      </w:r>
      <w:r>
        <w:rPr/>
        <w:t>, 26 de febrero, México, Secretaria de Gobernación, 194 pp.</w:t>
      </w:r>
    </w:p>
    <w:p>
      <w:pPr>
        <w:pStyle w:val="BodyText"/>
      </w:pPr>
    </w:p>
    <w:p>
      <w:pPr>
        <w:tabs>
          <w:tab w:pos="1275" w:val="left" w:leader="none"/>
          <w:tab w:pos="2871" w:val="left" w:leader="none"/>
          <w:tab w:pos="6119" w:val="left" w:leader="none"/>
          <w:tab w:pos="8421" w:val="left" w:leader="none"/>
        </w:tabs>
        <w:spacing w:line="360" w:lineRule="auto" w:before="142"/>
        <w:ind w:left="102" w:right="118" w:firstLine="0"/>
        <w:jc w:val="left"/>
        <w:rPr>
          <w:sz w:val="24"/>
        </w:rPr>
      </w:pPr>
      <w:r>
        <w:rPr>
          <w:sz w:val="24"/>
        </w:rPr>
        <w:t>CFRPAP</w:t>
        <w:tab/>
        <w:t>(Comisión   de   Fiscalización   de   los   Recursos   de   los </w:t>
      </w:r>
      <w:r>
        <w:rPr>
          <w:spacing w:val="33"/>
          <w:sz w:val="24"/>
        </w:rPr>
        <w:t> </w:t>
      </w:r>
      <w:r>
        <w:rPr>
          <w:sz w:val="24"/>
        </w:rPr>
        <w:t>Partidos </w:t>
      </w:r>
      <w:r>
        <w:rPr>
          <w:spacing w:val="62"/>
          <w:sz w:val="24"/>
        </w:rPr>
        <w:t> </w:t>
      </w:r>
      <w:r>
        <w:rPr>
          <w:sz w:val="24"/>
        </w:rPr>
        <w:t>y Agrupaciones Políticas del Consejo General del Instituto Federal Electoral) (2006a), </w:t>
      </w:r>
      <w:r>
        <w:rPr>
          <w:i/>
          <w:sz w:val="24"/>
        </w:rPr>
        <w:t>Dictamen consolidado que presentó la Comisión de Fiscalización de los </w:t>
      </w:r>
      <w:r>
        <w:rPr>
          <w:i/>
          <w:sz w:val="24"/>
        </w:rPr>
        <w:t>Recursos de los Partidos y Agrupaciones Políticas al Consejo General del Instituto Federal Electoral, respecto de la revisión de los informes de campaña de los partidos políticos nacionales y coaliciones relacionados con el proceso electoral federal</w:t>
        <w:tab/>
        <w:tab/>
        <w:t>2005-2006,</w:t>
        <w:tab/>
      </w:r>
      <w:r>
        <w:rPr>
          <w:sz w:val="24"/>
        </w:rPr>
        <w:t>en</w:t>
        <w:tab/>
      </w:r>
      <w:r>
        <w:rPr>
          <w:spacing w:val="-1"/>
          <w:sz w:val="24"/>
        </w:rPr>
        <w:t>línea </w:t>
      </w:r>
      <w:hyperlink r:id="rId559">
        <w:r>
          <w:rPr>
            <w:sz w:val="24"/>
          </w:rPr>
          <w:t>http://www.ife.org.mx/documentos/PPP/ppp/2006/Dictamen/index_campania.htm</w:t>
        </w:r>
      </w:hyperlink>
      <w:r>
        <w:rPr>
          <w:sz w:val="24"/>
        </w:rPr>
        <w:t>, consultado el 16 de diciembre de</w:t>
      </w:r>
      <w:r>
        <w:rPr>
          <w:spacing w:val="-15"/>
          <w:sz w:val="24"/>
        </w:rPr>
        <w:t> </w:t>
      </w:r>
      <w:r>
        <w:rPr>
          <w:sz w:val="24"/>
        </w:rPr>
        <w:t>2012.</w:t>
      </w:r>
    </w:p>
    <w:p>
      <w:pPr>
        <w:pStyle w:val="BodyText"/>
      </w:pPr>
    </w:p>
    <w:p>
      <w:pPr>
        <w:spacing w:line="357" w:lineRule="auto" w:before="142"/>
        <w:ind w:left="102" w:right="115" w:firstLine="0"/>
        <w:jc w:val="both"/>
        <w:rPr>
          <w:sz w:val="24"/>
        </w:rPr>
      </w:pPr>
      <w:r>
        <w:rPr>
          <w:sz w:val="24"/>
        </w:rPr>
        <w:t>CFRPAP (Comisión de Fiscalización de los Recursos de los Partidos y Agrupaciones Políticas del Consejo General del Instituto Federal Electoral) (2006b),   </w:t>
      </w:r>
      <w:r>
        <w:rPr>
          <w:i/>
          <w:sz w:val="24"/>
        </w:rPr>
        <w:t>Reporte   final   de   los   monitoreos   de   promocionales,    </w:t>
      </w:r>
      <w:r>
        <w:rPr>
          <w:sz w:val="24"/>
        </w:rPr>
        <w:t>en      </w:t>
      </w:r>
      <w:r>
        <w:rPr>
          <w:spacing w:val="53"/>
          <w:sz w:val="24"/>
        </w:rPr>
        <w:t> </w:t>
      </w:r>
      <w:r>
        <w:rPr>
          <w:sz w:val="24"/>
        </w:rPr>
        <w:t>línea</w:t>
      </w:r>
    </w:p>
    <w:p>
      <w:pPr>
        <w:spacing w:after="0" w:line="357" w:lineRule="auto"/>
        <w:jc w:val="both"/>
        <w:rPr>
          <w:sz w:val="24"/>
        </w:rPr>
        <w:sectPr>
          <w:pgSz w:w="12240" w:h="15840"/>
          <w:pgMar w:header="749" w:footer="1003" w:top="960" w:bottom="1200" w:left="1600" w:right="1580"/>
        </w:sectPr>
      </w:pPr>
    </w:p>
    <w:p>
      <w:pPr>
        <w:pStyle w:val="BodyText"/>
        <w:rPr>
          <w:sz w:val="20"/>
        </w:rPr>
      </w:pPr>
    </w:p>
    <w:p>
      <w:pPr>
        <w:pStyle w:val="BodyText"/>
        <w:spacing w:line="362" w:lineRule="auto" w:before="214"/>
        <w:ind w:left="102" w:right="121"/>
        <w:jc w:val="both"/>
      </w:pPr>
      <w:hyperlink r:id="rId560">
        <w:r>
          <w:rPr/>
          <w:t>http://www.ife.org.mx/documentos/proceso_2005-</w:t>
        </w:r>
      </w:hyperlink>
      <w:r>
        <w:rPr/>
        <w:t> </w:t>
      </w:r>
      <w:hyperlink r:id="rId560">
        <w:r>
          <w:rPr/>
          <w:t>2006/docs/rep_final_monitoreos.pdf</w:t>
        </w:r>
      </w:hyperlink>
      <w:r>
        <w:rPr/>
        <w:t>, consultado el 11 de diciembre de 2012.</w:t>
      </w:r>
    </w:p>
    <w:p>
      <w:pPr>
        <w:pStyle w:val="BodyText"/>
      </w:pPr>
    </w:p>
    <w:p>
      <w:pPr>
        <w:pStyle w:val="BodyText"/>
        <w:spacing w:line="360" w:lineRule="auto" w:before="139"/>
        <w:ind w:left="102" w:right="126"/>
      </w:pPr>
      <w:r>
        <w:rPr/>
        <w:t>CFRPAP (Comisión de Fiscalización de los Recursos de los Partidos y Agrupaciones Políticas del Consejo General del Instituto Federal Electoral)  (2006c), </w:t>
      </w:r>
      <w:r>
        <w:rPr>
          <w:i/>
        </w:rPr>
        <w:t>Análisis general de los resultados de los monitoreos de noticias, </w:t>
      </w:r>
      <w:r>
        <w:rPr/>
        <w:t>en línea </w:t>
      </w:r>
      <w:hyperlink r:id="rId561">
        <w:r>
          <w:rPr/>
          <w:t>http://www.ife.org.mx/documentos/proceso_2005-</w:t>
        </w:r>
      </w:hyperlink>
      <w:r>
        <w:rPr/>
        <w:t> </w:t>
      </w:r>
      <w:hyperlink r:id="rId561">
        <w:r>
          <w:rPr/>
          <w:t>2006/docs/monitoreo_noticiarios.pdf</w:t>
        </w:r>
      </w:hyperlink>
      <w:r>
        <w:rPr/>
        <w:t>, consultado el 11 de diciembre de</w:t>
      </w:r>
      <w:r>
        <w:rPr>
          <w:spacing w:val="-23"/>
        </w:rPr>
        <w:t> </w:t>
      </w:r>
      <w:r>
        <w:rPr/>
        <w:t>2012.</w:t>
      </w:r>
    </w:p>
    <w:p>
      <w:pPr>
        <w:pStyle w:val="BodyText"/>
      </w:pPr>
    </w:p>
    <w:p>
      <w:pPr>
        <w:tabs>
          <w:tab w:pos="2971" w:val="left" w:leader="none"/>
          <w:tab w:pos="6098" w:val="left" w:leader="none"/>
          <w:tab w:pos="8421" w:val="left" w:leader="none"/>
        </w:tabs>
        <w:spacing w:line="360" w:lineRule="auto" w:before="142"/>
        <w:ind w:left="102" w:right="114" w:firstLine="0"/>
        <w:jc w:val="both"/>
        <w:rPr>
          <w:sz w:val="24"/>
        </w:rPr>
      </w:pPr>
      <w:r>
        <w:rPr>
          <w:sz w:val="24"/>
        </w:rPr>
        <w:t>CGIEEM (Consejo General del Instituto Electoral del Estado de México) (2005a), </w:t>
      </w:r>
      <w:r>
        <w:rPr>
          <w:i/>
          <w:sz w:val="24"/>
        </w:rPr>
        <w:t>Topes de Gastos de Campaña para los Procesos Electorales de Diputados y </w:t>
      </w:r>
      <w:r>
        <w:rPr>
          <w:i/>
          <w:sz w:val="24"/>
        </w:rPr>
        <w:t>miembros de los Ayuntamientos del Estado de México 2005-2006, </w:t>
      </w:r>
      <w:r>
        <w:rPr>
          <w:sz w:val="24"/>
        </w:rPr>
        <w:t>acuerdo  número</w:t>
        <w:tab/>
        <w:t>122/2005,</w:t>
        <w:tab/>
        <w:t>en</w:t>
        <w:tab/>
        <w:t>línea </w:t>
      </w:r>
      <w:hyperlink r:id="rId562">
        <w:r>
          <w:rPr>
            <w:i/>
            <w:sz w:val="24"/>
          </w:rPr>
          <w:t>http://www.ieem.org.mx/consejo_general/cg/2005/a122.html</w:t>
        </w:r>
      </w:hyperlink>
      <w:r>
        <w:rPr>
          <w:sz w:val="24"/>
        </w:rPr>
        <w:t>, consultado el 13 de febrero de</w:t>
      </w:r>
      <w:r>
        <w:rPr>
          <w:spacing w:val="-6"/>
          <w:sz w:val="24"/>
        </w:rPr>
        <w:t> </w:t>
      </w:r>
      <w:r>
        <w:rPr>
          <w:sz w:val="24"/>
        </w:rPr>
        <w:t>2013.</w:t>
      </w:r>
    </w:p>
    <w:p>
      <w:pPr>
        <w:pStyle w:val="BodyText"/>
      </w:pPr>
    </w:p>
    <w:p>
      <w:pPr>
        <w:spacing w:line="360" w:lineRule="auto" w:before="139"/>
        <w:ind w:left="102" w:right="115" w:firstLine="0"/>
        <w:jc w:val="both"/>
        <w:rPr>
          <w:sz w:val="24"/>
        </w:rPr>
      </w:pPr>
      <w:r>
        <w:rPr>
          <w:sz w:val="24"/>
        </w:rPr>
        <w:t>CGIEEM (Consejo General del Instituto Federal Electoral) (2005b), </w:t>
      </w:r>
      <w:r>
        <w:rPr>
          <w:i/>
          <w:sz w:val="24"/>
        </w:rPr>
        <w:t>Monitoreo a </w:t>
      </w:r>
      <w:r>
        <w:rPr>
          <w:i/>
          <w:sz w:val="24"/>
        </w:rPr>
        <w:t>medios de comunicación, electrónicos, impresos y alternos para el periodo de campañas electorales 2005-2006, acuerdo número </w:t>
      </w:r>
      <w:r>
        <w:rPr>
          <w:sz w:val="24"/>
        </w:rPr>
        <w:t>CG153/2005 de fecha 9 de diciembre, en línea </w:t>
      </w:r>
      <w:hyperlink r:id="rId563">
        <w:r>
          <w:rPr>
            <w:sz w:val="24"/>
          </w:rPr>
          <w:t>http://www.ieem.org.mx/consejo_general/cg/2005/a153.html</w:t>
        </w:r>
      </w:hyperlink>
      <w:r>
        <w:rPr>
          <w:sz w:val="24"/>
        </w:rPr>
        <w:t>, consultado el 10 de diciembre de 2012.</w:t>
      </w:r>
    </w:p>
    <w:p>
      <w:pPr>
        <w:pStyle w:val="BodyText"/>
      </w:pPr>
    </w:p>
    <w:p>
      <w:pPr>
        <w:tabs>
          <w:tab w:pos="2294" w:val="left" w:leader="none"/>
          <w:tab w:pos="4431" w:val="left" w:leader="none"/>
          <w:tab w:pos="6830" w:val="left" w:leader="none"/>
          <w:tab w:pos="8420" w:val="left" w:leader="none"/>
        </w:tabs>
        <w:spacing w:line="360" w:lineRule="auto" w:before="142"/>
        <w:ind w:left="102" w:right="117" w:firstLine="0"/>
        <w:jc w:val="both"/>
        <w:rPr>
          <w:sz w:val="24"/>
        </w:rPr>
      </w:pPr>
      <w:r>
        <w:rPr>
          <w:sz w:val="24"/>
        </w:rPr>
        <w:t>CGIEEM (Consejo General del Instituto Electoral del Estado de México) (2006a), </w:t>
      </w:r>
      <w:r>
        <w:rPr>
          <w:i/>
          <w:sz w:val="24"/>
        </w:rPr>
        <w:t>Dictamen de la Comisión de Fiscalización en cumplimiento a la sentencia recaída </w:t>
      </w:r>
      <w:r>
        <w:rPr>
          <w:i/>
          <w:sz w:val="24"/>
        </w:rPr>
        <w:t>al juicio de revisión constitucional electoral SUP-JRC-104/2006 y acumulado, </w:t>
      </w:r>
      <w:r>
        <w:rPr>
          <w:sz w:val="24"/>
        </w:rPr>
        <w:t>acuerdo</w:t>
        <w:tab/>
        <w:t>número</w:t>
        <w:tab/>
        <w:t>288/2006,</w:t>
        <w:tab/>
        <w:t>en</w:t>
        <w:tab/>
        <w:t>línea </w:t>
      </w:r>
      <w:hyperlink r:id="rId564">
        <w:r>
          <w:rPr>
            <w:sz w:val="24"/>
          </w:rPr>
          <w:t>http://www.ieem.org.mx/consejo_general/cg/2006/a288.html</w:t>
        </w:r>
      </w:hyperlink>
      <w:r>
        <w:rPr>
          <w:sz w:val="24"/>
        </w:rPr>
        <w:t>, consultado el 15 de febrero de</w:t>
      </w:r>
      <w:r>
        <w:rPr>
          <w:spacing w:val="-6"/>
          <w:sz w:val="24"/>
        </w:rPr>
        <w:t> </w:t>
      </w:r>
      <w:r>
        <w:rPr>
          <w:sz w:val="24"/>
        </w:rPr>
        <w:t>2013.</w:t>
      </w:r>
    </w:p>
    <w:p>
      <w:pPr>
        <w:pStyle w:val="BodyText"/>
      </w:pPr>
    </w:p>
    <w:p>
      <w:pPr>
        <w:pStyle w:val="BodyText"/>
        <w:spacing w:before="139"/>
        <w:ind w:left="102"/>
        <w:jc w:val="both"/>
      </w:pPr>
      <w:r>
        <w:rPr/>
        <w:t>CGIEEM (Consejo General del Instituto Electoral del Estado de México)    (2006b),</w:t>
      </w:r>
    </w:p>
    <w:p>
      <w:pPr>
        <w:spacing w:before="136"/>
        <w:ind w:left="102" w:right="0" w:firstLine="0"/>
        <w:jc w:val="both"/>
        <w:rPr>
          <w:i/>
          <w:sz w:val="24"/>
        </w:rPr>
      </w:pPr>
      <w:r>
        <w:rPr>
          <w:i/>
          <w:sz w:val="24"/>
        </w:rPr>
        <w:t>Dictamen de la Comisión de Fiscalización, en cumplimiento al requerimiento de</w:t>
      </w:r>
    </w:p>
    <w:p>
      <w:pPr>
        <w:spacing w:after="0"/>
        <w:jc w:val="both"/>
        <w:rPr>
          <w:sz w:val="24"/>
        </w:rPr>
        <w:sectPr>
          <w:pgSz w:w="12240" w:h="15840"/>
          <w:pgMar w:header="749" w:footer="1003" w:top="960" w:bottom="1200" w:left="1600" w:right="1580"/>
        </w:sectPr>
      </w:pPr>
    </w:p>
    <w:p>
      <w:pPr>
        <w:pStyle w:val="BodyText"/>
        <w:rPr>
          <w:i/>
          <w:sz w:val="20"/>
        </w:rPr>
      </w:pPr>
    </w:p>
    <w:p>
      <w:pPr>
        <w:tabs>
          <w:tab w:pos="1911" w:val="left" w:leader="none"/>
          <w:tab w:pos="3650" w:val="left" w:leader="none"/>
          <w:tab w:pos="5334" w:val="left" w:leader="none"/>
          <w:tab w:pos="7278" w:val="left" w:leader="none"/>
          <w:tab w:pos="8420" w:val="left" w:leader="none"/>
        </w:tabs>
        <w:spacing w:line="360" w:lineRule="auto" w:before="212"/>
        <w:ind w:left="102" w:right="116" w:firstLine="0"/>
        <w:jc w:val="both"/>
        <w:rPr>
          <w:sz w:val="24"/>
        </w:rPr>
      </w:pPr>
      <w:r>
        <w:rPr>
          <w:i/>
          <w:sz w:val="24"/>
        </w:rPr>
        <w:t>fecha veintinueve de junio de dos mil seis, ordenado por la Sala Superior del </w:t>
      </w:r>
      <w:r>
        <w:rPr>
          <w:i/>
          <w:sz w:val="24"/>
        </w:rPr>
        <w:t>Tribunal Electoral del Poder Judicial de la Federación en el expediente SUP-JRC- 93/2006</w:t>
      </w:r>
      <w:r>
        <w:rPr>
          <w:sz w:val="24"/>
        </w:rPr>
        <w:t>,</w:t>
        <w:tab/>
        <w:t>acuerdo</w:t>
        <w:tab/>
        <w:t>número</w:t>
        <w:tab/>
        <w:t>304/2006,</w:t>
        <w:tab/>
        <w:t>en</w:t>
        <w:tab/>
        <w:t>línea </w:t>
      </w:r>
      <w:hyperlink r:id="rId565">
        <w:r>
          <w:rPr>
            <w:sz w:val="24"/>
          </w:rPr>
          <w:t>http://www.ieem.org.mx/consejo_general/cg/2006/a304.html</w:t>
        </w:r>
      </w:hyperlink>
      <w:r>
        <w:rPr>
          <w:b/>
          <w:sz w:val="24"/>
        </w:rPr>
        <w:t>, </w:t>
      </w:r>
      <w:r>
        <w:rPr>
          <w:sz w:val="24"/>
        </w:rPr>
        <w:t>consultado el 15 de febrero de</w:t>
      </w:r>
      <w:r>
        <w:rPr>
          <w:spacing w:val="-6"/>
          <w:sz w:val="24"/>
        </w:rPr>
        <w:t> </w:t>
      </w:r>
      <w:r>
        <w:rPr>
          <w:sz w:val="24"/>
        </w:rPr>
        <w:t>2013.</w:t>
      </w:r>
    </w:p>
    <w:p>
      <w:pPr>
        <w:pStyle w:val="BodyText"/>
      </w:pPr>
    </w:p>
    <w:p>
      <w:pPr>
        <w:tabs>
          <w:tab w:pos="2972" w:val="left" w:leader="none"/>
          <w:tab w:pos="6098" w:val="left" w:leader="none"/>
          <w:tab w:pos="8421" w:val="left" w:leader="none"/>
        </w:tabs>
        <w:spacing w:line="360" w:lineRule="auto" w:before="142"/>
        <w:ind w:left="102" w:right="117" w:firstLine="0"/>
        <w:jc w:val="both"/>
        <w:rPr>
          <w:sz w:val="24"/>
        </w:rPr>
      </w:pPr>
      <w:r>
        <w:rPr>
          <w:sz w:val="24"/>
        </w:rPr>
        <w:t>CGIEEM (Consejo General del Instituto Electoral del Estado de México) (2006c), </w:t>
      </w:r>
      <w:r>
        <w:rPr>
          <w:i/>
          <w:sz w:val="24"/>
        </w:rPr>
        <w:t>Dictamen sobre los informes de gastos de campaña de los partidos políticos y </w:t>
      </w:r>
      <w:r>
        <w:rPr>
          <w:i/>
          <w:sz w:val="24"/>
        </w:rPr>
        <w:t>coaliciones correspondientes a los procesos electorales 2005-2006</w:t>
      </w:r>
      <w:r>
        <w:rPr>
          <w:sz w:val="24"/>
        </w:rPr>
        <w:t>, acuerdo número</w:t>
        <w:tab/>
        <w:t>323/2006,</w:t>
        <w:tab/>
        <w:t>en</w:t>
        <w:tab/>
        <w:t>línea</w:t>
      </w:r>
      <w:hyperlink r:id="rId566">
        <w:r>
          <w:rPr>
            <w:w w:val="99"/>
            <w:sz w:val="24"/>
          </w:rPr>
          <w:t> </w:t>
        </w:r>
        <w:r>
          <w:rPr>
            <w:sz w:val="24"/>
          </w:rPr>
          <w:t>http://www.ieem.org.mx/consejo_general/cg/2006/a323.html</w:t>
        </w:r>
      </w:hyperlink>
      <w:r>
        <w:rPr>
          <w:sz w:val="24"/>
        </w:rPr>
        <w:t>, consultado el 13 de febrero de</w:t>
      </w:r>
      <w:r>
        <w:rPr>
          <w:spacing w:val="-6"/>
          <w:sz w:val="24"/>
        </w:rPr>
        <w:t> </w:t>
      </w:r>
      <w:r>
        <w:rPr>
          <w:sz w:val="24"/>
        </w:rPr>
        <w:t>2013.</w:t>
      </w:r>
    </w:p>
    <w:p>
      <w:pPr>
        <w:pStyle w:val="BodyText"/>
      </w:pPr>
    </w:p>
    <w:p>
      <w:pPr>
        <w:spacing w:line="360" w:lineRule="auto" w:before="142"/>
        <w:ind w:left="102" w:right="117" w:firstLine="0"/>
        <w:jc w:val="both"/>
        <w:rPr>
          <w:sz w:val="24"/>
        </w:rPr>
      </w:pPr>
      <w:r>
        <w:rPr>
          <w:sz w:val="24"/>
        </w:rPr>
        <w:t>CGIEEM (Consejo General del Instituto Electoral del Estado de México) (2007), </w:t>
      </w:r>
      <w:r>
        <w:rPr>
          <w:i/>
          <w:sz w:val="24"/>
        </w:rPr>
        <w:t>Dictamen del Procedimiento Administrativo Sancionador instaurado en contra del </w:t>
      </w:r>
      <w:r>
        <w:rPr>
          <w:i/>
          <w:sz w:val="24"/>
        </w:rPr>
        <w:t>Partido Acción Nacional, en cumplimiento al acuerdo número 323 del Consejo General, de fecha dieciséis de agosto de dos mil seis, </w:t>
      </w:r>
      <w:r>
        <w:rPr>
          <w:sz w:val="24"/>
        </w:rPr>
        <w:t>acuerdo número 008/2007, en línea </w:t>
      </w:r>
      <w:hyperlink r:id="rId567">
        <w:r>
          <w:rPr>
            <w:sz w:val="24"/>
          </w:rPr>
          <w:t>http://www.ieem.org.mx/consejo_general/cg/2007/a008.html</w:t>
        </w:r>
      </w:hyperlink>
      <w:r>
        <w:rPr>
          <w:sz w:val="24"/>
        </w:rPr>
        <w:t>,  consultado el 15 de febrero de 2013.</w:t>
      </w:r>
    </w:p>
    <w:p>
      <w:pPr>
        <w:pStyle w:val="BodyText"/>
      </w:pPr>
    </w:p>
    <w:p>
      <w:pPr>
        <w:spacing w:line="360" w:lineRule="auto" w:before="139"/>
        <w:ind w:left="102" w:right="116" w:firstLine="0"/>
        <w:jc w:val="both"/>
        <w:rPr>
          <w:sz w:val="24"/>
        </w:rPr>
      </w:pPr>
      <w:r>
        <w:rPr>
          <w:sz w:val="24"/>
        </w:rPr>
        <w:t>CGIFE (Consejo General del Instituto Federal Electoral) (2005a), </w:t>
      </w:r>
      <w:r>
        <w:rPr>
          <w:i/>
          <w:sz w:val="24"/>
        </w:rPr>
        <w:t>Acuerdo del </w:t>
      </w:r>
      <w:r>
        <w:rPr>
          <w:i/>
          <w:sz w:val="24"/>
        </w:rPr>
        <w:t>Consejo General del Instituto Federal Electoral, por el que se determina el tope máximo de gastos de campaña para la elección de Presidente de los Estados Unidos Mexicanos en el año 2006, </w:t>
      </w:r>
      <w:r>
        <w:rPr>
          <w:sz w:val="24"/>
        </w:rPr>
        <w:t>acuerdo número CG239/2005 de fecha 30 de noviembre, en línea </w:t>
      </w:r>
      <w:hyperlink r:id="rId568">
        <w:r>
          <w:rPr>
            <w:sz w:val="24"/>
          </w:rPr>
          <w:t>http://www.ife.org.mx/documentos/TRANSP/docs/consejo-</w:t>
        </w:r>
      </w:hyperlink>
      <w:r>
        <w:rPr>
          <w:sz w:val="24"/>
        </w:rPr>
        <w:t> </w:t>
      </w:r>
      <w:hyperlink r:id="rId568">
        <w:r>
          <w:rPr>
            <w:sz w:val="24"/>
          </w:rPr>
          <w:t>general/acuerdos/2005/30nov05/CGo301105ap12.pdf</w:t>
        </w:r>
      </w:hyperlink>
      <w:r>
        <w:rPr>
          <w:sz w:val="24"/>
        </w:rPr>
        <w:t>, consultado el 9 de diciembre de 2012.</w:t>
      </w:r>
    </w:p>
    <w:p>
      <w:pPr>
        <w:pStyle w:val="BodyText"/>
      </w:pPr>
    </w:p>
    <w:p>
      <w:pPr>
        <w:spacing w:line="360" w:lineRule="auto" w:before="139"/>
        <w:ind w:left="102" w:right="116" w:firstLine="0"/>
        <w:jc w:val="both"/>
        <w:rPr>
          <w:i/>
          <w:sz w:val="24"/>
        </w:rPr>
      </w:pPr>
      <w:r>
        <w:rPr>
          <w:sz w:val="24"/>
        </w:rPr>
        <w:t>CGIFE (Consejo General del Instituto Federal Electoral) (2005b), </w:t>
      </w:r>
      <w:r>
        <w:rPr>
          <w:i/>
          <w:sz w:val="24"/>
        </w:rPr>
        <w:t>Acuerdo del </w:t>
      </w:r>
      <w:r>
        <w:rPr>
          <w:i/>
          <w:sz w:val="24"/>
        </w:rPr>
        <w:t>Consejo General del Instituto Federal Electoral por el que se aprueban reformas y adiciones  al  reglamento  que  establece  los  lineamientos,  formatos, instructivos,</w:t>
      </w:r>
    </w:p>
    <w:p>
      <w:pPr>
        <w:spacing w:after="0" w:line="360" w:lineRule="auto"/>
        <w:jc w:val="both"/>
        <w:rPr>
          <w:sz w:val="24"/>
        </w:rPr>
        <w:sectPr>
          <w:pgSz w:w="12240" w:h="15840"/>
          <w:pgMar w:header="749" w:footer="1003" w:top="960" w:bottom="1200" w:left="1600" w:right="1580"/>
        </w:sectPr>
      </w:pPr>
    </w:p>
    <w:p>
      <w:pPr>
        <w:pStyle w:val="BodyText"/>
        <w:rPr>
          <w:i/>
          <w:sz w:val="20"/>
        </w:rPr>
      </w:pPr>
    </w:p>
    <w:p>
      <w:pPr>
        <w:spacing w:line="360" w:lineRule="auto" w:before="212"/>
        <w:ind w:left="102" w:right="105" w:firstLine="0"/>
        <w:jc w:val="left"/>
        <w:rPr>
          <w:sz w:val="24"/>
        </w:rPr>
      </w:pPr>
      <w:r>
        <w:rPr>
          <w:i/>
          <w:sz w:val="24"/>
        </w:rPr>
        <w:t>catálogos de cuentas y guía contabilizadora aplicables a los partidos políticos en el </w:t>
      </w:r>
      <w:r>
        <w:rPr>
          <w:i/>
          <w:sz w:val="24"/>
        </w:rPr>
        <w:t>registro de sus ingresos y egresos y en la presentación de sus informes y se modifica su denominación para quedar como “Reglamento que establece los lineamentos para la fiscalización de los recursos de los partidos políticos nacionales”, acuerdo número </w:t>
      </w:r>
      <w:r>
        <w:rPr>
          <w:sz w:val="24"/>
        </w:rPr>
        <w:t>CG228/2005 de fecha 10 de noviembre, en línea </w:t>
      </w:r>
      <w:hyperlink r:id="rId569">
        <w:r>
          <w:rPr>
            <w:sz w:val="24"/>
          </w:rPr>
          <w:t>http://www.ife.org.mx/documentos/TRANSP/docs/consejo-</w:t>
        </w:r>
      </w:hyperlink>
      <w:r>
        <w:rPr>
          <w:sz w:val="24"/>
        </w:rPr>
        <w:t> </w:t>
      </w:r>
      <w:hyperlink r:id="rId569">
        <w:r>
          <w:rPr>
            <w:sz w:val="24"/>
          </w:rPr>
          <w:t>general/acuerdos/ind101105.htm</w:t>
        </w:r>
      </w:hyperlink>
      <w:r>
        <w:rPr>
          <w:sz w:val="24"/>
        </w:rPr>
        <w:t>, consultado el 10 de diciembre de 2012.</w:t>
      </w:r>
    </w:p>
    <w:p>
      <w:pPr>
        <w:pStyle w:val="BodyText"/>
      </w:pPr>
    </w:p>
    <w:p>
      <w:pPr>
        <w:tabs>
          <w:tab w:pos="4468" w:val="left" w:leader="none"/>
          <w:tab w:pos="7780" w:val="left" w:leader="none"/>
          <w:tab w:pos="8418" w:val="left" w:leader="none"/>
        </w:tabs>
        <w:spacing w:line="360" w:lineRule="auto" w:before="139"/>
        <w:ind w:left="102" w:right="117" w:firstLine="0"/>
        <w:jc w:val="left"/>
        <w:rPr>
          <w:sz w:val="24"/>
        </w:rPr>
      </w:pPr>
      <w:r>
        <w:rPr>
          <w:i/>
          <w:sz w:val="24"/>
        </w:rPr>
        <w:t>CGIFE (Consejo General del Instituto Federal Electoral) (2006a), Acuerdo del </w:t>
      </w:r>
      <w:r>
        <w:rPr>
          <w:i/>
          <w:sz w:val="24"/>
        </w:rPr>
        <w:t>Consejo General del Instituto Federal Electoral por el que se determina el monto del financiamiento público por actividades ordinarias y gastos de campaña de los partidos políticos para el año 2006, acuerdo número CG14/2006 de fecha 31 de enero,</w:t>
        <w:tab/>
      </w:r>
      <w:r>
        <w:rPr>
          <w:sz w:val="24"/>
        </w:rPr>
        <w:t>en</w:t>
        <w:tab/>
        <w:tab/>
        <w:t>línea </w:t>
      </w:r>
      <w:hyperlink r:id="rId570">
        <w:r>
          <w:rPr>
            <w:sz w:val="24"/>
          </w:rPr>
          <w:t>http://www.ife.org.mx/docs/Internet/Partidos_Politicos_DEPPP/financiamiento_DE</w:t>
        </w:r>
      </w:hyperlink>
      <w:r>
        <w:rPr>
          <w:sz w:val="24"/>
        </w:rPr>
        <w:t> </w:t>
      </w:r>
      <w:hyperlink r:id="rId570">
        <w:r>
          <w:rPr>
            <w:sz w:val="24"/>
          </w:rPr>
          <w:t>PPP/acuerdos_1997-2006/actividades_ordinariasPP/CG14-2006.pdf</w:t>
        </w:r>
      </w:hyperlink>
      <w:r>
        <w:rPr>
          <w:sz w:val="24"/>
        </w:rPr>
        <w:t>,</w:t>
        <w:tab/>
      </w:r>
      <w:r>
        <w:rPr>
          <w:spacing w:val="-1"/>
          <w:sz w:val="24"/>
        </w:rPr>
        <w:t>consultado </w:t>
      </w:r>
      <w:r>
        <w:rPr>
          <w:sz w:val="24"/>
        </w:rPr>
        <w:t>el 9 de diciembre de</w:t>
      </w:r>
      <w:r>
        <w:rPr>
          <w:spacing w:val="-8"/>
          <w:sz w:val="24"/>
        </w:rPr>
        <w:t> </w:t>
      </w:r>
      <w:r>
        <w:rPr>
          <w:sz w:val="24"/>
        </w:rPr>
        <w:t>2012.</w:t>
      </w:r>
    </w:p>
    <w:p>
      <w:pPr>
        <w:pStyle w:val="BodyText"/>
      </w:pPr>
    </w:p>
    <w:p>
      <w:pPr>
        <w:spacing w:line="360" w:lineRule="auto" w:before="140"/>
        <w:ind w:left="102" w:right="114" w:firstLine="0"/>
        <w:jc w:val="both"/>
        <w:rPr>
          <w:sz w:val="24"/>
        </w:rPr>
      </w:pPr>
      <w:r>
        <w:rPr>
          <w:sz w:val="24"/>
        </w:rPr>
        <w:t>CGIFE (Consejo General del Instituto Federal Electoral) (2006b), </w:t>
      </w:r>
      <w:r>
        <w:rPr>
          <w:i/>
          <w:sz w:val="24"/>
        </w:rPr>
        <w:t>Acuerdo del </w:t>
      </w:r>
      <w:r>
        <w:rPr>
          <w:i/>
          <w:sz w:val="24"/>
        </w:rPr>
        <w:t>Consejo General del Instituto Federal Electoral, por el que se determinan los topes de gastos de las campañas de Diputados y Senadores por el Principio de Mayoría Relativa, para las Elecciones Federales en el año 2006, a</w:t>
      </w:r>
      <w:r>
        <w:rPr>
          <w:sz w:val="24"/>
        </w:rPr>
        <w:t>cuerdo número No. CG17/2006, 31 de enero, en línea </w:t>
      </w:r>
      <w:hyperlink r:id="rId571">
        <w:r>
          <w:rPr>
            <w:sz w:val="24"/>
          </w:rPr>
          <w:t>http://www.ife.org.mx/docs/IFE-v2/DS/DS-</w:t>
        </w:r>
      </w:hyperlink>
      <w:r>
        <w:rPr>
          <w:sz w:val="24"/>
        </w:rPr>
        <w:t> </w:t>
      </w:r>
      <w:hyperlink r:id="rId571">
        <w:r>
          <w:rPr>
            <w:sz w:val="24"/>
          </w:rPr>
          <w:t>CG/DS-SesionesCG/CG-acuerdos/2006/31ENE/CGo310106ap16.pdf</w:t>
        </w:r>
      </w:hyperlink>
      <w:r>
        <w:rPr>
          <w:sz w:val="24"/>
        </w:rPr>
        <w:t>, consultado el 9 de diciembre de 2012.</w:t>
      </w:r>
    </w:p>
    <w:p>
      <w:pPr>
        <w:pStyle w:val="BodyText"/>
      </w:pPr>
    </w:p>
    <w:p>
      <w:pPr>
        <w:spacing w:line="360" w:lineRule="auto" w:before="139"/>
        <w:ind w:left="102" w:right="116" w:firstLine="0"/>
        <w:jc w:val="both"/>
        <w:rPr>
          <w:i/>
          <w:sz w:val="24"/>
        </w:rPr>
      </w:pPr>
      <w:r>
        <w:rPr>
          <w:sz w:val="24"/>
        </w:rPr>
        <w:t>CGIFE (Consejo General del Instituto Federal Electoral) (2006c), </w:t>
      </w:r>
      <w:r>
        <w:rPr>
          <w:i/>
          <w:sz w:val="24"/>
        </w:rPr>
        <w:t>Acuerdo del </w:t>
      </w:r>
      <w:r>
        <w:rPr>
          <w:i/>
          <w:sz w:val="24"/>
        </w:rPr>
        <w:t>Consejo General del Instituto Federal Electoral, por el que se expide el Instructivo que deberán observar los Partidos Políticos Nacionales que busquen formar coaliciones para las elecciones de Presidente de los Estados Unidos Mexicanos, de Senadores y de Diputados por el principio de Representación Proporcional y de Senadores  y  de  Diputados  por  el  principio  de  Mayoría  Relativa,  en  sus </w:t>
      </w:r>
      <w:r>
        <w:rPr>
          <w:i/>
          <w:spacing w:val="54"/>
          <w:sz w:val="24"/>
        </w:rPr>
        <w:t> </w:t>
      </w:r>
      <w:r>
        <w:rPr>
          <w:i/>
          <w:sz w:val="24"/>
        </w:rPr>
        <w:t>dos</w:t>
      </w:r>
    </w:p>
    <w:p>
      <w:pPr>
        <w:spacing w:after="0" w:line="360" w:lineRule="auto"/>
        <w:jc w:val="both"/>
        <w:rPr>
          <w:sz w:val="24"/>
        </w:rPr>
        <w:sectPr>
          <w:pgSz w:w="12240" w:h="15840"/>
          <w:pgMar w:header="749" w:footer="1003" w:top="960" w:bottom="1200" w:left="1600" w:right="1580"/>
        </w:sectPr>
      </w:pPr>
    </w:p>
    <w:p>
      <w:pPr>
        <w:pStyle w:val="BodyText"/>
        <w:rPr>
          <w:i/>
          <w:sz w:val="20"/>
        </w:rPr>
      </w:pPr>
    </w:p>
    <w:p>
      <w:pPr>
        <w:tabs>
          <w:tab w:pos="2796" w:val="left" w:leader="none"/>
          <w:tab w:pos="6029" w:val="left" w:leader="none"/>
          <w:tab w:pos="7953" w:val="left" w:leader="none"/>
          <w:tab w:pos="8423" w:val="left" w:leader="none"/>
        </w:tabs>
        <w:spacing w:line="362" w:lineRule="auto" w:before="212"/>
        <w:ind w:left="102" w:right="117" w:firstLine="0"/>
        <w:jc w:val="left"/>
        <w:rPr>
          <w:sz w:val="24"/>
        </w:rPr>
      </w:pPr>
      <w:r>
        <w:rPr>
          <w:i/>
          <w:sz w:val="24"/>
        </w:rPr>
        <w:t>modalidades, </w:t>
      </w:r>
      <w:r>
        <w:rPr>
          <w:i/>
          <w:spacing w:val="62"/>
          <w:sz w:val="24"/>
        </w:rPr>
        <w:t> </w:t>
      </w:r>
      <w:r>
        <w:rPr>
          <w:i/>
          <w:sz w:val="24"/>
        </w:rPr>
        <w:t>para </w:t>
      </w:r>
      <w:r>
        <w:rPr>
          <w:i/>
          <w:spacing w:val="62"/>
          <w:sz w:val="24"/>
        </w:rPr>
        <w:t> </w:t>
      </w:r>
      <w:r>
        <w:rPr>
          <w:i/>
          <w:sz w:val="24"/>
        </w:rPr>
        <w:t>el</w:t>
        <w:tab/>
        <w:t>Proceso </w:t>
      </w:r>
      <w:r>
        <w:rPr>
          <w:i/>
          <w:spacing w:val="65"/>
          <w:sz w:val="24"/>
        </w:rPr>
        <w:t> </w:t>
      </w:r>
      <w:r>
        <w:rPr>
          <w:i/>
          <w:sz w:val="24"/>
        </w:rPr>
        <w:t>Electoral </w:t>
      </w:r>
      <w:r>
        <w:rPr>
          <w:i/>
          <w:spacing w:val="64"/>
          <w:sz w:val="24"/>
        </w:rPr>
        <w:t> </w:t>
      </w:r>
      <w:r>
        <w:rPr>
          <w:i/>
          <w:sz w:val="24"/>
        </w:rPr>
        <w:t>Federal</w:t>
        <w:tab/>
        <w:t>del </w:t>
      </w:r>
      <w:r>
        <w:rPr>
          <w:i/>
          <w:spacing w:val="63"/>
          <w:sz w:val="24"/>
        </w:rPr>
        <w:t> </w:t>
      </w:r>
      <w:r>
        <w:rPr>
          <w:i/>
          <w:sz w:val="24"/>
        </w:rPr>
        <w:t>año </w:t>
      </w:r>
      <w:r>
        <w:rPr>
          <w:i/>
          <w:spacing w:val="64"/>
          <w:sz w:val="24"/>
        </w:rPr>
        <w:t> </w:t>
      </w:r>
      <w:r>
        <w:rPr>
          <w:i/>
          <w:sz w:val="24"/>
        </w:rPr>
        <w:t>2006,</w:t>
        <w:tab/>
      </w:r>
      <w:r>
        <w:rPr>
          <w:sz w:val="24"/>
        </w:rPr>
        <w:t>en</w:t>
        <w:tab/>
      </w:r>
      <w:r>
        <w:rPr>
          <w:spacing w:val="-1"/>
          <w:sz w:val="24"/>
        </w:rPr>
        <w:t>línea </w:t>
      </w:r>
      <w:hyperlink r:id="rId573">
        <w:r>
          <w:rPr>
            <w:sz w:val="24"/>
          </w:rPr>
          <w:t>http://pac2006.ife.org.mx/download/02/pac_down_coaliciones_31oct2005.pdf</w:t>
        </w:r>
      </w:hyperlink>
      <w:r>
        <w:rPr>
          <w:sz w:val="24"/>
        </w:rPr>
        <w:t>, consultado el 10 de diciembre de</w:t>
      </w:r>
      <w:r>
        <w:rPr>
          <w:spacing w:val="-15"/>
          <w:sz w:val="24"/>
        </w:rPr>
        <w:t> </w:t>
      </w:r>
      <w:r>
        <w:rPr>
          <w:sz w:val="24"/>
        </w:rPr>
        <w:t>2012.</w:t>
      </w:r>
    </w:p>
    <w:p>
      <w:pPr>
        <w:pStyle w:val="BodyText"/>
        <w:spacing w:before="10"/>
        <w:rPr>
          <w:sz w:val="35"/>
        </w:rPr>
      </w:pPr>
    </w:p>
    <w:p>
      <w:pPr>
        <w:spacing w:line="360" w:lineRule="auto" w:before="0"/>
        <w:ind w:left="102" w:right="117" w:firstLine="0"/>
        <w:jc w:val="both"/>
        <w:rPr>
          <w:sz w:val="24"/>
        </w:rPr>
      </w:pPr>
      <w:r>
        <w:rPr>
          <w:sz w:val="24"/>
        </w:rPr>
        <w:t>CGIFE (Consejo General del Instituto Federal Electoral) (2007a), </w:t>
      </w:r>
      <w:r>
        <w:rPr>
          <w:i/>
          <w:sz w:val="24"/>
        </w:rPr>
        <w:t>Resolución del </w:t>
      </w:r>
      <w:r>
        <w:rPr>
          <w:i/>
          <w:sz w:val="24"/>
        </w:rPr>
        <w:t>Consejo General del Instituto Federal Electoral respecto de las irregularidades encontradas en la revisión de los informes de campaña presentados por los partidos políticos y las coaliciones correspondientes al proceso electoral federal 2005-2006, </w:t>
      </w:r>
      <w:r>
        <w:rPr>
          <w:sz w:val="24"/>
        </w:rPr>
        <w:t>acuerdo número CG97/2007 de fecha 21 de mayo, en línea </w:t>
      </w:r>
      <w:hyperlink r:id="rId574">
        <w:r>
          <w:rPr>
            <w:sz w:val="24"/>
          </w:rPr>
          <w:t>http://www.ife.org.mx/docs/Internet/Estructura_IFE/CG/sesiones_CG/resoluciones</w:t>
        </w:r>
      </w:hyperlink>
    </w:p>
    <w:p>
      <w:pPr>
        <w:pStyle w:val="BodyText"/>
        <w:spacing w:before="2"/>
        <w:ind w:left="102" w:right="120"/>
      </w:pPr>
      <w:hyperlink r:id="rId574">
        <w:r>
          <w:rPr/>
          <w:t>_CG/2007/21mayo/CGe210507rp2.pdf</w:t>
        </w:r>
      </w:hyperlink>
      <w:r>
        <w:rPr/>
        <w:t>, consultado el 18 de diciembre de 2012.</w:t>
      </w:r>
    </w:p>
    <w:p>
      <w:pPr>
        <w:pStyle w:val="BodyText"/>
      </w:pPr>
    </w:p>
    <w:p>
      <w:pPr>
        <w:pStyle w:val="BodyText"/>
        <w:spacing w:before="9"/>
        <w:rPr>
          <w:sz w:val="23"/>
        </w:rPr>
      </w:pPr>
    </w:p>
    <w:p>
      <w:pPr>
        <w:tabs>
          <w:tab w:pos="1162" w:val="left" w:leader="none"/>
          <w:tab w:pos="1672" w:val="left" w:leader="none"/>
          <w:tab w:pos="2001" w:val="left" w:leader="none"/>
          <w:tab w:pos="2246" w:val="left" w:leader="none"/>
          <w:tab w:pos="2773" w:val="left" w:leader="none"/>
          <w:tab w:pos="2939" w:val="left" w:leader="none"/>
          <w:tab w:pos="3250" w:val="left" w:leader="none"/>
          <w:tab w:pos="3615" w:val="left" w:leader="none"/>
          <w:tab w:pos="3819" w:val="left" w:leader="none"/>
          <w:tab w:pos="4198" w:val="left" w:leader="none"/>
          <w:tab w:pos="4836" w:val="left" w:leader="none"/>
          <w:tab w:pos="5136" w:val="left" w:leader="none"/>
          <w:tab w:pos="5512" w:val="left" w:leader="none"/>
          <w:tab w:pos="5978" w:val="left" w:leader="none"/>
          <w:tab w:pos="6074" w:val="left" w:leader="none"/>
          <w:tab w:pos="7014" w:val="left" w:leader="none"/>
          <w:tab w:pos="7100" w:val="left" w:leader="none"/>
          <w:tab w:pos="7485" w:val="left" w:leader="none"/>
          <w:tab w:pos="7572" w:val="left" w:leader="none"/>
          <w:tab w:pos="7963" w:val="left" w:leader="none"/>
          <w:tab w:pos="8126" w:val="left" w:leader="none"/>
          <w:tab w:pos="8425" w:val="left" w:leader="none"/>
        </w:tabs>
        <w:spacing w:line="360" w:lineRule="auto" w:before="0"/>
        <w:ind w:left="102" w:right="116" w:firstLine="0"/>
        <w:jc w:val="left"/>
        <w:rPr>
          <w:sz w:val="24"/>
        </w:rPr>
      </w:pPr>
      <w:r>
        <w:rPr>
          <w:sz w:val="24"/>
        </w:rPr>
        <w:t>CGIFE (Consejo General del Instituto Federal Electoral) (2007b), </w:t>
      </w:r>
      <w:r>
        <w:rPr>
          <w:i/>
          <w:sz w:val="24"/>
        </w:rPr>
        <w:t>Resolución del </w:t>
      </w:r>
      <w:r>
        <w:rPr>
          <w:i/>
          <w:sz w:val="24"/>
        </w:rPr>
        <w:t>Consejo</w:t>
        <w:tab/>
        <w:t>General</w:t>
        <w:tab/>
        <w:t>del</w:t>
        <w:tab/>
      </w:r>
      <w:r>
        <w:rPr>
          <w:i/>
          <w:w w:val="95"/>
          <w:sz w:val="24"/>
        </w:rPr>
        <w:t>Instituto</w:t>
        <w:tab/>
        <w:tab/>
      </w:r>
      <w:r>
        <w:rPr>
          <w:i/>
          <w:sz w:val="24"/>
        </w:rPr>
        <w:t>Federal</w:t>
        <w:tab/>
        <w:t>Electoral</w:t>
        <w:tab/>
        <w:t>respecto</w:t>
        <w:tab/>
        <w:tab/>
        <w:t>de</w:t>
        <w:tab/>
        <w:tab/>
        <w:t>la</w:t>
        <w:tab/>
        <w:t>denuncia presentada por la Coalición “Por el Bien de Todos”, en contra de la Coalición “Alianza Por México”, por hechos que considera constituyen infracciones al Código Federal</w:t>
        <w:tab/>
        <w:t>de</w:t>
        <w:tab/>
        <w:t>Instituciones</w:t>
        <w:tab/>
        <w:t>y</w:t>
        <w:tab/>
        <w:t>Procedimientos</w:t>
        <w:tab/>
        <w:t>Electorales</w:t>
      </w:r>
      <w:r>
        <w:rPr>
          <w:sz w:val="24"/>
        </w:rPr>
        <w:t>,</w:t>
        <w:tab/>
        <w:t>acuerdo</w:t>
        <w:tab/>
        <w:tab/>
        <w:t>número CG37/2007</w:t>
        <w:tab/>
        <w:tab/>
        <w:t>de</w:t>
        <w:tab/>
        <w:tab/>
        <w:t>fecha</w:t>
        <w:tab/>
        <w:tab/>
        <w:tab/>
        <w:t>23</w:t>
        <w:tab/>
        <w:tab/>
        <w:t>de</w:t>
        <w:tab/>
        <w:tab/>
        <w:tab/>
        <w:t>marzo,</w:t>
        <w:tab/>
        <w:tab/>
        <w:tab/>
        <w:t>en</w:t>
        <w:tab/>
        <w:tab/>
        <w:tab/>
      </w:r>
      <w:r>
        <w:rPr>
          <w:spacing w:val="-1"/>
          <w:sz w:val="24"/>
        </w:rPr>
        <w:t>línea </w:t>
      </w:r>
      <w:hyperlink r:id="rId575">
        <w:r>
          <w:rPr>
            <w:sz w:val="24"/>
          </w:rPr>
          <w:t>http://www2.ife.org.mx/docs/Internet/Estructura_IFE/CG/sesiones_CG/resolucione</w:t>
        </w:r>
      </w:hyperlink>
      <w:r>
        <w:rPr>
          <w:sz w:val="24"/>
        </w:rPr>
        <w:t> </w:t>
      </w:r>
      <w:hyperlink r:id="rId575">
        <w:r>
          <w:rPr>
            <w:sz w:val="24"/>
          </w:rPr>
          <w:t>s_CG/2007/23marzo/CGe230307rp2_14.pdf</w:t>
        </w:r>
      </w:hyperlink>
      <w:r>
        <w:rPr>
          <w:sz w:val="24"/>
        </w:rPr>
        <w:t>, consultado el 23 de diciembre de 2012.</w:t>
      </w:r>
    </w:p>
    <w:p>
      <w:pPr>
        <w:pStyle w:val="BodyText"/>
      </w:pPr>
    </w:p>
    <w:p>
      <w:pPr>
        <w:spacing w:line="360" w:lineRule="auto" w:before="139"/>
        <w:ind w:left="102" w:right="116" w:firstLine="0"/>
        <w:jc w:val="both"/>
        <w:rPr>
          <w:sz w:val="24"/>
        </w:rPr>
      </w:pPr>
      <w:r>
        <w:rPr>
          <w:sz w:val="24"/>
        </w:rPr>
        <w:t>CGIFE (Consejo General del Instituto Federal Electoral) (2008a), </w:t>
      </w:r>
      <w:r>
        <w:rPr>
          <w:i/>
          <w:sz w:val="24"/>
        </w:rPr>
        <w:t>Acuerdo del </w:t>
      </w:r>
      <w:r>
        <w:rPr>
          <w:i/>
          <w:sz w:val="24"/>
        </w:rPr>
        <w:t>Consejo General del Instituto Federal Electoral por el que se modifica la resolución CG97/2007, del Consejo General del Instituto Federal Electoral respecto delas irregularidades encontradas en la revisión de los informes de campaña presentados por los partidos políticos y las coaliciones correspondientes al proceso electoral federal 2005-2006, en acatamiento a la sentencia de la Sala Superior del Tribunal Electoral del Poder Judicial de la Federación, recaída al recurso de apelación interpuesto por el Partido Nueva Alianza en contra de dicha resolución, identificado con el número de expediente SUP-RAP-46/2007</w:t>
      </w:r>
      <w:r>
        <w:rPr>
          <w:sz w:val="24"/>
        </w:rPr>
        <w:t>, </w:t>
      </w:r>
      <w:r>
        <w:rPr>
          <w:spacing w:val="61"/>
          <w:sz w:val="24"/>
        </w:rPr>
        <w:t> </w:t>
      </w:r>
      <w:r>
        <w:rPr>
          <w:sz w:val="24"/>
        </w:rPr>
        <w:t>acuerdo</w:t>
      </w:r>
    </w:p>
    <w:p>
      <w:pPr>
        <w:spacing w:after="0" w:line="360" w:lineRule="auto"/>
        <w:jc w:val="both"/>
        <w:rPr>
          <w:sz w:val="24"/>
        </w:rPr>
        <w:sectPr>
          <w:footerReference w:type="default" r:id="rId572"/>
          <w:pgSz w:w="12240" w:h="15840"/>
          <w:pgMar w:footer="1003" w:header="749" w:top="960" w:bottom="1200" w:left="1600" w:right="1580"/>
          <w:pgNumType w:start="240"/>
        </w:sectPr>
      </w:pPr>
    </w:p>
    <w:p>
      <w:pPr>
        <w:pStyle w:val="BodyText"/>
        <w:rPr>
          <w:sz w:val="20"/>
        </w:rPr>
      </w:pPr>
    </w:p>
    <w:p>
      <w:pPr>
        <w:pStyle w:val="BodyText"/>
        <w:tabs>
          <w:tab w:pos="1393" w:val="left" w:leader="none"/>
          <w:tab w:pos="3093" w:val="left" w:leader="none"/>
          <w:tab w:pos="3832" w:val="left" w:leader="none"/>
          <w:tab w:pos="4891" w:val="left" w:leader="none"/>
          <w:tab w:pos="5632" w:val="left" w:leader="none"/>
          <w:tab w:pos="6373" w:val="left" w:leader="none"/>
          <w:tab w:pos="7679" w:val="left" w:leader="none"/>
          <w:tab w:pos="8423" w:val="left" w:leader="none"/>
        </w:tabs>
        <w:spacing w:line="360" w:lineRule="auto" w:before="214"/>
        <w:ind w:left="102" w:right="117"/>
      </w:pPr>
      <w:r>
        <w:rPr/>
        <w:t>número</w:t>
        <w:tab/>
        <w:t>CG20/2008</w:t>
        <w:tab/>
        <w:t>de</w:t>
        <w:tab/>
        <w:t>fecha</w:t>
        <w:tab/>
        <w:t>15</w:t>
        <w:tab/>
        <w:t>de</w:t>
        <w:tab/>
        <w:t>febrero,</w:t>
        <w:tab/>
        <w:t>en</w:t>
        <w:tab/>
      </w:r>
      <w:r>
        <w:rPr>
          <w:spacing w:val="-1"/>
        </w:rPr>
        <w:t>línea </w:t>
      </w:r>
      <w:hyperlink r:id="rId576">
        <w:r>
          <w:rPr/>
          <w:t>http://www.ife.org.mx/docs/IFE-v2/DS/DS-Varios/DS-CG/DS-SesionesCG/CG-</w:t>
        </w:r>
      </w:hyperlink>
      <w:r>
        <w:rPr/>
        <w:t> </w:t>
      </w:r>
      <w:hyperlink r:id="rId576">
        <w:r>
          <w:rPr/>
          <w:t>actas/2008/febrero/CGe150208/CGe150208.pdf</w:t>
        </w:r>
      </w:hyperlink>
      <w:r>
        <w:rPr/>
        <w:t>, consultado el 18 de diciembre de 2012.</w:t>
      </w:r>
    </w:p>
    <w:p>
      <w:pPr>
        <w:pStyle w:val="BodyText"/>
      </w:pPr>
    </w:p>
    <w:p>
      <w:pPr>
        <w:tabs>
          <w:tab w:pos="1258" w:val="left" w:leader="none"/>
          <w:tab w:pos="1900" w:val="left" w:leader="none"/>
          <w:tab w:pos="2348" w:val="left" w:leader="none"/>
          <w:tab w:pos="3383" w:val="left" w:leader="none"/>
          <w:tab w:pos="3432" w:val="left" w:leader="none"/>
          <w:tab w:pos="3909" w:val="left" w:leader="none"/>
          <w:tab w:pos="4307" w:val="left" w:leader="none"/>
          <w:tab w:pos="5095" w:val="left" w:leader="none"/>
          <w:tab w:pos="5344" w:val="left" w:leader="none"/>
          <w:tab w:pos="5823" w:val="left" w:leader="none"/>
          <w:tab w:pos="5905" w:val="left" w:leader="none"/>
          <w:tab w:pos="6341" w:val="left" w:leader="none"/>
          <w:tab w:pos="6392" w:val="left" w:leader="none"/>
          <w:tab w:pos="6878" w:val="left" w:leader="none"/>
          <w:tab w:pos="7468" w:val="left" w:leader="none"/>
          <w:tab w:pos="7934" w:val="left" w:leader="none"/>
          <w:tab w:pos="8423" w:val="left" w:leader="none"/>
        </w:tabs>
        <w:spacing w:line="360" w:lineRule="auto" w:before="139"/>
        <w:ind w:left="102" w:right="114" w:firstLine="0"/>
        <w:jc w:val="left"/>
        <w:rPr>
          <w:sz w:val="24"/>
        </w:rPr>
      </w:pPr>
      <w:r>
        <w:rPr>
          <w:sz w:val="24"/>
        </w:rPr>
        <w:t>CGIFE (Consejo General del Instituto Federal Electoral) (2008b), </w:t>
      </w:r>
      <w:r>
        <w:rPr>
          <w:i/>
          <w:sz w:val="24"/>
        </w:rPr>
        <w:t>Acuerdo del </w:t>
      </w:r>
      <w:r>
        <w:rPr>
          <w:i/>
          <w:sz w:val="24"/>
        </w:rPr>
        <w:t>Consejo General del Instituto Federal Electoral por el que se modifica la resolución CG97/2007, del Consejo General del Instituto Federal Electoral respecto de las irregularidades</w:t>
        <w:tab/>
        <w:t>encontradas</w:t>
        <w:tab/>
        <w:tab/>
        <w:t>en</w:t>
        <w:tab/>
        <w:t>la</w:t>
        <w:tab/>
        <w:t>revisión</w:t>
        <w:tab/>
        <w:t>de</w:t>
        <w:tab/>
        <w:t>los</w:t>
        <w:tab/>
        <w:t>informes</w:t>
        <w:tab/>
        <w:t>de</w:t>
        <w:tab/>
        <w:t>campaña presentados por los partidos políticos y las coaliciones correspondientes al  proceso electoral federal 2005-2006, en acatamiento a la sentencia de la Sala Superior del Tribunal Electoral del Poder Judicial de la Federación, recaída al recurso de apelación interpuesto por el Partido de la Revolución Democrática en contra de dicha resolución, identificado con el número de expediente SUP-RAP- 48/2007,</w:t>
        <w:tab/>
      </w:r>
      <w:r>
        <w:rPr>
          <w:sz w:val="24"/>
        </w:rPr>
        <w:t>acuerdo</w:t>
        <w:tab/>
        <w:t>número</w:t>
        <w:tab/>
        <w:t>CG21/2008de</w:t>
        <w:tab/>
        <w:t>fecha</w:t>
        <w:tab/>
        <w:tab/>
        <w:t>15</w:t>
        <w:tab/>
        <w:tab/>
        <w:t>de</w:t>
        <w:tab/>
        <w:t>febrero,</w:t>
        <w:tab/>
        <w:t>en</w:t>
        <w:tab/>
        <w:t>línea </w:t>
      </w:r>
      <w:hyperlink r:id="rId576">
        <w:r>
          <w:rPr>
            <w:sz w:val="24"/>
          </w:rPr>
          <w:t>http://www.ife.org.mx/docs/IFE-v2/DS/DS-Varios/DS-CG/DS-SesionesCG/CG-</w:t>
        </w:r>
      </w:hyperlink>
      <w:r>
        <w:rPr>
          <w:sz w:val="24"/>
        </w:rPr>
        <w:t> </w:t>
      </w:r>
      <w:hyperlink r:id="rId576">
        <w:r>
          <w:rPr>
            <w:sz w:val="24"/>
          </w:rPr>
          <w:t>actas/2008/febrero/CGe150208/CGe150208.pdf</w:t>
        </w:r>
      </w:hyperlink>
      <w:r>
        <w:rPr>
          <w:sz w:val="24"/>
        </w:rPr>
        <w:t>, consultado el 18 de diciembre de 2012.</w:t>
      </w:r>
    </w:p>
    <w:p>
      <w:pPr>
        <w:pStyle w:val="BodyText"/>
      </w:pPr>
    </w:p>
    <w:p>
      <w:pPr>
        <w:spacing w:line="360" w:lineRule="auto" w:before="139"/>
        <w:ind w:left="102" w:right="116" w:firstLine="0"/>
        <w:jc w:val="both"/>
        <w:rPr>
          <w:sz w:val="24"/>
        </w:rPr>
      </w:pPr>
      <w:r>
        <w:rPr>
          <w:sz w:val="24"/>
        </w:rPr>
        <w:t>CGIFE (Consejo General del Instituto Federal Electoral) (2008c), </w:t>
      </w:r>
      <w:r>
        <w:rPr>
          <w:i/>
          <w:sz w:val="24"/>
        </w:rPr>
        <w:t>Acuerdo del </w:t>
      </w:r>
      <w:r>
        <w:rPr>
          <w:i/>
          <w:sz w:val="24"/>
        </w:rPr>
        <w:t>Consejo General del Instituto Federal Electoral por el que se modifica la resolución CG97/2007, del Consejo General del Instituto Federal Electoral respecto de las irregularidades encontradas en la revisión de los informes de campaña presentados por los partidos políticos y las coaliciones correspondientes al proceso electoral federal 2005-2006, en acatamiento a la sentencia de la Sala Superior del Tribunal Electoral del Poder Judicial de la Federación, recaída al recurso de apelación interpuesto por el Partido del Trabajo en contra de dicha resolución, identificado con el número de expediente SUP-RAP-47/2007</w:t>
      </w:r>
      <w:r>
        <w:rPr>
          <w:sz w:val="24"/>
        </w:rPr>
        <w:t>, acuerdo número CG33/2008 de fecha 29 de marzo, en línea </w:t>
      </w:r>
      <w:hyperlink r:id="rId577">
        <w:r>
          <w:rPr>
            <w:sz w:val="24"/>
          </w:rPr>
          <w:t>http://www.ife.org.mx/docs/IFE-v2/DS/DS-CG/DS-SesionesCG/CG-</w:t>
        </w:r>
      </w:hyperlink>
    </w:p>
    <w:p>
      <w:pPr>
        <w:spacing w:after="0" w:line="360" w:lineRule="auto"/>
        <w:jc w:val="both"/>
        <w:rPr>
          <w:sz w:val="24"/>
        </w:rPr>
        <w:sectPr>
          <w:pgSz w:w="12240" w:h="15840"/>
          <w:pgMar w:header="749" w:footer="1003" w:top="960" w:bottom="1200" w:left="1600" w:right="1580"/>
        </w:sectPr>
      </w:pPr>
    </w:p>
    <w:p>
      <w:pPr>
        <w:pStyle w:val="BodyText"/>
        <w:rPr>
          <w:sz w:val="20"/>
        </w:rPr>
      </w:pPr>
    </w:p>
    <w:p>
      <w:pPr>
        <w:pStyle w:val="BodyText"/>
        <w:spacing w:line="362" w:lineRule="auto" w:before="214"/>
        <w:ind w:left="102" w:right="120"/>
      </w:pPr>
      <w:hyperlink r:id="rId577">
        <w:r>
          <w:rPr/>
          <w:t>acuerdos/2008/29febrero/CGo290208ap9.pdf</w:t>
        </w:r>
      </w:hyperlink>
      <w:r>
        <w:rPr/>
        <w:t>, consultado el 18 de diciembre de 2012.</w:t>
      </w:r>
    </w:p>
    <w:p>
      <w:pPr>
        <w:pStyle w:val="BodyText"/>
        <w:spacing w:before="10"/>
        <w:rPr>
          <w:sz w:val="35"/>
        </w:rPr>
      </w:pPr>
    </w:p>
    <w:p>
      <w:pPr>
        <w:tabs>
          <w:tab w:pos="1641" w:val="left" w:leader="none"/>
          <w:tab w:pos="1981" w:val="left" w:leader="none"/>
          <w:tab w:pos="2372" w:val="left" w:leader="none"/>
          <w:tab w:pos="3380" w:val="left" w:leader="none"/>
          <w:tab w:pos="3855" w:val="left" w:leader="none"/>
          <w:tab w:pos="4368" w:val="left" w:leader="none"/>
          <w:tab w:pos="6200" w:val="left" w:leader="none"/>
          <w:tab w:pos="8007" w:val="left" w:leader="none"/>
        </w:tabs>
        <w:spacing w:line="360" w:lineRule="auto" w:before="0"/>
        <w:ind w:left="102" w:right="112" w:firstLine="0"/>
        <w:jc w:val="left"/>
        <w:rPr>
          <w:sz w:val="24"/>
        </w:rPr>
      </w:pPr>
      <w:r>
        <w:rPr>
          <w:sz w:val="24"/>
        </w:rPr>
        <w:t>CGIFE (Consejo General del Instituto Federal Electoral) (2008d), </w:t>
      </w:r>
      <w:r>
        <w:rPr>
          <w:i/>
          <w:sz w:val="24"/>
        </w:rPr>
        <w:t>Acuerdo del </w:t>
      </w:r>
      <w:r>
        <w:rPr>
          <w:i/>
          <w:sz w:val="24"/>
        </w:rPr>
        <w:t>Consejo General del Instituto Federal Electoral por el que se ordena la reposición de los procedimientos de revisión de informes de campaña entregados por los partidos políticos Acción Nacional y Alternativa Socialdemócrata (antes Alternativa Socialdemócrata y Campesina), así como de las otrora coaliciones Alianza Por México y Por el Bien de Todos (por lo que se refiere al Partido Convergencia), relativos al proceso electoral federal 2005-2006, exclusivamente por lo que corresponde</w:t>
        <w:tab/>
        <w:t>a</w:t>
        <w:tab/>
        <w:t>la</w:t>
        <w:tab/>
        <w:t>materia</w:t>
        <w:tab/>
        <w:t>de</w:t>
        <w:tab/>
        <w:t>los</w:t>
        <w:tab/>
        <w:t>procedimientos</w:t>
        <w:tab/>
        <w:t>administrativos</w:t>
        <w:tab/>
        <w:t>oficiosos ordenados por el consejo general en la resolución CG97/2007, </w:t>
      </w:r>
      <w:r>
        <w:rPr>
          <w:sz w:val="24"/>
        </w:rPr>
        <w:t>acuerdo número CG37/2008 de fecha 12 de marzo, en línea </w:t>
      </w:r>
      <w:hyperlink r:id="rId578">
        <w:r>
          <w:rPr>
            <w:sz w:val="24"/>
          </w:rPr>
          <w:t>http://www.ife.org.mx/docs/IFE-</w:t>
        </w:r>
      </w:hyperlink>
      <w:r>
        <w:rPr>
          <w:sz w:val="24"/>
        </w:rPr>
        <w:t> </w:t>
      </w:r>
      <w:hyperlink r:id="rId578">
        <w:r>
          <w:rPr>
            <w:sz w:val="24"/>
          </w:rPr>
          <w:t>v2/DS/DS-CG/DS-SesionesCG/CG-acuerdos/2008/12marzo/CGe120308ap5.pdf</w:t>
        </w:r>
      </w:hyperlink>
      <w:r>
        <w:rPr>
          <w:sz w:val="24"/>
        </w:rPr>
        <w:t>, consultado el 20 de diciembre de</w:t>
      </w:r>
      <w:r>
        <w:rPr>
          <w:spacing w:val="-15"/>
          <w:sz w:val="24"/>
        </w:rPr>
        <w:t> </w:t>
      </w:r>
      <w:r>
        <w:rPr>
          <w:sz w:val="24"/>
        </w:rPr>
        <w:t>2012.</w:t>
      </w:r>
    </w:p>
    <w:p>
      <w:pPr>
        <w:pStyle w:val="BodyText"/>
      </w:pPr>
    </w:p>
    <w:p>
      <w:pPr>
        <w:tabs>
          <w:tab w:pos="1900" w:val="left" w:leader="none"/>
          <w:tab w:pos="3432" w:val="left" w:leader="none"/>
          <w:tab w:pos="3909" w:val="left" w:leader="none"/>
          <w:tab w:pos="4307" w:val="left" w:leader="none"/>
          <w:tab w:pos="5344" w:val="left" w:leader="none"/>
          <w:tab w:pos="5823" w:val="left" w:leader="none"/>
          <w:tab w:pos="6341" w:val="left" w:leader="none"/>
          <w:tab w:pos="7468" w:val="left" w:leader="none"/>
          <w:tab w:pos="7948" w:val="left" w:leader="none"/>
        </w:tabs>
        <w:spacing w:line="360" w:lineRule="auto" w:before="139"/>
        <w:ind w:left="102" w:right="116" w:firstLine="0"/>
        <w:jc w:val="left"/>
        <w:rPr>
          <w:sz w:val="24"/>
        </w:rPr>
      </w:pPr>
      <w:r>
        <w:rPr>
          <w:sz w:val="24"/>
        </w:rPr>
        <w:t>CGIFE (Consejo General del Instituto Federal Electoral) (2008e), </w:t>
      </w:r>
      <w:r>
        <w:rPr>
          <w:i/>
          <w:sz w:val="24"/>
        </w:rPr>
        <w:t>Acuerdo del </w:t>
      </w:r>
      <w:r>
        <w:rPr>
          <w:i/>
          <w:sz w:val="24"/>
        </w:rPr>
        <w:t>Consejo General del Instituto Federal Electoral por el que se modifica la resolución CG97/2007, del Consejo General del Instituto Federal Electoral respecto de las irregularidades</w:t>
        <w:tab/>
        <w:t>encontradas</w:t>
        <w:tab/>
        <w:t>en</w:t>
        <w:tab/>
        <w:t>la</w:t>
        <w:tab/>
        <w:t>revisión</w:t>
        <w:tab/>
        <w:t>de</w:t>
        <w:tab/>
        <w:t>los</w:t>
        <w:tab/>
        <w:t>informes</w:t>
        <w:tab/>
        <w:t>de</w:t>
        <w:tab/>
        <w:t>campaña presentados por los partidos políticos y las coaliciones correspondientes al  proceso electoral federal 2005-2006, en cumplimiento al acuerdo CG37/2008, aprobado por el consejo general en sesión extraordinaria del doce de marzo de dos mil ocho, por el que se ordena la reposición del procedimiento de revisión de informes de campaña de los partidos políticos Acción Nacional, Alternativa Socialdemócrata (antes Alternativa Socialdemócrata y Campesina) y de las otrora coaliciones Alianza Por México, y Por El Bien de Todos (por lo que se refiere al partido Convergencia)</w:t>
      </w:r>
      <w:r>
        <w:rPr>
          <w:sz w:val="24"/>
        </w:rPr>
        <w:t>, acuerdo número CG96/2008 de fecha 2 de mayo, en línea </w:t>
      </w:r>
      <w:hyperlink r:id="rId579">
        <w:r>
          <w:rPr>
            <w:sz w:val="24"/>
          </w:rPr>
          <w:t>http://www.ife.org.mx/docs/IFE-v2/DS/DS-CG/DS-SesionesCG/CG-</w:t>
        </w:r>
      </w:hyperlink>
      <w:r>
        <w:rPr>
          <w:sz w:val="24"/>
        </w:rPr>
        <w:t> </w:t>
      </w:r>
      <w:hyperlink r:id="rId579">
        <w:r>
          <w:rPr>
            <w:sz w:val="24"/>
          </w:rPr>
          <w:t>acuerdos/2008/Mayo/2Mayo/CGe020508ap3.pdf</w:t>
        </w:r>
      </w:hyperlink>
      <w:r>
        <w:rPr>
          <w:sz w:val="24"/>
        </w:rPr>
        <w:t>, consultado el 20 de diciembre  de</w:t>
      </w:r>
      <w:r>
        <w:rPr>
          <w:spacing w:val="-4"/>
          <w:sz w:val="24"/>
        </w:rPr>
        <w:t> </w:t>
      </w:r>
      <w:r>
        <w:rPr>
          <w:sz w:val="24"/>
        </w:rPr>
        <w:t>2012.</w:t>
      </w:r>
    </w:p>
    <w:p>
      <w:pPr>
        <w:spacing w:after="0" w:line="360" w:lineRule="auto"/>
        <w:jc w:val="left"/>
        <w:rPr>
          <w:sz w:val="24"/>
        </w:rPr>
        <w:sectPr>
          <w:pgSz w:w="12240" w:h="15840"/>
          <w:pgMar w:header="749" w:footer="1003" w:top="960" w:bottom="1200" w:left="1600" w:right="1580"/>
        </w:sectPr>
      </w:pPr>
    </w:p>
    <w:p>
      <w:pPr>
        <w:pStyle w:val="BodyText"/>
        <w:rPr>
          <w:sz w:val="20"/>
        </w:rPr>
      </w:pPr>
    </w:p>
    <w:p>
      <w:pPr>
        <w:pStyle w:val="BodyText"/>
        <w:rPr>
          <w:sz w:val="20"/>
        </w:rPr>
      </w:pPr>
    </w:p>
    <w:p>
      <w:pPr>
        <w:pStyle w:val="BodyText"/>
        <w:spacing w:before="6"/>
        <w:rPr>
          <w:sz w:val="28"/>
        </w:rPr>
      </w:pPr>
    </w:p>
    <w:p>
      <w:pPr>
        <w:spacing w:line="360" w:lineRule="auto" w:before="69"/>
        <w:ind w:left="102" w:right="114" w:firstLine="0"/>
        <w:jc w:val="left"/>
        <w:rPr>
          <w:sz w:val="24"/>
        </w:rPr>
      </w:pPr>
      <w:r>
        <w:rPr>
          <w:sz w:val="24"/>
        </w:rPr>
        <w:t>CGIFE (Consejo General del Instituto Federal Electoral) (2008f), </w:t>
      </w:r>
      <w:r>
        <w:rPr>
          <w:i/>
          <w:sz w:val="24"/>
        </w:rPr>
        <w:t>Acuerdo del </w:t>
      </w:r>
      <w:r>
        <w:rPr>
          <w:i/>
          <w:sz w:val="24"/>
        </w:rPr>
        <w:t>Consejo General del Instituto Federal Electoral por el que se modifica el acuerdo CG21/2008, del quince de febrero de dos mil ocho, por el que se modificó la resolución CG97/2007 del Consejo General del Instituto Federal Electoral respecto de las irregularidades encontradas en la revisión de los informes de campaña presentados por los partidos políticos y las coaliciones correspondientes al proceso electoral federal 2005-2006, en acatamiento a la sentencia de la Sala Superior del Tribunal Electoral del Poder Judicial de la Federación, recaída al recurso de apelación interpuesto por el Partido de la Revolución Democrática en contra de dicho acuerdo, identificado con el número de expediente SUP-RAP- 42/2008, </w:t>
      </w:r>
      <w:r>
        <w:rPr>
          <w:sz w:val="24"/>
        </w:rPr>
        <w:t>acuerdo número CG329/2008 de fecha 14 de agosto, en línea </w:t>
      </w:r>
      <w:hyperlink r:id="rId580">
        <w:r>
          <w:rPr>
            <w:sz w:val="24"/>
          </w:rPr>
          <w:t>http://www.ife.org.mx/docs/IFE-v2/DS/DS-CG/DS-SesionesCG/CG-</w:t>
        </w:r>
      </w:hyperlink>
      <w:r>
        <w:rPr>
          <w:sz w:val="24"/>
        </w:rPr>
        <w:t> </w:t>
      </w:r>
      <w:hyperlink r:id="rId580">
        <w:r>
          <w:rPr>
            <w:sz w:val="24"/>
          </w:rPr>
          <w:t>acuerdos/2008/agosto/CGe140808ap5.pdf</w:t>
        </w:r>
      </w:hyperlink>
      <w:r>
        <w:rPr>
          <w:sz w:val="24"/>
        </w:rPr>
        <w:t>, consultado el 15 de enero de</w:t>
      </w:r>
      <w:r>
        <w:rPr>
          <w:spacing w:val="-26"/>
          <w:sz w:val="24"/>
        </w:rPr>
        <w:t> </w:t>
      </w:r>
      <w:r>
        <w:rPr>
          <w:sz w:val="24"/>
        </w:rPr>
        <w:t>2013.</w:t>
      </w:r>
    </w:p>
    <w:p>
      <w:pPr>
        <w:pStyle w:val="BodyText"/>
      </w:pPr>
    </w:p>
    <w:p>
      <w:pPr>
        <w:tabs>
          <w:tab w:pos="1284" w:val="left" w:leader="none"/>
          <w:tab w:pos="2411" w:val="left" w:leader="none"/>
          <w:tab w:pos="4086" w:val="left" w:leader="none"/>
          <w:tab w:pos="4667" w:val="left" w:leader="none"/>
          <w:tab w:pos="5570" w:val="left" w:leader="none"/>
          <w:tab w:pos="6151" w:val="left" w:leader="none"/>
          <w:tab w:pos="6733" w:val="left" w:leader="none"/>
          <w:tab w:pos="7842" w:val="left" w:leader="none"/>
          <w:tab w:pos="8425" w:val="left" w:leader="none"/>
        </w:tabs>
        <w:spacing w:line="360" w:lineRule="auto" w:before="139"/>
        <w:ind w:left="102" w:right="116" w:firstLine="0"/>
        <w:jc w:val="left"/>
        <w:rPr>
          <w:sz w:val="24"/>
        </w:rPr>
      </w:pPr>
      <w:r>
        <w:rPr>
          <w:sz w:val="24"/>
        </w:rPr>
        <w:t>CGIFE (Consejo General del Instituto Federal Electoral) (2008g), </w:t>
      </w:r>
      <w:r>
        <w:rPr>
          <w:i/>
          <w:sz w:val="24"/>
        </w:rPr>
        <w:t>Acuerdo del </w:t>
      </w:r>
      <w:r>
        <w:rPr>
          <w:i/>
          <w:sz w:val="24"/>
        </w:rPr>
        <w:t>Consejo General del Instituto Federal Electoral por el que se modifica el acuerdo CG33/2008, del veintinueve de febrero de dos mil ocho, por el que se modificó la resolución CG97/2007 del Consejo General del Instituto Federal Electoral respecto de las irregularidades encontradas en la revisión de los informes de campaña presentados por los partidos políticos y las coaliciones correspondientes al proceso electoral federal 2005-2006, en acatamiento a la sentencia de la Sala Superior del Tribunal Electoral del Poder Judicial de la Federación, recaída al recurso de apelación interpuesto por el Partido del Trabajo la Revolución en contra de dicho acuerdo, identificado con el número de expediente SUP-RAP-52/2008, </w:t>
      </w:r>
      <w:r>
        <w:rPr>
          <w:sz w:val="24"/>
        </w:rPr>
        <w:t>acuerdo</w:t>
        <w:tab/>
        <w:t>número</w:t>
        <w:tab/>
        <w:t>CG330/2008</w:t>
        <w:tab/>
        <w:t>de</w:t>
        <w:tab/>
        <w:t>fecha</w:t>
        <w:tab/>
        <w:t>14</w:t>
        <w:tab/>
        <w:t>de</w:t>
        <w:tab/>
        <w:t>agosto,</w:t>
        <w:tab/>
        <w:t>en</w:t>
        <w:tab/>
      </w:r>
      <w:r>
        <w:rPr>
          <w:spacing w:val="-1"/>
          <w:sz w:val="24"/>
        </w:rPr>
        <w:t>línea </w:t>
      </w:r>
      <w:hyperlink r:id="rId581">
        <w:r>
          <w:rPr>
            <w:sz w:val="24"/>
          </w:rPr>
          <w:t>http://www.ife.org.mx/docs/IFE-v2/DS/DS-CG/DS-SesionesCG/CG-</w:t>
        </w:r>
      </w:hyperlink>
      <w:r>
        <w:rPr>
          <w:sz w:val="24"/>
        </w:rPr>
        <w:t> </w:t>
      </w:r>
      <w:hyperlink r:id="rId581">
        <w:r>
          <w:rPr>
            <w:sz w:val="24"/>
          </w:rPr>
          <w:t>acuerdos/2008/agosto/CGe140808ap6.pdf</w:t>
        </w:r>
      </w:hyperlink>
      <w:r>
        <w:rPr>
          <w:sz w:val="24"/>
        </w:rPr>
        <w:t>, consultado el 15 de enero de</w:t>
      </w:r>
      <w:r>
        <w:rPr>
          <w:spacing w:val="-28"/>
          <w:sz w:val="24"/>
        </w:rPr>
        <w:t> </w:t>
      </w:r>
      <w:r>
        <w:rPr>
          <w:sz w:val="24"/>
        </w:rPr>
        <w:t>2013.</w:t>
      </w:r>
    </w:p>
    <w:p>
      <w:pPr>
        <w:spacing w:after="0" w:line="360" w:lineRule="auto"/>
        <w:jc w:val="left"/>
        <w:rPr>
          <w:sz w:val="24"/>
        </w:rPr>
        <w:sectPr>
          <w:pgSz w:w="12240" w:h="15840"/>
          <w:pgMar w:header="749" w:footer="1003" w:top="960" w:bottom="1200" w:left="1600" w:right="1580"/>
        </w:sectPr>
      </w:pPr>
    </w:p>
    <w:p>
      <w:pPr>
        <w:pStyle w:val="BodyText"/>
        <w:rPr>
          <w:sz w:val="20"/>
        </w:rPr>
      </w:pPr>
    </w:p>
    <w:p>
      <w:pPr>
        <w:pStyle w:val="BodyText"/>
        <w:tabs>
          <w:tab w:pos="2025" w:val="left" w:leader="none"/>
          <w:tab w:pos="3170" w:val="left" w:leader="none"/>
          <w:tab w:pos="4878" w:val="left" w:leader="none"/>
          <w:tab w:pos="7324" w:val="left" w:leader="none"/>
          <w:tab w:pos="8420" w:val="left" w:leader="none"/>
        </w:tabs>
        <w:spacing w:line="360" w:lineRule="auto" w:before="214"/>
        <w:ind w:left="102" w:right="117"/>
        <w:jc w:val="both"/>
      </w:pPr>
      <w:r>
        <w:rPr/>
        <w:t>CGIEEM (Consejo General del Instituto Electoral del Estado de México) (2012a), “Acuerdos</w:t>
        <w:tab/>
        <w:t>del</w:t>
        <w:tab/>
        <w:t>Consejo</w:t>
        <w:tab/>
        <w:t>General-2005”,</w:t>
        <w:tab/>
        <w:t>en</w:t>
        <w:tab/>
        <w:t>línea </w:t>
      </w:r>
      <w:hyperlink r:id="rId582">
        <w:r>
          <w:rPr/>
          <w:t>http://www.ieem.org.mx/consejo_general/a2005.html</w:t>
        </w:r>
      </w:hyperlink>
      <w:r>
        <w:rPr/>
        <w:t>, consultado el 17 de</w:t>
      </w:r>
      <w:r>
        <w:rPr>
          <w:spacing w:val="-25"/>
        </w:rPr>
        <w:t> </w:t>
      </w:r>
      <w:r>
        <w:rPr/>
        <w:t>julio.</w:t>
      </w:r>
    </w:p>
    <w:p>
      <w:pPr>
        <w:pStyle w:val="BodyText"/>
      </w:pPr>
    </w:p>
    <w:p>
      <w:pPr>
        <w:pStyle w:val="BodyText"/>
        <w:tabs>
          <w:tab w:pos="2025" w:val="left" w:leader="none"/>
          <w:tab w:pos="3170" w:val="left" w:leader="none"/>
          <w:tab w:pos="4878" w:val="left" w:leader="none"/>
          <w:tab w:pos="7324" w:val="left" w:leader="none"/>
          <w:tab w:pos="8420" w:val="left" w:leader="none"/>
        </w:tabs>
        <w:spacing w:line="360" w:lineRule="auto" w:before="142"/>
        <w:ind w:left="102" w:right="117"/>
        <w:jc w:val="both"/>
      </w:pPr>
      <w:r>
        <w:rPr/>
        <w:t>CGIEEM (Consejo General del Instituto Electoral del Estado de México) (2012b), “Acuerdos</w:t>
        <w:tab/>
        <w:t>del</w:t>
        <w:tab/>
        <w:t>Consejo</w:t>
        <w:tab/>
        <w:t>General-2006”,</w:t>
        <w:tab/>
        <w:t>en</w:t>
        <w:tab/>
        <w:t>línea </w:t>
      </w:r>
      <w:hyperlink r:id="rId583">
        <w:r>
          <w:rPr/>
          <w:t>http://www.ieem.org.mx/consejo_general/a2006.html</w:t>
        </w:r>
      </w:hyperlink>
      <w:r>
        <w:rPr/>
        <w:t>, consultado el 17 de</w:t>
      </w:r>
      <w:r>
        <w:rPr>
          <w:spacing w:val="-23"/>
        </w:rPr>
        <w:t> </w:t>
      </w:r>
      <w:r>
        <w:rPr/>
        <w:t>julio.</w:t>
      </w:r>
    </w:p>
    <w:p>
      <w:pPr>
        <w:pStyle w:val="BodyText"/>
      </w:pPr>
    </w:p>
    <w:p>
      <w:pPr>
        <w:spacing w:line="360" w:lineRule="auto" w:before="142"/>
        <w:ind w:left="102" w:right="124" w:firstLine="0"/>
        <w:jc w:val="both"/>
        <w:rPr>
          <w:sz w:val="24"/>
        </w:rPr>
      </w:pPr>
      <w:r>
        <w:rPr>
          <w:sz w:val="24"/>
        </w:rPr>
        <w:t>Clark, Mary A. (2007), “Costa Rica. Retrato de una democracia establecida” en Roderic Ai Camp (coord.), </w:t>
      </w:r>
      <w:r>
        <w:rPr>
          <w:i/>
          <w:sz w:val="24"/>
        </w:rPr>
        <w:t>Visiones ciudadanas de la democracia en América </w:t>
      </w:r>
      <w:r>
        <w:rPr>
          <w:i/>
          <w:sz w:val="24"/>
        </w:rPr>
        <w:t>Latina, </w:t>
      </w:r>
      <w:r>
        <w:rPr>
          <w:sz w:val="24"/>
        </w:rPr>
        <w:t>México, Siglo XXI Editores, pp. 107-132.</w:t>
      </w:r>
    </w:p>
    <w:p>
      <w:pPr>
        <w:pStyle w:val="BodyText"/>
      </w:pPr>
    </w:p>
    <w:p>
      <w:pPr>
        <w:pStyle w:val="BodyText"/>
        <w:spacing w:line="360" w:lineRule="auto" w:before="144"/>
        <w:ind w:left="102" w:right="117"/>
        <w:jc w:val="both"/>
      </w:pPr>
      <w:r>
        <w:rPr/>
        <w:t>CNSM (Comisión Nacional de Salarios Mínimos) (2004), “Resolución del H. Consejo de Representantes de la Comisión Nacional de los Salarios Mínimos que fija los salarios mínimos generales y profesionales vigentes a partir del 1 de enero de 2005” en el </w:t>
      </w:r>
      <w:r>
        <w:rPr>
          <w:i/>
        </w:rPr>
        <w:t>Diario Oficial de la Federación</w:t>
      </w:r>
      <w:r>
        <w:rPr/>
        <w:t>, 22 de diciembre, México, Secretaria de Gobernación, pp. 64-78.</w:t>
      </w:r>
    </w:p>
    <w:p>
      <w:pPr>
        <w:pStyle w:val="BodyText"/>
      </w:pPr>
    </w:p>
    <w:p>
      <w:pPr>
        <w:pStyle w:val="BodyText"/>
        <w:spacing w:line="360" w:lineRule="auto" w:before="142"/>
        <w:ind w:left="102" w:right="117"/>
        <w:jc w:val="both"/>
      </w:pPr>
      <w:r>
        <w:rPr/>
        <w:t>CONAE (Comisión Nacional de Energía) (2011), “Toluca”, en línea </w:t>
      </w:r>
      <w:hyperlink r:id="rId584">
        <w:r>
          <w:rPr/>
          <w:t>http://www.conae.gob.mx/work/sites/CONAE/resources/LocalContent/4627/1/Toluc</w:t>
        </w:r>
      </w:hyperlink>
      <w:r>
        <w:rPr/>
        <w:t> </w:t>
      </w:r>
      <w:hyperlink r:id="rId584">
        <w:r>
          <w:rPr/>
          <w:t>a1.htm</w:t>
        </w:r>
      </w:hyperlink>
      <w:r>
        <w:rPr/>
        <w:t>, consultado el 18 de diciembre.</w:t>
      </w:r>
    </w:p>
    <w:p>
      <w:pPr>
        <w:pStyle w:val="BodyText"/>
      </w:pPr>
    </w:p>
    <w:p>
      <w:pPr>
        <w:pStyle w:val="BodyText"/>
        <w:spacing w:line="360" w:lineRule="auto" w:before="139"/>
        <w:ind w:left="102" w:right="118"/>
        <w:jc w:val="both"/>
      </w:pPr>
      <w:r>
        <w:rPr/>
        <w:t>Crespo, José Antonio (2001), </w:t>
      </w:r>
      <w:r>
        <w:rPr>
          <w:i/>
        </w:rPr>
        <w:t>Elecciones y Democracia, </w:t>
      </w:r>
      <w:r>
        <w:rPr/>
        <w:t>No. 5, Serie cuadernos de divulgación de la cultura democrática, México, Instituto Federal Electoral, 4ª. ed., 62 pp.</w:t>
      </w:r>
    </w:p>
    <w:p>
      <w:pPr>
        <w:pStyle w:val="BodyText"/>
      </w:pPr>
    </w:p>
    <w:p>
      <w:pPr>
        <w:spacing w:line="360" w:lineRule="auto" w:before="140"/>
        <w:ind w:left="102" w:right="122" w:firstLine="0"/>
        <w:jc w:val="both"/>
        <w:rPr>
          <w:sz w:val="24"/>
        </w:rPr>
      </w:pPr>
      <w:r>
        <w:rPr>
          <w:sz w:val="24"/>
        </w:rPr>
        <w:t>Crespo, José Antonio (2008), </w:t>
      </w:r>
      <w:r>
        <w:rPr>
          <w:i/>
          <w:sz w:val="24"/>
        </w:rPr>
        <w:t>2006: hablan las actas. Las debilidades de la </w:t>
      </w:r>
      <w:r>
        <w:rPr>
          <w:i/>
          <w:sz w:val="24"/>
        </w:rPr>
        <w:t>autoridad electoral mexicana, </w:t>
      </w:r>
      <w:r>
        <w:rPr>
          <w:sz w:val="24"/>
        </w:rPr>
        <w:t>México, Random House Mondadori, 232 pp.</w:t>
      </w:r>
    </w:p>
    <w:p>
      <w:pPr>
        <w:pStyle w:val="BodyText"/>
      </w:pPr>
    </w:p>
    <w:p>
      <w:pPr>
        <w:spacing w:line="360" w:lineRule="auto" w:before="139"/>
        <w:ind w:left="102" w:right="117" w:firstLine="0"/>
        <w:jc w:val="both"/>
        <w:rPr>
          <w:sz w:val="24"/>
        </w:rPr>
      </w:pPr>
      <w:r>
        <w:rPr>
          <w:sz w:val="24"/>
        </w:rPr>
        <w:t>CRIFE (Comisión de Radiodifusión del Instituto Federal Electoral) (2006), </w:t>
      </w:r>
      <w:r>
        <w:rPr>
          <w:i/>
          <w:sz w:val="24"/>
        </w:rPr>
        <w:t>Análisis </w:t>
      </w:r>
      <w:r>
        <w:rPr>
          <w:i/>
          <w:sz w:val="24"/>
        </w:rPr>
        <w:t>General     de     los     Resultados     del     Monitoreo     de     Noticias,     </w:t>
      </w:r>
      <w:r>
        <w:rPr>
          <w:sz w:val="24"/>
        </w:rPr>
        <w:t>en  línea</w:t>
      </w:r>
    </w:p>
    <w:p>
      <w:pPr>
        <w:spacing w:after="0" w:line="360" w:lineRule="auto"/>
        <w:jc w:val="both"/>
        <w:rPr>
          <w:sz w:val="24"/>
        </w:rPr>
        <w:sectPr>
          <w:pgSz w:w="12240" w:h="15840"/>
          <w:pgMar w:header="749" w:footer="1003" w:top="960" w:bottom="1200" w:left="1600" w:right="1580"/>
        </w:sectPr>
      </w:pPr>
    </w:p>
    <w:p>
      <w:pPr>
        <w:pStyle w:val="BodyText"/>
        <w:rPr>
          <w:sz w:val="20"/>
        </w:rPr>
      </w:pPr>
    </w:p>
    <w:p>
      <w:pPr>
        <w:pStyle w:val="BodyText"/>
        <w:spacing w:line="362" w:lineRule="auto" w:before="214"/>
        <w:ind w:left="142" w:right="779"/>
      </w:pPr>
      <w:hyperlink r:id="rId561">
        <w:r>
          <w:rPr/>
          <w:t>http://www.ife.org.mx/documentos/proceso_2005-</w:t>
        </w:r>
      </w:hyperlink>
      <w:r>
        <w:rPr/>
        <w:t> </w:t>
      </w:r>
      <w:hyperlink r:id="rId561">
        <w:r>
          <w:rPr/>
          <w:t>2006/docs/monitoreo_noticiarios.pdf</w:t>
        </w:r>
      </w:hyperlink>
      <w:r>
        <w:rPr/>
        <w:t>, consultado el 11 de diciembre de 2012.</w:t>
      </w:r>
    </w:p>
    <w:p>
      <w:pPr>
        <w:pStyle w:val="BodyText"/>
        <w:spacing w:before="10"/>
        <w:rPr>
          <w:sz w:val="29"/>
        </w:r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764"/>
        <w:gridCol w:w="1574"/>
        <w:gridCol w:w="517"/>
        <w:gridCol w:w="1055"/>
      </w:tblGrid>
      <w:tr>
        <w:trPr>
          <w:trHeight w:val="1047" w:hRule="exact"/>
        </w:trPr>
        <w:tc>
          <w:tcPr>
            <w:tcW w:w="5764" w:type="dxa"/>
          </w:tcPr>
          <w:p>
            <w:pPr>
              <w:pStyle w:val="TableParagraph"/>
              <w:spacing w:line="360" w:lineRule="auto" w:before="69"/>
              <w:ind w:left="35"/>
              <w:rPr>
                <w:sz w:val="24"/>
              </w:rPr>
            </w:pPr>
            <w:r>
              <w:rPr>
                <w:sz w:val="24"/>
              </w:rPr>
              <w:t>CSJ (Corte Suprema de Justicia) (1999), </w:t>
            </w:r>
            <w:r>
              <w:rPr>
                <w:i/>
                <w:sz w:val="24"/>
              </w:rPr>
              <w:t>Sesión </w:t>
            </w:r>
            <w:r>
              <w:rPr>
                <w:i/>
                <w:sz w:val="24"/>
              </w:rPr>
              <w:t>Artículo IV, </w:t>
            </w:r>
            <w:r>
              <w:rPr>
                <w:sz w:val="24"/>
              </w:rPr>
              <w:t>22 de marzo, San José, Costa Rica.</w:t>
            </w:r>
          </w:p>
        </w:tc>
        <w:tc>
          <w:tcPr>
            <w:tcW w:w="1574" w:type="dxa"/>
          </w:tcPr>
          <w:p>
            <w:pPr>
              <w:pStyle w:val="TableParagraph"/>
              <w:spacing w:before="69"/>
              <w:ind w:left="0" w:right="79"/>
              <w:jc w:val="right"/>
              <w:rPr>
                <w:i/>
                <w:sz w:val="24"/>
              </w:rPr>
            </w:pPr>
            <w:r>
              <w:rPr>
                <w:i/>
                <w:sz w:val="24"/>
              </w:rPr>
              <w:t>extraordinaria</w:t>
            </w:r>
          </w:p>
        </w:tc>
        <w:tc>
          <w:tcPr>
            <w:tcW w:w="517" w:type="dxa"/>
          </w:tcPr>
          <w:p>
            <w:pPr>
              <w:pStyle w:val="TableParagraph"/>
              <w:spacing w:before="69"/>
              <w:ind w:left="65"/>
              <w:rPr>
                <w:i/>
                <w:sz w:val="24"/>
              </w:rPr>
            </w:pPr>
            <w:r>
              <w:rPr>
                <w:i/>
                <w:sz w:val="24"/>
              </w:rPr>
              <w:t>No.</w:t>
            </w:r>
          </w:p>
        </w:tc>
        <w:tc>
          <w:tcPr>
            <w:tcW w:w="1055" w:type="dxa"/>
          </w:tcPr>
          <w:p>
            <w:pPr>
              <w:pStyle w:val="TableParagraph"/>
              <w:spacing w:before="69"/>
              <w:ind w:left="0" w:right="33"/>
              <w:jc w:val="right"/>
              <w:rPr>
                <w:i/>
                <w:sz w:val="24"/>
              </w:rPr>
            </w:pPr>
            <w:r>
              <w:rPr>
                <w:i/>
                <w:sz w:val="24"/>
              </w:rPr>
              <w:t>14-1999.</w:t>
            </w:r>
          </w:p>
        </w:tc>
      </w:tr>
      <w:tr>
        <w:trPr>
          <w:trHeight w:val="622" w:hRule="exact"/>
        </w:trPr>
        <w:tc>
          <w:tcPr>
            <w:tcW w:w="5764" w:type="dxa"/>
          </w:tcPr>
          <w:p>
            <w:pPr>
              <w:pStyle w:val="TableParagraph"/>
              <w:spacing w:before="10"/>
              <w:ind w:left="0"/>
              <w:rPr>
                <w:sz w:val="22"/>
              </w:rPr>
            </w:pPr>
          </w:p>
          <w:p>
            <w:pPr>
              <w:pStyle w:val="TableParagraph"/>
              <w:ind w:left="35"/>
              <w:rPr>
                <w:i/>
                <w:sz w:val="24"/>
              </w:rPr>
            </w:pPr>
            <w:r>
              <w:rPr>
                <w:sz w:val="24"/>
              </w:rPr>
              <w:t>CSJ  (Corte  Suprema  de  Justicia)  (2005), </w:t>
            </w:r>
            <w:r>
              <w:rPr>
                <w:spacing w:val="65"/>
                <w:sz w:val="24"/>
              </w:rPr>
              <w:t> </w:t>
            </w:r>
            <w:r>
              <w:rPr>
                <w:i/>
                <w:sz w:val="24"/>
              </w:rPr>
              <w:t>Sesión</w:t>
            </w:r>
          </w:p>
        </w:tc>
        <w:tc>
          <w:tcPr>
            <w:tcW w:w="1574" w:type="dxa"/>
          </w:tcPr>
          <w:p>
            <w:pPr>
              <w:pStyle w:val="TableParagraph"/>
              <w:spacing w:before="10"/>
              <w:ind w:left="0"/>
              <w:rPr>
                <w:sz w:val="22"/>
              </w:rPr>
            </w:pPr>
          </w:p>
          <w:p>
            <w:pPr>
              <w:pStyle w:val="TableParagraph"/>
              <w:ind w:left="0" w:right="79"/>
              <w:jc w:val="right"/>
              <w:rPr>
                <w:i/>
                <w:sz w:val="24"/>
              </w:rPr>
            </w:pPr>
            <w:r>
              <w:rPr>
                <w:i/>
                <w:sz w:val="24"/>
              </w:rPr>
              <w:t>extraordinaria</w:t>
            </w:r>
          </w:p>
        </w:tc>
        <w:tc>
          <w:tcPr>
            <w:tcW w:w="517" w:type="dxa"/>
          </w:tcPr>
          <w:p>
            <w:pPr>
              <w:pStyle w:val="TableParagraph"/>
              <w:spacing w:before="10"/>
              <w:ind w:left="0"/>
              <w:rPr>
                <w:sz w:val="22"/>
              </w:rPr>
            </w:pPr>
          </w:p>
          <w:p>
            <w:pPr>
              <w:pStyle w:val="TableParagraph"/>
              <w:ind w:left="65"/>
              <w:rPr>
                <w:i/>
                <w:sz w:val="24"/>
              </w:rPr>
            </w:pPr>
            <w:r>
              <w:rPr>
                <w:i/>
                <w:sz w:val="24"/>
              </w:rPr>
              <w:t>No.</w:t>
            </w:r>
          </w:p>
        </w:tc>
        <w:tc>
          <w:tcPr>
            <w:tcW w:w="1055" w:type="dxa"/>
          </w:tcPr>
          <w:p>
            <w:pPr>
              <w:pStyle w:val="TableParagraph"/>
              <w:spacing w:before="10"/>
              <w:ind w:left="0"/>
              <w:rPr>
                <w:sz w:val="22"/>
              </w:rPr>
            </w:pPr>
          </w:p>
          <w:p>
            <w:pPr>
              <w:pStyle w:val="TableParagraph"/>
              <w:ind w:left="0" w:right="33"/>
              <w:jc w:val="right"/>
              <w:rPr>
                <w:i/>
                <w:sz w:val="24"/>
              </w:rPr>
            </w:pPr>
            <w:r>
              <w:rPr>
                <w:i/>
                <w:sz w:val="24"/>
              </w:rPr>
              <w:t>27-2005.</w:t>
            </w:r>
          </w:p>
        </w:tc>
      </w:tr>
      <w:tr>
        <w:trPr>
          <w:trHeight w:val="622" w:hRule="exact"/>
        </w:trPr>
        <w:tc>
          <w:tcPr>
            <w:tcW w:w="5764" w:type="dxa"/>
          </w:tcPr>
          <w:p>
            <w:pPr>
              <w:pStyle w:val="TableParagraph"/>
              <w:spacing w:before="57"/>
              <w:ind w:left="35"/>
              <w:rPr>
                <w:sz w:val="24"/>
              </w:rPr>
            </w:pPr>
            <w:r>
              <w:rPr>
                <w:i/>
                <w:sz w:val="24"/>
              </w:rPr>
              <w:t>Artículo III, </w:t>
            </w:r>
            <w:r>
              <w:rPr>
                <w:sz w:val="24"/>
              </w:rPr>
              <w:t>1 de septiembre, San José, Costa Rica.</w:t>
            </w:r>
          </w:p>
        </w:tc>
        <w:tc>
          <w:tcPr>
            <w:tcW w:w="1574" w:type="dxa"/>
          </w:tcPr>
          <w:p>
            <w:pPr/>
          </w:p>
        </w:tc>
        <w:tc>
          <w:tcPr>
            <w:tcW w:w="517" w:type="dxa"/>
          </w:tcPr>
          <w:p>
            <w:pPr/>
          </w:p>
        </w:tc>
        <w:tc>
          <w:tcPr>
            <w:tcW w:w="1055" w:type="dxa"/>
          </w:tcPr>
          <w:p>
            <w:pPr/>
          </w:p>
        </w:tc>
      </w:tr>
      <w:tr>
        <w:trPr>
          <w:trHeight w:val="1241" w:hRule="exact"/>
        </w:trPr>
        <w:tc>
          <w:tcPr>
            <w:tcW w:w="5764" w:type="dxa"/>
          </w:tcPr>
          <w:p>
            <w:pPr>
              <w:pStyle w:val="TableParagraph"/>
              <w:spacing w:before="10"/>
              <w:ind w:left="0"/>
              <w:rPr>
                <w:sz w:val="22"/>
              </w:rPr>
            </w:pPr>
          </w:p>
          <w:p>
            <w:pPr>
              <w:pStyle w:val="TableParagraph"/>
              <w:spacing w:line="360" w:lineRule="auto"/>
              <w:ind w:left="35"/>
              <w:rPr>
                <w:sz w:val="24"/>
              </w:rPr>
            </w:pPr>
            <w:r>
              <w:rPr>
                <w:sz w:val="24"/>
              </w:rPr>
              <w:t>CSJ (Corte Suprema de Justicia) (2007), </w:t>
            </w:r>
            <w:r>
              <w:rPr>
                <w:i/>
                <w:sz w:val="24"/>
              </w:rPr>
              <w:t>Sesión </w:t>
            </w:r>
            <w:r>
              <w:rPr>
                <w:i/>
                <w:sz w:val="24"/>
              </w:rPr>
              <w:t>Artículo IX, </w:t>
            </w:r>
            <w:r>
              <w:rPr>
                <w:sz w:val="24"/>
              </w:rPr>
              <w:t>25 de junio, San José, Costa Rica.</w:t>
            </w:r>
          </w:p>
        </w:tc>
        <w:tc>
          <w:tcPr>
            <w:tcW w:w="1574" w:type="dxa"/>
          </w:tcPr>
          <w:p>
            <w:pPr>
              <w:pStyle w:val="TableParagraph"/>
              <w:spacing w:before="10"/>
              <w:ind w:left="0"/>
              <w:rPr>
                <w:sz w:val="22"/>
              </w:rPr>
            </w:pPr>
          </w:p>
          <w:p>
            <w:pPr>
              <w:pStyle w:val="TableParagraph"/>
              <w:ind w:left="0" w:right="79"/>
              <w:jc w:val="right"/>
              <w:rPr>
                <w:i/>
                <w:sz w:val="24"/>
              </w:rPr>
            </w:pPr>
            <w:r>
              <w:rPr>
                <w:i/>
                <w:sz w:val="24"/>
              </w:rPr>
              <w:t>extraordinaria</w:t>
            </w:r>
          </w:p>
        </w:tc>
        <w:tc>
          <w:tcPr>
            <w:tcW w:w="517" w:type="dxa"/>
          </w:tcPr>
          <w:p>
            <w:pPr>
              <w:pStyle w:val="TableParagraph"/>
              <w:spacing w:before="10"/>
              <w:ind w:left="0"/>
              <w:rPr>
                <w:sz w:val="22"/>
              </w:rPr>
            </w:pPr>
          </w:p>
          <w:p>
            <w:pPr>
              <w:pStyle w:val="TableParagraph"/>
              <w:ind w:left="65"/>
              <w:rPr>
                <w:i/>
                <w:sz w:val="24"/>
              </w:rPr>
            </w:pPr>
            <w:r>
              <w:rPr>
                <w:i/>
                <w:sz w:val="24"/>
              </w:rPr>
              <w:t>No.</w:t>
            </w:r>
          </w:p>
        </w:tc>
        <w:tc>
          <w:tcPr>
            <w:tcW w:w="1055" w:type="dxa"/>
          </w:tcPr>
          <w:p>
            <w:pPr>
              <w:pStyle w:val="TableParagraph"/>
              <w:spacing w:before="10"/>
              <w:ind w:left="0"/>
              <w:rPr>
                <w:sz w:val="22"/>
              </w:rPr>
            </w:pPr>
          </w:p>
          <w:p>
            <w:pPr>
              <w:pStyle w:val="TableParagraph"/>
              <w:ind w:left="0" w:right="33"/>
              <w:jc w:val="right"/>
              <w:rPr>
                <w:i/>
                <w:sz w:val="24"/>
              </w:rPr>
            </w:pPr>
            <w:r>
              <w:rPr>
                <w:i/>
                <w:sz w:val="24"/>
              </w:rPr>
              <w:t>21-2007.</w:t>
            </w:r>
          </w:p>
        </w:tc>
      </w:tr>
      <w:tr>
        <w:trPr>
          <w:trHeight w:val="622" w:hRule="exact"/>
        </w:trPr>
        <w:tc>
          <w:tcPr>
            <w:tcW w:w="5764" w:type="dxa"/>
          </w:tcPr>
          <w:p>
            <w:pPr>
              <w:pStyle w:val="TableParagraph"/>
              <w:spacing w:before="10"/>
              <w:ind w:left="0"/>
              <w:rPr>
                <w:sz w:val="22"/>
              </w:rPr>
            </w:pPr>
          </w:p>
          <w:p>
            <w:pPr>
              <w:pStyle w:val="TableParagraph"/>
              <w:ind w:left="35"/>
              <w:rPr>
                <w:i/>
                <w:sz w:val="24"/>
              </w:rPr>
            </w:pPr>
            <w:r>
              <w:rPr>
                <w:sz w:val="24"/>
              </w:rPr>
              <w:t>CSJ  (Corte  Suprema  de  Justicia)  (2008), </w:t>
            </w:r>
            <w:r>
              <w:rPr>
                <w:spacing w:val="65"/>
                <w:sz w:val="24"/>
              </w:rPr>
              <w:t> </w:t>
            </w:r>
            <w:r>
              <w:rPr>
                <w:i/>
                <w:sz w:val="24"/>
              </w:rPr>
              <w:t>Sesión</w:t>
            </w:r>
          </w:p>
        </w:tc>
        <w:tc>
          <w:tcPr>
            <w:tcW w:w="1574" w:type="dxa"/>
          </w:tcPr>
          <w:p>
            <w:pPr>
              <w:pStyle w:val="TableParagraph"/>
              <w:spacing w:before="10"/>
              <w:ind w:left="0"/>
              <w:rPr>
                <w:sz w:val="22"/>
              </w:rPr>
            </w:pPr>
          </w:p>
          <w:p>
            <w:pPr>
              <w:pStyle w:val="TableParagraph"/>
              <w:ind w:left="0" w:right="79"/>
              <w:jc w:val="right"/>
              <w:rPr>
                <w:i/>
                <w:sz w:val="24"/>
              </w:rPr>
            </w:pPr>
            <w:r>
              <w:rPr>
                <w:i/>
                <w:sz w:val="24"/>
              </w:rPr>
              <w:t>extraordinaria</w:t>
            </w:r>
          </w:p>
        </w:tc>
        <w:tc>
          <w:tcPr>
            <w:tcW w:w="517" w:type="dxa"/>
          </w:tcPr>
          <w:p>
            <w:pPr>
              <w:pStyle w:val="TableParagraph"/>
              <w:spacing w:before="10"/>
              <w:ind w:left="0"/>
              <w:rPr>
                <w:sz w:val="22"/>
              </w:rPr>
            </w:pPr>
          </w:p>
          <w:p>
            <w:pPr>
              <w:pStyle w:val="TableParagraph"/>
              <w:ind w:left="65"/>
              <w:rPr>
                <w:i/>
                <w:sz w:val="24"/>
              </w:rPr>
            </w:pPr>
            <w:r>
              <w:rPr>
                <w:i/>
                <w:sz w:val="24"/>
              </w:rPr>
              <w:t>No.</w:t>
            </w:r>
          </w:p>
        </w:tc>
        <w:tc>
          <w:tcPr>
            <w:tcW w:w="1055" w:type="dxa"/>
          </w:tcPr>
          <w:p>
            <w:pPr>
              <w:pStyle w:val="TableParagraph"/>
              <w:spacing w:before="10"/>
              <w:ind w:left="0"/>
              <w:rPr>
                <w:sz w:val="22"/>
              </w:rPr>
            </w:pPr>
          </w:p>
          <w:p>
            <w:pPr>
              <w:pStyle w:val="TableParagraph"/>
              <w:ind w:left="0" w:right="33"/>
              <w:jc w:val="right"/>
              <w:rPr>
                <w:i/>
                <w:sz w:val="24"/>
              </w:rPr>
            </w:pPr>
            <w:r>
              <w:rPr>
                <w:i/>
                <w:sz w:val="24"/>
              </w:rPr>
              <w:t>35-2008.</w:t>
            </w:r>
          </w:p>
        </w:tc>
      </w:tr>
      <w:tr>
        <w:trPr>
          <w:trHeight w:val="622" w:hRule="exact"/>
        </w:trPr>
        <w:tc>
          <w:tcPr>
            <w:tcW w:w="5764" w:type="dxa"/>
          </w:tcPr>
          <w:p>
            <w:pPr>
              <w:pStyle w:val="TableParagraph"/>
              <w:spacing w:before="57"/>
              <w:ind w:left="35"/>
              <w:rPr>
                <w:sz w:val="24"/>
              </w:rPr>
            </w:pPr>
            <w:r>
              <w:rPr>
                <w:i/>
                <w:sz w:val="24"/>
              </w:rPr>
              <w:t>Artículo IV</w:t>
            </w:r>
            <w:r>
              <w:rPr>
                <w:sz w:val="24"/>
              </w:rPr>
              <w:t>, 13 de octubre, San José, Costa Rica.</w:t>
            </w:r>
          </w:p>
        </w:tc>
        <w:tc>
          <w:tcPr>
            <w:tcW w:w="1574" w:type="dxa"/>
          </w:tcPr>
          <w:p>
            <w:pPr/>
          </w:p>
        </w:tc>
        <w:tc>
          <w:tcPr>
            <w:tcW w:w="517" w:type="dxa"/>
          </w:tcPr>
          <w:p>
            <w:pPr/>
          </w:p>
        </w:tc>
        <w:tc>
          <w:tcPr>
            <w:tcW w:w="1055" w:type="dxa"/>
          </w:tcPr>
          <w:p>
            <w:pPr/>
          </w:p>
        </w:tc>
      </w:tr>
      <w:tr>
        <w:trPr>
          <w:trHeight w:val="1047" w:hRule="exact"/>
        </w:trPr>
        <w:tc>
          <w:tcPr>
            <w:tcW w:w="5764" w:type="dxa"/>
          </w:tcPr>
          <w:p>
            <w:pPr>
              <w:pStyle w:val="TableParagraph"/>
              <w:spacing w:before="10"/>
              <w:ind w:left="0"/>
              <w:rPr>
                <w:sz w:val="22"/>
              </w:rPr>
            </w:pPr>
          </w:p>
          <w:p>
            <w:pPr>
              <w:pStyle w:val="TableParagraph"/>
              <w:spacing w:line="360" w:lineRule="auto"/>
              <w:ind w:left="35"/>
              <w:rPr>
                <w:sz w:val="24"/>
              </w:rPr>
            </w:pPr>
            <w:r>
              <w:rPr>
                <w:sz w:val="24"/>
              </w:rPr>
              <w:t>CSJ (Corte Suprema de Justicia) (2009a), </w:t>
            </w:r>
            <w:r>
              <w:rPr>
                <w:i/>
                <w:sz w:val="24"/>
              </w:rPr>
              <w:t>Sesión </w:t>
            </w:r>
            <w:r>
              <w:rPr>
                <w:i/>
                <w:sz w:val="24"/>
              </w:rPr>
              <w:t>Artículo XVIII</w:t>
            </w:r>
            <w:r>
              <w:rPr>
                <w:sz w:val="24"/>
              </w:rPr>
              <w:t>, 27 de abril, San José, Costa Rica.</w:t>
            </w:r>
          </w:p>
        </w:tc>
        <w:tc>
          <w:tcPr>
            <w:tcW w:w="1574" w:type="dxa"/>
          </w:tcPr>
          <w:p>
            <w:pPr>
              <w:pStyle w:val="TableParagraph"/>
              <w:spacing w:before="10"/>
              <w:ind w:left="0"/>
              <w:rPr>
                <w:sz w:val="22"/>
              </w:rPr>
            </w:pPr>
          </w:p>
          <w:p>
            <w:pPr>
              <w:pStyle w:val="TableParagraph"/>
              <w:ind w:left="0" w:right="63"/>
              <w:jc w:val="right"/>
              <w:rPr>
                <w:i/>
                <w:sz w:val="24"/>
              </w:rPr>
            </w:pPr>
            <w:r>
              <w:rPr>
                <w:i/>
                <w:sz w:val="24"/>
              </w:rPr>
              <w:t>exraordinaria</w:t>
            </w:r>
          </w:p>
        </w:tc>
        <w:tc>
          <w:tcPr>
            <w:tcW w:w="517" w:type="dxa"/>
          </w:tcPr>
          <w:p>
            <w:pPr>
              <w:pStyle w:val="TableParagraph"/>
              <w:spacing w:before="10"/>
              <w:ind w:left="0"/>
              <w:rPr>
                <w:sz w:val="22"/>
              </w:rPr>
            </w:pPr>
          </w:p>
          <w:p>
            <w:pPr>
              <w:pStyle w:val="TableParagraph"/>
              <w:ind w:left="74"/>
              <w:rPr>
                <w:i/>
                <w:sz w:val="24"/>
              </w:rPr>
            </w:pPr>
            <w:r>
              <w:rPr>
                <w:i/>
                <w:sz w:val="24"/>
              </w:rPr>
              <w:t>No.</w:t>
            </w:r>
          </w:p>
        </w:tc>
        <w:tc>
          <w:tcPr>
            <w:tcW w:w="1055" w:type="dxa"/>
          </w:tcPr>
          <w:p>
            <w:pPr>
              <w:pStyle w:val="TableParagraph"/>
              <w:spacing w:before="10"/>
              <w:ind w:left="0"/>
              <w:rPr>
                <w:sz w:val="22"/>
              </w:rPr>
            </w:pPr>
          </w:p>
          <w:p>
            <w:pPr>
              <w:pStyle w:val="TableParagraph"/>
              <w:ind w:left="0" w:right="33"/>
              <w:jc w:val="right"/>
              <w:rPr>
                <w:i/>
                <w:sz w:val="24"/>
              </w:rPr>
            </w:pPr>
            <w:r>
              <w:rPr>
                <w:i/>
                <w:sz w:val="24"/>
              </w:rPr>
              <w:t>14-2009.</w:t>
            </w:r>
          </w:p>
        </w:tc>
      </w:tr>
    </w:tbl>
    <w:p>
      <w:pPr>
        <w:pStyle w:val="BodyText"/>
        <w:rPr>
          <w:sz w:val="20"/>
        </w:rPr>
      </w:pPr>
    </w:p>
    <w:p>
      <w:pPr>
        <w:pStyle w:val="BodyText"/>
        <w:spacing w:before="9"/>
        <w:rPr>
          <w:sz w:val="19"/>
        </w:rPr>
      </w:pPr>
    </w:p>
    <w:p>
      <w:pPr>
        <w:spacing w:line="360" w:lineRule="auto" w:before="0"/>
        <w:ind w:left="142" w:right="138" w:firstLine="0"/>
        <w:jc w:val="both"/>
        <w:rPr>
          <w:sz w:val="24"/>
        </w:rPr>
      </w:pPr>
      <w:r>
        <w:rPr>
          <w:sz w:val="24"/>
        </w:rPr>
        <w:t>CSJ (Corte Suprema de Justicia) (2009b), </w:t>
      </w:r>
      <w:r>
        <w:rPr>
          <w:i/>
          <w:sz w:val="24"/>
        </w:rPr>
        <w:t>Sesión ordinaria No. 15-2009. Artículo </w:t>
      </w:r>
      <w:r>
        <w:rPr>
          <w:i/>
          <w:sz w:val="24"/>
        </w:rPr>
        <w:t>X</w:t>
      </w:r>
      <w:r>
        <w:rPr>
          <w:sz w:val="24"/>
        </w:rPr>
        <w:t>, 4 de mayo, San José, Costa</w:t>
      </w:r>
      <w:r>
        <w:rPr>
          <w:spacing w:val="-16"/>
          <w:sz w:val="24"/>
        </w:rPr>
        <w:t> </w:t>
      </w:r>
      <w:r>
        <w:rPr>
          <w:sz w:val="24"/>
        </w:rPr>
        <w:t>Rica.</w:t>
      </w:r>
    </w:p>
    <w:p>
      <w:pPr>
        <w:pStyle w:val="BodyText"/>
      </w:pPr>
    </w:p>
    <w:p>
      <w:pPr>
        <w:pStyle w:val="BodyText"/>
        <w:spacing w:line="360" w:lineRule="auto" w:before="144"/>
        <w:ind w:left="142" w:right="136"/>
        <w:jc w:val="both"/>
      </w:pPr>
      <w:r>
        <w:rPr/>
        <w:t>CVTCR (Controles Video Técnicos de Costa Rica S.A.) (2010), “Monitoreo de Información”, acceso restringido en </w:t>
      </w:r>
      <w:hyperlink r:id="rId585">
        <w:r>
          <w:rPr/>
          <w:t>http://www.controles.co.cr/clientes/</w:t>
        </w:r>
      </w:hyperlink>
      <w:r>
        <w:rPr/>
        <w:t>, consultado el 15 de febrero de 2010.</w:t>
      </w:r>
    </w:p>
    <w:p>
      <w:pPr>
        <w:pStyle w:val="BodyText"/>
      </w:pPr>
    </w:p>
    <w:p>
      <w:pPr>
        <w:spacing w:line="362" w:lineRule="auto" w:before="139"/>
        <w:ind w:left="142" w:right="137" w:firstLine="0"/>
        <w:jc w:val="both"/>
        <w:rPr>
          <w:sz w:val="24"/>
        </w:rPr>
      </w:pPr>
      <w:r>
        <w:rPr>
          <w:sz w:val="24"/>
        </w:rPr>
        <w:t>Dahl, Robert A. (1987), </w:t>
      </w:r>
      <w:r>
        <w:rPr>
          <w:i/>
          <w:sz w:val="24"/>
        </w:rPr>
        <w:t>Un prefacio a la teoría democrática, </w:t>
      </w:r>
      <w:r>
        <w:rPr>
          <w:sz w:val="24"/>
        </w:rPr>
        <w:t>México, Gernika, 197 pp.</w:t>
      </w:r>
    </w:p>
    <w:p>
      <w:pPr>
        <w:pStyle w:val="BodyText"/>
        <w:spacing w:before="10"/>
        <w:rPr>
          <w:sz w:val="35"/>
        </w:rPr>
      </w:pPr>
    </w:p>
    <w:p>
      <w:pPr>
        <w:spacing w:before="0"/>
        <w:ind w:left="142" w:right="0" w:firstLine="0"/>
        <w:jc w:val="both"/>
        <w:rPr>
          <w:sz w:val="24"/>
        </w:rPr>
      </w:pPr>
      <w:r>
        <w:rPr>
          <w:sz w:val="24"/>
        </w:rPr>
        <w:t>Dahl, Robert A. (1992), </w:t>
      </w:r>
      <w:r>
        <w:rPr>
          <w:i/>
          <w:sz w:val="24"/>
        </w:rPr>
        <w:t>La democracia y sus críticos, </w:t>
      </w:r>
      <w:r>
        <w:rPr>
          <w:sz w:val="24"/>
        </w:rPr>
        <w:t>Barcelona, Paidós, 476 pp.</w:t>
      </w:r>
    </w:p>
    <w:p>
      <w:pPr>
        <w:spacing w:after="0"/>
        <w:jc w:val="both"/>
        <w:rPr>
          <w:sz w:val="24"/>
        </w:rPr>
        <w:sectPr>
          <w:pgSz w:w="12240" w:h="15840"/>
          <w:pgMar w:header="749" w:footer="1003" w:top="960" w:bottom="1200" w:left="1560" w:right="1560"/>
        </w:sectPr>
      </w:pPr>
    </w:p>
    <w:p>
      <w:pPr>
        <w:pStyle w:val="BodyText"/>
        <w:rPr>
          <w:sz w:val="20"/>
        </w:rPr>
      </w:pPr>
    </w:p>
    <w:p>
      <w:pPr>
        <w:spacing w:line="362" w:lineRule="auto" w:before="212"/>
        <w:ind w:left="102" w:right="121" w:firstLine="0"/>
        <w:jc w:val="both"/>
        <w:rPr>
          <w:sz w:val="24"/>
        </w:rPr>
      </w:pPr>
      <w:r>
        <w:rPr>
          <w:sz w:val="24"/>
        </w:rPr>
        <w:t>Dahl, Robert A. (1999a), </w:t>
      </w:r>
      <w:r>
        <w:rPr>
          <w:i/>
          <w:sz w:val="24"/>
        </w:rPr>
        <w:t>¿Después de la revolución? La autoridad en las </w:t>
      </w:r>
      <w:r>
        <w:rPr>
          <w:i/>
          <w:sz w:val="24"/>
        </w:rPr>
        <w:t>sociedades avanzadas, </w:t>
      </w:r>
      <w:r>
        <w:rPr>
          <w:sz w:val="24"/>
        </w:rPr>
        <w:t>Barcelona, Gedisa, 2ª. ed., 214 pp.</w:t>
      </w:r>
    </w:p>
    <w:p>
      <w:pPr>
        <w:pStyle w:val="BodyText"/>
      </w:pPr>
    </w:p>
    <w:p>
      <w:pPr>
        <w:spacing w:line="360" w:lineRule="auto" w:before="139"/>
        <w:ind w:left="102" w:right="115" w:firstLine="0"/>
        <w:jc w:val="both"/>
        <w:rPr>
          <w:sz w:val="24"/>
        </w:rPr>
      </w:pPr>
      <w:r>
        <w:rPr>
          <w:sz w:val="24"/>
        </w:rPr>
        <w:t>Dahl, Robert Alan (1999b), </w:t>
      </w:r>
      <w:r>
        <w:rPr>
          <w:i/>
          <w:sz w:val="24"/>
        </w:rPr>
        <w:t>La democracia. Una guía para los ciudadanos, </w:t>
      </w:r>
      <w:r>
        <w:rPr>
          <w:sz w:val="24"/>
        </w:rPr>
        <w:t>Madrid, Taurus, 246 pp.</w:t>
      </w:r>
    </w:p>
    <w:p>
      <w:pPr>
        <w:pStyle w:val="BodyText"/>
      </w:pPr>
    </w:p>
    <w:p>
      <w:pPr>
        <w:spacing w:line="362" w:lineRule="auto" w:before="139"/>
        <w:ind w:left="102" w:right="118" w:firstLine="0"/>
        <w:jc w:val="both"/>
        <w:rPr>
          <w:sz w:val="24"/>
        </w:rPr>
      </w:pPr>
      <w:r>
        <w:rPr>
          <w:sz w:val="24"/>
        </w:rPr>
        <w:t>Dahl, Robert A. (2002), </w:t>
      </w:r>
      <w:r>
        <w:rPr>
          <w:i/>
          <w:sz w:val="24"/>
        </w:rPr>
        <w:t>La poliarquía. Participación y oposición, </w:t>
      </w:r>
      <w:r>
        <w:rPr>
          <w:sz w:val="24"/>
        </w:rPr>
        <w:t>Madrid, Tecnos, 228 pp.</w:t>
      </w:r>
    </w:p>
    <w:p>
      <w:pPr>
        <w:pStyle w:val="BodyText"/>
      </w:pPr>
    </w:p>
    <w:p>
      <w:pPr>
        <w:pStyle w:val="BodyText"/>
        <w:spacing w:line="360" w:lineRule="auto" w:before="140"/>
        <w:ind w:left="102" w:right="116"/>
        <w:jc w:val="both"/>
      </w:pPr>
      <w:r>
        <w:rPr/>
        <w:t>De la Cruz de Lemos, Vladimri (2012), “El largo camino hacia las libertades electorales. 7 de noviembre, Día de la Democracia Costarricense” en </w:t>
      </w:r>
      <w:r>
        <w:rPr>
          <w:i/>
        </w:rPr>
        <w:t>Revista </w:t>
      </w:r>
      <w:r>
        <w:rPr>
          <w:i/>
        </w:rPr>
        <w:t>Derecho Electoral, </w:t>
      </w:r>
      <w:r>
        <w:rPr/>
        <w:t>núm. 13, enero-junio, San José, Costa Rica, TSE, pp. 1-38.</w:t>
      </w:r>
    </w:p>
    <w:p>
      <w:pPr>
        <w:pStyle w:val="BodyText"/>
      </w:pPr>
    </w:p>
    <w:p>
      <w:pPr>
        <w:pStyle w:val="BodyText"/>
        <w:spacing w:line="360" w:lineRule="auto" w:before="142"/>
        <w:ind w:left="102" w:right="114"/>
        <w:jc w:val="both"/>
      </w:pPr>
      <w:r>
        <w:rPr/>
        <w:t>De la Madrid, Ricardo Raphael (2011), “México autoritario, crisis moral”, en </w:t>
      </w:r>
      <w:r>
        <w:rPr>
          <w:i/>
        </w:rPr>
        <w:t>El </w:t>
      </w:r>
      <w:r>
        <w:rPr>
          <w:i/>
        </w:rPr>
        <w:t>Universal, </w:t>
      </w:r>
      <w:r>
        <w:rPr/>
        <w:t>31 de octubre, México D.F., en línea </w:t>
      </w:r>
      <w:hyperlink r:id="rId586">
        <w:r>
          <w:rPr/>
          <w:t>http://www.eluniversal.com.mx/editoriales/55430.html</w:t>
        </w:r>
      </w:hyperlink>
      <w:r>
        <w:rPr/>
        <w:t>, consultado el 17 de junio de 2012.</w:t>
      </w:r>
    </w:p>
    <w:p>
      <w:pPr>
        <w:pStyle w:val="BodyText"/>
      </w:pPr>
    </w:p>
    <w:p>
      <w:pPr>
        <w:pStyle w:val="BodyText"/>
        <w:spacing w:line="360" w:lineRule="auto" w:before="142"/>
        <w:ind w:left="102" w:right="112"/>
        <w:jc w:val="both"/>
      </w:pPr>
      <w:r>
        <w:rPr/>
        <w:t>Delgado Rojas, Jaime (1989), “El centenario de la democracia costarricense” en </w:t>
      </w:r>
      <w:r>
        <w:rPr>
          <w:i/>
        </w:rPr>
        <w:t>Revista de Historia, </w:t>
      </w:r>
      <w:r>
        <w:rPr/>
        <w:t>núm. 20, Heredia, Costa Rica, Universidad Nacional, pp. 141- 149.</w:t>
      </w:r>
    </w:p>
    <w:p>
      <w:pPr>
        <w:pStyle w:val="BodyText"/>
      </w:pPr>
    </w:p>
    <w:p>
      <w:pPr>
        <w:spacing w:line="360" w:lineRule="auto" w:before="139"/>
        <w:ind w:left="102" w:right="122" w:firstLine="0"/>
        <w:jc w:val="both"/>
        <w:rPr>
          <w:sz w:val="24"/>
        </w:rPr>
      </w:pPr>
      <w:r>
        <w:rPr>
          <w:sz w:val="24"/>
        </w:rPr>
        <w:t>Díaz Polanco, Hector (2012), </w:t>
      </w:r>
      <w:r>
        <w:rPr>
          <w:i/>
          <w:sz w:val="24"/>
        </w:rPr>
        <w:t>La cocina del diablo: el fraude de 2006 y los </w:t>
      </w:r>
      <w:r>
        <w:rPr>
          <w:i/>
          <w:sz w:val="24"/>
        </w:rPr>
        <w:t>intelectuales</w:t>
      </w:r>
      <w:r>
        <w:rPr>
          <w:sz w:val="24"/>
        </w:rPr>
        <w:t>, México, Planeta, 247 pp.</w:t>
      </w:r>
    </w:p>
    <w:p>
      <w:pPr>
        <w:pStyle w:val="BodyText"/>
      </w:pPr>
    </w:p>
    <w:p>
      <w:pPr>
        <w:spacing w:line="360" w:lineRule="auto" w:before="142"/>
        <w:ind w:left="102" w:right="120" w:firstLine="0"/>
        <w:jc w:val="both"/>
        <w:rPr>
          <w:sz w:val="24"/>
        </w:rPr>
      </w:pPr>
      <w:r>
        <w:rPr>
          <w:sz w:val="24"/>
        </w:rPr>
        <w:t>Emmerich, Gustavo Ernesto (coord.) (2009), </w:t>
      </w:r>
      <w:r>
        <w:rPr>
          <w:i/>
          <w:sz w:val="24"/>
        </w:rPr>
        <w:t>Situación de la democracia en </w:t>
      </w:r>
      <w:r>
        <w:rPr>
          <w:i/>
          <w:sz w:val="24"/>
        </w:rPr>
        <w:t>México, </w:t>
      </w:r>
      <w:r>
        <w:rPr>
          <w:sz w:val="24"/>
        </w:rPr>
        <w:t>México, Universidad Autónoma Metropolitana-Unidad Iztapalapa, 135</w:t>
      </w:r>
      <w:r>
        <w:rPr>
          <w:spacing w:val="-27"/>
          <w:sz w:val="24"/>
        </w:rPr>
        <w:t> </w:t>
      </w:r>
      <w:r>
        <w:rPr>
          <w:sz w:val="24"/>
        </w:rPr>
        <w:t>pp.</w:t>
      </w:r>
    </w:p>
    <w:p>
      <w:pPr>
        <w:pStyle w:val="BodyText"/>
      </w:pPr>
    </w:p>
    <w:p>
      <w:pPr>
        <w:pStyle w:val="BodyText"/>
        <w:tabs>
          <w:tab w:pos="2904" w:val="left" w:leader="none"/>
          <w:tab w:pos="6110" w:val="left" w:leader="none"/>
          <w:tab w:pos="8421" w:val="left" w:leader="none"/>
        </w:tabs>
        <w:spacing w:line="360" w:lineRule="auto" w:before="144"/>
        <w:ind w:left="102" w:right="117"/>
        <w:jc w:val="both"/>
      </w:pPr>
      <w:r>
        <w:rPr/>
        <w:t>Fenamm (Federación Nacional de Municipios de México A.C.) (2012), “Geografía política</w:t>
        <w:tab/>
        <w:t>municipal”,</w:t>
        <w:tab/>
        <w:t>en</w:t>
        <w:tab/>
        <w:t>línea</w:t>
      </w:r>
    </w:p>
    <w:p>
      <w:pPr>
        <w:spacing w:after="0" w:line="360" w:lineRule="auto"/>
        <w:jc w:val="both"/>
        <w:sectPr>
          <w:pgSz w:w="12240" w:h="15840"/>
          <w:pgMar w:header="749" w:footer="1003" w:top="960" w:bottom="1200" w:left="1600" w:right="1580"/>
        </w:sectPr>
      </w:pPr>
    </w:p>
    <w:p>
      <w:pPr>
        <w:pStyle w:val="BodyText"/>
        <w:rPr>
          <w:sz w:val="20"/>
        </w:rPr>
      </w:pPr>
    </w:p>
    <w:p>
      <w:pPr>
        <w:pStyle w:val="BodyText"/>
        <w:spacing w:line="362" w:lineRule="auto" w:before="214"/>
        <w:ind w:left="102" w:right="219"/>
        <w:jc w:val="both"/>
      </w:pPr>
      <w:hyperlink r:id="rId587">
        <w:r>
          <w:rPr>
            <w:spacing w:val="-1"/>
          </w:rPr>
          <w:t>http://www.fenamm.org.mx/site/index.php?option=com_content&amp;view=article&amp;id=1</w:t>
        </w:r>
      </w:hyperlink>
      <w:r>
        <w:rPr>
          <w:spacing w:val="-1"/>
        </w:rPr>
        <w:t> </w:t>
      </w:r>
      <w:hyperlink r:id="rId587">
        <w:r>
          <w:rPr/>
          <w:t>87&amp;Itemid=123</w:t>
        </w:r>
      </w:hyperlink>
      <w:r>
        <w:rPr/>
        <w:t>, consultado el 10 de abril.</w:t>
      </w:r>
    </w:p>
    <w:p>
      <w:pPr>
        <w:pStyle w:val="BodyText"/>
      </w:pPr>
    </w:p>
    <w:p>
      <w:pPr>
        <w:pStyle w:val="BodyText"/>
        <w:spacing w:before="139"/>
        <w:ind w:left="102"/>
        <w:jc w:val="both"/>
      </w:pPr>
      <w:r>
        <w:rPr/>
        <w:t>GCEUM  (Gobierno  Constitucional  de  los  Estados  Unidos  Mexicanos)   (2003),</w:t>
      </w:r>
    </w:p>
    <w:p>
      <w:pPr>
        <w:spacing w:before="134"/>
        <w:ind w:left="102" w:right="0" w:firstLine="0"/>
        <w:jc w:val="both"/>
        <w:rPr>
          <w:sz w:val="24"/>
        </w:rPr>
      </w:pPr>
      <w:r>
        <w:rPr>
          <w:i/>
          <w:sz w:val="24"/>
        </w:rPr>
        <w:t>Diario Oficial de la Federación</w:t>
      </w:r>
      <w:r>
        <w:rPr>
          <w:sz w:val="24"/>
        </w:rPr>
        <w:t>, 31 de octubre, México, D.F.</w:t>
      </w:r>
    </w:p>
    <w:p>
      <w:pPr>
        <w:pStyle w:val="BodyText"/>
      </w:pPr>
    </w:p>
    <w:p>
      <w:pPr>
        <w:pStyle w:val="BodyText"/>
        <w:spacing w:before="2"/>
      </w:pPr>
    </w:p>
    <w:p>
      <w:pPr>
        <w:pStyle w:val="BodyText"/>
        <w:tabs>
          <w:tab w:pos="2986" w:val="left" w:leader="none"/>
          <w:tab w:pos="6299" w:val="left" w:leader="none"/>
          <w:tab w:pos="8423" w:val="left" w:leader="none"/>
        </w:tabs>
        <w:spacing w:line="360" w:lineRule="auto"/>
        <w:ind w:left="102" w:right="118"/>
        <w:jc w:val="both"/>
      </w:pPr>
      <w:r>
        <w:rPr/>
        <w:t>GEM (Gobierno del Estado de México) (2009), “Estado de México. Densidad de población</w:t>
        <w:tab/>
        <w:t>(1990-2005)”,</w:t>
        <w:tab/>
        <w:t>en</w:t>
        <w:tab/>
      </w:r>
      <w:r>
        <w:rPr>
          <w:spacing w:val="-1"/>
        </w:rPr>
        <w:t>línea </w:t>
      </w:r>
      <w:hyperlink r:id="rId588">
        <w:r>
          <w:rPr/>
          <w:t>http://www.edomexico.gob.mx/bitacora/htm/00/000502.html</w:t>
        </w:r>
      </w:hyperlink>
      <w:r>
        <w:rPr/>
        <w:t>, consultado el 23 de febrero de</w:t>
      </w:r>
      <w:r>
        <w:rPr>
          <w:spacing w:val="-6"/>
        </w:rPr>
        <w:t> </w:t>
      </w:r>
      <w:r>
        <w:rPr/>
        <w:t>2012.</w:t>
      </w:r>
    </w:p>
    <w:p>
      <w:pPr>
        <w:pStyle w:val="BodyText"/>
      </w:pPr>
    </w:p>
    <w:p>
      <w:pPr>
        <w:pStyle w:val="BodyText"/>
        <w:spacing w:line="360" w:lineRule="auto" w:before="142"/>
        <w:ind w:left="102" w:right="118"/>
        <w:jc w:val="both"/>
      </w:pPr>
      <w:r>
        <w:rPr/>
        <w:t>González García, María de Jesús (2009), “Inconsistencias del procedimiento administrativo sancionador electoral” en </w:t>
      </w:r>
      <w:r>
        <w:rPr>
          <w:i/>
        </w:rPr>
        <w:t>FEPADE Difunde</w:t>
      </w:r>
      <w:r>
        <w:rPr/>
        <w:t>, año 7, número 17, México, D.F., julio-diciembre, Procuraduría General de la República, pp. 93-114.</w:t>
      </w:r>
    </w:p>
    <w:p>
      <w:pPr>
        <w:pStyle w:val="BodyText"/>
      </w:pPr>
    </w:p>
    <w:p>
      <w:pPr>
        <w:spacing w:line="360" w:lineRule="auto" w:before="139"/>
        <w:ind w:left="102" w:right="115" w:firstLine="0"/>
        <w:jc w:val="both"/>
        <w:rPr>
          <w:sz w:val="24"/>
        </w:rPr>
      </w:pPr>
      <w:r>
        <w:rPr>
          <w:sz w:val="24"/>
        </w:rPr>
        <w:t>González Oropeza, Manuel (2010), </w:t>
      </w:r>
      <w:r>
        <w:rPr>
          <w:i/>
          <w:sz w:val="24"/>
        </w:rPr>
        <w:t>La Intervención de los órganos electorales del </w:t>
      </w:r>
      <w:r>
        <w:rPr>
          <w:i/>
          <w:sz w:val="24"/>
        </w:rPr>
        <w:t>estado en la vida interna de los partidos políticos, </w:t>
      </w:r>
      <w:r>
        <w:rPr>
          <w:sz w:val="24"/>
        </w:rPr>
        <w:t>México, UNAM, 80 pp.</w:t>
      </w:r>
    </w:p>
    <w:p>
      <w:pPr>
        <w:pStyle w:val="BodyText"/>
      </w:pPr>
    </w:p>
    <w:p>
      <w:pPr>
        <w:pStyle w:val="BodyText"/>
        <w:spacing w:before="8"/>
        <w:rPr>
          <w:sz w:val="29"/>
        </w:rPr>
      </w:pPr>
    </w:p>
    <w:p>
      <w:pPr>
        <w:pStyle w:val="BodyText"/>
        <w:spacing w:line="360" w:lineRule="auto"/>
        <w:ind w:left="102" w:right="117"/>
        <w:jc w:val="both"/>
      </w:pPr>
      <w:r>
        <w:rPr/>
        <w:t>Gutiérrez, Pablo y Daniel Zovatto (Coordinadores) (2011), </w:t>
      </w:r>
      <w:r>
        <w:rPr>
          <w:i/>
        </w:rPr>
        <w:t>Financiamiento de los </w:t>
      </w:r>
      <w:r>
        <w:rPr>
          <w:i/>
        </w:rPr>
        <w:t>partidos políticos en América Latina, </w:t>
      </w:r>
      <w:r>
        <w:rPr/>
        <w:t>Serie doctrina jurídica No. 594, Instituto Internacional para la Democracia y la Asistencia Electoral (IDEA)/ Organización de los Estados Americanos (OEA)/ Universidad Nacional Autónoma de México (UNAM)-Instituto de Investigaciones Jurídicas (IIJ), México, 642 pp.</w:t>
      </w:r>
    </w:p>
    <w:p>
      <w:pPr>
        <w:pStyle w:val="BodyText"/>
      </w:pPr>
    </w:p>
    <w:p>
      <w:pPr>
        <w:spacing w:line="362" w:lineRule="auto" w:before="139"/>
        <w:ind w:left="102" w:right="118" w:firstLine="0"/>
        <w:jc w:val="both"/>
        <w:rPr>
          <w:sz w:val="24"/>
        </w:rPr>
      </w:pPr>
      <w:r>
        <w:rPr>
          <w:sz w:val="24"/>
        </w:rPr>
        <w:t>Guzmán Orozco, Irasema del Carmen (2005), </w:t>
      </w:r>
      <w:r>
        <w:rPr>
          <w:i/>
          <w:sz w:val="24"/>
        </w:rPr>
        <w:t>El debate sobre el sistema </w:t>
      </w:r>
      <w:r>
        <w:rPr>
          <w:i/>
          <w:sz w:val="24"/>
        </w:rPr>
        <w:t>presidencial y el sistema parlamentario en México 1997-2005 </w:t>
      </w:r>
      <w:r>
        <w:rPr>
          <w:sz w:val="24"/>
        </w:rPr>
        <w:t>(tesis de licenciatura en relaciones internacionales), Cholula, Puebla, Universidad de las Américas Puebla.</w:t>
      </w:r>
    </w:p>
    <w:p>
      <w:pPr>
        <w:pStyle w:val="BodyText"/>
      </w:pPr>
    </w:p>
    <w:p>
      <w:pPr>
        <w:pStyle w:val="BodyText"/>
        <w:spacing w:line="360" w:lineRule="auto" w:before="139"/>
        <w:ind w:left="102" w:right="121"/>
        <w:jc w:val="both"/>
      </w:pPr>
      <w:r>
        <w:rPr/>
        <w:t>Hartlyn, Jonathan, Jennifer McCoy y Thomas M. Mustillo (2008), “La importancia de</w:t>
      </w:r>
      <w:r>
        <w:rPr>
          <w:spacing w:val="42"/>
        </w:rPr>
        <w:t> </w:t>
      </w:r>
      <w:r>
        <w:rPr/>
        <w:t>la</w:t>
      </w:r>
      <w:r>
        <w:rPr>
          <w:spacing w:val="42"/>
        </w:rPr>
        <w:t> </w:t>
      </w:r>
      <w:r>
        <w:rPr/>
        <w:t>gobernanza</w:t>
      </w:r>
      <w:r>
        <w:rPr>
          <w:spacing w:val="42"/>
        </w:rPr>
        <w:t> </w:t>
      </w:r>
      <w:r>
        <w:rPr/>
        <w:t>electoral</w:t>
      </w:r>
      <w:r>
        <w:rPr>
          <w:spacing w:val="41"/>
        </w:rPr>
        <w:t> </w:t>
      </w:r>
      <w:r>
        <w:rPr/>
        <w:t>y</w:t>
      </w:r>
      <w:r>
        <w:rPr>
          <w:spacing w:val="39"/>
        </w:rPr>
        <w:t> </w:t>
      </w:r>
      <w:r>
        <w:rPr/>
        <w:t>la</w:t>
      </w:r>
      <w:r>
        <w:rPr>
          <w:spacing w:val="42"/>
        </w:rPr>
        <w:t> </w:t>
      </w:r>
      <w:r>
        <w:rPr/>
        <w:t>calidad</w:t>
      </w:r>
      <w:r>
        <w:rPr>
          <w:spacing w:val="48"/>
        </w:rPr>
        <w:t> </w:t>
      </w:r>
      <w:r>
        <w:rPr/>
        <w:t>de</w:t>
      </w:r>
      <w:r>
        <w:rPr>
          <w:spacing w:val="40"/>
        </w:rPr>
        <w:t> </w:t>
      </w:r>
      <w:r>
        <w:rPr/>
        <w:t>las</w:t>
      </w:r>
      <w:r>
        <w:rPr>
          <w:spacing w:val="42"/>
        </w:rPr>
        <w:t> </w:t>
      </w:r>
      <w:r>
        <w:rPr/>
        <w:t>elecciones</w:t>
      </w:r>
      <w:r>
        <w:rPr>
          <w:spacing w:val="41"/>
        </w:rPr>
        <w:t> </w:t>
      </w:r>
      <w:r>
        <w:rPr/>
        <w:t>en</w:t>
      </w:r>
      <w:r>
        <w:rPr>
          <w:spacing w:val="42"/>
        </w:rPr>
        <w:t> </w:t>
      </w:r>
      <w:r>
        <w:rPr/>
        <w:t>la</w:t>
      </w:r>
      <w:r>
        <w:rPr>
          <w:spacing w:val="39"/>
        </w:rPr>
        <w:t> </w:t>
      </w:r>
      <w:r>
        <w:rPr/>
        <w:t>América</w:t>
      </w:r>
      <w:r>
        <w:rPr>
          <w:spacing w:val="42"/>
        </w:rPr>
        <w:t> </w:t>
      </w:r>
      <w:r>
        <w:rPr/>
        <w:t>Latina</w:t>
      </w:r>
    </w:p>
    <w:p>
      <w:pPr>
        <w:spacing w:after="0" w:line="360" w:lineRule="auto"/>
        <w:jc w:val="both"/>
        <w:sectPr>
          <w:pgSz w:w="12240" w:h="15840"/>
          <w:pgMar w:header="749" w:footer="1003" w:top="960" w:bottom="1200" w:left="1600" w:right="1580"/>
        </w:sectPr>
      </w:pPr>
    </w:p>
    <w:p>
      <w:pPr>
        <w:pStyle w:val="BodyText"/>
        <w:rPr>
          <w:sz w:val="20"/>
        </w:rPr>
      </w:pPr>
    </w:p>
    <w:p>
      <w:pPr>
        <w:spacing w:line="362" w:lineRule="auto" w:before="212"/>
        <w:ind w:left="102" w:right="118" w:firstLine="0"/>
        <w:jc w:val="both"/>
        <w:rPr>
          <w:sz w:val="24"/>
        </w:rPr>
      </w:pPr>
      <w:r>
        <w:rPr>
          <w:sz w:val="24"/>
        </w:rPr>
        <w:t>Contemporánea” en </w:t>
      </w:r>
      <w:r>
        <w:rPr>
          <w:i/>
          <w:sz w:val="24"/>
        </w:rPr>
        <w:t>Comparative Political Studies, </w:t>
      </w:r>
      <w:r>
        <w:rPr>
          <w:sz w:val="24"/>
        </w:rPr>
        <w:t>marzo, Washington, Estados Unidos, University of Washington, 25 pp.</w:t>
      </w:r>
    </w:p>
    <w:p>
      <w:pPr>
        <w:pStyle w:val="BodyText"/>
      </w:pPr>
    </w:p>
    <w:p>
      <w:pPr>
        <w:pStyle w:val="BodyText"/>
        <w:tabs>
          <w:tab w:pos="2561" w:val="left" w:leader="none"/>
          <w:tab w:pos="4301" w:val="left" w:leader="none"/>
          <w:tab w:pos="6683" w:val="left" w:leader="none"/>
          <w:tab w:pos="8423" w:val="left" w:leader="none"/>
        </w:tabs>
        <w:spacing w:line="360" w:lineRule="auto" w:before="139"/>
        <w:ind w:left="102" w:right="118"/>
        <w:jc w:val="both"/>
      </w:pPr>
      <w:r>
        <w:rPr/>
        <w:t>HAT (Honorable Ayuntamiento de Toluca) (2012), “Secretaría del Ayuntamiento. Sesiones</w:t>
        <w:tab/>
        <w:t>de</w:t>
        <w:tab/>
        <w:t>cabildo”,</w:t>
        <w:tab/>
        <w:t>en</w:t>
        <w:tab/>
      </w:r>
      <w:r>
        <w:rPr>
          <w:spacing w:val="-1"/>
        </w:rPr>
        <w:t>línea </w:t>
      </w:r>
      <w:hyperlink r:id="rId589">
        <w:r>
          <w:rPr/>
          <w:t>http://www.toluca.gob.mx/dependencias/secretaria/index.php</w:t>
        </w:r>
      </w:hyperlink>
      <w:r>
        <w:rPr/>
        <w:t>, consultado el 17 de enero.</w:t>
      </w:r>
    </w:p>
    <w:p>
      <w:pPr>
        <w:pStyle w:val="BodyText"/>
      </w:pPr>
    </w:p>
    <w:p>
      <w:pPr>
        <w:spacing w:line="360" w:lineRule="auto" w:before="142"/>
        <w:ind w:left="102" w:right="117" w:firstLine="0"/>
        <w:jc w:val="both"/>
        <w:rPr>
          <w:sz w:val="24"/>
        </w:rPr>
      </w:pPr>
      <w:r>
        <w:rPr>
          <w:sz w:val="24"/>
        </w:rPr>
        <w:t>IEEM (Instituto Electoral del Estado de México) (2005), “Código Electoral del Estado de México” en </w:t>
      </w:r>
      <w:r>
        <w:rPr>
          <w:i/>
          <w:sz w:val="24"/>
        </w:rPr>
        <w:t>Legislación Electoral del Estado de México, </w:t>
      </w:r>
      <w:r>
        <w:rPr>
          <w:sz w:val="24"/>
        </w:rPr>
        <w:t>tercera edición, Toluca, México, IEEM, pp. 105-336.</w:t>
      </w:r>
    </w:p>
    <w:p>
      <w:pPr>
        <w:pStyle w:val="BodyText"/>
      </w:pPr>
    </w:p>
    <w:p>
      <w:pPr>
        <w:pStyle w:val="BodyText"/>
        <w:spacing w:line="360" w:lineRule="auto" w:before="142"/>
        <w:ind w:left="102" w:right="115"/>
        <w:jc w:val="both"/>
      </w:pPr>
      <w:r>
        <w:rPr/>
        <w:t>IEEM (Instituto Electoral del Estado de México) (2009), “Resultados”, en línea en línea </w:t>
      </w:r>
      <w:hyperlink r:id="rId590">
        <w:r>
          <w:rPr/>
          <w:t>http://www.ieem.org.mx/com2009/INTEGRA_AYUNTAMIENTOS_2009.pdf</w:t>
        </w:r>
      </w:hyperlink>
      <w:r>
        <w:rPr/>
        <w:t>, consultado el 17 de enero de 2012.</w:t>
      </w:r>
    </w:p>
    <w:p>
      <w:pPr>
        <w:pStyle w:val="BodyText"/>
      </w:pPr>
    </w:p>
    <w:p>
      <w:pPr>
        <w:tabs>
          <w:tab w:pos="1601" w:val="left" w:leader="none"/>
          <w:tab w:pos="3525" w:val="left" w:leader="none"/>
          <w:tab w:pos="4969" w:val="left" w:leader="none"/>
          <w:tab w:pos="6976" w:val="left" w:leader="none"/>
          <w:tab w:pos="8420" w:val="left" w:leader="none"/>
        </w:tabs>
        <w:spacing w:line="360" w:lineRule="auto" w:before="139"/>
        <w:ind w:left="102" w:right="114" w:firstLine="0"/>
        <w:jc w:val="both"/>
        <w:rPr>
          <w:sz w:val="24"/>
        </w:rPr>
      </w:pPr>
      <w:r>
        <w:rPr>
          <w:sz w:val="24"/>
        </w:rPr>
        <w:t>IEEM (Instituto Electoral del Estado de México) (s/a), </w:t>
      </w:r>
      <w:r>
        <w:rPr>
          <w:i/>
          <w:sz w:val="24"/>
        </w:rPr>
        <w:t>Glosario del Código Electoral </w:t>
      </w:r>
      <w:r>
        <w:rPr>
          <w:i/>
          <w:sz w:val="24"/>
        </w:rPr>
        <w:t>del</w:t>
        <w:tab/>
        <w:t>Estado</w:t>
        <w:tab/>
        <w:t>de</w:t>
        <w:tab/>
        <w:t>México</w:t>
      </w:r>
      <w:r>
        <w:rPr>
          <w:sz w:val="24"/>
        </w:rPr>
        <w:t>,</w:t>
        <w:tab/>
        <w:t>en</w:t>
        <w:tab/>
        <w:t>línea </w:t>
      </w:r>
      <w:hyperlink r:id="rId591">
        <w:r>
          <w:rPr>
            <w:sz w:val="24"/>
          </w:rPr>
          <w:t>http://www.ieem.org.mx/capacitacion/pdf/GLOSARIO.pdf</w:t>
        </w:r>
      </w:hyperlink>
      <w:r>
        <w:rPr>
          <w:sz w:val="24"/>
        </w:rPr>
        <w:t>, consultado el 9 de mayo de</w:t>
      </w:r>
      <w:r>
        <w:rPr>
          <w:spacing w:val="-4"/>
          <w:sz w:val="24"/>
        </w:rPr>
        <w:t> </w:t>
      </w:r>
      <w:r>
        <w:rPr>
          <w:sz w:val="24"/>
        </w:rPr>
        <w:t>2012.</w:t>
      </w:r>
    </w:p>
    <w:p>
      <w:pPr>
        <w:pStyle w:val="BodyText"/>
      </w:pPr>
    </w:p>
    <w:p>
      <w:pPr>
        <w:pStyle w:val="BodyText"/>
        <w:spacing w:line="360" w:lineRule="auto" w:before="139"/>
        <w:ind w:left="102" w:right="120"/>
      </w:pPr>
      <w:r>
        <w:rPr/>
        <w:t>IFE (Instituto Federal Electoral) (2005), “Convenio de apoyo y colaboración</w:t>
      </w:r>
      <w:r>
        <w:rPr>
          <w:i/>
        </w:rPr>
        <w:t>”, </w:t>
      </w:r>
      <w:r>
        <w:rPr/>
        <w:t>en línea </w:t>
      </w:r>
      <w:hyperlink r:id="rId592">
        <w:r>
          <w:rPr/>
          <w:t>http://www.ordenjuridico.gob.mx/Publicaciones/CDs2011/CDElectoral/pdf/FEDCO</w:t>
        </w:r>
      </w:hyperlink>
      <w:r>
        <w:rPr/>
        <w:t> </w:t>
      </w:r>
      <w:hyperlink r:id="rId592">
        <w:r>
          <w:rPr/>
          <w:t>NV13.pdf</w:t>
        </w:r>
      </w:hyperlink>
      <w:r>
        <w:rPr/>
        <w:t>, consultado el 23 de diciembre de 2011.</w:t>
      </w:r>
    </w:p>
    <w:p>
      <w:pPr>
        <w:pStyle w:val="BodyText"/>
      </w:pPr>
    </w:p>
    <w:p>
      <w:pPr>
        <w:tabs>
          <w:tab w:pos="3659" w:val="left" w:leader="none"/>
        </w:tabs>
        <w:spacing w:line="360" w:lineRule="auto" w:before="142"/>
        <w:ind w:left="102" w:right="112" w:firstLine="0"/>
        <w:jc w:val="both"/>
        <w:rPr>
          <w:sz w:val="24"/>
        </w:rPr>
      </w:pPr>
      <w:r>
        <w:rPr>
          <w:sz w:val="24"/>
        </w:rPr>
        <w:t>IFE (Instituto Federal Electoral) (2006), “Nuevo reglamento de fiscalización” en </w:t>
      </w:r>
      <w:r>
        <w:rPr>
          <w:i/>
          <w:sz w:val="24"/>
        </w:rPr>
        <w:t>Elecciones Federales 2006. Equidad y transparencia en la contienda electoral, </w:t>
      </w:r>
      <w:r>
        <w:rPr>
          <w:sz w:val="24"/>
        </w:rPr>
        <w:t>en línea</w:t>
        <w:tab/>
      </w:r>
      <w:hyperlink r:id="rId593">
        <w:r>
          <w:rPr>
            <w:sz w:val="24"/>
          </w:rPr>
          <w:t>http://www.ife.org.mx/documentos/proceso_2005-</w:t>
        </w:r>
      </w:hyperlink>
      <w:r>
        <w:rPr>
          <w:sz w:val="24"/>
        </w:rPr>
        <w:t> </w:t>
      </w:r>
      <w:hyperlink r:id="rId593">
        <w:r>
          <w:rPr>
            <w:sz w:val="24"/>
          </w:rPr>
          <w:t>2006/cuadernos/pdf/C2/c2_2-3.pdf</w:t>
        </w:r>
      </w:hyperlink>
      <w:r>
        <w:rPr>
          <w:sz w:val="24"/>
        </w:rPr>
        <w:t>, consultado el 14 de diciembre de</w:t>
      </w:r>
      <w:r>
        <w:rPr>
          <w:spacing w:val="-31"/>
          <w:sz w:val="24"/>
        </w:rPr>
        <w:t> </w:t>
      </w:r>
      <w:r>
        <w:rPr>
          <w:sz w:val="24"/>
        </w:rPr>
        <w:t>2012.</w:t>
      </w:r>
    </w:p>
    <w:p>
      <w:pPr>
        <w:spacing w:after="0" w:line="360" w:lineRule="auto"/>
        <w:jc w:val="both"/>
        <w:rPr>
          <w:sz w:val="24"/>
        </w:rPr>
        <w:sectPr>
          <w:pgSz w:w="12240" w:h="15840"/>
          <w:pgMar w:header="749" w:footer="1003" w:top="960" w:bottom="1200" w:left="1600" w:right="1580"/>
        </w:sectPr>
      </w:pPr>
    </w:p>
    <w:p>
      <w:pPr>
        <w:pStyle w:val="BodyText"/>
        <w:rPr>
          <w:sz w:val="20"/>
        </w:rPr>
      </w:pPr>
    </w:p>
    <w:p>
      <w:pPr>
        <w:pStyle w:val="BodyText"/>
        <w:spacing w:line="360" w:lineRule="auto" w:before="214"/>
        <w:ind w:left="102" w:right="120"/>
      </w:pPr>
      <w:r>
        <w:rPr/>
        <w:t>IFE (Instituto Federal Electoral) (2012a), “Elección de diputados federales por el principio de mayoría relativa. Estadística de las elecciones federales de 2006”, en línea </w:t>
      </w:r>
      <w:hyperlink r:id="rId594">
        <w:r>
          <w:rPr/>
          <w:t>http://www.ife.org.mx/documentos/Estadisticas2006/diputadosmr/pdfs/graf_curules</w:t>
        </w:r>
      </w:hyperlink>
    </w:p>
    <w:p>
      <w:pPr>
        <w:pStyle w:val="BodyText"/>
        <w:spacing w:before="2"/>
        <w:ind w:left="102" w:right="120"/>
      </w:pPr>
      <w:hyperlink r:id="rId594">
        <w:r>
          <w:rPr/>
          <w:t>_diputados.pdf</w:t>
        </w:r>
      </w:hyperlink>
      <w:r>
        <w:rPr/>
        <w:t>, consultado el 8 de mayo.</w:t>
      </w:r>
    </w:p>
    <w:p>
      <w:pPr>
        <w:pStyle w:val="BodyText"/>
      </w:pPr>
    </w:p>
    <w:p>
      <w:pPr>
        <w:pStyle w:val="BodyText"/>
      </w:pPr>
    </w:p>
    <w:p>
      <w:pPr>
        <w:pStyle w:val="BodyText"/>
        <w:spacing w:line="360" w:lineRule="auto"/>
        <w:ind w:left="102" w:right="115"/>
        <w:jc w:val="both"/>
      </w:pPr>
      <w:r>
        <w:rPr/>
        <w:t>IFE (Instituto Federal Electoral) (2012b), “Elección de Presidente de los Estados Unidos Mexicanos. Cómputos distritales de las elecciones federales de 2006”, en línea </w:t>
      </w:r>
      <w:hyperlink r:id="rId595">
        <w:r>
          <w:rPr/>
          <w:t>http://www.ife.org.mx/documentos/Estadisticas2006/presidente/gra_nac.html</w:t>
        </w:r>
      </w:hyperlink>
      <w:r>
        <w:rPr/>
        <w:t>, consultado el 8 de mayo.</w:t>
      </w:r>
    </w:p>
    <w:p>
      <w:pPr>
        <w:pStyle w:val="BodyText"/>
      </w:pPr>
    </w:p>
    <w:p>
      <w:pPr>
        <w:pStyle w:val="BodyText"/>
        <w:tabs>
          <w:tab w:pos="2737" w:val="left" w:leader="none"/>
          <w:tab w:pos="5788" w:val="left" w:leader="none"/>
          <w:tab w:pos="8423" w:val="left" w:leader="none"/>
        </w:tabs>
        <w:spacing w:line="360" w:lineRule="auto" w:before="142"/>
        <w:ind w:left="102" w:right="118"/>
      </w:pPr>
      <w:r>
        <w:rPr/>
        <w:t>IFE (Instituto Federal Electoral) (2012c), “Elección de diputados federales por el principio de representación proporcional. Estadística de las elecciones federales  de</w:t>
        <w:tab/>
        <w:t>2006”,</w:t>
        <w:tab/>
        <w:t>en</w:t>
        <w:tab/>
      </w:r>
      <w:r>
        <w:rPr>
          <w:spacing w:val="-1"/>
        </w:rPr>
        <w:t>línea </w:t>
      </w:r>
      <w:hyperlink r:id="rId596">
        <w:r>
          <w:rPr/>
          <w:t>http://www.ife.org.mx/documentos/Estadisticas2006/diputadosrp/gra_diprp_1.html</w:t>
        </w:r>
      </w:hyperlink>
      <w:r>
        <w:rPr/>
        <w:t>, consultado el 8 de</w:t>
      </w:r>
      <w:r>
        <w:rPr>
          <w:spacing w:val="-16"/>
        </w:rPr>
        <w:t> </w:t>
      </w:r>
      <w:r>
        <w:rPr/>
        <w:t>mayo.</w:t>
      </w:r>
    </w:p>
    <w:p>
      <w:pPr>
        <w:pStyle w:val="BodyText"/>
      </w:pPr>
    </w:p>
    <w:p>
      <w:pPr>
        <w:pStyle w:val="BodyText"/>
        <w:spacing w:line="360" w:lineRule="auto" w:before="142"/>
        <w:ind w:left="102" w:right="110"/>
      </w:pPr>
      <w:r>
        <w:rPr/>
        <w:t>IFE (Instituto Federal Electoral) (2012d), “Elección de senadores por el principio de mayoría relativa. Estadística de las elecciones federales de 2006”, en línea </w:t>
      </w:r>
      <w:hyperlink r:id="rId597">
        <w:r>
          <w:rPr/>
          <w:t>http://www.ife.org.mx/documentos/Estadisticas2006/senadoresmr/gra_senmr_1.ht</w:t>
        </w:r>
      </w:hyperlink>
      <w:r>
        <w:rPr/>
        <w:t> </w:t>
      </w:r>
      <w:hyperlink r:id="rId597">
        <w:r>
          <w:rPr/>
          <w:t>ml</w:t>
        </w:r>
      </w:hyperlink>
      <w:r>
        <w:rPr/>
        <w:t>, consultado el 8 de mayo.</w:t>
      </w:r>
    </w:p>
    <w:p>
      <w:pPr>
        <w:pStyle w:val="BodyText"/>
      </w:pPr>
    </w:p>
    <w:p>
      <w:pPr>
        <w:pStyle w:val="BodyText"/>
        <w:spacing w:line="360" w:lineRule="auto" w:before="142"/>
        <w:ind w:left="102" w:right="106"/>
      </w:pPr>
      <w:r>
        <w:rPr/>
        <w:t>IFE (Instituto Federal Electoral) (2012e), “Elección de senadores por el principio de representación proporcional. Estadística de las elecciones federales de 2006”, en línea </w:t>
      </w:r>
      <w:hyperlink r:id="rId598">
        <w:r>
          <w:rPr/>
          <w:t>http://www.ife.org.mx/documentos/Estadisticas2006/senadoresrp/gra_senrp_1.html</w:t>
        </w:r>
      </w:hyperlink>
    </w:p>
    <w:p>
      <w:pPr>
        <w:pStyle w:val="BodyText"/>
        <w:spacing w:before="3"/>
        <w:ind w:left="102" w:right="120"/>
      </w:pPr>
      <w:r>
        <w:rPr/>
        <w:t>, consultado el 8 de mayo.</w:t>
      </w:r>
    </w:p>
    <w:p>
      <w:pPr>
        <w:pStyle w:val="BodyText"/>
      </w:pPr>
    </w:p>
    <w:p>
      <w:pPr>
        <w:pStyle w:val="BodyText"/>
      </w:pPr>
    </w:p>
    <w:p>
      <w:pPr>
        <w:pStyle w:val="BodyText"/>
        <w:spacing w:line="360" w:lineRule="auto"/>
        <w:ind w:left="102" w:right="116"/>
        <w:jc w:val="both"/>
      </w:pPr>
      <w:r>
        <w:rPr/>
        <w:t>IFE (Instituto Federal Electoral) (2013),”Normatividad IFE. Glosario electoral” en línea </w:t>
      </w:r>
      <w:hyperlink r:id="rId599">
        <w:r>
          <w:rPr/>
          <w:t>http://normateca.ife.org.mx/internet/scripts/glosario/glosario.html</w:t>
        </w:r>
      </w:hyperlink>
      <w:r>
        <w:rPr/>
        <w:t>, consultado el 13 de junio.</w:t>
      </w:r>
    </w:p>
    <w:p>
      <w:pPr>
        <w:spacing w:after="0" w:line="360" w:lineRule="auto"/>
        <w:jc w:val="both"/>
        <w:sectPr>
          <w:pgSz w:w="12240" w:h="15840"/>
          <w:pgMar w:header="749" w:footer="1003" w:top="960" w:bottom="1200" w:left="1600" w:right="1580"/>
        </w:sectPr>
      </w:pPr>
    </w:p>
    <w:p>
      <w:pPr>
        <w:pStyle w:val="BodyText"/>
        <w:rPr>
          <w:sz w:val="20"/>
        </w:rPr>
      </w:pPr>
    </w:p>
    <w:p>
      <w:pPr>
        <w:pStyle w:val="BodyText"/>
        <w:rPr>
          <w:sz w:val="20"/>
        </w:rPr>
      </w:pPr>
    </w:p>
    <w:p>
      <w:pPr>
        <w:pStyle w:val="BodyText"/>
        <w:spacing w:before="6"/>
        <w:rPr>
          <w:sz w:val="28"/>
        </w:rPr>
      </w:pPr>
    </w:p>
    <w:p>
      <w:pPr>
        <w:spacing w:line="360" w:lineRule="auto" w:before="69"/>
        <w:ind w:left="102" w:right="118" w:firstLine="0"/>
        <w:jc w:val="both"/>
        <w:rPr>
          <w:sz w:val="24"/>
        </w:rPr>
      </w:pPr>
      <w:r>
        <w:rPr>
          <w:sz w:val="24"/>
        </w:rPr>
        <w:t>IFES (Internacional Foundation for Elections Systems) (2009), </w:t>
      </w:r>
      <w:r>
        <w:rPr>
          <w:i/>
          <w:sz w:val="24"/>
        </w:rPr>
        <w:t>Aplicación de la </w:t>
      </w:r>
      <w:r>
        <w:rPr>
          <w:i/>
          <w:sz w:val="24"/>
        </w:rPr>
        <w:t>Reforma Electoral de 2007/2008 en México desde una perspectiva internacional comparada</w:t>
      </w:r>
      <w:r>
        <w:rPr>
          <w:sz w:val="24"/>
        </w:rPr>
        <w:t>, Washington, D.C, IFES, 106 pp.</w:t>
      </w:r>
    </w:p>
    <w:p>
      <w:pPr>
        <w:pStyle w:val="BodyText"/>
      </w:pPr>
    </w:p>
    <w:p>
      <w:pPr>
        <w:pStyle w:val="BodyText"/>
        <w:spacing w:line="360" w:lineRule="auto" w:before="144"/>
        <w:ind w:left="102" w:right="117"/>
        <w:jc w:val="both"/>
      </w:pPr>
      <w:r>
        <w:rPr/>
        <w:t>INAFED (Instituto Nacional para el Federalismo y el Desarrollo Municipal) (2012), “Información básica sobre administración y gobierno municipal”, en línea </w:t>
      </w:r>
      <w:hyperlink r:id="rId601">
        <w:r>
          <w:rPr/>
          <w:t>http://www.inafed.gob.mx/work/resources/libros_en_linea/informacionbasicasobrea</w:t>
        </w:r>
      </w:hyperlink>
      <w:r>
        <w:rPr/>
        <w:t> </w:t>
      </w:r>
      <w:hyperlink r:id="rId601">
        <w:r>
          <w:rPr/>
          <w:t>dmonygobiernompal.pdf</w:t>
        </w:r>
      </w:hyperlink>
      <w:r>
        <w:rPr/>
        <w:t>, consultado el 23 de abril.</w:t>
      </w:r>
    </w:p>
    <w:p>
      <w:pPr>
        <w:pStyle w:val="BodyText"/>
      </w:pPr>
    </w:p>
    <w:p>
      <w:pPr>
        <w:pStyle w:val="BodyText"/>
        <w:spacing w:line="360" w:lineRule="auto" w:before="142"/>
        <w:ind w:left="102" w:right="117"/>
        <w:jc w:val="both"/>
      </w:pPr>
      <w:r>
        <w:rPr/>
        <w:t>INCEP (Instituto Centroamericano de Estudios Políticos) (2012), “Reformas Electorales. Un debate permanente en Centroamérica” en </w:t>
      </w:r>
      <w:r>
        <w:rPr>
          <w:i/>
        </w:rPr>
        <w:t>Panorama </w:t>
      </w:r>
      <w:r>
        <w:rPr>
          <w:i/>
        </w:rPr>
        <w:t>centroamericano. Reporte Político, </w:t>
      </w:r>
      <w:r>
        <w:rPr/>
        <w:t>enero-abril, Ciudad de Guatemala, Guatemala, INCEP-Fundación Konrad Adenauer, 40 pp.</w:t>
      </w:r>
    </w:p>
    <w:p>
      <w:pPr>
        <w:pStyle w:val="BodyText"/>
      </w:pPr>
    </w:p>
    <w:p>
      <w:pPr>
        <w:pStyle w:val="BodyText"/>
        <w:spacing w:line="360" w:lineRule="auto" w:before="142"/>
        <w:ind w:left="102" w:right="117"/>
        <w:jc w:val="both"/>
      </w:pPr>
      <w:r>
        <w:rPr/>
        <w:t>INEC (Instituto Nacional de Estadística y Censos) (2012), “Datos del país”, en  línea </w:t>
      </w:r>
      <w:hyperlink r:id="rId602">
        <w:r>
          <w:rPr/>
          <w:t>http://www.inec.go.cr/Web/Home/pagPrincipal.aspx,</w:t>
        </w:r>
      </w:hyperlink>
      <w:r>
        <w:rPr/>
        <w:t> consultado el 3  de mayo.</w:t>
      </w:r>
    </w:p>
    <w:p>
      <w:pPr>
        <w:pStyle w:val="BodyText"/>
      </w:pPr>
    </w:p>
    <w:p>
      <w:pPr>
        <w:pStyle w:val="BodyText"/>
        <w:spacing w:line="360" w:lineRule="auto" w:before="139"/>
        <w:ind w:left="102" w:right="116"/>
        <w:jc w:val="both"/>
      </w:pPr>
      <w:r>
        <w:rPr/>
        <w:t>INEGI (Instituto Nacional de Estadística, Geografía e Informática) (2005), </w:t>
      </w:r>
      <w:r>
        <w:rPr>
          <w:i/>
        </w:rPr>
        <w:t>II Conteo </w:t>
      </w:r>
      <w:r>
        <w:rPr>
          <w:i/>
        </w:rPr>
        <w:t>de Población y Vivienda 2005, </w:t>
      </w:r>
      <w:r>
        <w:rPr/>
        <w:t>del 4 al 29 de octubre, en línea </w:t>
      </w:r>
      <w:hyperlink r:id="rId603">
        <w:r>
          <w:rPr/>
          <w:t>http://www.inegi.org.mx/est/contenidos/proyectos/ccpv/cpv2005/presentacion.aspx</w:t>
        </w:r>
      </w:hyperlink>
    </w:p>
    <w:p>
      <w:pPr>
        <w:pStyle w:val="BodyText"/>
        <w:spacing w:before="2"/>
        <w:ind w:left="102"/>
        <w:jc w:val="both"/>
      </w:pPr>
      <w:hyperlink r:id="rId603">
        <w:r>
          <w:rPr/>
          <w:t>?p=1</w:t>
        </w:r>
      </w:hyperlink>
      <w:r>
        <w:rPr/>
        <w:t>, consultado el 16 de marzo de 2013.</w:t>
      </w:r>
    </w:p>
    <w:p>
      <w:pPr>
        <w:pStyle w:val="BodyText"/>
      </w:pPr>
    </w:p>
    <w:p>
      <w:pPr>
        <w:pStyle w:val="BodyText"/>
      </w:pPr>
    </w:p>
    <w:p>
      <w:pPr>
        <w:pStyle w:val="BodyText"/>
        <w:tabs>
          <w:tab w:pos="1614" w:val="left" w:leader="none"/>
          <w:tab w:pos="2912" w:val="left" w:leader="none"/>
          <w:tab w:pos="3783" w:val="left" w:leader="none"/>
          <w:tab w:pos="4281" w:val="left" w:leader="none"/>
          <w:tab w:pos="5540" w:val="left" w:leader="none"/>
          <w:tab w:pos="5890" w:val="left" w:leader="none"/>
          <w:tab w:pos="7003" w:val="left" w:leader="none"/>
          <w:tab w:pos="7922" w:val="left" w:leader="none"/>
          <w:tab w:pos="8420" w:val="left" w:leader="none"/>
        </w:tabs>
        <w:spacing w:line="360" w:lineRule="auto"/>
        <w:ind w:left="102" w:right="117"/>
      </w:pPr>
      <w:r>
        <w:rPr/>
        <w:t>INEGI (Instituto Nacional de Estadística Geografía e Informática) (2011a), “Resultados</w:t>
        <w:tab/>
        <w:t>definitivos</w:t>
        <w:tab/>
        <w:t>censo</w:t>
        <w:tab/>
        <w:t>de</w:t>
        <w:tab/>
        <w:t>población</w:t>
        <w:tab/>
        <w:t>y</w:t>
        <w:tab/>
        <w:t>vivienda</w:t>
        <w:tab/>
        <w:t>2010”,</w:t>
        <w:tab/>
        <w:t>en</w:t>
        <w:tab/>
        <w:t>línea </w:t>
      </w:r>
      <w:hyperlink r:id="rId604">
        <w:r>
          <w:rPr/>
          <w:t>http://www.inegi.org.mx/Sistemas/temasV2/Default.aspx?s=est&amp;c=17484</w:t>
        </w:r>
      </w:hyperlink>
      <w:r>
        <w:rPr/>
        <w:t>, consultado el 18 de</w:t>
      </w:r>
      <w:r>
        <w:rPr>
          <w:spacing w:val="-13"/>
        </w:rPr>
        <w:t> </w:t>
      </w:r>
      <w:r>
        <w:rPr/>
        <w:t>diciembre.</w:t>
      </w:r>
    </w:p>
    <w:p>
      <w:pPr>
        <w:pStyle w:val="BodyText"/>
      </w:pPr>
    </w:p>
    <w:p>
      <w:pPr>
        <w:pStyle w:val="BodyText"/>
        <w:tabs>
          <w:tab w:pos="4708" w:val="left" w:leader="none"/>
          <w:tab w:pos="8418" w:val="left" w:leader="none"/>
        </w:tabs>
        <w:spacing w:line="360" w:lineRule="auto" w:before="139"/>
        <w:ind w:left="102" w:right="120"/>
        <w:jc w:val="both"/>
      </w:pPr>
      <w:r>
        <w:rPr/>
        <w:t>INEGI (Instituto Nacional de Estadística Geografía e Informática) (2011b), “División municipal”,</w:t>
        <w:tab/>
        <w:t>en</w:t>
        <w:tab/>
        <w:t>línea</w:t>
      </w:r>
    </w:p>
    <w:p>
      <w:pPr>
        <w:spacing w:after="0" w:line="360" w:lineRule="auto"/>
        <w:jc w:val="both"/>
        <w:sectPr>
          <w:footerReference w:type="default" r:id="rId600"/>
          <w:pgSz w:w="12240" w:h="15840"/>
          <w:pgMar w:footer="1003" w:header="749" w:top="960" w:bottom="1200" w:left="1600" w:right="1580"/>
          <w:pgNumType w:start="250"/>
        </w:sectPr>
      </w:pPr>
    </w:p>
    <w:p>
      <w:pPr>
        <w:pStyle w:val="BodyText"/>
        <w:rPr>
          <w:sz w:val="20"/>
        </w:rPr>
      </w:pPr>
    </w:p>
    <w:p>
      <w:pPr>
        <w:pStyle w:val="BodyText"/>
        <w:spacing w:line="362" w:lineRule="auto" w:before="214"/>
        <w:ind w:left="102" w:right="181"/>
        <w:jc w:val="both"/>
      </w:pPr>
      <w:hyperlink r:id="rId605">
        <w:r>
          <w:rPr>
            <w:spacing w:val="-1"/>
          </w:rPr>
          <w:t>http://cuentame.inegi.org.mx/monografias/informacion/mex/territorio/div_municipal.</w:t>
        </w:r>
      </w:hyperlink>
      <w:r>
        <w:rPr>
          <w:spacing w:val="-1"/>
        </w:rPr>
        <w:t> </w:t>
      </w:r>
      <w:hyperlink r:id="rId605">
        <w:r>
          <w:rPr/>
          <w:t>aspx?tema=me&amp;e=15</w:t>
        </w:r>
      </w:hyperlink>
      <w:r>
        <w:rPr/>
        <w:t>, consultado el 18 de diciembre.</w:t>
      </w:r>
    </w:p>
    <w:p>
      <w:pPr>
        <w:pStyle w:val="BodyText"/>
        <w:spacing w:before="10"/>
        <w:rPr>
          <w:sz w:val="35"/>
        </w:rPr>
      </w:pPr>
    </w:p>
    <w:p>
      <w:pPr>
        <w:spacing w:line="360" w:lineRule="auto" w:before="0"/>
        <w:ind w:left="102" w:right="116" w:firstLine="0"/>
        <w:jc w:val="both"/>
        <w:rPr>
          <w:sz w:val="24"/>
        </w:rPr>
      </w:pPr>
      <w:r>
        <w:rPr>
          <w:sz w:val="24"/>
        </w:rPr>
        <w:t>INEGI (Instituto Nacional de Estadística Geografía e Informática) (2011c), </w:t>
      </w:r>
      <w:r>
        <w:rPr>
          <w:i/>
          <w:sz w:val="24"/>
        </w:rPr>
        <w:t>Anuario </w:t>
      </w:r>
      <w:r>
        <w:rPr>
          <w:i/>
          <w:sz w:val="24"/>
        </w:rPr>
        <w:t>de estadísticas por entidad federativa 2011, </w:t>
      </w:r>
      <w:r>
        <w:rPr>
          <w:sz w:val="24"/>
        </w:rPr>
        <w:t>México, 607 pp.</w:t>
      </w:r>
    </w:p>
    <w:p>
      <w:pPr>
        <w:pStyle w:val="BodyText"/>
      </w:pPr>
    </w:p>
    <w:p>
      <w:pPr>
        <w:pStyle w:val="BodyText"/>
        <w:tabs>
          <w:tab w:pos="4468" w:val="left" w:leader="none"/>
          <w:tab w:pos="8418" w:val="left" w:leader="none"/>
        </w:tabs>
        <w:spacing w:line="360" w:lineRule="auto" w:before="144"/>
        <w:ind w:left="102" w:right="120"/>
        <w:jc w:val="both"/>
      </w:pPr>
      <w:r>
        <w:rPr/>
        <w:t>INEGI (Instituto Nacional de Estadística Geografía e Informática) (2011d), “Volumen y crecimiento. Densidad de población por entidad federativa 2000 y 2010”,</w:t>
        <w:tab/>
        <w:t>en</w:t>
        <w:tab/>
        <w:t>línea</w:t>
      </w:r>
      <w:hyperlink r:id="rId606">
        <w:r>
          <w:rPr>
            <w:w w:val="99"/>
          </w:rPr>
          <w:t> </w:t>
        </w:r>
        <w:r>
          <w:rPr/>
          <w:t>http://www.inegi.org.mx/sistemas/sisept/default.aspx?t=mdemo11&amp;s=est&amp;c=17520</w:t>
        </w:r>
      </w:hyperlink>
    </w:p>
    <w:p>
      <w:pPr>
        <w:pStyle w:val="BodyText"/>
        <w:spacing w:before="2"/>
        <w:ind w:left="102"/>
        <w:jc w:val="both"/>
      </w:pPr>
      <w:r>
        <w:rPr/>
        <w:t>, consultado el 23 de febrero de 2012.</w:t>
      </w:r>
    </w:p>
    <w:p>
      <w:pPr>
        <w:pStyle w:val="BodyText"/>
      </w:pPr>
    </w:p>
    <w:p>
      <w:pPr>
        <w:pStyle w:val="BodyText"/>
      </w:pPr>
    </w:p>
    <w:p>
      <w:pPr>
        <w:pStyle w:val="BodyText"/>
        <w:tabs>
          <w:tab w:pos="2198" w:val="left" w:leader="none"/>
          <w:tab w:pos="4091" w:val="left" w:leader="none"/>
          <w:tab w:pos="5319" w:val="left" w:leader="none"/>
          <w:tab w:pos="7192" w:val="left" w:leader="none"/>
          <w:tab w:pos="8423" w:val="left" w:leader="none"/>
        </w:tabs>
        <w:spacing w:line="360" w:lineRule="auto"/>
        <w:ind w:left="102" w:right="115"/>
        <w:jc w:val="both"/>
      </w:pPr>
      <w:r>
        <w:rPr/>
        <w:t>INEGI (Instituto Nacional de Estadística Geografía e Informática) (2011e), “Extensión</w:t>
        <w:tab/>
        <w:t>territorial</w:t>
        <w:tab/>
        <w:t>de</w:t>
        <w:tab/>
        <w:t>México”,</w:t>
        <w:tab/>
        <w:t>en</w:t>
        <w:tab/>
      </w:r>
      <w:r>
        <w:rPr>
          <w:spacing w:val="-1"/>
        </w:rPr>
        <w:t>línea </w:t>
      </w:r>
      <w:hyperlink r:id="rId607">
        <w:r>
          <w:rPr/>
          <w:t>http://cuentame.inegi.org.mx/territorio/extension/default.aspx?tema=T</w:t>
        </w:r>
      </w:hyperlink>
      <w:r>
        <w:rPr/>
        <w:t>, consultado el 18 de</w:t>
      </w:r>
      <w:r>
        <w:rPr>
          <w:spacing w:val="-5"/>
        </w:rPr>
        <w:t> </w:t>
      </w:r>
      <w:r>
        <w:rPr/>
        <w:t>diciembre.</w:t>
      </w:r>
    </w:p>
    <w:p>
      <w:pPr>
        <w:pStyle w:val="BodyText"/>
      </w:pPr>
    </w:p>
    <w:p>
      <w:pPr>
        <w:pStyle w:val="BodyText"/>
        <w:tabs>
          <w:tab w:pos="2434" w:val="left" w:leader="none"/>
          <w:tab w:pos="4102" w:val="left" w:leader="none"/>
          <w:tab w:pos="6755" w:val="left" w:leader="none"/>
          <w:tab w:pos="8421" w:val="left" w:leader="none"/>
        </w:tabs>
        <w:spacing w:line="360" w:lineRule="auto" w:before="142"/>
        <w:ind w:left="102" w:right="117"/>
        <w:jc w:val="both"/>
      </w:pPr>
      <w:r>
        <w:rPr/>
        <w:t>INEGI (Instituto Nacional de Estadística Geografía e Informática) (2012a),  “Número</w:t>
        <w:tab/>
        <w:t>de</w:t>
        <w:tab/>
        <w:t>habitantes”,</w:t>
        <w:tab/>
        <w:t>en</w:t>
        <w:tab/>
        <w:t>línea</w:t>
      </w:r>
      <w:hyperlink r:id="rId608">
        <w:r>
          <w:rPr>
            <w:w w:val="99"/>
          </w:rPr>
          <w:t> </w:t>
        </w:r>
        <w:r>
          <w:rPr>
            <w:spacing w:val="-1"/>
          </w:rPr>
          <w:t>http://cuentame.inegi.org.mx/monografias/informacion/mex/poblacion/default.aspx?</w:t>
        </w:r>
      </w:hyperlink>
      <w:r>
        <w:rPr>
          <w:spacing w:val="-1"/>
        </w:rPr>
        <w:t> </w:t>
      </w:r>
      <w:hyperlink r:id="rId608">
        <w:r>
          <w:rPr/>
          <w:t>tema=me&amp;e=15</w:t>
        </w:r>
      </w:hyperlink>
      <w:r>
        <w:rPr/>
        <w:t>, consultado el 3 de</w:t>
      </w:r>
      <w:r>
        <w:rPr>
          <w:spacing w:val="-14"/>
        </w:rPr>
        <w:t> </w:t>
      </w:r>
      <w:r>
        <w:rPr/>
        <w:t>enero.</w:t>
      </w:r>
    </w:p>
    <w:p>
      <w:pPr>
        <w:pStyle w:val="BodyText"/>
      </w:pPr>
    </w:p>
    <w:p>
      <w:pPr>
        <w:pStyle w:val="BodyText"/>
        <w:tabs>
          <w:tab w:pos="4775" w:val="left" w:leader="none"/>
          <w:tab w:pos="8420" w:val="left" w:leader="none"/>
        </w:tabs>
        <w:spacing w:line="360" w:lineRule="auto" w:before="142"/>
        <w:ind w:left="102" w:right="117"/>
      </w:pPr>
      <w:r>
        <w:rPr/>
        <w:t>INEGI (Instituto Nacional de Estadística Geografía e Informática) (2012b), “Superficie”,</w:t>
        <w:tab/>
        <w:t>en</w:t>
        <w:tab/>
        <w:t>línea </w:t>
      </w:r>
      <w:hyperlink r:id="rId609">
        <w:r>
          <w:rPr/>
          <w:t>http://cuentame.inegi.org.mx/monografias/informacion/mex/territorio/default.aspx?t</w:t>
        </w:r>
      </w:hyperlink>
      <w:r>
        <w:rPr/>
        <w:t> </w:t>
      </w:r>
      <w:hyperlink r:id="rId609">
        <w:r>
          <w:rPr/>
          <w:t>ema=me&amp;e=15</w:t>
        </w:r>
      </w:hyperlink>
      <w:r>
        <w:rPr/>
        <w:t>, consultado el 3 de</w:t>
      </w:r>
      <w:r>
        <w:rPr>
          <w:spacing w:val="-21"/>
        </w:rPr>
        <w:t> </w:t>
      </w:r>
      <w:r>
        <w:rPr/>
        <w:t>enero.</w:t>
      </w:r>
    </w:p>
    <w:p>
      <w:pPr>
        <w:pStyle w:val="BodyText"/>
      </w:pPr>
    </w:p>
    <w:p>
      <w:pPr>
        <w:pStyle w:val="BodyText"/>
        <w:tabs>
          <w:tab w:pos="4748" w:val="left" w:leader="none"/>
          <w:tab w:pos="8420" w:val="left" w:leader="none"/>
        </w:tabs>
        <w:spacing w:line="360" w:lineRule="auto" w:before="142"/>
        <w:ind w:left="102" w:right="118"/>
        <w:jc w:val="both"/>
      </w:pPr>
      <w:r>
        <w:rPr/>
        <w:t>INEGI (Instituto Nacional de Estadística Geografía e Informática) (2012c), “Densidad”,</w:t>
        <w:tab/>
        <w:t>en</w:t>
        <w:tab/>
        <w:t>línea</w:t>
      </w:r>
      <w:hyperlink r:id="rId610">
        <w:r>
          <w:rPr>
            <w:w w:val="99"/>
          </w:rPr>
          <w:t> </w:t>
        </w:r>
        <w:r>
          <w:rPr>
            <w:spacing w:val="-1"/>
          </w:rPr>
          <w:t>http://cuentame.inegi.org.mx/monografias/informacion/mex/poblacion/densidad.asp</w:t>
        </w:r>
      </w:hyperlink>
      <w:r>
        <w:rPr>
          <w:spacing w:val="-1"/>
        </w:rPr>
        <w:t> </w:t>
      </w:r>
      <w:hyperlink r:id="rId610">
        <w:r>
          <w:rPr/>
          <w:t>x?tema=me&amp;e=15</w:t>
        </w:r>
      </w:hyperlink>
      <w:r>
        <w:rPr/>
        <w:t>, consultado el 3 de</w:t>
      </w:r>
      <w:r>
        <w:rPr>
          <w:spacing w:val="-13"/>
        </w:rPr>
        <w:t> </w:t>
      </w:r>
      <w:r>
        <w:rPr/>
        <w:t>enero.</w:t>
      </w:r>
    </w:p>
    <w:p>
      <w:pPr>
        <w:spacing w:after="0" w:line="360" w:lineRule="auto"/>
        <w:jc w:val="both"/>
        <w:sectPr>
          <w:pgSz w:w="12240" w:h="15840"/>
          <w:pgMar w:header="749" w:footer="1003" w:top="960" w:bottom="1200" w:left="1600" w:right="1580"/>
        </w:sectPr>
      </w:pPr>
    </w:p>
    <w:p>
      <w:pPr>
        <w:pStyle w:val="BodyText"/>
        <w:rPr>
          <w:sz w:val="20"/>
        </w:rPr>
      </w:pPr>
    </w:p>
    <w:p>
      <w:pPr>
        <w:pStyle w:val="BodyText"/>
        <w:rPr>
          <w:sz w:val="20"/>
        </w:rPr>
      </w:pPr>
    </w:p>
    <w:p>
      <w:pPr>
        <w:pStyle w:val="BodyText"/>
        <w:spacing w:before="8"/>
        <w:rPr>
          <w:sz w:val="28"/>
        </w:rPr>
      </w:pPr>
    </w:p>
    <w:p>
      <w:pPr>
        <w:pStyle w:val="BodyText"/>
        <w:tabs>
          <w:tab w:pos="2199" w:val="left" w:leader="none"/>
          <w:tab w:pos="3947" w:val="left" w:leader="none"/>
          <w:tab w:pos="5108" w:val="left" w:leader="none"/>
          <w:tab w:pos="7259" w:val="left" w:leader="none"/>
          <w:tab w:pos="8423" w:val="left" w:leader="none"/>
        </w:tabs>
        <w:spacing w:line="360" w:lineRule="auto" w:before="70"/>
        <w:ind w:left="102" w:right="117"/>
        <w:jc w:val="both"/>
      </w:pPr>
      <w:r>
        <w:rPr/>
        <w:t>INEGI (Instituto Nacional de Estadística Geografía e Informática) (2012d), “Población.</w:t>
        <w:tab/>
        <w:t>Número</w:t>
        <w:tab/>
        <w:t>de</w:t>
        <w:tab/>
        <w:t>habitantes”,</w:t>
        <w:tab/>
        <w:t>en</w:t>
        <w:tab/>
      </w:r>
      <w:r>
        <w:rPr>
          <w:spacing w:val="-1"/>
        </w:rPr>
        <w:t>línea </w:t>
      </w:r>
      <w:hyperlink r:id="rId611">
        <w:r>
          <w:rPr/>
          <w:t>http://cuentame.inegi.org.mx/poblacion/habitantes.aspx?tema=P</w:t>
        </w:r>
      </w:hyperlink>
      <w:r>
        <w:rPr/>
        <w:t>, consultado el 3 de</w:t>
      </w:r>
      <w:r>
        <w:rPr>
          <w:spacing w:val="-2"/>
        </w:rPr>
        <w:t> </w:t>
      </w:r>
      <w:r>
        <w:rPr/>
        <w:t>enero.</w:t>
      </w:r>
    </w:p>
    <w:p>
      <w:pPr>
        <w:pStyle w:val="BodyText"/>
      </w:pPr>
    </w:p>
    <w:p>
      <w:pPr>
        <w:pStyle w:val="BodyText"/>
      </w:pPr>
    </w:p>
    <w:p>
      <w:pPr>
        <w:pStyle w:val="BodyText"/>
        <w:spacing w:before="4"/>
        <w:rPr>
          <w:sz w:val="22"/>
        </w:rPr>
      </w:pPr>
    </w:p>
    <w:p>
      <w:pPr>
        <w:spacing w:line="376" w:lineRule="auto" w:before="0"/>
        <w:ind w:left="102" w:right="118" w:firstLine="0"/>
        <w:jc w:val="both"/>
        <w:rPr>
          <w:sz w:val="24"/>
        </w:rPr>
      </w:pPr>
      <w:r>
        <w:rPr>
          <w:sz w:val="24"/>
        </w:rPr>
        <w:t>INFOEM (Instituto de Transparencia, Acceso a la Información Pública y Protección de datos Personales del Estado de México y Municipios) (2013), </w:t>
      </w:r>
      <w:r>
        <w:rPr>
          <w:i/>
          <w:sz w:val="24"/>
        </w:rPr>
        <w:t>Respuesta a la </w:t>
      </w:r>
      <w:r>
        <w:rPr>
          <w:i/>
          <w:sz w:val="24"/>
        </w:rPr>
        <w:t>solicitud de información                  M  P         , </w:t>
      </w:r>
      <w:r>
        <w:rPr>
          <w:sz w:val="24"/>
        </w:rPr>
        <w:t>recibida el 22 de marzo.</w:t>
      </w:r>
    </w:p>
    <w:p>
      <w:pPr>
        <w:pStyle w:val="BodyText"/>
      </w:pPr>
    </w:p>
    <w:p>
      <w:pPr>
        <w:pStyle w:val="BodyText"/>
        <w:tabs>
          <w:tab w:pos="1885" w:val="left" w:leader="none"/>
          <w:tab w:pos="4255" w:val="left" w:leader="none"/>
          <w:tab w:pos="6681" w:val="left" w:leader="none"/>
          <w:tab w:pos="8423" w:val="left" w:leader="none"/>
        </w:tabs>
        <w:spacing w:line="360" w:lineRule="auto" w:before="200"/>
        <w:ind w:left="102" w:right="118"/>
        <w:jc w:val="both"/>
      </w:pPr>
      <w:r>
        <w:rPr/>
        <w:t>ITESM (Instituto Tecnológico de Estudios Superiores de Monterrey) (2012), “Características de las formas de Estado”, en </w:t>
      </w:r>
      <w:r>
        <w:rPr>
          <w:i/>
        </w:rPr>
        <w:t>Diplomado en gestión estratégica de </w:t>
      </w:r>
      <w:r>
        <w:rPr>
          <w:i/>
        </w:rPr>
        <w:t>las</w:t>
        <w:tab/>
        <w:t>finanzas</w:t>
        <w:tab/>
        <w:t>públicas,</w:t>
        <w:tab/>
      </w:r>
      <w:r>
        <w:rPr/>
        <w:t>en</w:t>
        <w:tab/>
      </w:r>
      <w:r>
        <w:rPr>
          <w:spacing w:val="-1"/>
        </w:rPr>
        <w:t>línea </w:t>
      </w:r>
      <w:hyperlink r:id="rId612">
        <w:r>
          <w:rPr>
            <w:spacing w:val="-1"/>
          </w:rPr>
          <w:t>http://www.centroscomunitariosdeaprendizaje.org.mx/sites/default/files/caracteristic</w:t>
        </w:r>
      </w:hyperlink>
      <w:r>
        <w:rPr>
          <w:spacing w:val="-1"/>
        </w:rPr>
        <w:t> </w:t>
      </w:r>
      <w:hyperlink r:id="rId612">
        <w:r>
          <w:rPr/>
          <w:t>as_t1p4.pdf</w:t>
        </w:r>
      </w:hyperlink>
      <w:r>
        <w:rPr/>
        <w:t>, consultado el 24 de</w:t>
      </w:r>
      <w:r>
        <w:rPr>
          <w:spacing w:val="-14"/>
        </w:rPr>
        <w:t> </w:t>
      </w:r>
      <w:r>
        <w:rPr/>
        <w:t>febrero.</w:t>
      </w:r>
    </w:p>
    <w:p>
      <w:pPr>
        <w:pStyle w:val="BodyText"/>
      </w:pPr>
    </w:p>
    <w:p>
      <w:pPr>
        <w:pStyle w:val="BodyText"/>
        <w:tabs>
          <w:tab w:pos="3195" w:val="left" w:leader="none"/>
          <w:tab w:pos="6089" w:val="left" w:leader="none"/>
          <w:tab w:pos="8422" w:val="left" w:leader="none"/>
        </w:tabs>
        <w:spacing w:line="360" w:lineRule="auto" w:before="140"/>
        <w:ind w:left="102" w:right="118"/>
        <w:jc w:val="both"/>
      </w:pPr>
      <w:r>
        <w:rPr/>
        <w:t>Iturbide, Agustín y Juan O´Donojú (1821), </w:t>
      </w:r>
      <w:r>
        <w:rPr>
          <w:i/>
        </w:rPr>
        <w:t>Tratados de Córdoba, 24 de agosto, </w:t>
      </w:r>
      <w:r>
        <w:rPr/>
        <w:t>Veracruz,</w:t>
        <w:tab/>
        <w:t>México,</w:t>
        <w:tab/>
        <w:t>en</w:t>
        <w:tab/>
      </w:r>
      <w:r>
        <w:rPr>
          <w:spacing w:val="-1"/>
        </w:rPr>
        <w:t>línea </w:t>
      </w:r>
      <w:hyperlink r:id="rId613">
        <w:r>
          <w:rPr/>
          <w:t>http://upload.wikimedia.org/wikipedia/commons/f/fa/Tratados_de_C%C3%B3rdoba</w:t>
        </w:r>
      </w:hyperlink>
    </w:p>
    <w:p>
      <w:pPr>
        <w:pStyle w:val="BodyText"/>
        <w:spacing w:before="5"/>
        <w:ind w:left="102"/>
        <w:jc w:val="both"/>
      </w:pPr>
      <w:hyperlink r:id="rId613">
        <w:r>
          <w:rPr/>
          <w:t>.JPG</w:t>
        </w:r>
      </w:hyperlink>
      <w:r>
        <w:rPr/>
        <w:t>, consultado el 3 de septiembre de 2013.</w:t>
      </w:r>
    </w:p>
    <w:p>
      <w:pPr>
        <w:pStyle w:val="BodyText"/>
      </w:pPr>
    </w:p>
    <w:p>
      <w:pPr>
        <w:pStyle w:val="BodyText"/>
        <w:spacing w:before="9"/>
        <w:rPr>
          <w:sz w:val="23"/>
        </w:rPr>
      </w:pPr>
    </w:p>
    <w:p>
      <w:pPr>
        <w:spacing w:line="360" w:lineRule="auto" w:before="0"/>
        <w:ind w:left="102" w:right="114" w:firstLine="0"/>
        <w:jc w:val="both"/>
        <w:rPr>
          <w:sz w:val="24"/>
        </w:rPr>
      </w:pPr>
      <w:r>
        <w:rPr>
          <w:sz w:val="24"/>
        </w:rPr>
        <w:t>Jiménez Hernández, Nancy (2014) (en proceso), </w:t>
      </w:r>
      <w:r>
        <w:rPr>
          <w:i/>
          <w:sz w:val="24"/>
        </w:rPr>
        <w:t>Relación entre desarrollo </w:t>
      </w:r>
      <w:r>
        <w:rPr>
          <w:i/>
          <w:sz w:val="24"/>
        </w:rPr>
        <w:t>socioeconómico y sistema político en el Estado de México entre 1981 y 2009 </w:t>
      </w:r>
      <w:r>
        <w:rPr>
          <w:sz w:val="24"/>
        </w:rPr>
        <w:t>(tesis de maestría en humanidades), Toluca, Facultad de Humanidades de la Universidad Autónoma del Estado de</w:t>
      </w:r>
      <w:r>
        <w:rPr>
          <w:spacing w:val="-14"/>
          <w:sz w:val="24"/>
        </w:rPr>
        <w:t> </w:t>
      </w:r>
      <w:r>
        <w:rPr>
          <w:sz w:val="24"/>
        </w:rPr>
        <w:t>México.</w:t>
      </w:r>
    </w:p>
    <w:p>
      <w:pPr>
        <w:pStyle w:val="BodyText"/>
      </w:pPr>
    </w:p>
    <w:p>
      <w:pPr>
        <w:pStyle w:val="BodyText"/>
        <w:spacing w:line="360" w:lineRule="auto" w:before="142"/>
        <w:ind w:left="102" w:right="117"/>
        <w:jc w:val="both"/>
      </w:pPr>
      <w:r>
        <w:rPr/>
        <w:t>Kjersti, Sirevaag (2011), “Una evaluación crítica sobre la calidad de la democracia en Costa Rica después de 1980: crisis económica, desintegración social y cambio político” en </w:t>
      </w:r>
      <w:r>
        <w:rPr>
          <w:i/>
        </w:rPr>
        <w:t>Revista Derecho Electoral, </w:t>
      </w:r>
      <w:r>
        <w:rPr/>
        <w:t>núm.12, segundo semestre, San José, Costa Rica, Tribunal Supremo de Elecciones, pp. 1- 62.</w:t>
      </w:r>
    </w:p>
    <w:p>
      <w:pPr>
        <w:spacing w:after="0" w:line="360" w:lineRule="auto"/>
        <w:jc w:val="both"/>
        <w:sectPr>
          <w:pgSz w:w="12240" w:h="15840"/>
          <w:pgMar w:header="749" w:footer="1003" w:top="960" w:bottom="1200" w:left="1600" w:right="1580"/>
        </w:sectPr>
      </w:pPr>
    </w:p>
    <w:p>
      <w:pPr>
        <w:pStyle w:val="BodyText"/>
        <w:rPr>
          <w:sz w:val="20"/>
        </w:rPr>
      </w:pPr>
    </w:p>
    <w:p>
      <w:pPr>
        <w:pStyle w:val="BodyText"/>
        <w:rPr>
          <w:sz w:val="20"/>
        </w:rPr>
      </w:pPr>
    </w:p>
    <w:p>
      <w:pPr>
        <w:pStyle w:val="BodyText"/>
        <w:spacing w:before="8"/>
        <w:rPr>
          <w:sz w:val="28"/>
        </w:rPr>
      </w:pPr>
    </w:p>
    <w:p>
      <w:pPr>
        <w:pStyle w:val="BodyText"/>
        <w:spacing w:line="360" w:lineRule="auto" w:before="70"/>
        <w:ind w:left="102" w:right="121"/>
        <w:jc w:val="both"/>
      </w:pPr>
      <w:r>
        <w:rPr/>
        <w:t>Komblit, Miriam (2007), “Venezuela: calidad de las elecciones y calidad de la democracia” en </w:t>
      </w:r>
      <w:r>
        <w:rPr>
          <w:i/>
        </w:rPr>
        <w:t>América Latina Hoy</w:t>
      </w:r>
      <w:r>
        <w:rPr/>
        <w:t>, núm. 45, abril, España, Universidad de Salamanca, pp. 109-124.</w:t>
      </w:r>
    </w:p>
    <w:p>
      <w:pPr>
        <w:pStyle w:val="BodyText"/>
      </w:pPr>
    </w:p>
    <w:p>
      <w:pPr>
        <w:pStyle w:val="BodyText"/>
        <w:spacing w:line="360" w:lineRule="auto" w:before="142"/>
        <w:ind w:left="102" w:right="118"/>
        <w:jc w:val="both"/>
      </w:pPr>
      <w:r>
        <w:rPr/>
        <w:t>LEM LI (LI Legislatura del Estado de México) (1992), Ley Orgánica Municipal del Estado de México, Toluca, México, LEM LI, 73 pp.</w:t>
      </w:r>
    </w:p>
    <w:p>
      <w:pPr>
        <w:pStyle w:val="BodyText"/>
      </w:pPr>
    </w:p>
    <w:p>
      <w:pPr>
        <w:pStyle w:val="BodyText"/>
        <w:spacing w:line="360" w:lineRule="auto" w:before="142"/>
        <w:ind w:left="102" w:right="118"/>
        <w:jc w:val="both"/>
      </w:pPr>
      <w:r>
        <w:rPr/>
        <w:t>LEM LIII (LIII Legislatura del Estado de México) (1998), “Decreto número 64 por el que se reforman los artículos 11, 12, 13, 61 fracciones XIII, XVII, 71, 72, 73, 74 y se adiciona la fracción VI del artículo 68 y un párrafo y los incisos a) y b) al artículo 69 de la Constitución Política del Estado Libre y Soberano de México”, publicado en la </w:t>
      </w:r>
      <w:r>
        <w:rPr>
          <w:i/>
        </w:rPr>
        <w:t>Gaceta del Gobierno, </w:t>
      </w:r>
      <w:r>
        <w:rPr/>
        <w:t>2 de octubre, Toluca, México, LEM LIII.</w:t>
      </w:r>
    </w:p>
    <w:p>
      <w:pPr>
        <w:pStyle w:val="BodyText"/>
      </w:pPr>
    </w:p>
    <w:p>
      <w:pPr>
        <w:pStyle w:val="BodyText"/>
        <w:spacing w:line="360" w:lineRule="auto" w:before="144"/>
        <w:ind w:left="102" w:right="118"/>
        <w:jc w:val="both"/>
      </w:pPr>
      <w:r>
        <w:rPr/>
        <w:t>LEM LIII (LIII Legislatura del Estado de México) (1999), “Decreto número 125 por el que se reforma, adiciona y deroga diversas disposiciones del Código Electoral del Estado de México”, publicado en la </w:t>
      </w:r>
      <w:r>
        <w:rPr>
          <w:i/>
        </w:rPr>
        <w:t>Gaceta del Gobierno, </w:t>
      </w:r>
      <w:r>
        <w:rPr/>
        <w:t>9 de octubre, Toluca, México, LEM</w:t>
      </w:r>
      <w:r>
        <w:rPr>
          <w:spacing w:val="-3"/>
        </w:rPr>
        <w:t> </w:t>
      </w:r>
      <w:r>
        <w:rPr/>
        <w:t>LIII.</w:t>
      </w:r>
    </w:p>
    <w:p>
      <w:pPr>
        <w:pStyle w:val="BodyText"/>
      </w:pPr>
    </w:p>
    <w:p>
      <w:pPr>
        <w:pStyle w:val="BodyText"/>
        <w:spacing w:line="360" w:lineRule="auto" w:before="139"/>
        <w:ind w:left="102" w:right="116"/>
        <w:jc w:val="both"/>
      </w:pPr>
      <w:r>
        <w:rPr/>
        <w:t>LEM LV (LV Legislatura del Estado de México) (2003), Decreto núm. 19, </w:t>
      </w:r>
      <w:r>
        <w:rPr>
          <w:i/>
        </w:rPr>
        <w:t>Gaceta  </w:t>
      </w:r>
      <w:r>
        <w:rPr>
          <w:i/>
        </w:rPr>
        <w:t>de Gobierno</w:t>
      </w:r>
      <w:r>
        <w:rPr/>
        <w:t>, 31 de diciembre, número 129, Toluca, 8</w:t>
      </w:r>
      <w:r>
        <w:rPr>
          <w:spacing w:val="-20"/>
        </w:rPr>
        <w:t> </w:t>
      </w:r>
      <w:r>
        <w:rPr/>
        <w:t>pp.</w:t>
      </w:r>
    </w:p>
    <w:p>
      <w:pPr>
        <w:pStyle w:val="BodyText"/>
      </w:pPr>
    </w:p>
    <w:p>
      <w:pPr>
        <w:spacing w:line="360" w:lineRule="auto" w:before="144"/>
        <w:ind w:left="102" w:right="118" w:firstLine="0"/>
        <w:jc w:val="both"/>
        <w:rPr>
          <w:sz w:val="24"/>
        </w:rPr>
      </w:pPr>
      <w:r>
        <w:rPr>
          <w:sz w:val="24"/>
        </w:rPr>
        <w:t>LEM LV (LV Legislatura del Estado de México) (2005a), Código Electoral del Estado de México en </w:t>
      </w:r>
      <w:r>
        <w:rPr>
          <w:i/>
          <w:sz w:val="24"/>
        </w:rPr>
        <w:t>Legislación Electoral del Estado de México</w:t>
      </w:r>
      <w:r>
        <w:rPr>
          <w:sz w:val="24"/>
        </w:rPr>
        <w:t>, Toluca, Instituto Electoral del Estado de México, p. 53-170.</w:t>
      </w:r>
    </w:p>
    <w:p>
      <w:pPr>
        <w:pStyle w:val="BodyText"/>
      </w:pPr>
    </w:p>
    <w:p>
      <w:pPr>
        <w:pStyle w:val="BodyText"/>
        <w:spacing w:line="360" w:lineRule="auto" w:before="140"/>
        <w:ind w:left="102" w:right="116"/>
        <w:jc w:val="both"/>
      </w:pPr>
      <w:r>
        <w:rPr/>
        <w:t>LEM LV (LV Legislatura del Estado de México) (2005b), Decreto núm. 131, </w:t>
      </w:r>
      <w:r>
        <w:rPr>
          <w:i/>
        </w:rPr>
        <w:t>Gaceta </w:t>
      </w:r>
      <w:r>
        <w:rPr>
          <w:i/>
        </w:rPr>
        <w:t>de Gobierno</w:t>
      </w:r>
      <w:r>
        <w:rPr/>
        <w:t>, 21 de mayo, número 97, Toluca, 9 pp.</w:t>
      </w:r>
    </w:p>
    <w:p>
      <w:pPr>
        <w:pStyle w:val="BodyText"/>
      </w:pPr>
    </w:p>
    <w:p>
      <w:pPr>
        <w:pStyle w:val="BodyText"/>
        <w:spacing w:line="362" w:lineRule="auto" w:before="139"/>
        <w:ind w:left="102" w:right="117"/>
        <w:jc w:val="both"/>
      </w:pPr>
      <w:r>
        <w:rPr/>
        <w:t>LEM LV (LV Legislatura del Estado de México) (2005c), </w:t>
      </w:r>
      <w:r>
        <w:rPr>
          <w:i/>
        </w:rPr>
        <w:t>Diario de debates</w:t>
      </w:r>
      <w:r>
        <w:rPr/>
        <w:t>, sesión núm. 99, 20-21 de mayo, tomo XIII, Toluca, 50 pp.</w:t>
      </w:r>
    </w:p>
    <w:p>
      <w:pPr>
        <w:spacing w:after="0" w:line="362" w:lineRule="auto"/>
        <w:jc w:val="both"/>
        <w:sectPr>
          <w:pgSz w:w="12240" w:h="15840"/>
          <w:pgMar w:header="749" w:footer="1003" w:top="960" w:bottom="1200" w:left="1600" w:right="1580"/>
        </w:sectPr>
      </w:pPr>
    </w:p>
    <w:p>
      <w:pPr>
        <w:pStyle w:val="BodyText"/>
        <w:rPr>
          <w:sz w:val="20"/>
        </w:rPr>
      </w:pPr>
    </w:p>
    <w:p>
      <w:pPr>
        <w:pStyle w:val="BodyText"/>
        <w:rPr>
          <w:sz w:val="20"/>
        </w:rPr>
      </w:pPr>
    </w:p>
    <w:p>
      <w:pPr>
        <w:pStyle w:val="BodyText"/>
        <w:spacing w:before="6"/>
        <w:rPr>
          <w:sz w:val="28"/>
        </w:rPr>
      </w:pPr>
    </w:p>
    <w:p>
      <w:pPr>
        <w:spacing w:line="360" w:lineRule="auto" w:before="69"/>
        <w:ind w:left="102" w:right="116" w:firstLine="0"/>
        <w:jc w:val="both"/>
        <w:rPr>
          <w:sz w:val="24"/>
        </w:rPr>
      </w:pPr>
      <w:r>
        <w:rPr>
          <w:sz w:val="24"/>
        </w:rPr>
        <w:t>LEM LV (LV Legislatura del Estado de México) (2005d), </w:t>
      </w:r>
      <w:r>
        <w:rPr>
          <w:i/>
          <w:sz w:val="24"/>
        </w:rPr>
        <w:t>Presupuesto de egresos </w:t>
      </w:r>
      <w:r>
        <w:rPr>
          <w:i/>
          <w:sz w:val="24"/>
        </w:rPr>
        <w:t>del gobierno del Estado de México para el ejercicio fiscal del año 2006, </w:t>
      </w:r>
      <w:r>
        <w:rPr>
          <w:sz w:val="24"/>
        </w:rPr>
        <w:t>27 de diciembre, Toluca, México, LEM LV, 29 pp.</w:t>
      </w:r>
    </w:p>
    <w:p>
      <w:pPr>
        <w:pStyle w:val="BodyText"/>
      </w:pPr>
    </w:p>
    <w:p>
      <w:pPr>
        <w:pStyle w:val="BodyText"/>
        <w:spacing w:line="360" w:lineRule="auto" w:before="139"/>
        <w:ind w:left="102" w:right="116"/>
        <w:jc w:val="both"/>
      </w:pPr>
      <w:r>
        <w:rPr/>
        <w:t>LEM LV (LV Legislatura del Estado de México) (2005e), Decreto núm. 128 </w:t>
      </w:r>
      <w:r>
        <w:rPr>
          <w:i/>
        </w:rPr>
        <w:t>Gaceta </w:t>
      </w:r>
      <w:r>
        <w:rPr>
          <w:i/>
        </w:rPr>
        <w:t>de Gobierno</w:t>
      </w:r>
      <w:r>
        <w:rPr/>
        <w:t>, 11 de marzo, número 49, Toluca, 8 pp.</w:t>
      </w:r>
    </w:p>
    <w:p>
      <w:pPr>
        <w:pStyle w:val="BodyText"/>
      </w:pPr>
    </w:p>
    <w:p>
      <w:pPr>
        <w:pStyle w:val="BodyText"/>
        <w:spacing w:line="360" w:lineRule="auto" w:before="144"/>
        <w:ind w:left="102" w:right="124"/>
        <w:jc w:val="both"/>
      </w:pPr>
      <w:r>
        <w:rPr/>
        <w:t>LEM LVI (LVI Legislatura del Estado de México) (2008), Decretos números 176,177, 178 y 179, </w:t>
      </w:r>
      <w:r>
        <w:rPr>
          <w:i/>
        </w:rPr>
        <w:t>Gaceta de Gobierno</w:t>
      </w:r>
      <w:r>
        <w:rPr/>
        <w:t>, 1 de agosto, número 22, Toluca, 12 pp.</w:t>
      </w:r>
    </w:p>
    <w:p>
      <w:pPr>
        <w:pStyle w:val="BodyText"/>
      </w:pPr>
    </w:p>
    <w:p>
      <w:pPr>
        <w:pStyle w:val="BodyText"/>
        <w:spacing w:line="360" w:lineRule="auto" w:before="144"/>
        <w:ind w:left="102" w:right="124"/>
        <w:jc w:val="both"/>
      </w:pPr>
      <w:r>
        <w:rPr/>
        <w:t>LEM LVII (LVII Legislatura del Estado de México) (2011), Código Electoral del Estado de México, Toluca, Instituto Electoral del Estado de México, 118 pp.</w:t>
      </w:r>
    </w:p>
    <w:p>
      <w:pPr>
        <w:pStyle w:val="BodyText"/>
      </w:pPr>
    </w:p>
    <w:p>
      <w:pPr>
        <w:pStyle w:val="BodyText"/>
        <w:spacing w:line="360" w:lineRule="auto" w:before="142"/>
        <w:ind w:left="102" w:right="124"/>
        <w:jc w:val="both"/>
      </w:pPr>
      <w:r>
        <w:rPr/>
        <w:t>LEM LVII (LVIII Legislatura del Estado de México) (2012), Código Electoral del Estado de México, Toluca, Instituto Electoral del Estado de México, 314 pp.</w:t>
      </w:r>
    </w:p>
    <w:p>
      <w:pPr>
        <w:pStyle w:val="BodyText"/>
      </w:pPr>
    </w:p>
    <w:p>
      <w:pPr>
        <w:pStyle w:val="BodyText"/>
        <w:spacing w:line="360" w:lineRule="auto" w:before="142"/>
        <w:ind w:left="102" w:right="117"/>
        <w:jc w:val="both"/>
      </w:pPr>
      <w:r>
        <w:rPr/>
        <w:t>Levine, Daniel H. y José Enrique Molina (2007), “La calidad de la democracia en América Latina: una visión comparada” en </w:t>
      </w:r>
      <w:r>
        <w:rPr>
          <w:i/>
        </w:rPr>
        <w:t>América Latina Hoy, </w:t>
      </w:r>
      <w:r>
        <w:rPr/>
        <w:t>núm. 45, abril, España, Universidad de Salamanca, pp. 17-46.</w:t>
      </w:r>
    </w:p>
    <w:p>
      <w:pPr>
        <w:pStyle w:val="BodyText"/>
      </w:pPr>
    </w:p>
    <w:p>
      <w:pPr>
        <w:pStyle w:val="BodyText"/>
        <w:spacing w:line="360" w:lineRule="auto" w:before="142"/>
        <w:ind w:left="102" w:right="117"/>
        <w:jc w:val="both"/>
      </w:pPr>
      <w:r>
        <w:rPr/>
        <w:t>Lizcano Fernández, Francisco (2001), “Tamaño y desarrollo socioeconómico de los países americanos al final del siglo XX”, en </w:t>
      </w:r>
      <w:r>
        <w:rPr>
          <w:i/>
        </w:rPr>
        <w:t>Convergencia, </w:t>
      </w:r>
      <w:r>
        <w:rPr/>
        <w:t>mayo-agosto, año 8, número 25, Toluca, México, Facultad de Ciencias Políticas y Administración Pública de la UAEMex, pp.</w:t>
      </w:r>
      <w:r>
        <w:rPr>
          <w:spacing w:val="-12"/>
        </w:rPr>
        <w:t> </w:t>
      </w:r>
      <w:r>
        <w:rPr/>
        <w:t>103-140.</w:t>
      </w:r>
    </w:p>
    <w:p>
      <w:pPr>
        <w:pStyle w:val="BodyText"/>
      </w:pPr>
    </w:p>
    <w:p>
      <w:pPr>
        <w:spacing w:line="362" w:lineRule="auto" w:before="140"/>
        <w:ind w:left="102" w:right="116" w:firstLine="0"/>
        <w:jc w:val="both"/>
        <w:rPr>
          <w:sz w:val="24"/>
        </w:rPr>
      </w:pPr>
      <w:r>
        <w:rPr>
          <w:sz w:val="24"/>
        </w:rPr>
        <w:t>Lizcano Fernández, Francisco (2003), </w:t>
      </w:r>
      <w:r>
        <w:rPr>
          <w:i/>
          <w:sz w:val="24"/>
        </w:rPr>
        <w:t>Ciencia política para historiadores, </w:t>
      </w:r>
      <w:r>
        <w:rPr>
          <w:sz w:val="24"/>
        </w:rPr>
        <w:t>Toluca, Estado de México, UAEMex, 82 pp.</w:t>
      </w:r>
    </w:p>
    <w:p>
      <w:pPr>
        <w:pStyle w:val="BodyText"/>
        <w:spacing w:before="8"/>
        <w:rPr>
          <w:sz w:val="35"/>
        </w:rPr>
      </w:pPr>
    </w:p>
    <w:p>
      <w:pPr>
        <w:spacing w:line="360" w:lineRule="auto" w:before="0"/>
        <w:ind w:left="102" w:right="118" w:firstLine="0"/>
        <w:jc w:val="both"/>
        <w:rPr>
          <w:i/>
          <w:sz w:val="24"/>
        </w:rPr>
      </w:pPr>
      <w:r>
        <w:rPr>
          <w:sz w:val="24"/>
        </w:rPr>
        <w:t>Lizcano Fernández, Francisco (coord.) (2006), </w:t>
      </w:r>
      <w:r>
        <w:rPr>
          <w:i/>
          <w:sz w:val="24"/>
        </w:rPr>
        <w:t>Entre la utopía y la realidad. </w:t>
      </w:r>
      <w:r>
        <w:rPr>
          <w:i/>
          <w:sz w:val="24"/>
        </w:rPr>
        <w:t>Enfoques para una reinterpretación histórica y conceptual de la democracia en</w:t>
      </w:r>
    </w:p>
    <w:p>
      <w:pPr>
        <w:spacing w:after="0" w:line="360" w:lineRule="auto"/>
        <w:jc w:val="both"/>
        <w:rPr>
          <w:sz w:val="24"/>
        </w:rPr>
        <w:sectPr>
          <w:pgSz w:w="12240" w:h="15840"/>
          <w:pgMar w:header="749" w:footer="1003" w:top="960" w:bottom="1200" w:left="1600" w:right="1580"/>
        </w:sectPr>
      </w:pPr>
    </w:p>
    <w:p>
      <w:pPr>
        <w:pStyle w:val="BodyText"/>
        <w:rPr>
          <w:i/>
          <w:sz w:val="20"/>
        </w:rPr>
      </w:pPr>
    </w:p>
    <w:p>
      <w:pPr>
        <w:pStyle w:val="BodyText"/>
        <w:spacing w:line="362" w:lineRule="auto" w:before="212"/>
        <w:ind w:left="102" w:right="122"/>
        <w:jc w:val="both"/>
      </w:pPr>
      <w:r>
        <w:rPr>
          <w:i/>
        </w:rPr>
        <w:t>América Latina, </w:t>
      </w:r>
      <w:r>
        <w:rPr/>
        <w:t>Toluca, Estado de México, Universidad Autónoma del estado de México-Universidad Nacional Autónoma de México, 299 pp.</w:t>
      </w:r>
    </w:p>
    <w:p>
      <w:pPr>
        <w:pStyle w:val="BodyText"/>
      </w:pPr>
    </w:p>
    <w:p>
      <w:pPr>
        <w:pStyle w:val="BodyText"/>
        <w:spacing w:line="360" w:lineRule="auto" w:before="139"/>
        <w:ind w:left="102" w:right="115"/>
        <w:jc w:val="both"/>
      </w:pPr>
      <w:r>
        <w:rPr/>
        <w:t>Lizcano Fernández, Francisco (2007a), “Conceptos de democracia y autoritarismo en sentido amplio y aplicación del primero”, en Francisco Lizcano Fernández y Guadalupe Yolanda Zamudio Espinoza (coords.), M</w:t>
      </w:r>
      <w:r>
        <w:rPr>
          <w:i/>
        </w:rPr>
        <w:t>emoria del tercer simposium </w:t>
      </w:r>
      <w:r>
        <w:rPr>
          <w:i/>
        </w:rPr>
        <w:t>sobre historia, sociedad y cultura de México y América latina, </w:t>
      </w:r>
      <w:r>
        <w:rPr/>
        <w:t>Toluca/México, Centro de Investigaciones en Ciencias Sociales y Humanidades de la de la Universidad Autónoma del Estado de México / Centro de Investigaciones sobre América Latina y el Caribe de la Universidad Nacional Autónoma de México, pp. 11-29. Disco Compacto. ISBN: 978-970-32-4690-8.</w:t>
      </w:r>
    </w:p>
    <w:p>
      <w:pPr>
        <w:pStyle w:val="BodyText"/>
      </w:pPr>
    </w:p>
    <w:p>
      <w:pPr>
        <w:pStyle w:val="BodyText"/>
        <w:spacing w:line="360" w:lineRule="auto" w:before="142"/>
        <w:ind w:left="102" w:right="121"/>
        <w:jc w:val="both"/>
      </w:pPr>
      <w:r>
        <w:rPr/>
        <w:t>Lizcano Fernández, Francisco (2007b), “Reflexiones para una historia comparada de las democracias en Iberoamérica”, en </w:t>
      </w:r>
      <w:r>
        <w:rPr>
          <w:i/>
        </w:rPr>
        <w:t>Latinoamérica</w:t>
      </w:r>
      <w:r>
        <w:rPr/>
        <w:t>, número 45, México, CIALC/UNAM, pp. 131-156.</w:t>
      </w:r>
    </w:p>
    <w:p>
      <w:pPr>
        <w:pStyle w:val="BodyText"/>
      </w:pPr>
    </w:p>
    <w:p>
      <w:pPr>
        <w:pStyle w:val="BodyText"/>
        <w:spacing w:line="360" w:lineRule="auto" w:before="142"/>
        <w:ind w:left="102" w:right="118"/>
        <w:jc w:val="both"/>
      </w:pPr>
      <w:r>
        <w:rPr/>
        <w:t>Lizcano Fernández, Francisco y Ruperto, Retana Ramírez (coords.) (2010),  </w:t>
      </w:r>
      <w:r>
        <w:rPr>
          <w:i/>
        </w:rPr>
        <w:t>Estado de México y democracia en los albores del siglo XXI, </w:t>
      </w:r>
      <w:r>
        <w:rPr/>
        <w:t>Toluca, Estado de México, Instituto Electoral del Estado de México-Universidad Autónoma del Estado de México/Centro de Investigaciones en Ciencias Sociales y Humanidades, 229 pp.</w:t>
      </w:r>
    </w:p>
    <w:p>
      <w:pPr>
        <w:pStyle w:val="BodyText"/>
      </w:pPr>
    </w:p>
    <w:p>
      <w:pPr>
        <w:pStyle w:val="BodyText"/>
        <w:spacing w:line="360" w:lineRule="auto" w:before="139"/>
        <w:ind w:left="102" w:right="116"/>
        <w:jc w:val="both"/>
      </w:pPr>
      <w:r>
        <w:rPr/>
        <w:t>Lizcano Fernández, Francisco (coord.) (2011), Democracia en el </w:t>
      </w:r>
      <w:r>
        <w:rPr>
          <w:i/>
        </w:rPr>
        <w:t>Estado de </w:t>
      </w:r>
      <w:r>
        <w:rPr>
          <w:i/>
        </w:rPr>
        <w:t>México. Fortalezas y debilidades, </w:t>
      </w:r>
      <w:r>
        <w:rPr/>
        <w:t>México, Universidad Autónoma del Estado de México-Gobierno del Estado de México, Poder Legislativo, LVII Legislatura-Porrúa, 435 pp.</w:t>
      </w:r>
    </w:p>
    <w:p>
      <w:pPr>
        <w:pStyle w:val="BodyText"/>
      </w:pPr>
    </w:p>
    <w:p>
      <w:pPr>
        <w:pStyle w:val="BodyText"/>
        <w:spacing w:line="357" w:lineRule="auto" w:before="142"/>
        <w:ind w:left="102" w:right="117"/>
        <w:jc w:val="both"/>
        <w:rPr>
          <w:i/>
        </w:rPr>
      </w:pPr>
      <w:r>
        <w:rPr/>
        <w:t>Lizcano Fernández, Francisco, Fernando Díaz Ortega y Rogerio Ramírez Gil (2012a), “La legitimidad democrática en México”, en Luis J. Molina Piñeiro, José Fernando  Ojesto  Martínez  Porcayo  y  Ruperto  Patiño  Manffer  (coords.),       </w:t>
      </w:r>
      <w:r>
        <w:rPr>
          <w:i/>
        </w:rPr>
        <w:t>La</w:t>
      </w:r>
    </w:p>
    <w:p>
      <w:pPr>
        <w:spacing w:after="0" w:line="357" w:lineRule="auto"/>
        <w:jc w:val="both"/>
        <w:sectPr>
          <w:pgSz w:w="12240" w:h="15840"/>
          <w:pgMar w:header="749" w:footer="1003" w:top="960" w:bottom="1200" w:left="1600" w:right="1580"/>
        </w:sectPr>
      </w:pPr>
    </w:p>
    <w:p>
      <w:pPr>
        <w:pStyle w:val="BodyText"/>
        <w:rPr>
          <w:i/>
          <w:sz w:val="20"/>
        </w:rPr>
      </w:pPr>
    </w:p>
    <w:p>
      <w:pPr>
        <w:spacing w:line="362" w:lineRule="auto" w:before="212"/>
        <w:ind w:left="102" w:right="124" w:firstLine="0"/>
        <w:jc w:val="both"/>
        <w:rPr>
          <w:sz w:val="24"/>
        </w:rPr>
      </w:pPr>
      <w:r>
        <w:rPr>
          <w:i/>
          <w:sz w:val="24"/>
        </w:rPr>
        <w:t>sucesión presidencial 2012. ¿Qué hacer para legitimarla, por qué, cómo y </w:t>
      </w:r>
      <w:r>
        <w:rPr>
          <w:i/>
          <w:sz w:val="24"/>
        </w:rPr>
        <w:t>cuándo?</w:t>
      </w:r>
      <w:r>
        <w:rPr>
          <w:sz w:val="24"/>
        </w:rPr>
        <w:t>, México, Porrúa.</w:t>
      </w:r>
    </w:p>
    <w:p>
      <w:pPr>
        <w:pStyle w:val="BodyText"/>
      </w:pPr>
    </w:p>
    <w:p>
      <w:pPr>
        <w:spacing w:line="360" w:lineRule="auto" w:before="141"/>
        <w:ind w:left="102" w:right="118" w:firstLine="0"/>
        <w:jc w:val="both"/>
        <w:rPr>
          <w:sz w:val="24"/>
        </w:rPr>
      </w:pPr>
      <w:r>
        <w:rPr>
          <w:sz w:val="24"/>
        </w:rPr>
        <w:t>Lizcano Fernández, Francisco (2012b), “Conceptos de ciudadano, ciudadanía y civismo”, </w:t>
      </w:r>
      <w:r>
        <w:rPr>
          <w:i/>
          <w:sz w:val="24"/>
        </w:rPr>
        <w:t>Polis. Revista Latinoamericana. La política: deliberación, técnica y </w:t>
      </w:r>
      <w:r>
        <w:rPr>
          <w:i/>
          <w:sz w:val="24"/>
        </w:rPr>
        <w:t>movimiento, </w:t>
      </w:r>
      <w:r>
        <w:rPr>
          <w:sz w:val="24"/>
        </w:rPr>
        <w:t>vol. 11</w:t>
      </w:r>
      <w:r>
        <w:rPr>
          <w:i/>
          <w:sz w:val="24"/>
        </w:rPr>
        <w:t>, </w:t>
      </w:r>
      <w:r>
        <w:rPr>
          <w:sz w:val="24"/>
        </w:rPr>
        <w:t>núm. 32, Santiago, Chile, en línea </w:t>
      </w:r>
      <w:hyperlink r:id="rId614">
        <w:r>
          <w:rPr>
            <w:sz w:val="24"/>
          </w:rPr>
          <w:t>http://polis.revues.org/6581#quotation</w:t>
        </w:r>
      </w:hyperlink>
      <w:r>
        <w:rPr>
          <w:sz w:val="24"/>
        </w:rPr>
        <w:t>, consultado el 16 de mayo de 2013.</w:t>
      </w:r>
    </w:p>
    <w:p>
      <w:pPr>
        <w:pStyle w:val="BodyText"/>
      </w:pPr>
    </w:p>
    <w:p>
      <w:pPr>
        <w:pStyle w:val="BodyText"/>
        <w:spacing w:line="480" w:lineRule="auto" w:before="139"/>
        <w:ind w:left="102" w:right="119"/>
        <w:jc w:val="both"/>
      </w:pPr>
      <w:r>
        <w:rPr/>
        <w:t>Lizcano Fernández, Francisco, Felipe Carlos Betancourt Higareda, Hilda  Naessens e Ivonne Maya Espinoza (2013a) (en proceso), “Calidad de la elección a gobernador del Estado de México en julio de 2011” en </w:t>
      </w:r>
      <w:r>
        <w:rPr>
          <w:i/>
        </w:rPr>
        <w:t>Revista Democracias, </w:t>
      </w:r>
      <w:r>
        <w:rPr/>
        <w:t>Toluca, México, Centro de Investigaciones en Ciencias Sociales y Humanidades (CICSyH) de la Universidad Autónoma del Estado de México</w:t>
      </w:r>
      <w:r>
        <w:rPr>
          <w:spacing w:val="-26"/>
        </w:rPr>
        <w:t> </w:t>
      </w:r>
      <w:r>
        <w:rPr/>
        <w:t>(UAEM).</w:t>
      </w:r>
    </w:p>
    <w:p>
      <w:pPr>
        <w:pStyle w:val="BodyText"/>
      </w:pPr>
    </w:p>
    <w:p>
      <w:pPr>
        <w:pStyle w:val="BodyText"/>
        <w:spacing w:line="480" w:lineRule="auto" w:before="147"/>
        <w:ind w:left="102" w:right="117"/>
        <w:jc w:val="both"/>
      </w:pPr>
      <w:r>
        <w:rPr/>
        <w:t>Lizcano Fernández, Francisco (2013b), “Unidad y diversidad del fenómeno democrático”, en Francisco Lizcano Fernández y Cynthia Araceli Ramírez Peñaloza (coords.), </w:t>
      </w:r>
      <w:r>
        <w:rPr>
          <w:i/>
        </w:rPr>
        <w:t>Hacia una historia del poder en México, </w:t>
      </w:r>
      <w:r>
        <w:rPr/>
        <w:t>Serie Las Ciencias Sociales, Toluca/México, Miguel Ángel Porrúa / Universidad Autónoma del Estado de México / Coordinación de Humanidades de la Universidad Nacional Autónoma de México, pp. 63-92.</w:t>
      </w:r>
    </w:p>
    <w:p>
      <w:pPr>
        <w:pStyle w:val="BodyText"/>
      </w:pPr>
    </w:p>
    <w:p>
      <w:pPr>
        <w:pStyle w:val="BodyText"/>
        <w:spacing w:line="362" w:lineRule="auto" w:before="144"/>
        <w:ind w:left="102" w:right="117"/>
      </w:pPr>
      <w:r>
        <w:rPr/>
        <w:t>López Sánchez, José (2010), </w:t>
      </w:r>
      <w:r>
        <w:rPr>
          <w:i/>
        </w:rPr>
        <w:t>La importancia de la democracia, </w:t>
      </w:r>
      <w:r>
        <w:rPr/>
        <w:t>en línea </w:t>
      </w:r>
      <w:hyperlink r:id="rId615">
        <w:r>
          <w:rPr/>
          <w:t>http://joselopezsanchez.files.wordpress.com/2010/05/la-importancia-de-la-</w:t>
        </w:r>
      </w:hyperlink>
      <w:r>
        <w:rPr/>
        <w:t> </w:t>
      </w:r>
      <w:hyperlink r:id="rId615">
        <w:r>
          <w:rPr/>
          <w:t>democracia.pdf</w:t>
        </w:r>
      </w:hyperlink>
      <w:r>
        <w:rPr/>
        <w:t>, consultado el 16 de mayo de 2013.</w:t>
      </w:r>
    </w:p>
    <w:p>
      <w:pPr>
        <w:pStyle w:val="BodyText"/>
      </w:pPr>
    </w:p>
    <w:p>
      <w:pPr>
        <w:pStyle w:val="BodyText"/>
        <w:spacing w:line="357" w:lineRule="auto" w:before="139"/>
        <w:ind w:left="102" w:right="117"/>
        <w:jc w:val="both"/>
        <w:rPr>
          <w:i/>
        </w:rPr>
      </w:pPr>
      <w:r>
        <w:rPr/>
        <w:t>Loza, Nicolás e Irma Méndez (2013), “De la calidad de las elecciones a la calidad de las democracias en los estados mexicanos, 2001-2012” en </w:t>
      </w:r>
      <w:r>
        <w:rPr>
          <w:i/>
        </w:rPr>
        <w:t>Revista mexicana</w:t>
      </w:r>
    </w:p>
    <w:p>
      <w:pPr>
        <w:spacing w:after="0" w:line="357" w:lineRule="auto"/>
        <w:jc w:val="both"/>
        <w:sectPr>
          <w:pgSz w:w="12240" w:h="15840"/>
          <w:pgMar w:header="749" w:footer="1003" w:top="960" w:bottom="1200" w:left="1600" w:right="1580"/>
        </w:sectPr>
      </w:pPr>
    </w:p>
    <w:p>
      <w:pPr>
        <w:pStyle w:val="BodyText"/>
        <w:rPr>
          <w:i/>
          <w:sz w:val="20"/>
        </w:rPr>
      </w:pPr>
    </w:p>
    <w:p>
      <w:pPr>
        <w:spacing w:line="362" w:lineRule="auto" w:before="212"/>
        <w:ind w:left="102" w:right="118" w:firstLine="0"/>
        <w:jc w:val="both"/>
        <w:rPr>
          <w:sz w:val="24"/>
        </w:rPr>
      </w:pPr>
      <w:r>
        <w:rPr>
          <w:i/>
          <w:sz w:val="24"/>
        </w:rPr>
        <w:t>de derecho electoral, especial sobre observación electoral 2012, </w:t>
      </w:r>
      <w:r>
        <w:rPr>
          <w:sz w:val="24"/>
        </w:rPr>
        <w:t>núm. 4, México, PNUD/UNAM-IIJ, pp. 353-368.</w:t>
      </w:r>
    </w:p>
    <w:p>
      <w:pPr>
        <w:pStyle w:val="BodyText"/>
        <w:spacing w:before="10"/>
        <w:rPr>
          <w:sz w:val="35"/>
        </w:rPr>
      </w:pPr>
    </w:p>
    <w:p>
      <w:pPr>
        <w:tabs>
          <w:tab w:pos="1929" w:val="left" w:leader="none"/>
          <w:tab w:pos="3100" w:val="left" w:leader="none"/>
          <w:tab w:pos="5072" w:val="left" w:leader="none"/>
          <w:tab w:pos="7101" w:val="left" w:leader="none"/>
          <w:tab w:pos="8420" w:val="left" w:leader="none"/>
        </w:tabs>
        <w:spacing w:line="360" w:lineRule="auto" w:before="0"/>
        <w:ind w:left="102" w:right="117" w:firstLine="0"/>
        <w:jc w:val="both"/>
        <w:rPr>
          <w:sz w:val="24"/>
        </w:rPr>
      </w:pPr>
      <w:r>
        <w:rPr>
          <w:sz w:val="24"/>
        </w:rPr>
        <w:t>Lozano Cámara, Jorge Juan (2012), “Estado Federal”, en </w:t>
      </w:r>
      <w:r>
        <w:rPr>
          <w:i/>
          <w:sz w:val="24"/>
        </w:rPr>
        <w:t>Revista digital de  </w:t>
      </w:r>
      <w:r>
        <w:rPr>
          <w:i/>
          <w:sz w:val="24"/>
        </w:rPr>
        <w:t>historia</w:t>
        <w:tab/>
        <w:t>y</w:t>
        <w:tab/>
        <w:t>Ciencias</w:t>
        <w:tab/>
        <w:t>Sociales,</w:t>
        <w:tab/>
      </w:r>
      <w:r>
        <w:rPr>
          <w:sz w:val="24"/>
        </w:rPr>
        <w:t>en</w:t>
        <w:tab/>
        <w:t>línea </w:t>
      </w:r>
      <w:hyperlink r:id="rId616">
        <w:r>
          <w:rPr>
            <w:sz w:val="24"/>
          </w:rPr>
          <w:t>http://www.claseshistoria.com/glosario/estadofederal.htm</w:t>
        </w:r>
      </w:hyperlink>
      <w:r>
        <w:rPr>
          <w:sz w:val="24"/>
        </w:rPr>
        <w:t>, consultada el 9 de marzo.</w:t>
      </w:r>
    </w:p>
    <w:p>
      <w:pPr>
        <w:pStyle w:val="BodyText"/>
      </w:pPr>
    </w:p>
    <w:p>
      <w:pPr>
        <w:pStyle w:val="BodyText"/>
        <w:spacing w:line="362" w:lineRule="auto" w:before="139"/>
        <w:ind w:left="102" w:right="116"/>
        <w:jc w:val="both"/>
      </w:pPr>
      <w:r>
        <w:rPr/>
        <w:t>Márquez Ayala, David (2006), “México. Población 2005” en </w:t>
      </w:r>
      <w:r>
        <w:rPr>
          <w:i/>
        </w:rPr>
        <w:t>Vector Económico, </w:t>
      </w:r>
      <w:r>
        <w:rPr/>
        <w:t>en línea </w:t>
      </w:r>
      <w:hyperlink r:id="rId617">
        <w:r>
          <w:rPr/>
          <w:t>http://vectoreconomico.com.mx/files/pdfs/r03072006.pdf</w:t>
        </w:r>
      </w:hyperlink>
      <w:r>
        <w:rPr/>
        <w:t>, consultada el 23 de marzo de 2013.</w:t>
      </w:r>
    </w:p>
    <w:p>
      <w:pPr>
        <w:pStyle w:val="BodyText"/>
      </w:pPr>
    </w:p>
    <w:p>
      <w:pPr>
        <w:pStyle w:val="BodyText"/>
        <w:spacing w:line="360" w:lineRule="auto" w:before="139"/>
        <w:ind w:left="102" w:right="122"/>
        <w:jc w:val="both"/>
      </w:pPr>
      <w:r>
        <w:rPr/>
        <w:t>Meléndez Chaverri, Carlos (1989), “Hace 100 años el pueblo opto por la democracia” en </w:t>
      </w:r>
      <w:r>
        <w:rPr>
          <w:i/>
        </w:rPr>
        <w:t>Revista de Historia, </w:t>
      </w:r>
      <w:r>
        <w:rPr/>
        <w:t>núm. 19, Heredia, Costa Rica, Universidad Nacional, pp. 81-90.</w:t>
      </w:r>
    </w:p>
    <w:p>
      <w:pPr>
        <w:pStyle w:val="BodyText"/>
      </w:pPr>
    </w:p>
    <w:p>
      <w:pPr>
        <w:spacing w:line="360" w:lineRule="auto" w:before="139"/>
        <w:ind w:left="102" w:right="117" w:firstLine="0"/>
        <w:jc w:val="both"/>
        <w:rPr>
          <w:sz w:val="24"/>
        </w:rPr>
      </w:pPr>
      <w:r>
        <w:rPr>
          <w:sz w:val="24"/>
        </w:rPr>
        <w:t>Mena Rodríguez, Marco A. (2010), </w:t>
      </w:r>
      <w:r>
        <w:rPr>
          <w:i/>
          <w:sz w:val="24"/>
        </w:rPr>
        <w:t>¿Cuestan demasiado las elecciones en </w:t>
      </w:r>
      <w:r>
        <w:rPr>
          <w:i/>
          <w:sz w:val="24"/>
        </w:rPr>
        <w:t>México? El Instituto Federal Electoral en perspectiva, </w:t>
      </w:r>
      <w:r>
        <w:rPr>
          <w:sz w:val="24"/>
        </w:rPr>
        <w:t>Serie El uso y abuso de los recursos públicos, Cuaderno de debate No. 2, México, Centro de Investigación y Docencia Económicas, A. C., 27 pp.</w:t>
      </w:r>
    </w:p>
    <w:p>
      <w:pPr>
        <w:pStyle w:val="BodyText"/>
      </w:pPr>
    </w:p>
    <w:p>
      <w:pPr>
        <w:spacing w:line="360" w:lineRule="auto" w:before="139"/>
        <w:ind w:left="102" w:right="118" w:firstLine="0"/>
        <w:jc w:val="both"/>
        <w:rPr>
          <w:sz w:val="24"/>
        </w:rPr>
      </w:pPr>
      <w:r>
        <w:rPr>
          <w:sz w:val="24"/>
        </w:rPr>
        <w:t>Méndez, Irma y Javier Santiago Castillo (2012), </w:t>
      </w:r>
      <w:r>
        <w:rPr>
          <w:i/>
          <w:sz w:val="24"/>
        </w:rPr>
        <w:t>Dimensión competencia política y </w:t>
      </w:r>
      <w:r>
        <w:rPr>
          <w:i/>
          <w:sz w:val="24"/>
        </w:rPr>
        <w:t>calidad de las elecciones: guía metodológica versión final</w:t>
      </w:r>
      <w:r>
        <w:rPr>
          <w:sz w:val="24"/>
        </w:rPr>
        <w:t>, Red de Investigación sobre la Calidad de la Democracia (Redicadem), México, 8 pp.</w:t>
      </w:r>
    </w:p>
    <w:p>
      <w:pPr>
        <w:pStyle w:val="BodyText"/>
      </w:pPr>
    </w:p>
    <w:p>
      <w:pPr>
        <w:spacing w:line="360" w:lineRule="auto" w:before="139"/>
        <w:ind w:left="102" w:right="122" w:firstLine="0"/>
        <w:jc w:val="both"/>
        <w:rPr>
          <w:sz w:val="24"/>
        </w:rPr>
      </w:pPr>
      <w:r>
        <w:rPr>
          <w:sz w:val="24"/>
        </w:rPr>
        <w:t>Meyer, Lorenzo (2013), </w:t>
      </w:r>
      <w:r>
        <w:rPr>
          <w:i/>
          <w:sz w:val="24"/>
        </w:rPr>
        <w:t>Nuestra tragedia persistente. La democracia autoritaria en </w:t>
      </w:r>
      <w:r>
        <w:rPr>
          <w:i/>
          <w:sz w:val="24"/>
        </w:rPr>
        <w:t>México, </w:t>
      </w:r>
      <w:r>
        <w:rPr>
          <w:sz w:val="24"/>
        </w:rPr>
        <w:t>México, Debate, 448 pp.</w:t>
      </w:r>
    </w:p>
    <w:p>
      <w:pPr>
        <w:pStyle w:val="BodyText"/>
      </w:pPr>
    </w:p>
    <w:p>
      <w:pPr>
        <w:spacing w:line="357" w:lineRule="auto" w:before="144"/>
        <w:ind w:left="102" w:right="121" w:firstLine="0"/>
        <w:jc w:val="both"/>
        <w:rPr>
          <w:i/>
          <w:sz w:val="24"/>
        </w:rPr>
      </w:pPr>
      <w:r>
        <w:rPr>
          <w:sz w:val="24"/>
        </w:rPr>
        <w:t>Molina Jiménez, Iván (1997), “Fraude electoral y cultura popular en Costa Rica (1902-1948)”, en ponencia presentada en el </w:t>
      </w:r>
      <w:r>
        <w:rPr>
          <w:i/>
          <w:sz w:val="24"/>
        </w:rPr>
        <w:t>XX International Congress of</w:t>
      </w:r>
      <w:r>
        <w:rPr>
          <w:i/>
          <w:spacing w:val="64"/>
          <w:sz w:val="24"/>
        </w:rPr>
        <w:t> </w:t>
      </w:r>
      <w:r>
        <w:rPr>
          <w:i/>
          <w:sz w:val="24"/>
        </w:rPr>
        <w:t>theLatin</w:t>
      </w:r>
    </w:p>
    <w:p>
      <w:pPr>
        <w:spacing w:after="0" w:line="357" w:lineRule="auto"/>
        <w:jc w:val="both"/>
        <w:rPr>
          <w:sz w:val="24"/>
        </w:rPr>
        <w:sectPr>
          <w:pgSz w:w="12240" w:h="15840"/>
          <w:pgMar w:header="749" w:footer="1003" w:top="960" w:bottom="1200" w:left="1600" w:right="1580"/>
        </w:sectPr>
      </w:pPr>
    </w:p>
    <w:p>
      <w:pPr>
        <w:pStyle w:val="BodyText"/>
        <w:rPr>
          <w:i/>
          <w:sz w:val="20"/>
        </w:rPr>
      </w:pPr>
    </w:p>
    <w:p>
      <w:pPr>
        <w:pStyle w:val="BodyText"/>
        <w:spacing w:line="362" w:lineRule="auto" w:before="212"/>
        <w:ind w:left="102" w:right="116"/>
        <w:jc w:val="both"/>
      </w:pPr>
      <w:r>
        <w:rPr>
          <w:i/>
        </w:rPr>
        <w:t>American</w:t>
      </w:r>
      <w:r>
        <w:rPr/>
        <w:t>, Guadalajara, México, Latín American Studies Association, versión electrónica.</w:t>
      </w:r>
    </w:p>
    <w:p>
      <w:pPr>
        <w:pStyle w:val="BodyText"/>
        <w:spacing w:before="10"/>
        <w:rPr>
          <w:sz w:val="35"/>
        </w:rPr>
      </w:pPr>
    </w:p>
    <w:p>
      <w:pPr>
        <w:spacing w:line="360" w:lineRule="auto" w:before="0"/>
        <w:ind w:left="102" w:right="118" w:firstLine="0"/>
        <w:jc w:val="both"/>
        <w:rPr>
          <w:sz w:val="24"/>
        </w:rPr>
      </w:pPr>
      <w:r>
        <w:rPr>
          <w:sz w:val="24"/>
        </w:rPr>
        <w:t>Molina Jiménez, Iván y Fabrice Lehoucq (1999), </w:t>
      </w:r>
      <w:r>
        <w:rPr>
          <w:i/>
          <w:sz w:val="24"/>
        </w:rPr>
        <w:t>Urnas de lo inesperado. Fraude </w:t>
      </w:r>
      <w:r>
        <w:rPr>
          <w:i/>
          <w:sz w:val="24"/>
        </w:rPr>
        <w:t>electoral y lucha política en Costa Rica (1901-1948)</w:t>
      </w:r>
      <w:r>
        <w:rPr>
          <w:sz w:val="24"/>
        </w:rPr>
        <w:t>, San José, Costa Rica, Universidad de Costa Rica, 224 pp.</w:t>
      </w:r>
    </w:p>
    <w:p>
      <w:pPr>
        <w:pStyle w:val="BodyText"/>
      </w:pPr>
    </w:p>
    <w:p>
      <w:pPr>
        <w:pStyle w:val="BodyText"/>
        <w:spacing w:line="360" w:lineRule="auto" w:before="142"/>
        <w:ind w:left="102" w:right="115"/>
        <w:jc w:val="both"/>
      </w:pPr>
      <w:r>
        <w:rPr/>
        <w:t>Molina Jiménez, Iván (2001), “Estadísticas electorales de Costa Rica (1897-1948): una contribución documental”, en </w:t>
      </w:r>
      <w:r>
        <w:rPr>
          <w:i/>
        </w:rPr>
        <w:t>Revista Parlamentaria, </w:t>
      </w:r>
      <w:r>
        <w:rPr/>
        <w:t>vol. 9, núm. 2, San José, Costa Rica, Asamblea Legislativa, pp. 345-435.</w:t>
      </w:r>
    </w:p>
    <w:p>
      <w:pPr>
        <w:pStyle w:val="BodyText"/>
      </w:pPr>
    </w:p>
    <w:p>
      <w:pPr>
        <w:spacing w:line="360" w:lineRule="auto" w:before="139"/>
        <w:ind w:left="102" w:right="119" w:firstLine="0"/>
        <w:jc w:val="both"/>
        <w:rPr>
          <w:sz w:val="24"/>
        </w:rPr>
      </w:pPr>
      <w:r>
        <w:rPr>
          <w:sz w:val="24"/>
        </w:rPr>
        <w:t>Molina Jiménez, Iván y Steven Palmer (2007), </w:t>
      </w:r>
      <w:r>
        <w:rPr>
          <w:i/>
          <w:sz w:val="24"/>
        </w:rPr>
        <w:t>Historia de Costa Rica. Breve, </w:t>
      </w:r>
      <w:r>
        <w:rPr>
          <w:i/>
          <w:sz w:val="24"/>
        </w:rPr>
        <w:t>actualizada y con ilustraciones</w:t>
      </w:r>
      <w:r>
        <w:rPr>
          <w:sz w:val="24"/>
        </w:rPr>
        <w:t>, San José, Costa Rica, Universidad de Costa Rica, 2ª. ed., 218 pp.</w:t>
      </w:r>
    </w:p>
    <w:p>
      <w:pPr>
        <w:pStyle w:val="BodyText"/>
      </w:pPr>
    </w:p>
    <w:p>
      <w:pPr>
        <w:spacing w:line="362" w:lineRule="auto" w:before="139"/>
        <w:ind w:left="102" w:right="121" w:firstLine="0"/>
        <w:jc w:val="both"/>
        <w:rPr>
          <w:sz w:val="24"/>
        </w:rPr>
      </w:pPr>
      <w:r>
        <w:rPr>
          <w:sz w:val="24"/>
        </w:rPr>
        <w:t>Molina Jiménez, Iván (2008), </w:t>
      </w:r>
      <w:r>
        <w:rPr>
          <w:i/>
          <w:sz w:val="24"/>
        </w:rPr>
        <w:t>Los pasados de la memoria: el origen de la reforma </w:t>
      </w:r>
      <w:r>
        <w:rPr>
          <w:i/>
          <w:sz w:val="24"/>
        </w:rPr>
        <w:t>social en Costa Rica (1938-1943)</w:t>
      </w:r>
      <w:r>
        <w:rPr>
          <w:sz w:val="24"/>
        </w:rPr>
        <w:t>, San José, Costa Rica, Universidad Nacional, 363 pp.</w:t>
      </w:r>
    </w:p>
    <w:p>
      <w:pPr>
        <w:pStyle w:val="BodyText"/>
        <w:spacing w:before="8"/>
        <w:rPr>
          <w:sz w:val="35"/>
        </w:rPr>
      </w:pPr>
    </w:p>
    <w:p>
      <w:pPr>
        <w:spacing w:line="482" w:lineRule="auto" w:before="0"/>
        <w:ind w:left="102" w:right="118" w:firstLine="0"/>
        <w:jc w:val="both"/>
        <w:rPr>
          <w:sz w:val="24"/>
        </w:rPr>
      </w:pPr>
      <w:r>
        <w:rPr>
          <w:sz w:val="24"/>
        </w:rPr>
        <w:t>Morlino, Leonardo (2005), </w:t>
      </w:r>
      <w:r>
        <w:rPr>
          <w:i/>
          <w:sz w:val="24"/>
        </w:rPr>
        <w:t>Democracias y democratizaciones</w:t>
      </w:r>
      <w:r>
        <w:rPr>
          <w:sz w:val="24"/>
        </w:rPr>
        <w:t>, México, Centro de Estudios de Política Comparada, 339 pp.</w:t>
      </w:r>
    </w:p>
    <w:p>
      <w:pPr>
        <w:pStyle w:val="BodyText"/>
      </w:pPr>
    </w:p>
    <w:p>
      <w:pPr>
        <w:pStyle w:val="BodyText"/>
        <w:spacing w:before="9"/>
        <w:rPr>
          <w:sz w:val="22"/>
        </w:rPr>
      </w:pPr>
    </w:p>
    <w:p>
      <w:pPr>
        <w:pStyle w:val="BodyText"/>
        <w:spacing w:line="480" w:lineRule="auto"/>
        <w:ind w:left="102" w:right="118"/>
        <w:jc w:val="both"/>
      </w:pPr>
      <w:r>
        <w:rPr/>
        <w:t>Morlino, Leonardo (2007), “Explicar la calidad democrática: ¿Qué tan relevantes son las tradiciones autoritarias?, en </w:t>
      </w:r>
      <w:r>
        <w:rPr>
          <w:i/>
        </w:rPr>
        <w:t>Revista de Ciencia Política</w:t>
      </w:r>
      <w:r>
        <w:rPr/>
        <w:t>, vol. 27, núm. 2, Santiago, Chile, Instituto de Ciencia Política de la Pontificia Universidad Católica de Chile, pp.</w:t>
      </w:r>
      <w:r>
        <w:rPr>
          <w:spacing w:val="-7"/>
        </w:rPr>
        <w:t> </w:t>
      </w:r>
      <w:r>
        <w:rPr/>
        <w:t>3-22.</w:t>
      </w:r>
    </w:p>
    <w:p>
      <w:pPr>
        <w:spacing w:after="0" w:line="480" w:lineRule="auto"/>
        <w:jc w:val="both"/>
        <w:sectPr>
          <w:pgSz w:w="12240" w:h="15840"/>
          <w:pgMar w:header="749" w:footer="1003" w:top="960" w:bottom="1200" w:left="1600" w:right="1580"/>
        </w:sectPr>
      </w:pPr>
    </w:p>
    <w:p>
      <w:pPr>
        <w:pStyle w:val="BodyText"/>
        <w:rPr>
          <w:sz w:val="20"/>
        </w:rPr>
      </w:pPr>
    </w:p>
    <w:p>
      <w:pPr>
        <w:spacing w:line="360" w:lineRule="auto" w:before="214"/>
        <w:ind w:left="102" w:right="116" w:firstLine="0"/>
        <w:jc w:val="both"/>
        <w:rPr>
          <w:sz w:val="24"/>
        </w:rPr>
      </w:pPr>
      <w:r>
        <w:rPr>
          <w:sz w:val="24"/>
        </w:rPr>
        <w:t>Morlino, Leonardo (2008) traducción de Jesús Tovar Mendoza, “Calidad democrática entre líderes y partidos” en </w:t>
      </w:r>
      <w:r>
        <w:rPr>
          <w:i/>
          <w:sz w:val="24"/>
        </w:rPr>
        <w:t>Conferencia presentada en el Instituto </w:t>
      </w:r>
      <w:r>
        <w:rPr>
          <w:i/>
          <w:sz w:val="24"/>
        </w:rPr>
        <w:t>Italiano di Scienze Humane, </w:t>
      </w:r>
      <w:r>
        <w:rPr>
          <w:sz w:val="24"/>
        </w:rPr>
        <w:t>abril, Florencia, Italia, 24 pp.</w:t>
      </w:r>
    </w:p>
    <w:p>
      <w:pPr>
        <w:pStyle w:val="BodyText"/>
      </w:pPr>
    </w:p>
    <w:p>
      <w:pPr>
        <w:pStyle w:val="BodyText"/>
        <w:tabs>
          <w:tab w:pos="1363" w:val="left" w:leader="none"/>
          <w:tab w:pos="3156" w:val="left" w:leader="none"/>
          <w:tab w:pos="5082" w:val="left" w:leader="none"/>
          <w:tab w:pos="7158" w:val="left" w:leader="none"/>
          <w:tab w:pos="8420" w:val="left" w:leader="none"/>
        </w:tabs>
        <w:spacing w:line="360" w:lineRule="auto" w:before="142"/>
        <w:ind w:left="102" w:right="115"/>
        <w:jc w:val="both"/>
      </w:pPr>
      <w:r>
        <w:rPr/>
        <w:t>OANDA (OANDA Europe Limited) (2013) “Tipo de cambio histórico”, en </w:t>
      </w:r>
      <w:r>
        <w:rPr>
          <w:i/>
        </w:rPr>
        <w:t>Conversor </w:t>
      </w:r>
      <w:r>
        <w:rPr>
          <w:i/>
        </w:rPr>
        <w:t>de</w:t>
        <w:tab/>
        <w:t>divisas</w:t>
      </w:r>
      <w:r>
        <w:rPr/>
        <w:t>,</w:t>
        <w:tab/>
        <w:t>Londres,</w:t>
        <w:tab/>
        <w:t>Inglaterra,</w:t>
        <w:tab/>
        <w:t>en</w:t>
        <w:tab/>
        <w:t>línea </w:t>
      </w:r>
      <w:hyperlink r:id="rId618">
        <w:r>
          <w:rPr/>
          <w:t>http://www.oanda.com/lang/es/currency/historical-rates/</w:t>
        </w:r>
      </w:hyperlink>
      <w:r>
        <w:rPr/>
        <w:t>, consultado el 17 de</w:t>
      </w:r>
      <w:r>
        <w:rPr>
          <w:spacing w:val="-23"/>
        </w:rPr>
        <w:t> </w:t>
      </w:r>
      <w:r>
        <w:rPr/>
        <w:t>abril.</w:t>
      </w:r>
    </w:p>
    <w:p>
      <w:pPr>
        <w:pStyle w:val="BodyText"/>
      </w:pPr>
    </w:p>
    <w:p>
      <w:pPr>
        <w:spacing w:line="360" w:lineRule="auto" w:before="142"/>
        <w:ind w:left="102" w:right="117" w:firstLine="0"/>
        <w:jc w:val="both"/>
        <w:rPr>
          <w:sz w:val="24"/>
        </w:rPr>
      </w:pPr>
      <w:r>
        <w:rPr>
          <w:sz w:val="24"/>
        </w:rPr>
        <w:t>O’Donnell, Guillermo (2003), “Democracia, desarrollo humano y derechos humanos”, en Guillermo O’Donnell, Osvaldo Iazzetta y Jorge Vargas Cullell (comps.), </w:t>
      </w:r>
      <w:r>
        <w:rPr>
          <w:i/>
          <w:sz w:val="24"/>
        </w:rPr>
        <w:t>Democracia, desarrollo humano y ciudadanía. Reflexiones sobre la </w:t>
      </w:r>
      <w:r>
        <w:rPr>
          <w:i/>
          <w:sz w:val="24"/>
        </w:rPr>
        <w:t>calidad de la democracia en América Latina, </w:t>
      </w:r>
      <w:r>
        <w:rPr>
          <w:sz w:val="24"/>
        </w:rPr>
        <w:t>Rosario, Argentina, Homo Sapiens/Programa de las Naciones Unidas para el Desarrollo (PNUD), pp. 25-147.</w:t>
      </w:r>
    </w:p>
    <w:p>
      <w:pPr>
        <w:pStyle w:val="BodyText"/>
      </w:pPr>
    </w:p>
    <w:p>
      <w:pPr>
        <w:pStyle w:val="BodyText"/>
        <w:spacing w:line="360" w:lineRule="auto" w:before="142"/>
        <w:ind w:left="102" w:right="117"/>
        <w:jc w:val="both"/>
      </w:pPr>
      <w:r>
        <w:rPr/>
        <w:t>OLD (Online Language Dictionaries) (2013), “Definición de mito”, en línea </w:t>
      </w:r>
      <w:hyperlink r:id="rId619">
        <w:r>
          <w:rPr/>
          <w:t>http://www.wordreference.com/definicion/mito</w:t>
        </w:r>
      </w:hyperlink>
      <w:r>
        <w:rPr/>
        <w:t>, consultado el 30 de mayo.</w:t>
      </w:r>
    </w:p>
    <w:p>
      <w:pPr>
        <w:pStyle w:val="BodyText"/>
      </w:pPr>
    </w:p>
    <w:p>
      <w:pPr>
        <w:spacing w:line="360" w:lineRule="auto" w:before="140"/>
        <w:ind w:left="102" w:right="119" w:firstLine="0"/>
        <w:jc w:val="both"/>
        <w:rPr>
          <w:sz w:val="24"/>
        </w:rPr>
      </w:pPr>
      <w:r>
        <w:rPr>
          <w:sz w:val="24"/>
        </w:rPr>
        <w:t>Ossorio, Manuel (2004), </w:t>
      </w:r>
      <w:r>
        <w:rPr>
          <w:i/>
          <w:sz w:val="24"/>
        </w:rPr>
        <w:t>Diccionario de ciencias jurídicas, políticas y sociales, </w:t>
      </w:r>
      <w:r>
        <w:rPr>
          <w:i/>
          <w:sz w:val="24"/>
        </w:rPr>
        <w:t>Guatemala</w:t>
      </w:r>
      <w:r>
        <w:rPr>
          <w:sz w:val="24"/>
        </w:rPr>
        <w:t>, Datascan, 1007 pp.</w:t>
      </w:r>
    </w:p>
    <w:p>
      <w:pPr>
        <w:pStyle w:val="BodyText"/>
      </w:pPr>
    </w:p>
    <w:p>
      <w:pPr>
        <w:pStyle w:val="BodyText"/>
        <w:spacing w:line="360" w:lineRule="auto" w:before="144"/>
        <w:ind w:left="102" w:right="122"/>
        <w:jc w:val="both"/>
      </w:pPr>
      <w:r>
        <w:rPr/>
        <w:t>Oviedo, Esteban (2010), “Partidos recuperan 81% de gastos de campaña electoral”, </w:t>
      </w:r>
      <w:r>
        <w:rPr>
          <w:i/>
        </w:rPr>
        <w:t>La Nación, </w:t>
      </w:r>
      <w:r>
        <w:rPr/>
        <w:t>17 de diciembre</w:t>
      </w:r>
      <w:r>
        <w:rPr>
          <w:i/>
        </w:rPr>
        <w:t>, </w:t>
      </w:r>
      <w:r>
        <w:rPr/>
        <w:t>p. 1.</w:t>
      </w:r>
    </w:p>
    <w:p>
      <w:pPr>
        <w:pStyle w:val="BodyText"/>
      </w:pPr>
    </w:p>
    <w:p>
      <w:pPr>
        <w:pStyle w:val="BodyText"/>
        <w:spacing w:line="357" w:lineRule="auto" w:before="144"/>
        <w:ind w:left="102" w:right="116"/>
        <w:jc w:val="both"/>
      </w:pPr>
      <w:r>
        <w:rPr/>
        <w:t>Oviedo, Esteban (2011a), “TSE rechaza pago al PIN por dudoso manejo de cheques”, </w:t>
      </w:r>
      <w:r>
        <w:rPr>
          <w:i/>
        </w:rPr>
        <w:t>La Nación, </w:t>
      </w:r>
      <w:r>
        <w:rPr/>
        <w:t>19 de noviembre</w:t>
      </w:r>
      <w:r>
        <w:rPr>
          <w:i/>
        </w:rPr>
        <w:t>, </w:t>
      </w:r>
      <w:r>
        <w:rPr/>
        <w:t>p. 1.</w:t>
      </w:r>
    </w:p>
    <w:p>
      <w:pPr>
        <w:pStyle w:val="BodyText"/>
      </w:pPr>
    </w:p>
    <w:p>
      <w:pPr>
        <w:pStyle w:val="BodyText"/>
        <w:spacing w:line="360" w:lineRule="auto" w:before="147"/>
        <w:ind w:left="102" w:right="123"/>
        <w:jc w:val="both"/>
      </w:pPr>
      <w:r>
        <w:rPr/>
        <w:t>Oviedo, Esteban (2011b), “TSE reembolsa al PLN 95% de los gastos por elección de alcaldes”, </w:t>
      </w:r>
      <w:r>
        <w:rPr>
          <w:i/>
        </w:rPr>
        <w:t>La Nación, </w:t>
      </w:r>
      <w:r>
        <w:rPr/>
        <w:t>24 de octubre</w:t>
      </w:r>
      <w:r>
        <w:rPr>
          <w:i/>
        </w:rPr>
        <w:t>, </w:t>
      </w:r>
      <w:r>
        <w:rPr/>
        <w:t>p. 8.</w:t>
      </w:r>
    </w:p>
    <w:p>
      <w:pPr>
        <w:pStyle w:val="BodyText"/>
      </w:pPr>
    </w:p>
    <w:p>
      <w:pPr>
        <w:pStyle w:val="BodyText"/>
        <w:spacing w:line="360" w:lineRule="auto" w:before="142"/>
        <w:ind w:left="102" w:right="124"/>
        <w:jc w:val="both"/>
      </w:pPr>
      <w:r>
        <w:rPr/>
        <w:t>Oviedo, Esteban (2012), “PLN intentó cobrar al TSE intereses para pagar a 93 de sus prestamistas”, </w:t>
      </w:r>
      <w:r>
        <w:rPr>
          <w:i/>
        </w:rPr>
        <w:t>La Nación, </w:t>
      </w:r>
      <w:r>
        <w:rPr/>
        <w:t>13 de febrero</w:t>
      </w:r>
      <w:r>
        <w:rPr>
          <w:i/>
        </w:rPr>
        <w:t>, </w:t>
      </w:r>
      <w:r>
        <w:rPr/>
        <w:t>p. 5.</w:t>
      </w:r>
    </w:p>
    <w:p>
      <w:pPr>
        <w:spacing w:after="0" w:line="360" w:lineRule="auto"/>
        <w:jc w:val="both"/>
        <w:sectPr>
          <w:pgSz w:w="12240" w:h="15840"/>
          <w:pgMar w:header="749" w:footer="1003" w:top="960" w:bottom="1200" w:left="1600" w:right="1580"/>
        </w:sectPr>
      </w:pPr>
    </w:p>
    <w:p>
      <w:pPr>
        <w:pStyle w:val="BodyText"/>
        <w:rPr>
          <w:sz w:val="20"/>
        </w:rPr>
      </w:pPr>
    </w:p>
    <w:p>
      <w:pPr>
        <w:pStyle w:val="BodyText"/>
        <w:rPr>
          <w:sz w:val="20"/>
        </w:rPr>
      </w:pPr>
    </w:p>
    <w:p>
      <w:pPr>
        <w:pStyle w:val="BodyText"/>
        <w:rPr>
          <w:sz w:val="20"/>
        </w:rPr>
      </w:pPr>
    </w:p>
    <w:p>
      <w:pPr>
        <w:pStyle w:val="BodyText"/>
        <w:spacing w:before="6"/>
        <w:rPr>
          <w:sz w:val="17"/>
        </w:rPr>
      </w:pPr>
    </w:p>
    <w:p>
      <w:pPr>
        <w:spacing w:line="360" w:lineRule="auto" w:before="69"/>
        <w:ind w:left="102" w:right="121" w:firstLine="0"/>
        <w:jc w:val="both"/>
        <w:rPr>
          <w:sz w:val="24"/>
        </w:rPr>
      </w:pPr>
      <w:r>
        <w:rPr>
          <w:sz w:val="24"/>
        </w:rPr>
        <w:t>Pachano, Simón (2011), </w:t>
      </w:r>
      <w:r>
        <w:rPr>
          <w:i/>
          <w:sz w:val="24"/>
        </w:rPr>
        <w:t>Calidad de la democracia e instituciones políticas en </w:t>
      </w:r>
      <w:r>
        <w:rPr>
          <w:i/>
          <w:sz w:val="24"/>
        </w:rPr>
        <w:t>Bolivia, Ecuador y Perú, </w:t>
      </w:r>
      <w:r>
        <w:rPr>
          <w:sz w:val="24"/>
        </w:rPr>
        <w:t>Quito, Ecuador, FLACSO Sede Ecuador, 398 pp.</w:t>
      </w:r>
    </w:p>
    <w:p>
      <w:pPr>
        <w:pStyle w:val="BodyText"/>
      </w:pPr>
    </w:p>
    <w:p>
      <w:pPr>
        <w:spacing w:line="360" w:lineRule="auto" w:before="142"/>
        <w:ind w:left="102" w:right="118" w:firstLine="0"/>
        <w:jc w:val="both"/>
        <w:rPr>
          <w:sz w:val="24"/>
        </w:rPr>
      </w:pPr>
      <w:r>
        <w:rPr>
          <w:sz w:val="24"/>
        </w:rPr>
        <w:t>Patrick Bell, John (1981), </w:t>
      </w:r>
      <w:r>
        <w:rPr>
          <w:i/>
          <w:sz w:val="24"/>
        </w:rPr>
        <w:t>Guerra civil en Costa Rica: los sucesos políticos de  </w:t>
      </w:r>
      <w:r>
        <w:rPr>
          <w:i/>
          <w:sz w:val="24"/>
        </w:rPr>
        <w:t>1948</w:t>
      </w:r>
      <w:r>
        <w:rPr>
          <w:sz w:val="24"/>
        </w:rPr>
        <w:t>, San José, Costa Rica, Editorial Universitaria Centroamericana Educa, 221 pp.</w:t>
      </w:r>
    </w:p>
    <w:p>
      <w:pPr>
        <w:pStyle w:val="BodyText"/>
      </w:pPr>
    </w:p>
    <w:p>
      <w:pPr>
        <w:pStyle w:val="BodyText"/>
        <w:spacing w:line="360" w:lineRule="auto" w:before="142"/>
        <w:ind w:left="102" w:right="120"/>
        <w:jc w:val="both"/>
      </w:pPr>
      <w:r>
        <w:rPr/>
        <w:t>PE (Poder Ejecutivo) (1996a), “Decreto mediante el cual se declaran reformados diversos artículos de la Constitución Política de los Estados Unidos Mexicanos” en el </w:t>
      </w:r>
      <w:r>
        <w:rPr>
          <w:i/>
        </w:rPr>
        <w:t>Diario Oficial de la Federación</w:t>
      </w:r>
      <w:r>
        <w:rPr/>
        <w:t>, 22 de agosto, México, Secretaria de Gobernación, 13 pp.</w:t>
      </w:r>
    </w:p>
    <w:p>
      <w:pPr>
        <w:pStyle w:val="BodyText"/>
      </w:pPr>
    </w:p>
    <w:p>
      <w:pPr>
        <w:pStyle w:val="BodyText"/>
        <w:spacing w:line="360" w:lineRule="auto" w:before="142"/>
        <w:ind w:left="102" w:right="115"/>
        <w:jc w:val="both"/>
      </w:pPr>
      <w:r>
        <w:rPr/>
        <w:t>PE (Poder Ejecutivo) (1996b), “Decreto por el que se reforman, adicionan y derogan diversas disposiciones del Código Federal de Instituciones y Procedimientos Electorales; de la Ley Reglamentaria de las Fracciones I y II del Artículo 105 de la Constitución Política de los Estados Unidos Mexicanos; de la Ley Orgánica del Poder Judicial de la Federación; del Código Penal para el Distrito Federal en Materia de Fuero Común y para toda la República en Materia de Fuero Federal; del Estatuto de Gobierno del Distrito Federal; y se expide la Ley General del Sistema de Medios de Impugnación en Materia Electoral” en el </w:t>
      </w:r>
      <w:r>
        <w:rPr>
          <w:i/>
        </w:rPr>
        <w:t>Diario Oficial de </w:t>
      </w:r>
      <w:r>
        <w:rPr>
          <w:i/>
        </w:rPr>
        <w:t>la Federación</w:t>
      </w:r>
      <w:r>
        <w:rPr/>
        <w:t>, 22 de noviembre, México, Secretaria de</w:t>
      </w:r>
      <w:r>
        <w:rPr>
          <w:spacing w:val="-26"/>
        </w:rPr>
        <w:t> </w:t>
      </w:r>
      <w:r>
        <w:rPr/>
        <w:t>Gobernación.</w:t>
      </w:r>
    </w:p>
    <w:p>
      <w:pPr>
        <w:pStyle w:val="BodyText"/>
      </w:pPr>
    </w:p>
    <w:p>
      <w:pPr>
        <w:pStyle w:val="BodyText"/>
        <w:spacing w:line="357" w:lineRule="auto" w:before="144"/>
        <w:ind w:left="102" w:right="126"/>
        <w:jc w:val="both"/>
      </w:pPr>
      <w:r>
        <w:rPr/>
        <w:t>PGJEM (Procuraduría General de Justicia del Estado de México) (2006), Acuerdo número 009/2006, </w:t>
      </w:r>
      <w:r>
        <w:rPr>
          <w:i/>
        </w:rPr>
        <w:t>Gaceta de Gobierno, </w:t>
      </w:r>
      <w:r>
        <w:rPr/>
        <w:t>7 de marzo, número 45, Toluca, 4 pp.</w:t>
      </w:r>
    </w:p>
    <w:p>
      <w:pPr>
        <w:pStyle w:val="BodyText"/>
      </w:pPr>
    </w:p>
    <w:p>
      <w:pPr>
        <w:pStyle w:val="BodyText"/>
        <w:spacing w:line="360" w:lineRule="auto" w:before="147"/>
        <w:ind w:left="102" w:right="117"/>
        <w:jc w:val="both"/>
      </w:pPr>
      <w:r>
        <w:rPr/>
        <w:t>PGR (Procuraduría General de la República) (2012), “Qué es la FEPADE”, en  línea </w:t>
      </w:r>
      <w:hyperlink r:id="rId621">
        <w:r>
          <w:rPr/>
          <w:t>http://www.pgr.gob.mx</w:t>
        </w:r>
      </w:hyperlink>
      <w:r>
        <w:rPr/>
        <w:t>, consultado el 22 de</w:t>
      </w:r>
      <w:r>
        <w:rPr>
          <w:spacing w:val="-20"/>
        </w:rPr>
        <w:t> </w:t>
      </w:r>
      <w:r>
        <w:rPr/>
        <w:t>abril.</w:t>
      </w:r>
    </w:p>
    <w:p>
      <w:pPr>
        <w:pStyle w:val="BodyText"/>
      </w:pPr>
    </w:p>
    <w:p>
      <w:pPr>
        <w:spacing w:line="360" w:lineRule="auto" w:before="139"/>
        <w:ind w:left="102" w:right="122" w:firstLine="0"/>
        <w:jc w:val="both"/>
        <w:rPr>
          <w:sz w:val="24"/>
        </w:rPr>
      </w:pPr>
      <w:r>
        <w:rPr>
          <w:sz w:val="24"/>
        </w:rPr>
        <w:t>Pinaud, José María (1942), </w:t>
      </w:r>
      <w:r>
        <w:rPr>
          <w:i/>
          <w:sz w:val="24"/>
        </w:rPr>
        <w:t>El 7 de noviembre de 1889. La epopeya del civismo </w:t>
      </w:r>
      <w:r>
        <w:rPr>
          <w:i/>
          <w:sz w:val="24"/>
        </w:rPr>
        <w:t>costarricense, </w:t>
      </w:r>
      <w:r>
        <w:rPr>
          <w:sz w:val="24"/>
        </w:rPr>
        <w:t>San José, Costa Rica, La Tribuna, 115 pp.</w:t>
      </w:r>
    </w:p>
    <w:p>
      <w:pPr>
        <w:spacing w:after="0" w:line="360" w:lineRule="auto"/>
        <w:jc w:val="both"/>
        <w:rPr>
          <w:sz w:val="24"/>
        </w:rPr>
        <w:sectPr>
          <w:footerReference w:type="default" r:id="rId620"/>
          <w:pgSz w:w="12240" w:h="15840"/>
          <w:pgMar w:footer="1003" w:header="749" w:top="960" w:bottom="1200" w:left="1600" w:right="1580"/>
          <w:pgNumType w:start="260"/>
        </w:sectPr>
      </w:pPr>
    </w:p>
    <w:p>
      <w:pPr>
        <w:pStyle w:val="BodyText"/>
        <w:rPr>
          <w:sz w:val="20"/>
        </w:rPr>
      </w:pPr>
    </w:p>
    <w:p>
      <w:pPr>
        <w:pStyle w:val="BodyText"/>
        <w:rPr>
          <w:sz w:val="20"/>
        </w:rPr>
      </w:pPr>
    </w:p>
    <w:p>
      <w:pPr>
        <w:pStyle w:val="BodyText"/>
        <w:spacing w:before="8"/>
        <w:rPr>
          <w:sz w:val="28"/>
        </w:rPr>
      </w:pPr>
    </w:p>
    <w:p>
      <w:pPr>
        <w:pStyle w:val="BodyText"/>
        <w:tabs>
          <w:tab w:pos="4561" w:val="left" w:leader="none"/>
          <w:tab w:pos="8420" w:val="left" w:leader="none"/>
        </w:tabs>
        <w:spacing w:line="360" w:lineRule="auto" w:before="70"/>
        <w:ind w:left="102" w:right="117"/>
      </w:pPr>
      <w:r>
        <w:rPr/>
        <w:t>PRI (Partido Revolucionario Institucional) (2011), “Nuestro partido, línea del tiempo”,</w:t>
        <w:tab/>
        <w:t>en</w:t>
        <w:tab/>
        <w:t>línea </w:t>
      </w:r>
      <w:hyperlink r:id="rId622">
        <w:r>
          <w:rPr/>
          <w:t>http://www.pri.org.mx/LaFuerzadeMexico/NuestroPartido/LineaTiempo.aspx</w:t>
        </w:r>
      </w:hyperlink>
      <w:r>
        <w:rPr/>
        <w:t>, consultado el 20 de</w:t>
      </w:r>
      <w:r>
        <w:rPr>
          <w:spacing w:val="-13"/>
        </w:rPr>
        <w:t> </w:t>
      </w:r>
      <w:r>
        <w:rPr/>
        <w:t>diciembre.</w:t>
      </w:r>
    </w:p>
    <w:p>
      <w:pPr>
        <w:pStyle w:val="BodyText"/>
      </w:pPr>
    </w:p>
    <w:p>
      <w:pPr>
        <w:pStyle w:val="BodyText"/>
        <w:spacing w:line="360" w:lineRule="auto" w:before="142"/>
        <w:ind w:left="102" w:right="114"/>
      </w:pPr>
      <w:r>
        <w:rPr/>
        <w:t>PRI (Partido Revolucionario Institucional) (2012), “Geografía Electoral 2010”, en línea </w:t>
      </w:r>
      <w:hyperlink r:id="rId623">
        <w:r>
          <w:rPr/>
          <w:t>http://blog.elpridehoy.org.mx/index.php/2010/04/22/geografia-electoral-2010-</w:t>
        </w:r>
      </w:hyperlink>
      <w:r>
        <w:rPr/>
        <w:t> </w:t>
      </w:r>
      <w:hyperlink r:id="rId623">
        <w:r>
          <w:rPr/>
          <w:t>analisis-y-tendencias-de-la-votacion-para-las-siguientes-elecciones-en-mexico/</w:t>
        </w:r>
      </w:hyperlink>
      <w:r>
        <w:rPr/>
        <w:t>, consultado el 16 de enero.</w:t>
      </w:r>
    </w:p>
    <w:p>
      <w:pPr>
        <w:pStyle w:val="BodyText"/>
      </w:pPr>
    </w:p>
    <w:p>
      <w:pPr>
        <w:pStyle w:val="BodyText"/>
        <w:spacing w:line="360" w:lineRule="auto" w:before="142"/>
        <w:ind w:left="102" w:right="114"/>
        <w:jc w:val="both"/>
      </w:pPr>
      <w:r>
        <w:rPr/>
        <w:t>Quesada C., Juan Rafael (1989), “Aniversario de la democracia costarricense” en </w:t>
      </w:r>
      <w:r>
        <w:rPr>
          <w:i/>
        </w:rPr>
        <w:t>Revista de Historia, </w:t>
      </w:r>
      <w:r>
        <w:rPr/>
        <w:t>núm. 19, Heredia, Costa Rica, Universidad Nacional, pp. 77- 80.</w:t>
      </w:r>
    </w:p>
    <w:p>
      <w:pPr>
        <w:pStyle w:val="BodyText"/>
      </w:pPr>
    </w:p>
    <w:p>
      <w:pPr>
        <w:spacing w:line="360" w:lineRule="auto" w:before="139"/>
        <w:ind w:left="102" w:right="116" w:firstLine="0"/>
        <w:jc w:val="both"/>
        <w:rPr>
          <w:sz w:val="24"/>
        </w:rPr>
      </w:pPr>
      <w:r>
        <w:rPr>
          <w:sz w:val="24"/>
        </w:rPr>
        <w:t>RAE (Real Academia Española) (2011), </w:t>
      </w:r>
      <w:r>
        <w:rPr>
          <w:i/>
          <w:sz w:val="24"/>
        </w:rPr>
        <w:t>Diccionario de la Lengua Española</w:t>
      </w:r>
      <w:r>
        <w:rPr>
          <w:sz w:val="24"/>
        </w:rPr>
        <w:t>, 22ª. ed., vols. I y II, Madrid, Espasa Calpe.</w:t>
      </w:r>
    </w:p>
    <w:p>
      <w:pPr>
        <w:pStyle w:val="BodyText"/>
      </w:pPr>
    </w:p>
    <w:p>
      <w:pPr>
        <w:spacing w:line="360" w:lineRule="auto" w:before="140"/>
        <w:ind w:left="102" w:right="119" w:firstLine="0"/>
        <w:jc w:val="both"/>
        <w:rPr>
          <w:sz w:val="24"/>
        </w:rPr>
      </w:pPr>
      <w:r>
        <w:rPr>
          <w:sz w:val="24"/>
        </w:rPr>
        <w:t>Reyes Tepach, Marcial (2007), </w:t>
      </w:r>
      <w:r>
        <w:rPr>
          <w:i/>
          <w:sz w:val="24"/>
        </w:rPr>
        <w:t>Partidos políticos: prohibición para contratar </w:t>
      </w:r>
      <w:r>
        <w:rPr>
          <w:i/>
          <w:sz w:val="24"/>
        </w:rPr>
        <w:t>tiempos en la radio y la televisión y las nuevas reglas de acceso a estos medios electrónicos, en los términos del artículo 41 Constitucional, Fr. III, apartado A, </w:t>
      </w:r>
      <w:r>
        <w:rPr>
          <w:sz w:val="24"/>
        </w:rPr>
        <w:t>México, Centro de documentación, información y análisis de la Cámara de Diputados LX Legislatura, 32 pp.</w:t>
      </w:r>
    </w:p>
    <w:p>
      <w:pPr>
        <w:pStyle w:val="BodyText"/>
      </w:pPr>
    </w:p>
    <w:p>
      <w:pPr>
        <w:pStyle w:val="BodyText"/>
        <w:spacing w:line="360" w:lineRule="auto" w:before="142"/>
        <w:ind w:left="102" w:right="117"/>
        <w:jc w:val="both"/>
      </w:pPr>
      <w:r>
        <w:rPr/>
        <w:t>Robles Leal, Alejandro (2012), “Financiamiento estatal para los procesos electorales municipales” en </w:t>
      </w:r>
      <w:r>
        <w:rPr>
          <w:i/>
        </w:rPr>
        <w:t>Revista Derecho Electoral, </w:t>
      </w:r>
      <w:r>
        <w:rPr/>
        <w:t>núm. 13, enero-junio, San José, Costa Rica, Tribunal Supremo de Elecciones, pp. 39-77.</w:t>
      </w:r>
    </w:p>
    <w:p>
      <w:pPr>
        <w:pStyle w:val="BodyText"/>
      </w:pPr>
    </w:p>
    <w:p>
      <w:pPr>
        <w:pStyle w:val="BodyText"/>
        <w:spacing w:line="360" w:lineRule="auto" w:before="139"/>
        <w:ind w:left="102" w:right="118"/>
        <w:jc w:val="both"/>
      </w:pPr>
      <w:r>
        <w:rPr/>
        <w:t>Sánchez García, Alfonso y Alfonso Sánchez Arteche (1999), </w:t>
      </w:r>
      <w:r>
        <w:rPr>
          <w:i/>
        </w:rPr>
        <w:t>Toluca. Monografía </w:t>
      </w:r>
      <w:r>
        <w:rPr>
          <w:i/>
        </w:rPr>
        <w:t>municipal</w:t>
      </w:r>
      <w:r>
        <w:rPr/>
        <w:t>, Gobierno del Estado de México-Asociación Mexiquense de Cronistas Municipales A.C., Toluca, México, s/n.</w:t>
      </w:r>
    </w:p>
    <w:p>
      <w:pPr>
        <w:spacing w:after="0" w:line="360" w:lineRule="auto"/>
        <w:jc w:val="both"/>
        <w:sectPr>
          <w:pgSz w:w="12240" w:h="15840"/>
          <w:pgMar w:header="749" w:footer="1003" w:top="960" w:bottom="1200" w:left="1600" w:right="1580"/>
        </w:sectPr>
      </w:pPr>
    </w:p>
    <w:p>
      <w:pPr>
        <w:pStyle w:val="BodyText"/>
        <w:rPr>
          <w:sz w:val="20"/>
        </w:rPr>
      </w:pPr>
    </w:p>
    <w:p>
      <w:pPr>
        <w:pStyle w:val="BodyText"/>
        <w:rPr>
          <w:sz w:val="20"/>
        </w:rPr>
      </w:pPr>
    </w:p>
    <w:p>
      <w:pPr>
        <w:pStyle w:val="BodyText"/>
        <w:spacing w:before="6"/>
        <w:rPr>
          <w:sz w:val="28"/>
        </w:rPr>
      </w:pPr>
    </w:p>
    <w:p>
      <w:pPr>
        <w:pStyle w:val="BodyText"/>
        <w:spacing w:line="360" w:lineRule="auto" w:before="69"/>
        <w:ind w:left="102" w:right="119"/>
        <w:jc w:val="both"/>
      </w:pPr>
      <w:r>
        <w:rPr/>
        <w:t>Sartori, Giovanni (1989), </w:t>
      </w:r>
      <w:r>
        <w:rPr>
          <w:i/>
        </w:rPr>
        <w:t>Teoría de la democracia</w:t>
      </w:r>
      <w:r>
        <w:rPr/>
        <w:t>, Alianza Universidad, reimp., tomos I y II, pp. 626. Falta tomo I.</w:t>
      </w:r>
    </w:p>
    <w:p>
      <w:pPr>
        <w:pStyle w:val="BodyText"/>
      </w:pPr>
    </w:p>
    <w:p>
      <w:pPr>
        <w:spacing w:line="362" w:lineRule="auto" w:before="139"/>
        <w:ind w:left="102" w:right="119" w:firstLine="0"/>
        <w:jc w:val="both"/>
        <w:rPr>
          <w:sz w:val="24"/>
        </w:rPr>
      </w:pPr>
      <w:r>
        <w:rPr>
          <w:sz w:val="24"/>
        </w:rPr>
        <w:t>Sartori, Giovanni (2005), </w:t>
      </w:r>
      <w:r>
        <w:rPr>
          <w:i/>
          <w:sz w:val="24"/>
        </w:rPr>
        <w:t>Partidos y sistemas de partidos, </w:t>
      </w:r>
      <w:r>
        <w:rPr>
          <w:sz w:val="24"/>
        </w:rPr>
        <w:t>Madrid, Alianza, 2a ed., 414 pp.</w:t>
      </w:r>
    </w:p>
    <w:p>
      <w:pPr>
        <w:pStyle w:val="BodyText"/>
        <w:spacing w:before="10"/>
        <w:rPr>
          <w:sz w:val="35"/>
        </w:rPr>
      </w:pPr>
    </w:p>
    <w:p>
      <w:pPr>
        <w:spacing w:line="360" w:lineRule="auto" w:before="0"/>
        <w:ind w:left="102" w:right="118" w:firstLine="0"/>
        <w:jc w:val="both"/>
        <w:rPr>
          <w:sz w:val="24"/>
        </w:rPr>
      </w:pPr>
      <w:r>
        <w:rPr>
          <w:sz w:val="24"/>
        </w:rPr>
        <w:t>Sartori, Giovanni (2011), </w:t>
      </w:r>
      <w:r>
        <w:rPr>
          <w:i/>
          <w:sz w:val="24"/>
        </w:rPr>
        <w:t>La democracia en 30 lecciones, </w:t>
      </w:r>
      <w:r>
        <w:rPr>
          <w:sz w:val="24"/>
        </w:rPr>
        <w:t>México, Taurus, reimp., 150 pp.</w:t>
      </w:r>
    </w:p>
    <w:p>
      <w:pPr>
        <w:pStyle w:val="BodyText"/>
      </w:pPr>
    </w:p>
    <w:p>
      <w:pPr>
        <w:pStyle w:val="BodyText"/>
        <w:spacing w:line="360" w:lineRule="auto" w:before="142"/>
        <w:ind w:left="102" w:right="118"/>
        <w:jc w:val="both"/>
      </w:pPr>
      <w:r>
        <w:rPr/>
        <w:t>SHyCP (Secretaria de Hacienda y Crédito Público) (2005), “Presupuesto de egresos de la federación para el ejercicio fiscal de 2006” en </w:t>
      </w:r>
      <w:r>
        <w:rPr>
          <w:i/>
        </w:rPr>
        <w:t>Diario Oficial de la </w:t>
      </w:r>
      <w:r>
        <w:rPr>
          <w:i/>
        </w:rPr>
        <w:t>Federación</w:t>
      </w:r>
      <w:r>
        <w:rPr/>
        <w:t>, 22 de diciembre, México, Secretaria de Gobernación, pp. 3-108.</w:t>
      </w:r>
    </w:p>
    <w:p>
      <w:pPr>
        <w:pStyle w:val="BodyText"/>
      </w:pPr>
    </w:p>
    <w:p>
      <w:pPr>
        <w:pStyle w:val="BodyText"/>
        <w:tabs>
          <w:tab w:pos="600" w:val="left" w:leader="none"/>
          <w:tab w:pos="1588" w:val="left" w:leader="none"/>
          <w:tab w:pos="2420" w:val="left" w:leader="none"/>
          <w:tab w:pos="2916" w:val="left" w:leader="none"/>
          <w:tab w:pos="3412" w:val="left" w:leader="none"/>
          <w:tab w:pos="4828" w:val="left" w:leader="none"/>
          <w:tab w:pos="5484" w:val="left" w:leader="none"/>
          <w:tab w:pos="6288" w:val="left" w:leader="none"/>
          <w:tab w:pos="7144" w:val="left" w:leader="none"/>
          <w:tab w:pos="7924" w:val="left" w:leader="none"/>
          <w:tab w:pos="8420" w:val="left" w:leader="none"/>
        </w:tabs>
        <w:spacing w:line="360" w:lineRule="auto" w:before="144"/>
        <w:ind w:left="102" w:right="117"/>
      </w:pPr>
      <w:r>
        <w:rPr/>
        <w:t>Sequeira, Aarón (2010), “TSE ha estudiado más de la mitad de liquidaciones” en </w:t>
      </w:r>
      <w:r>
        <w:rPr>
          <w:i/>
        </w:rPr>
        <w:t>La</w:t>
        <w:tab/>
        <w:t>Prensa</w:t>
        <w:tab/>
        <w:t>Libre,</w:t>
        <w:tab/>
      </w:r>
      <w:r>
        <w:rPr/>
        <w:t>19</w:t>
        <w:tab/>
        <w:t>de</w:t>
        <w:tab/>
        <w:t>noviembre,</w:t>
        <w:tab/>
        <w:t>San</w:t>
        <w:tab/>
        <w:t>José,</w:t>
        <w:tab/>
        <w:t>Costa</w:t>
        <w:tab/>
        <w:t>Rica,</w:t>
        <w:tab/>
        <w:t>en</w:t>
        <w:tab/>
        <w:t>línea </w:t>
      </w:r>
      <w:hyperlink r:id="rId624">
        <w:r>
          <w:rPr/>
          <w:t>http://www.prensalibre.cr/pl/nacional/35334-tse-ha-estudiado-mas-de-la-mitad-de-</w:t>
        </w:r>
      </w:hyperlink>
      <w:r>
        <w:rPr/>
        <w:t> </w:t>
      </w:r>
      <w:hyperlink r:id="rId624">
        <w:r>
          <w:rPr/>
          <w:t>liquidaciones.html</w:t>
        </w:r>
      </w:hyperlink>
      <w:r>
        <w:rPr/>
        <w:t>, consultado el 12 de marzo de</w:t>
      </w:r>
      <w:r>
        <w:rPr>
          <w:spacing w:val="-18"/>
        </w:rPr>
        <w:t> </w:t>
      </w:r>
      <w:r>
        <w:rPr/>
        <w:t>2013.</w:t>
      </w:r>
    </w:p>
    <w:p>
      <w:pPr>
        <w:pStyle w:val="BodyText"/>
      </w:pPr>
    </w:p>
    <w:p>
      <w:pPr>
        <w:pStyle w:val="BodyText"/>
        <w:spacing w:before="7"/>
        <w:rPr>
          <w:sz w:val="29"/>
        </w:rPr>
      </w:pPr>
    </w:p>
    <w:p>
      <w:pPr>
        <w:pStyle w:val="BodyText"/>
        <w:spacing w:line="360" w:lineRule="auto"/>
        <w:ind w:left="102" w:right="119"/>
        <w:jc w:val="both"/>
      </w:pPr>
      <w:r>
        <w:rPr/>
        <w:t>Sobrado González, Luis Antonio (2010), “La financiación de los partidos políticos en Costa Rica” en </w:t>
      </w:r>
      <w:r>
        <w:rPr>
          <w:i/>
        </w:rPr>
        <w:t>Revista Derecho Electoral, </w:t>
      </w:r>
      <w:r>
        <w:rPr/>
        <w:t>No. 9, enero-junio, San José, Costa Rica, Tribunal Supremo de Elecciones, pp. 177-207.</w:t>
      </w:r>
    </w:p>
    <w:p>
      <w:pPr>
        <w:pStyle w:val="BodyText"/>
      </w:pPr>
    </w:p>
    <w:p>
      <w:pPr>
        <w:pStyle w:val="BodyText"/>
        <w:spacing w:line="360" w:lineRule="auto" w:before="142"/>
        <w:ind w:left="102" w:right="114"/>
        <w:jc w:val="both"/>
      </w:pPr>
      <w:r>
        <w:rPr/>
        <w:t>Soto, Jimena (2012), “10 partidos políticos tienen causas abiertas ante el TSE y la Fiscalía”, </w:t>
      </w:r>
      <w:r>
        <w:rPr>
          <w:i/>
        </w:rPr>
        <w:t>crhoy.com</w:t>
      </w:r>
      <w:r>
        <w:rPr/>
        <w:t>, 10 de septiembre, en línea </w:t>
      </w:r>
      <w:hyperlink r:id="rId625">
        <w:r>
          <w:rPr/>
          <w:t>http://www.crhoy.com/10-partidos-</w:t>
        </w:r>
      </w:hyperlink>
      <w:r>
        <w:rPr/>
        <w:t> </w:t>
      </w:r>
      <w:hyperlink r:id="rId625">
        <w:r>
          <w:rPr/>
          <w:t>politicos-tienen-causas-abiertas-ante-el-tse-y-la-fiscalia/</w:t>
        </w:r>
      </w:hyperlink>
      <w:r>
        <w:rPr/>
        <w:t>, consultado el 22 de marzo de</w:t>
      </w:r>
      <w:r>
        <w:rPr>
          <w:spacing w:val="-7"/>
        </w:rPr>
        <w:t> </w:t>
      </w:r>
      <w:r>
        <w:rPr/>
        <w:t>2013.</w:t>
      </w:r>
    </w:p>
    <w:p>
      <w:pPr>
        <w:pStyle w:val="BodyText"/>
      </w:pPr>
    </w:p>
    <w:p>
      <w:pPr>
        <w:pStyle w:val="BodyText"/>
        <w:spacing w:line="360" w:lineRule="auto" w:before="142"/>
        <w:ind w:left="102" w:right="115"/>
        <w:jc w:val="both"/>
      </w:pPr>
      <w:r>
        <w:rPr/>
        <w:t>TEEM (Tribunal Electoral Estado de México) (2012), “Sentencias. Proceso Electoral 2005-2006”, en línea </w:t>
      </w:r>
      <w:hyperlink r:id="rId626">
        <w:r>
          <w:rPr/>
          <w:t>http://www.teemmx.org.mx/Sentencias/default.htm</w:t>
        </w:r>
      </w:hyperlink>
      <w:r>
        <w:rPr/>
        <w:t>, consultado el 18 de julio.</w:t>
      </w:r>
    </w:p>
    <w:p>
      <w:pPr>
        <w:spacing w:after="0" w:line="360" w:lineRule="auto"/>
        <w:jc w:val="both"/>
        <w:sectPr>
          <w:pgSz w:w="12240" w:h="15840"/>
          <w:pgMar w:header="749" w:footer="1003" w:top="960" w:bottom="1200" w:left="1600" w:right="1580"/>
        </w:sectPr>
      </w:pPr>
    </w:p>
    <w:p>
      <w:pPr>
        <w:pStyle w:val="BodyText"/>
        <w:rPr>
          <w:sz w:val="20"/>
        </w:rPr>
      </w:pPr>
    </w:p>
    <w:p>
      <w:pPr>
        <w:pStyle w:val="BodyText"/>
        <w:rPr>
          <w:sz w:val="20"/>
        </w:rPr>
      </w:pPr>
    </w:p>
    <w:p>
      <w:pPr>
        <w:pStyle w:val="BodyText"/>
        <w:spacing w:before="6"/>
        <w:rPr>
          <w:sz w:val="28"/>
        </w:rPr>
      </w:pPr>
    </w:p>
    <w:p>
      <w:pPr>
        <w:spacing w:line="360" w:lineRule="auto" w:before="69"/>
        <w:ind w:left="102" w:right="117" w:firstLine="0"/>
        <w:jc w:val="both"/>
        <w:rPr>
          <w:sz w:val="24"/>
        </w:rPr>
      </w:pPr>
      <w:r>
        <w:rPr>
          <w:sz w:val="24"/>
        </w:rPr>
        <w:t>Tépach M, Reyes (2007), </w:t>
      </w:r>
      <w:r>
        <w:rPr>
          <w:i/>
          <w:sz w:val="24"/>
        </w:rPr>
        <w:t>La homologación de los calendarios electorales en las </w:t>
      </w:r>
      <w:r>
        <w:rPr>
          <w:i/>
          <w:sz w:val="24"/>
        </w:rPr>
        <w:t>Entidades Federativas de México en los términos de la reforma al artículo 116 constitucional</w:t>
      </w:r>
      <w:r>
        <w:rPr>
          <w:sz w:val="24"/>
        </w:rPr>
        <w:t>, Cámara de Diputados del Congreso de la Unión Legislatura LX, en línea </w:t>
      </w:r>
      <w:hyperlink r:id="rId627">
        <w:r>
          <w:rPr>
            <w:sz w:val="24"/>
          </w:rPr>
          <w:t>http://www.diputados.gob.mx/cedia/sia/se/SE-ISS-28-07.pdf</w:t>
        </w:r>
      </w:hyperlink>
      <w:r>
        <w:rPr>
          <w:sz w:val="24"/>
        </w:rPr>
        <w:t>, consultado el 26 de diciembre de 2011.</w:t>
      </w:r>
    </w:p>
    <w:p>
      <w:pPr>
        <w:pStyle w:val="BodyText"/>
      </w:pPr>
    </w:p>
    <w:p>
      <w:pPr>
        <w:spacing w:line="360" w:lineRule="auto" w:before="139"/>
        <w:ind w:left="102" w:right="120" w:firstLine="0"/>
        <w:jc w:val="left"/>
        <w:rPr>
          <w:sz w:val="24"/>
        </w:rPr>
      </w:pPr>
      <w:r>
        <w:rPr>
          <w:sz w:val="24"/>
        </w:rPr>
        <w:t>TEPJF (Tribunal Electoral del Poder Judicial de la Federación) (2006), </w:t>
      </w:r>
      <w:r>
        <w:rPr>
          <w:i/>
          <w:sz w:val="24"/>
        </w:rPr>
        <w:t>Dictamen </w:t>
      </w:r>
      <w:r>
        <w:rPr>
          <w:i/>
          <w:sz w:val="24"/>
        </w:rPr>
        <w:t>relativo al cómputo final de la elección de Presidente de los Estados Unidos Mexicanos, declaración de validez de la elección y de presidente electo</w:t>
      </w:r>
      <w:r>
        <w:rPr>
          <w:sz w:val="24"/>
        </w:rPr>
        <w:t>, en línea </w:t>
      </w:r>
      <w:hyperlink r:id="rId628">
        <w:r>
          <w:rPr>
            <w:sz w:val="24"/>
          </w:rPr>
          <w:t>http://www.te.gob.mx/documentacion/publicaciones/informes/dictamen.pdf</w:t>
        </w:r>
      </w:hyperlink>
      <w:r>
        <w:rPr>
          <w:sz w:val="24"/>
        </w:rPr>
        <w:t>, consultado el 16 de diciembre de 2012.</w:t>
      </w:r>
    </w:p>
    <w:p>
      <w:pPr>
        <w:pStyle w:val="BodyText"/>
      </w:pPr>
    </w:p>
    <w:p>
      <w:pPr>
        <w:tabs>
          <w:tab w:pos="1255" w:val="left" w:leader="none"/>
          <w:tab w:pos="1794" w:val="left" w:leader="none"/>
          <w:tab w:pos="2948" w:val="left" w:leader="none"/>
          <w:tab w:pos="3569" w:val="left" w:leader="none"/>
          <w:tab w:pos="4948" w:val="left" w:leader="none"/>
          <w:tab w:pos="7804" w:val="left" w:leader="none"/>
          <w:tab w:pos="8423" w:val="left" w:leader="none"/>
        </w:tabs>
        <w:spacing w:line="360" w:lineRule="auto" w:before="139"/>
        <w:ind w:left="102" w:right="117" w:firstLine="0"/>
        <w:jc w:val="left"/>
        <w:rPr>
          <w:sz w:val="24"/>
        </w:rPr>
      </w:pPr>
      <w:r>
        <w:rPr>
          <w:sz w:val="24"/>
        </w:rPr>
        <w:t>TEPJF (Tribunal Electoral del Poder Judicial de la Federación) (2007a), </w:t>
      </w:r>
      <w:r>
        <w:rPr>
          <w:i/>
          <w:sz w:val="24"/>
        </w:rPr>
        <w:t>Sentencia </w:t>
      </w:r>
      <w:r>
        <w:rPr>
          <w:i/>
          <w:sz w:val="24"/>
        </w:rPr>
        <w:t>recaída</w:t>
        <w:tab/>
        <w:t>al</w:t>
        <w:tab/>
        <w:t>recurso</w:t>
        <w:tab/>
        <w:t>de</w:t>
        <w:tab/>
        <w:t>apelación</w:t>
        <w:tab/>
        <w:t>SUP-RAP-00046-2007,</w:t>
        <w:tab/>
      </w:r>
      <w:r>
        <w:rPr>
          <w:sz w:val="24"/>
        </w:rPr>
        <w:t>en</w:t>
        <w:tab/>
      </w:r>
      <w:r>
        <w:rPr>
          <w:spacing w:val="-1"/>
          <w:sz w:val="24"/>
        </w:rPr>
        <w:t>línea </w:t>
      </w:r>
      <w:hyperlink r:id="rId629">
        <w:r>
          <w:rPr>
            <w:sz w:val="24"/>
          </w:rPr>
          <w:t>http://portal.te.gob.mx/colecciones/sentencias/html/SUP/2007/RAP/SUP-RAP-</w:t>
        </w:r>
      </w:hyperlink>
      <w:r>
        <w:rPr>
          <w:sz w:val="24"/>
        </w:rPr>
        <w:t> </w:t>
      </w:r>
      <w:hyperlink r:id="rId629">
        <w:r>
          <w:rPr>
            <w:sz w:val="24"/>
          </w:rPr>
          <w:t>00046-2007-Inc1.htm</w:t>
        </w:r>
      </w:hyperlink>
      <w:r>
        <w:rPr>
          <w:sz w:val="24"/>
        </w:rPr>
        <w:t>, consultada el 16 de febrero de</w:t>
      </w:r>
      <w:r>
        <w:rPr>
          <w:spacing w:val="-23"/>
          <w:sz w:val="24"/>
        </w:rPr>
        <w:t> </w:t>
      </w:r>
      <w:r>
        <w:rPr>
          <w:sz w:val="24"/>
        </w:rPr>
        <w:t>2013.</w:t>
      </w:r>
    </w:p>
    <w:p>
      <w:pPr>
        <w:pStyle w:val="BodyText"/>
      </w:pPr>
    </w:p>
    <w:p>
      <w:pPr>
        <w:tabs>
          <w:tab w:pos="1255" w:val="left" w:leader="none"/>
          <w:tab w:pos="1794" w:val="left" w:leader="none"/>
          <w:tab w:pos="2948" w:val="left" w:leader="none"/>
          <w:tab w:pos="3569" w:val="left" w:leader="none"/>
          <w:tab w:pos="4948" w:val="left" w:leader="none"/>
          <w:tab w:pos="7804" w:val="left" w:leader="none"/>
          <w:tab w:pos="8423" w:val="left" w:leader="none"/>
        </w:tabs>
        <w:spacing w:line="360" w:lineRule="auto" w:before="140"/>
        <w:ind w:left="102" w:right="117" w:firstLine="0"/>
        <w:jc w:val="left"/>
        <w:rPr>
          <w:sz w:val="24"/>
        </w:rPr>
      </w:pPr>
      <w:r>
        <w:rPr>
          <w:sz w:val="24"/>
        </w:rPr>
        <w:t>TEPJF (Tribunal Electoral del Poder Judicial de la Federación) (2007b), </w:t>
      </w:r>
      <w:r>
        <w:rPr>
          <w:i/>
          <w:sz w:val="24"/>
        </w:rPr>
        <w:t>Sentencia </w:t>
      </w:r>
      <w:r>
        <w:rPr>
          <w:i/>
          <w:sz w:val="24"/>
        </w:rPr>
        <w:t>recaída</w:t>
        <w:tab/>
        <w:t>al</w:t>
        <w:tab/>
        <w:t>recurso</w:t>
        <w:tab/>
        <w:t>de</w:t>
        <w:tab/>
        <w:t>apelación</w:t>
        <w:tab/>
        <w:t>SUP-RAP-00048-2007,</w:t>
        <w:tab/>
      </w:r>
      <w:r>
        <w:rPr>
          <w:sz w:val="24"/>
        </w:rPr>
        <w:t>en</w:t>
        <w:tab/>
      </w:r>
      <w:r>
        <w:rPr>
          <w:spacing w:val="-1"/>
          <w:sz w:val="24"/>
        </w:rPr>
        <w:t>línea </w:t>
      </w:r>
      <w:hyperlink r:id="rId630">
        <w:r>
          <w:rPr>
            <w:sz w:val="24"/>
          </w:rPr>
          <w:t>http://portal.te.gob.mx/colecciones/sentencias/html/SUP/2007/RAP/SUP-RAP-</w:t>
        </w:r>
      </w:hyperlink>
      <w:r>
        <w:rPr>
          <w:sz w:val="24"/>
        </w:rPr>
        <w:t> </w:t>
      </w:r>
      <w:hyperlink r:id="rId630">
        <w:r>
          <w:rPr>
            <w:sz w:val="24"/>
          </w:rPr>
          <w:t>00048-2007.htm</w:t>
        </w:r>
      </w:hyperlink>
      <w:r>
        <w:rPr>
          <w:sz w:val="24"/>
        </w:rPr>
        <w:t>, consultada el 16 de febrero de</w:t>
      </w:r>
      <w:r>
        <w:rPr>
          <w:spacing w:val="-22"/>
          <w:sz w:val="24"/>
        </w:rPr>
        <w:t> </w:t>
      </w:r>
      <w:r>
        <w:rPr>
          <w:sz w:val="24"/>
        </w:rPr>
        <w:t>2013.</w:t>
      </w:r>
    </w:p>
    <w:p>
      <w:pPr>
        <w:pStyle w:val="BodyText"/>
      </w:pPr>
    </w:p>
    <w:p>
      <w:pPr>
        <w:tabs>
          <w:tab w:pos="1255" w:val="left" w:leader="none"/>
          <w:tab w:pos="1794" w:val="left" w:leader="none"/>
          <w:tab w:pos="2948" w:val="left" w:leader="none"/>
          <w:tab w:pos="3569" w:val="left" w:leader="none"/>
          <w:tab w:pos="4948" w:val="left" w:leader="none"/>
          <w:tab w:pos="7804" w:val="left" w:leader="none"/>
          <w:tab w:pos="8423" w:val="left" w:leader="none"/>
        </w:tabs>
        <w:spacing w:line="360" w:lineRule="auto" w:before="139"/>
        <w:ind w:left="102" w:right="117" w:firstLine="0"/>
        <w:jc w:val="left"/>
        <w:rPr>
          <w:sz w:val="24"/>
        </w:rPr>
      </w:pPr>
      <w:r>
        <w:rPr>
          <w:sz w:val="24"/>
        </w:rPr>
        <w:t>TEPJF (Tribunal Electoral del Poder Judicial de la Federación) (2008), </w:t>
      </w:r>
      <w:r>
        <w:rPr>
          <w:i/>
          <w:sz w:val="24"/>
        </w:rPr>
        <w:t>Sentencia </w:t>
      </w:r>
      <w:r>
        <w:rPr>
          <w:i/>
          <w:sz w:val="24"/>
        </w:rPr>
        <w:t>recaída</w:t>
        <w:tab/>
        <w:t>al</w:t>
        <w:tab/>
        <w:t>recurso</w:t>
        <w:tab/>
        <w:t>de</w:t>
        <w:tab/>
        <w:t>apelación</w:t>
        <w:tab/>
        <w:t>SUP-RAP-00047-2007,</w:t>
        <w:tab/>
      </w:r>
      <w:r>
        <w:rPr>
          <w:sz w:val="24"/>
        </w:rPr>
        <w:t>en</w:t>
        <w:tab/>
      </w:r>
      <w:r>
        <w:rPr>
          <w:spacing w:val="-1"/>
          <w:sz w:val="24"/>
        </w:rPr>
        <w:t>línea </w:t>
      </w:r>
      <w:hyperlink r:id="rId631">
        <w:r>
          <w:rPr>
            <w:sz w:val="24"/>
          </w:rPr>
          <w:t>http://portal.te.gob.mx/colecciones/sentencias/html/SUP/2007/RAP/SUP-RAP-</w:t>
        </w:r>
      </w:hyperlink>
      <w:r>
        <w:rPr>
          <w:sz w:val="24"/>
        </w:rPr>
        <w:t> </w:t>
      </w:r>
      <w:hyperlink r:id="rId631">
        <w:r>
          <w:rPr>
            <w:sz w:val="24"/>
          </w:rPr>
          <w:t>00047-2007.htm</w:t>
        </w:r>
      </w:hyperlink>
      <w:r>
        <w:rPr>
          <w:sz w:val="24"/>
        </w:rPr>
        <w:t>, consultada el 16 de febrero de</w:t>
      </w:r>
      <w:r>
        <w:rPr>
          <w:spacing w:val="-22"/>
          <w:sz w:val="24"/>
        </w:rPr>
        <w:t> </w:t>
      </w:r>
      <w:r>
        <w:rPr>
          <w:sz w:val="24"/>
        </w:rPr>
        <w:t>2013.</w:t>
      </w:r>
    </w:p>
    <w:p>
      <w:pPr>
        <w:pStyle w:val="BodyText"/>
      </w:pPr>
    </w:p>
    <w:p>
      <w:pPr>
        <w:spacing w:line="360" w:lineRule="auto" w:before="139"/>
        <w:ind w:left="102" w:right="118" w:firstLine="0"/>
        <w:jc w:val="both"/>
        <w:rPr>
          <w:sz w:val="24"/>
        </w:rPr>
      </w:pPr>
      <w:r>
        <w:rPr>
          <w:sz w:val="24"/>
        </w:rPr>
        <w:t>TEPJF (Tribunal Electoral del Poder Judicial de la Federación) (2011), </w:t>
      </w:r>
      <w:r>
        <w:rPr>
          <w:i/>
          <w:sz w:val="24"/>
        </w:rPr>
        <w:t>Derecho </w:t>
      </w:r>
      <w:r>
        <w:rPr>
          <w:i/>
          <w:sz w:val="24"/>
        </w:rPr>
        <w:t>administrativo sancionador electoral, </w:t>
      </w:r>
      <w:r>
        <w:rPr>
          <w:sz w:val="24"/>
        </w:rPr>
        <w:t>material didáctico de apoyo para la capacitación, México, Centro de Capacitación Judicial Electoral, 73 pp.</w:t>
      </w:r>
    </w:p>
    <w:p>
      <w:pPr>
        <w:spacing w:after="0" w:line="360" w:lineRule="auto"/>
        <w:jc w:val="both"/>
        <w:rPr>
          <w:sz w:val="24"/>
        </w:rPr>
        <w:sectPr>
          <w:pgSz w:w="12240" w:h="15840"/>
          <w:pgMar w:header="749" w:footer="1003" w:top="960" w:bottom="1200" w:left="1600" w:right="1580"/>
        </w:sectPr>
      </w:pPr>
    </w:p>
    <w:p>
      <w:pPr>
        <w:pStyle w:val="BodyText"/>
        <w:rPr>
          <w:sz w:val="20"/>
        </w:rPr>
      </w:pPr>
    </w:p>
    <w:p>
      <w:pPr>
        <w:pStyle w:val="BodyText"/>
        <w:rPr>
          <w:sz w:val="20"/>
        </w:rPr>
      </w:pPr>
    </w:p>
    <w:p>
      <w:pPr>
        <w:pStyle w:val="BodyText"/>
        <w:spacing w:before="8"/>
        <w:rPr>
          <w:sz w:val="28"/>
        </w:rPr>
      </w:pPr>
    </w:p>
    <w:p>
      <w:pPr>
        <w:pStyle w:val="BodyText"/>
        <w:spacing w:line="360" w:lineRule="auto" w:before="70"/>
        <w:ind w:left="102" w:right="112"/>
        <w:jc w:val="both"/>
      </w:pPr>
      <w:r>
        <w:rPr/>
        <w:t>TEPJF (Tribunal Electoral del Poder Judicial de la Federación) (2012a), “Quiénes somos y qué hacemos?”, en línea </w:t>
      </w:r>
      <w:hyperlink r:id="rId632">
        <w:r>
          <w:rPr/>
          <w:t>http://portal.te.gob.mx/acercate/quienes-somos-</w:t>
        </w:r>
      </w:hyperlink>
      <w:r>
        <w:rPr/>
        <w:t> </w:t>
      </w:r>
      <w:hyperlink r:id="rId632">
        <w:r>
          <w:rPr/>
          <w:t>y-que-hacemos</w:t>
        </w:r>
      </w:hyperlink>
      <w:r>
        <w:rPr/>
        <w:t>, consultado el 13 de marzo.</w:t>
      </w:r>
    </w:p>
    <w:p>
      <w:pPr>
        <w:pStyle w:val="BodyText"/>
      </w:pPr>
    </w:p>
    <w:p>
      <w:pPr>
        <w:pStyle w:val="BodyText"/>
        <w:spacing w:line="360" w:lineRule="auto" w:before="142"/>
        <w:ind w:left="102" w:right="114"/>
        <w:jc w:val="both"/>
      </w:pPr>
      <w:r>
        <w:rPr/>
        <w:t>TEPJF (Tribunal Electoral del Poder Judicial de la Federación) (2012b), “Turnos y sentencias: sistema de consulta”, en línea </w:t>
      </w:r>
      <w:hyperlink r:id="rId633">
        <w:r>
          <w:rPr/>
          <w:t>http://portal.te.gob.mx/turnos-</w:t>
        </w:r>
      </w:hyperlink>
      <w:r>
        <w:rPr/>
        <w:t> </w:t>
      </w:r>
      <w:hyperlink r:id="rId633">
        <w:r>
          <w:rPr/>
          <w:t>sentencias/sistema-consulta</w:t>
        </w:r>
      </w:hyperlink>
      <w:r>
        <w:rPr/>
        <w:t>, consultada el 13 de marzo.</w:t>
      </w:r>
    </w:p>
    <w:p>
      <w:pPr>
        <w:pStyle w:val="BodyText"/>
      </w:pPr>
    </w:p>
    <w:p>
      <w:pPr>
        <w:spacing w:line="360" w:lineRule="auto" w:before="140"/>
        <w:ind w:left="102" w:right="114" w:firstLine="0"/>
        <w:jc w:val="both"/>
        <w:rPr>
          <w:sz w:val="24"/>
        </w:rPr>
      </w:pPr>
      <w:r>
        <w:rPr>
          <w:sz w:val="24"/>
        </w:rPr>
        <w:t>Tovar Mendoza, Jesús (2011), </w:t>
      </w:r>
      <w:r>
        <w:rPr>
          <w:i/>
          <w:sz w:val="24"/>
        </w:rPr>
        <w:t>Elecciones de alta competitividad y conflictos post- </w:t>
      </w:r>
      <w:r>
        <w:rPr>
          <w:i/>
          <w:sz w:val="24"/>
        </w:rPr>
        <w:t>electorales en América Latina: causas y consecuencias institucionales de las respuestas de los perdedores, </w:t>
      </w:r>
      <w:r>
        <w:rPr>
          <w:sz w:val="24"/>
        </w:rPr>
        <w:t>México, Tribunal Electoral del Poder Judicial de la Federación/Centro de Capacitación Judicial Electoral, 32 pp.</w:t>
      </w:r>
    </w:p>
    <w:p>
      <w:pPr>
        <w:pStyle w:val="BodyText"/>
      </w:pPr>
    </w:p>
    <w:p>
      <w:pPr>
        <w:tabs>
          <w:tab w:pos="1440" w:val="left" w:leader="none"/>
          <w:tab w:pos="3554" w:val="left" w:leader="none"/>
          <w:tab w:pos="4398" w:val="left" w:leader="none"/>
          <w:tab w:pos="5056" w:val="left" w:leader="none"/>
          <w:tab w:pos="5849" w:val="left" w:leader="none"/>
          <w:tab w:pos="7631" w:val="left" w:leader="none"/>
          <w:tab w:pos="8423" w:val="left" w:leader="none"/>
        </w:tabs>
        <w:spacing w:line="360" w:lineRule="auto" w:before="139"/>
        <w:ind w:left="102" w:right="116" w:firstLine="0"/>
        <w:jc w:val="left"/>
        <w:rPr>
          <w:sz w:val="24"/>
        </w:rPr>
      </w:pPr>
      <w:r>
        <w:rPr>
          <w:sz w:val="24"/>
        </w:rPr>
        <w:t>TSE (Tribunal Supremo de Elecciones) (2009), </w:t>
      </w:r>
      <w:r>
        <w:rPr>
          <w:i/>
          <w:sz w:val="24"/>
        </w:rPr>
        <w:t>Fijación de los montos de la </w:t>
      </w:r>
      <w:r>
        <w:rPr>
          <w:i/>
          <w:sz w:val="24"/>
        </w:rPr>
        <w:t>contribución del Estado a los partidos políticos para las elecciones de febrero y diciembre de 2010, y del anticipo para las elecciones de febrero de 2010, </w:t>
      </w:r>
      <w:r>
        <w:rPr>
          <w:sz w:val="24"/>
        </w:rPr>
        <w:t>acta número</w:t>
        <w:tab/>
        <w:t>4129-E8-2009,</w:t>
        <w:tab/>
        <w:t>del</w:t>
        <w:tab/>
        <w:t>3</w:t>
        <w:tab/>
        <w:t>de</w:t>
        <w:tab/>
        <w:t>septiembre,</w:t>
        <w:tab/>
        <w:t>en</w:t>
        <w:tab/>
      </w:r>
      <w:r>
        <w:rPr>
          <w:spacing w:val="-1"/>
          <w:sz w:val="24"/>
        </w:rPr>
        <w:t>línea </w:t>
      </w:r>
      <w:hyperlink r:id="rId634">
        <w:r>
          <w:rPr>
            <w:sz w:val="24"/>
          </w:rPr>
          <w:t>http://www.tse.go.cr/juris/electorales/4129-E8-</w:t>
        </w:r>
      </w:hyperlink>
      <w:r>
        <w:rPr>
          <w:sz w:val="24"/>
        </w:rPr>
        <w:t> </w:t>
      </w:r>
      <w:hyperlink r:id="rId634">
        <w:r>
          <w:rPr>
            <w:sz w:val="24"/>
          </w:rPr>
          <w:t>2009.html?zoom_highlight=N%2E%BA+4129%2DE8%2D2009</w:t>
        </w:r>
      </w:hyperlink>
      <w:r>
        <w:rPr>
          <w:sz w:val="24"/>
        </w:rPr>
        <w:t>, consultada el 16 de febrero de</w:t>
      </w:r>
      <w:r>
        <w:rPr>
          <w:spacing w:val="-8"/>
          <w:sz w:val="24"/>
        </w:rPr>
        <w:t> </w:t>
      </w:r>
      <w:r>
        <w:rPr>
          <w:sz w:val="24"/>
        </w:rPr>
        <w:t>2013.</w:t>
      </w:r>
    </w:p>
    <w:p>
      <w:pPr>
        <w:pStyle w:val="BodyText"/>
      </w:pPr>
    </w:p>
    <w:p>
      <w:pPr>
        <w:tabs>
          <w:tab w:pos="979" w:val="left" w:leader="none"/>
          <w:tab w:pos="2216" w:val="left" w:leader="none"/>
          <w:tab w:pos="4362" w:val="left" w:leader="none"/>
          <w:tab w:pos="5103" w:val="left" w:leader="none"/>
          <w:tab w:pos="5794" w:val="left" w:leader="none"/>
          <w:tab w:pos="6482" w:val="left" w:leader="none"/>
          <w:tab w:pos="7734" w:val="left" w:leader="none"/>
          <w:tab w:pos="8425" w:val="left" w:leader="none"/>
        </w:tabs>
        <w:spacing w:line="360" w:lineRule="auto" w:before="139"/>
        <w:ind w:left="102" w:right="117" w:firstLine="0"/>
        <w:jc w:val="left"/>
        <w:rPr>
          <w:sz w:val="24"/>
        </w:rPr>
      </w:pPr>
      <w:r>
        <w:rPr>
          <w:sz w:val="24"/>
        </w:rPr>
        <w:t>TSE (Tribunal Supremo de Elecciones) (2011), </w:t>
      </w:r>
      <w:r>
        <w:rPr>
          <w:i/>
          <w:sz w:val="24"/>
        </w:rPr>
        <w:t>Determinación del monto máximo </w:t>
      </w:r>
      <w:r>
        <w:rPr>
          <w:i/>
          <w:sz w:val="24"/>
        </w:rPr>
        <w:t>de la contribución del Estado a los partidos políticos con derecho a recibirla, según los resultados de las elecciones municipales celebradas en diciembre de 2010, </w:t>
      </w:r>
      <w:r>
        <w:rPr>
          <w:sz w:val="24"/>
        </w:rPr>
        <w:t>acta</w:t>
        <w:tab/>
        <w:t>número</w:t>
        <w:tab/>
        <w:t>1092-E10-2011,</w:t>
        <w:tab/>
        <w:t>del</w:t>
        <w:tab/>
        <w:t>23</w:t>
        <w:tab/>
        <w:t>de</w:t>
        <w:tab/>
        <w:t>febrero,</w:t>
        <w:tab/>
        <w:t>en</w:t>
        <w:tab/>
      </w:r>
      <w:r>
        <w:rPr>
          <w:spacing w:val="-1"/>
          <w:sz w:val="24"/>
        </w:rPr>
        <w:t>línea </w:t>
      </w:r>
      <w:hyperlink r:id="rId635">
        <w:r>
          <w:rPr>
            <w:sz w:val="24"/>
          </w:rPr>
          <w:t>http://www.tse.go.cr/juris/electorales/1092-E10-2010.html?zoom_highlight=1092-</w:t>
        </w:r>
      </w:hyperlink>
      <w:r>
        <w:rPr>
          <w:sz w:val="24"/>
        </w:rPr>
        <w:t> </w:t>
      </w:r>
      <w:hyperlink r:id="rId635">
        <w:r>
          <w:rPr>
            <w:sz w:val="24"/>
          </w:rPr>
          <w:t>E10-2011</w:t>
        </w:r>
      </w:hyperlink>
      <w:r>
        <w:rPr>
          <w:sz w:val="24"/>
        </w:rPr>
        <w:t>, consultada el 16 de febrero de</w:t>
      </w:r>
      <w:r>
        <w:rPr>
          <w:spacing w:val="-17"/>
          <w:sz w:val="24"/>
        </w:rPr>
        <w:t> </w:t>
      </w:r>
      <w:r>
        <w:rPr>
          <w:sz w:val="24"/>
        </w:rPr>
        <w:t>2013.</w:t>
      </w:r>
    </w:p>
    <w:p>
      <w:pPr>
        <w:pStyle w:val="BodyText"/>
        <w:spacing w:before="10"/>
        <w:rPr>
          <w:sz w:val="35"/>
        </w:rPr>
      </w:pPr>
    </w:p>
    <w:p>
      <w:pPr>
        <w:spacing w:line="360" w:lineRule="auto" w:before="0"/>
        <w:ind w:left="102" w:right="118" w:firstLine="0"/>
        <w:jc w:val="both"/>
        <w:rPr>
          <w:i/>
          <w:sz w:val="24"/>
        </w:rPr>
      </w:pPr>
      <w:r>
        <w:rPr>
          <w:sz w:val="24"/>
        </w:rPr>
        <w:t>TSE (Tribunal Supremo de Elecciones) (2012), </w:t>
      </w:r>
      <w:r>
        <w:rPr>
          <w:i/>
          <w:sz w:val="24"/>
        </w:rPr>
        <w:t>Solicitud de la Dirección General </w:t>
      </w:r>
      <w:r>
        <w:rPr>
          <w:i/>
          <w:sz w:val="24"/>
        </w:rPr>
        <w:t>del  Registro  Electoral  y  Financiamiento  de  Partidos  Políticos  para  autorizar el</w:t>
      </w:r>
    </w:p>
    <w:p>
      <w:pPr>
        <w:spacing w:after="0" w:line="360" w:lineRule="auto"/>
        <w:jc w:val="both"/>
        <w:rPr>
          <w:sz w:val="24"/>
        </w:rPr>
        <w:sectPr>
          <w:pgSz w:w="12240" w:h="15840"/>
          <w:pgMar w:header="749" w:footer="1003" w:top="960" w:bottom="1200" w:left="1600" w:right="1580"/>
        </w:sectPr>
      </w:pPr>
    </w:p>
    <w:p>
      <w:pPr>
        <w:pStyle w:val="BodyText"/>
        <w:rPr>
          <w:i/>
          <w:sz w:val="20"/>
        </w:rPr>
      </w:pPr>
    </w:p>
    <w:p>
      <w:pPr>
        <w:tabs>
          <w:tab w:pos="1538" w:val="left" w:leader="none"/>
          <w:tab w:pos="3881" w:val="left" w:leader="none"/>
          <w:tab w:pos="4766" w:val="left" w:leader="none"/>
          <w:tab w:pos="5656" w:val="left" w:leader="none"/>
          <w:tab w:pos="7533" w:val="left" w:leader="none"/>
          <w:tab w:pos="8423" w:val="left" w:leader="none"/>
        </w:tabs>
        <w:spacing w:line="360" w:lineRule="auto" w:before="212"/>
        <w:ind w:left="102" w:right="116" w:firstLine="0"/>
        <w:jc w:val="left"/>
        <w:rPr>
          <w:sz w:val="24"/>
        </w:rPr>
      </w:pPr>
      <w:r>
        <w:rPr>
          <w:i/>
          <w:sz w:val="24"/>
        </w:rPr>
        <w:t>envío de la denuncia número DFPP-DP-04-2012 al Ministerio Público, </w:t>
      </w:r>
      <w:r>
        <w:rPr>
          <w:sz w:val="24"/>
        </w:rPr>
        <w:t>acta  número</w:t>
        <w:tab/>
        <w:t>6302-E10-2012,</w:t>
        <w:tab/>
        <w:t>12</w:t>
        <w:tab/>
        <w:t>de</w:t>
        <w:tab/>
        <w:t>septiembre,</w:t>
        <w:tab/>
        <w:t>en</w:t>
        <w:tab/>
      </w:r>
      <w:r>
        <w:rPr>
          <w:spacing w:val="-1"/>
          <w:sz w:val="24"/>
        </w:rPr>
        <w:t>línea </w:t>
      </w:r>
      <w:hyperlink r:id="rId636">
        <w:r>
          <w:rPr>
            <w:sz w:val="24"/>
          </w:rPr>
          <w:t>http://www.tse.go.cr/juris/electorales/6302-E10-2012.html?zoom_highlight=6302-</w:t>
        </w:r>
      </w:hyperlink>
      <w:r>
        <w:rPr>
          <w:sz w:val="24"/>
        </w:rPr>
        <w:t> </w:t>
      </w:r>
      <w:hyperlink r:id="rId636">
        <w:r>
          <w:rPr>
            <w:sz w:val="24"/>
          </w:rPr>
          <w:t>E10-2012+</w:t>
        </w:r>
      </w:hyperlink>
      <w:r>
        <w:rPr>
          <w:sz w:val="24"/>
        </w:rPr>
        <w:t>, consultada el 13 de marzo de</w:t>
      </w:r>
      <w:r>
        <w:rPr>
          <w:spacing w:val="-21"/>
          <w:sz w:val="24"/>
        </w:rPr>
        <w:t> </w:t>
      </w:r>
      <w:r>
        <w:rPr>
          <w:sz w:val="24"/>
        </w:rPr>
        <w:t>2013.</w:t>
      </w:r>
    </w:p>
    <w:p>
      <w:pPr>
        <w:pStyle w:val="BodyText"/>
      </w:pPr>
    </w:p>
    <w:p>
      <w:pPr>
        <w:spacing w:line="360" w:lineRule="auto" w:before="139"/>
        <w:ind w:left="102" w:right="119" w:firstLine="0"/>
        <w:jc w:val="both"/>
        <w:rPr>
          <w:sz w:val="24"/>
        </w:rPr>
      </w:pPr>
      <w:r>
        <w:rPr>
          <w:sz w:val="24"/>
        </w:rPr>
        <w:t>TSE (Tribunal Supremo de Elecciones) (2013), </w:t>
      </w:r>
      <w:r>
        <w:rPr>
          <w:i/>
          <w:sz w:val="24"/>
        </w:rPr>
        <w:t>Respuesta a la solicitud de </w:t>
      </w:r>
      <w:r>
        <w:rPr>
          <w:i/>
          <w:sz w:val="24"/>
        </w:rPr>
        <w:t>información relativa a las elecciones de febrero y diciembre de 2010 celebradas en Costa Rica, </w:t>
      </w:r>
      <w:r>
        <w:rPr>
          <w:sz w:val="24"/>
        </w:rPr>
        <w:t>San José, 15 de marzo.</w:t>
      </w:r>
    </w:p>
    <w:p>
      <w:pPr>
        <w:pStyle w:val="BodyText"/>
      </w:pPr>
    </w:p>
    <w:p>
      <w:pPr>
        <w:pStyle w:val="BodyText"/>
        <w:spacing w:line="360" w:lineRule="auto" w:before="145"/>
        <w:ind w:left="102" w:right="126"/>
        <w:jc w:val="both"/>
      </w:pPr>
      <w:r>
        <w:rPr/>
        <w:t>TSE (Tribunal Supremo de Elecciones) (s/f), Fichero cantonal, San José, Costa Rica, Instituto de Formación y Estudios en Democracia del TSE, 104 pp.</w:t>
      </w:r>
    </w:p>
    <w:p>
      <w:pPr>
        <w:pStyle w:val="BodyText"/>
      </w:pPr>
    </w:p>
    <w:p>
      <w:pPr>
        <w:pStyle w:val="BodyText"/>
        <w:spacing w:line="362" w:lineRule="auto" w:before="139"/>
        <w:ind w:left="102" w:right="115"/>
        <w:jc w:val="both"/>
      </w:pPr>
      <w:r>
        <w:rPr/>
        <w:t>TSE (Tribunal Supremo de Elecciones) (2013a), “Magistrados”, </w:t>
      </w:r>
      <w:r>
        <w:rPr>
          <w:i/>
        </w:rPr>
        <w:t>Pagina del TSE</w:t>
      </w:r>
      <w:r>
        <w:rPr/>
        <w:t>,  en línea </w:t>
      </w:r>
      <w:hyperlink r:id="rId637">
        <w:r>
          <w:rPr/>
          <w:t>http://www.tse.go.cr/magistrados.htm</w:t>
        </w:r>
      </w:hyperlink>
      <w:r>
        <w:rPr/>
        <w:t>, consultada el 17 de</w:t>
      </w:r>
      <w:r>
        <w:rPr>
          <w:spacing w:val="-22"/>
        </w:rPr>
        <w:t> </w:t>
      </w:r>
      <w:r>
        <w:rPr/>
        <w:t>junio.</w:t>
      </w:r>
    </w:p>
    <w:p>
      <w:pPr>
        <w:pStyle w:val="BodyText"/>
      </w:pPr>
    </w:p>
    <w:p>
      <w:pPr>
        <w:pStyle w:val="BodyText"/>
        <w:tabs>
          <w:tab w:pos="1272" w:val="left" w:leader="none"/>
          <w:tab w:pos="2939" w:val="left" w:leader="none"/>
          <w:tab w:pos="4589" w:val="left" w:leader="none"/>
          <w:tab w:pos="5815" w:val="left" w:leader="none"/>
          <w:tab w:pos="7252" w:val="left" w:leader="none"/>
          <w:tab w:pos="8423" w:val="left" w:leader="none"/>
        </w:tabs>
        <w:spacing w:line="360" w:lineRule="auto" w:before="139"/>
        <w:ind w:left="102" w:right="117"/>
        <w:jc w:val="both"/>
      </w:pPr>
      <w:r>
        <w:rPr/>
        <w:t>TSE (Tribunal Supremo de Elecciones) (2013b), “Informe de rendición de cuentas formulado por la Magistrada Zetty Bou Valverde al concluir el periodo de su designación para integrar el Tribunal Supremo de Elecciones ampliado con  ocasión de las elecciones nacionales de febrero de 2010 y las municipales de diciembre del mismo año (periodo que va del 7 de febrero de 2009 al 4 de marzo de</w:t>
        <w:tab/>
        <w:t>2011)”,</w:t>
        <w:tab/>
      </w:r>
      <w:r>
        <w:rPr>
          <w:i/>
        </w:rPr>
        <w:t>Pagina</w:t>
        <w:tab/>
        <w:t>del</w:t>
        <w:tab/>
        <w:t>TSE</w:t>
      </w:r>
      <w:r>
        <w:rPr/>
        <w:t>,</w:t>
        <w:tab/>
        <w:t>en</w:t>
        <w:tab/>
      </w:r>
      <w:r>
        <w:rPr>
          <w:spacing w:val="-1"/>
        </w:rPr>
        <w:t>línea </w:t>
      </w:r>
      <w:hyperlink r:id="rId638">
        <w:r>
          <w:rPr/>
          <w:t>http://www.tse.go.cr/pdf/informes_gestion/inf_final_zettybou.pdf</w:t>
        </w:r>
      </w:hyperlink>
      <w:r>
        <w:rPr/>
        <w:t>, consultado el 17 de</w:t>
      </w:r>
      <w:r>
        <w:rPr>
          <w:spacing w:val="-3"/>
        </w:rPr>
        <w:t> </w:t>
      </w:r>
      <w:r>
        <w:rPr/>
        <w:t>junio.</w:t>
      </w:r>
    </w:p>
    <w:p>
      <w:pPr>
        <w:pStyle w:val="BodyText"/>
      </w:pPr>
    </w:p>
    <w:p>
      <w:pPr>
        <w:pStyle w:val="BodyText"/>
        <w:spacing w:before="10"/>
        <w:rPr>
          <w:sz w:val="34"/>
        </w:rPr>
      </w:pPr>
    </w:p>
    <w:p>
      <w:pPr>
        <w:pStyle w:val="BodyText"/>
        <w:spacing w:line="360" w:lineRule="auto"/>
        <w:ind w:left="102" w:right="115"/>
        <w:jc w:val="both"/>
      </w:pPr>
      <w:r>
        <w:rPr/>
        <w:t>TSE (Tribunal Supremo de Elecciones) (2013c), “Rendición de cuentas. Dr. Luis Antonio Sobrado González Magistrado del TSE 1999-2007”, </w:t>
      </w:r>
      <w:r>
        <w:rPr>
          <w:i/>
        </w:rPr>
        <w:t>Pagina del TSE</w:t>
      </w:r>
      <w:r>
        <w:rPr/>
        <w:t>, en línea </w:t>
      </w:r>
      <w:hyperlink r:id="rId639">
        <w:r>
          <w:rPr/>
          <w:t>http://www.tse.go.cr/pdf/informes_gestion/inf_final_luisantoniosobrado1.pdf</w:t>
        </w:r>
      </w:hyperlink>
      <w:r>
        <w:rPr/>
        <w:t>, consultada el 17 de junio.</w:t>
      </w:r>
    </w:p>
    <w:p>
      <w:pPr>
        <w:pStyle w:val="BodyText"/>
      </w:pPr>
    </w:p>
    <w:p>
      <w:pPr>
        <w:pStyle w:val="BodyText"/>
        <w:spacing w:line="360" w:lineRule="auto" w:before="139"/>
        <w:ind w:left="102" w:right="116"/>
        <w:jc w:val="both"/>
      </w:pPr>
      <w:r>
        <w:rPr/>
        <w:t>TSE (Tribunal Supremo de Elecciones) (2013d), </w:t>
      </w:r>
      <w:r>
        <w:rPr>
          <w:i/>
        </w:rPr>
        <w:t>“</w:t>
      </w:r>
      <w:r>
        <w:rPr/>
        <w:t>Informe de gestión 2007-2009. Magistrado   Max   Alberto   Esquivel   Faerron”,    </w:t>
      </w:r>
      <w:r>
        <w:rPr>
          <w:i/>
        </w:rPr>
        <w:t>Pagina   del   TSE</w:t>
      </w:r>
      <w:r>
        <w:rPr/>
        <w:t>,   en     </w:t>
      </w:r>
      <w:r>
        <w:rPr>
          <w:spacing w:val="65"/>
        </w:rPr>
        <w:t> </w:t>
      </w:r>
      <w:r>
        <w:rPr/>
        <w:t>línea</w:t>
      </w:r>
    </w:p>
    <w:p>
      <w:pPr>
        <w:spacing w:after="0" w:line="360" w:lineRule="auto"/>
        <w:jc w:val="both"/>
        <w:sectPr>
          <w:pgSz w:w="12240" w:h="15840"/>
          <w:pgMar w:header="749" w:footer="1003" w:top="960" w:bottom="1200" w:left="1600" w:right="1580"/>
        </w:sectPr>
      </w:pPr>
    </w:p>
    <w:p>
      <w:pPr>
        <w:pStyle w:val="BodyText"/>
        <w:rPr>
          <w:sz w:val="20"/>
        </w:rPr>
      </w:pPr>
    </w:p>
    <w:p>
      <w:pPr>
        <w:pStyle w:val="BodyText"/>
        <w:spacing w:line="362" w:lineRule="auto" w:before="214"/>
        <w:ind w:left="102" w:right="114"/>
        <w:jc w:val="both"/>
      </w:pPr>
      <w:hyperlink r:id="rId640">
        <w:r>
          <w:rPr/>
          <w:t>http://www.tse.go.cr/pdf/informes_gestion/inf_final_maxesquivel.pdf</w:t>
        </w:r>
      </w:hyperlink>
      <w:r>
        <w:rPr/>
        <w:t>, consultado el 18 de junio.</w:t>
      </w:r>
    </w:p>
    <w:p>
      <w:pPr>
        <w:pStyle w:val="BodyText"/>
      </w:pPr>
    </w:p>
    <w:p>
      <w:pPr>
        <w:pStyle w:val="BodyText"/>
        <w:spacing w:before="5"/>
        <w:rPr>
          <w:sz w:val="34"/>
        </w:rPr>
      </w:pPr>
    </w:p>
    <w:p>
      <w:pPr>
        <w:pStyle w:val="BodyText"/>
        <w:spacing w:line="360" w:lineRule="auto"/>
        <w:ind w:left="102" w:right="115"/>
        <w:jc w:val="both"/>
      </w:pPr>
      <w:r>
        <w:rPr/>
        <w:t>TSE (Tribunal Supremo de Elecciones) (2013e), “Conózcanos. Actas del Tribunal Supremo de Elecciones”, </w:t>
      </w:r>
      <w:r>
        <w:rPr>
          <w:i/>
        </w:rPr>
        <w:t>Pagina del TSE</w:t>
      </w:r>
      <w:r>
        <w:rPr/>
        <w:t>, en línea </w:t>
      </w:r>
      <w:hyperlink r:id="rId641">
        <w:r>
          <w:rPr/>
          <w:t>http://www.tse.go.cr/actas.htm</w:t>
        </w:r>
      </w:hyperlink>
      <w:r>
        <w:rPr/>
        <w:t>, consultada en 19 de junio.</w:t>
      </w:r>
    </w:p>
    <w:p>
      <w:pPr>
        <w:pStyle w:val="BodyText"/>
      </w:pPr>
    </w:p>
    <w:p>
      <w:pPr>
        <w:pStyle w:val="BodyText"/>
        <w:tabs>
          <w:tab w:pos="780" w:val="left" w:leader="none"/>
          <w:tab w:pos="1908" w:val="left" w:leader="none"/>
          <w:tab w:pos="1938" w:val="left" w:leader="none"/>
          <w:tab w:pos="2845" w:val="left" w:leader="none"/>
          <w:tab w:pos="3120" w:val="left" w:leader="none"/>
          <w:tab w:pos="3599" w:val="left" w:leader="none"/>
          <w:tab w:pos="4081" w:val="left" w:leader="none"/>
          <w:tab w:pos="5048" w:val="left" w:leader="none"/>
          <w:tab w:pos="5446" w:val="left" w:leader="none"/>
          <w:tab w:pos="6088" w:val="left" w:leader="none"/>
          <w:tab w:pos="6384" w:val="left" w:leader="none"/>
          <w:tab w:pos="7196" w:val="left" w:leader="none"/>
          <w:tab w:pos="7535" w:val="left" w:leader="none"/>
          <w:tab w:pos="8207" w:val="left" w:leader="none"/>
          <w:tab w:pos="8423" w:val="left" w:leader="none"/>
          <w:tab w:pos="8684" w:val="left" w:leader="none"/>
        </w:tabs>
        <w:spacing w:line="360" w:lineRule="auto" w:before="142"/>
        <w:ind w:left="102" w:right="117"/>
      </w:pPr>
      <w:r>
        <w:rPr/>
        <w:t>TSE</w:t>
        <w:tab/>
        <w:t>(Tribunal</w:t>
        <w:tab/>
        <w:tab/>
        <w:t>Supremo</w:t>
        <w:tab/>
        <w:t>de</w:t>
        <w:tab/>
        <w:t>Elecciones)</w:t>
        <w:tab/>
        <w:t>(2013f),</w:t>
        <w:tab/>
        <w:t>“Informe</w:t>
        <w:tab/>
        <w:t>general</w:t>
        <w:tab/>
        <w:t>de</w:t>
        <w:tab/>
        <w:t>mi desempeño como magistrado electoral. Dr. Luis Antonio Sobrado González Magistrado</w:t>
        <w:tab/>
        <w:t>del</w:t>
        <w:tab/>
        <w:t>TSE”,</w:t>
        <w:tab/>
        <w:tab/>
      </w:r>
      <w:r>
        <w:rPr>
          <w:i/>
        </w:rPr>
        <w:t>Pagina</w:t>
        <w:tab/>
        <w:tab/>
        <w:t>del</w:t>
        <w:tab/>
        <w:tab/>
        <w:t>TSE</w:t>
      </w:r>
      <w:r>
        <w:rPr/>
        <w:t>,</w:t>
        <w:tab/>
        <w:tab/>
        <w:t>en</w:t>
        <w:tab/>
        <w:tab/>
      </w:r>
      <w:r>
        <w:rPr>
          <w:spacing w:val="-1"/>
        </w:rPr>
        <w:t>línea </w:t>
      </w:r>
      <w:hyperlink r:id="rId642">
        <w:r>
          <w:rPr/>
          <w:t>http://www.tse.go.cr/pdf/informes_gestion/inf_final_luisantoniosobrado3.pdf</w:t>
        </w:r>
      </w:hyperlink>
      <w:r>
        <w:rPr/>
        <w:t>, consultada el 17 de</w:t>
      </w:r>
      <w:r>
        <w:rPr>
          <w:spacing w:val="-11"/>
        </w:rPr>
        <w:t> </w:t>
      </w:r>
      <w:r>
        <w:rPr/>
        <w:t>junio.</w:t>
      </w:r>
    </w:p>
    <w:p>
      <w:pPr>
        <w:pStyle w:val="BodyText"/>
      </w:pPr>
    </w:p>
    <w:p>
      <w:pPr>
        <w:pStyle w:val="BodyText"/>
        <w:tabs>
          <w:tab w:pos="4876" w:val="left" w:leader="none"/>
          <w:tab w:pos="8420" w:val="left" w:leader="none"/>
        </w:tabs>
        <w:spacing w:line="360" w:lineRule="auto" w:before="142"/>
        <w:ind w:left="102" w:right="117"/>
        <w:jc w:val="both"/>
      </w:pPr>
      <w:r>
        <w:rPr/>
        <w:t>TSE (Secretaria del Tribunal Supremo de Elecciones) (2013g), “Estadísticas resoluciones”,</w:t>
        <w:tab/>
        <w:t>en</w:t>
        <w:tab/>
        <w:t>línea </w:t>
      </w:r>
      <w:hyperlink r:id="rId643">
        <w:r>
          <w:rPr/>
          <w:t>http://www.tse.go.cr/pdf/varios/estadisticas_resoluciones.pdf</w:t>
        </w:r>
      </w:hyperlink>
      <w:r>
        <w:rPr/>
        <w:t>, consultada el 19 de junio de</w:t>
      </w:r>
      <w:r>
        <w:rPr>
          <w:spacing w:val="-5"/>
        </w:rPr>
        <w:t> </w:t>
      </w:r>
      <w:r>
        <w:rPr/>
        <w:t>2013.</w:t>
      </w:r>
    </w:p>
    <w:p>
      <w:pPr>
        <w:pStyle w:val="BodyText"/>
      </w:pPr>
    </w:p>
    <w:p>
      <w:pPr>
        <w:pStyle w:val="BodyText"/>
        <w:spacing w:line="360" w:lineRule="auto" w:before="142"/>
        <w:ind w:left="102" w:right="117"/>
        <w:jc w:val="both"/>
      </w:pPr>
      <w:r>
        <w:rPr/>
        <w:t>TSE (Secretaria del Tribunal Supremo de Elecciones) (2013h), “Jurisprudencia. Generalidades sobre la jurisdicción electoral de Costa Rica”, en línea </w:t>
      </w:r>
      <w:hyperlink r:id="rId644">
        <w:r>
          <w:rPr/>
          <w:t>http://www.tse.go.cr/generalidades_jurisdiccion.htm</w:t>
        </w:r>
      </w:hyperlink>
      <w:r>
        <w:rPr/>
        <w:t>, consultada el 20 de junio de 2013.</w:t>
      </w:r>
    </w:p>
    <w:p>
      <w:pPr>
        <w:pStyle w:val="BodyText"/>
      </w:pPr>
    </w:p>
    <w:p>
      <w:pPr>
        <w:pStyle w:val="BodyText"/>
        <w:spacing w:line="360" w:lineRule="auto" w:before="142"/>
        <w:ind w:left="102" w:right="117"/>
        <w:jc w:val="both"/>
      </w:pPr>
      <w:r>
        <w:rPr/>
        <w:t>TSE (Secretaria del Tribunal Supremo de Elecciones) (2013i), “Elecciones. Boletines estadísticos. Boletín a diciembre de 2010”, en línea </w:t>
      </w:r>
      <w:hyperlink r:id="rId645">
        <w:r>
          <w:rPr/>
          <w:t>http://www.tse.go.cr/pdf/boletines/boletin_2010.pdf</w:t>
        </w:r>
      </w:hyperlink>
      <w:r>
        <w:rPr/>
        <w:t>, consultada el 20 de junio de 2013.</w:t>
      </w:r>
    </w:p>
    <w:p>
      <w:pPr>
        <w:pStyle w:val="BodyText"/>
      </w:pPr>
    </w:p>
    <w:p>
      <w:pPr>
        <w:pStyle w:val="BodyText"/>
        <w:spacing w:line="360" w:lineRule="auto" w:before="139"/>
        <w:ind w:left="102" w:right="117"/>
        <w:jc w:val="both"/>
      </w:pPr>
      <w:r>
        <w:rPr/>
        <w:t>Ugalde, Luis Carlos (2010), </w:t>
      </w:r>
      <w:r>
        <w:rPr>
          <w:i/>
        </w:rPr>
        <w:t>Así lo viví, </w:t>
      </w:r>
      <w:r>
        <w:rPr/>
        <w:t>México, Random House Mondadori</w:t>
      </w:r>
      <w:r>
        <w:rPr>
          <w:i/>
        </w:rPr>
        <w:t>, </w:t>
      </w:r>
      <w:r>
        <w:rPr>
          <w:spacing w:val="-2"/>
        </w:rPr>
        <w:t>456</w:t>
      </w:r>
      <w:r>
        <w:rPr>
          <w:spacing w:val="62"/>
        </w:rPr>
        <w:t> </w:t>
      </w:r>
      <w:r>
        <w:rPr/>
        <w:t>pp.</w:t>
      </w:r>
    </w:p>
    <w:p>
      <w:pPr>
        <w:spacing w:after="0" w:line="360" w:lineRule="auto"/>
        <w:jc w:val="both"/>
        <w:sectPr>
          <w:pgSz w:w="12240" w:h="15840"/>
          <w:pgMar w:header="749" w:footer="1003" w:top="960" w:bottom="1200" w:left="1600" w:right="1580"/>
        </w:sectPr>
      </w:pPr>
    </w:p>
    <w:p>
      <w:pPr>
        <w:pStyle w:val="BodyText"/>
        <w:rPr>
          <w:sz w:val="20"/>
        </w:rPr>
      </w:pPr>
    </w:p>
    <w:p>
      <w:pPr>
        <w:pStyle w:val="BodyText"/>
        <w:spacing w:line="360" w:lineRule="auto" w:before="214"/>
        <w:ind w:left="102" w:right="125"/>
        <w:jc w:val="both"/>
      </w:pPr>
      <w:r>
        <w:rPr/>
        <w:t>Urrutia, Alonso (2008), “Carpetazo del IFE al caso de los spots no reportados; multas “leves” a PRD y Panal” en </w:t>
      </w:r>
      <w:r>
        <w:rPr>
          <w:i/>
        </w:rPr>
        <w:t>La Jornada, </w:t>
      </w:r>
      <w:r>
        <w:rPr/>
        <w:t>diario, 16 de febrero, México.</w:t>
      </w:r>
    </w:p>
    <w:p>
      <w:pPr>
        <w:pStyle w:val="BodyText"/>
      </w:pPr>
    </w:p>
    <w:p>
      <w:pPr>
        <w:pStyle w:val="BodyText"/>
        <w:spacing w:line="360" w:lineRule="auto" w:before="144"/>
        <w:ind w:left="102" w:right="115"/>
        <w:jc w:val="both"/>
      </w:pPr>
      <w:r>
        <w:rPr/>
        <w:t>Vargas Cullell, Jorge (2011), “La calidad de la democracia y el estudio comparado de la democratización” en </w:t>
      </w:r>
      <w:r>
        <w:rPr>
          <w:i/>
        </w:rPr>
        <w:t>Revista Latinoamericana de Política Comparada, </w:t>
      </w:r>
      <w:r>
        <w:rPr/>
        <w:t>vol.5, julio, Quito, Ecuador, Centro Latinoamericano de Estudios Políticos, pp. 67-94.</w:t>
      </w:r>
    </w:p>
    <w:p>
      <w:pPr>
        <w:pStyle w:val="BodyText"/>
      </w:pPr>
    </w:p>
    <w:p>
      <w:pPr>
        <w:pStyle w:val="BodyText"/>
        <w:spacing w:line="360" w:lineRule="auto" w:before="142"/>
        <w:ind w:left="102" w:right="118"/>
        <w:jc w:val="both"/>
      </w:pPr>
      <w:r>
        <w:rPr/>
        <w:t>Vargas Cullell, Jorge (2004), “democracy and the quality of democracy: empirical findings and methodological and theoretical issues drawn from the citizen audit of the quality of democracy in Costa Rica”, en: Ó’Donnell, Guillermo, Iazzetta, Ósvaldo y Jorge Vargas-Cullell (eds), </w:t>
      </w:r>
      <w:r>
        <w:rPr>
          <w:i/>
        </w:rPr>
        <w:t>The quality of democracy: theory and </w:t>
      </w:r>
      <w:r>
        <w:rPr>
          <w:i/>
        </w:rPr>
        <w:t>applications</w:t>
      </w:r>
      <w:r>
        <w:rPr/>
        <w:t>, notre dame, University of Ñotre Dame Press, pp. 93-163.</w:t>
      </w:r>
    </w:p>
    <w:p>
      <w:pPr>
        <w:pStyle w:val="BodyText"/>
      </w:pPr>
    </w:p>
    <w:p>
      <w:pPr>
        <w:spacing w:line="360" w:lineRule="auto" w:before="142"/>
        <w:ind w:left="102" w:right="116" w:firstLine="0"/>
        <w:jc w:val="both"/>
        <w:rPr>
          <w:sz w:val="24"/>
        </w:rPr>
      </w:pPr>
      <w:r>
        <w:rPr>
          <w:sz w:val="24"/>
        </w:rPr>
        <w:t>Varios (2001), </w:t>
      </w:r>
      <w:r>
        <w:rPr>
          <w:i/>
          <w:sz w:val="24"/>
        </w:rPr>
        <w:t>Auditoría ciudadana sobre la calidad de la democracia, </w:t>
      </w:r>
      <w:r>
        <w:rPr>
          <w:sz w:val="24"/>
        </w:rPr>
        <w:t>San José, Costa Rica, Programa de las Naciones Unidas para el Desarrollo (PNUD)- Programa Estado de la Nación, 2 vols.</w:t>
      </w:r>
    </w:p>
    <w:p>
      <w:pPr>
        <w:pStyle w:val="BodyText"/>
      </w:pPr>
    </w:p>
    <w:p>
      <w:pPr>
        <w:spacing w:line="360" w:lineRule="auto" w:before="140"/>
        <w:ind w:left="102" w:right="116" w:firstLine="0"/>
        <w:jc w:val="both"/>
        <w:rPr>
          <w:sz w:val="24"/>
        </w:rPr>
      </w:pPr>
      <w:r>
        <w:rPr>
          <w:sz w:val="24"/>
        </w:rPr>
        <w:t>Whitehead, Laurence (2011), </w:t>
      </w:r>
      <w:r>
        <w:rPr>
          <w:i/>
          <w:sz w:val="24"/>
        </w:rPr>
        <w:t>Democratización. Teoría y experiencia, </w:t>
      </w:r>
      <w:r>
        <w:rPr>
          <w:sz w:val="24"/>
        </w:rPr>
        <w:t>México, Fondo de Cultura Económica, pp. 407.</w:t>
      </w:r>
    </w:p>
    <w:p>
      <w:pPr>
        <w:pStyle w:val="BodyText"/>
      </w:pPr>
    </w:p>
    <w:p>
      <w:pPr>
        <w:pStyle w:val="BodyText"/>
        <w:spacing w:line="360" w:lineRule="auto" w:before="142"/>
        <w:ind w:left="102" w:right="120"/>
      </w:pPr>
      <w:r>
        <w:rPr/>
        <w:t>Wikipedia (2011a), “Anexo: entidades federativas de México por superficie”, en línea http://es.wikipedia.org/wiki/Anexo:Entidades_federativas_de_M%C3%A9xico_por_ superficie, consultado el 31 de enero de 2012.</w:t>
      </w:r>
    </w:p>
    <w:p>
      <w:pPr>
        <w:pStyle w:val="BodyText"/>
      </w:pPr>
    </w:p>
    <w:p>
      <w:pPr>
        <w:pStyle w:val="BodyText"/>
        <w:tabs>
          <w:tab w:pos="1356" w:val="left" w:leader="none"/>
          <w:tab w:pos="2461" w:val="left" w:leader="none"/>
          <w:tab w:pos="3499" w:val="left" w:leader="none"/>
          <w:tab w:pos="4847" w:val="left" w:leader="none"/>
          <w:tab w:pos="5379" w:val="left" w:leader="none"/>
          <w:tab w:pos="6338" w:val="left" w:leader="none"/>
          <w:tab w:pos="6818" w:val="left" w:leader="none"/>
          <w:tab w:pos="7943" w:val="left" w:leader="none"/>
          <w:tab w:pos="8423" w:val="left" w:leader="none"/>
        </w:tabs>
        <w:spacing w:line="360" w:lineRule="auto" w:before="142"/>
        <w:ind w:left="102" w:right="117"/>
      </w:pPr>
      <w:r>
        <w:rPr/>
        <w:t>Wikipedia</w:t>
        <w:tab/>
        <w:t>(2011b),</w:t>
        <w:tab/>
        <w:t>“Anexo:</w:t>
        <w:tab/>
        <w:t>municipios</w:t>
        <w:tab/>
        <w:t>del</w:t>
        <w:tab/>
        <w:t>Estado</w:t>
        <w:tab/>
        <w:t>de</w:t>
        <w:tab/>
        <w:t>México”,</w:t>
        <w:tab/>
        <w:t>en</w:t>
        <w:tab/>
      </w:r>
      <w:r>
        <w:rPr>
          <w:spacing w:val="-1"/>
        </w:rPr>
        <w:t>línea </w:t>
      </w:r>
      <w:r>
        <w:rPr/>
        <w:t>http://es.wikipedia.org/wiki/Anexo:Municipios_del_estado_de_M%C3%A9xico, consultado el 3 de febrero de</w:t>
      </w:r>
      <w:r>
        <w:rPr>
          <w:spacing w:val="-15"/>
        </w:rPr>
        <w:t> </w:t>
      </w:r>
      <w:r>
        <w:rPr/>
        <w:t>2012.</w:t>
      </w:r>
    </w:p>
    <w:p>
      <w:pPr>
        <w:spacing w:after="0" w:line="360" w:lineRule="auto"/>
        <w:sectPr>
          <w:pgSz w:w="12240" w:h="15840"/>
          <w:pgMar w:header="749" w:footer="1003" w:top="960" w:bottom="1200" w:left="1600" w:right="1580"/>
        </w:sectPr>
      </w:pPr>
    </w:p>
    <w:p>
      <w:pPr>
        <w:pStyle w:val="BodyText"/>
        <w:rPr>
          <w:sz w:val="20"/>
        </w:rPr>
      </w:pPr>
    </w:p>
    <w:p>
      <w:pPr>
        <w:pStyle w:val="BodyText"/>
        <w:spacing w:line="360" w:lineRule="auto" w:before="214"/>
        <w:ind w:left="102" w:right="117"/>
        <w:jc w:val="both"/>
      </w:pPr>
      <w:r>
        <w:rPr/>
        <w:t>Wikipedia (2012a), “Partido Revolucionario Institucional”, en línea </w:t>
      </w:r>
      <w:hyperlink r:id="rId646">
        <w:r>
          <w:rPr/>
          <w:t>http://es.wikipedia.org/wiki/Partido_Revolucionario_Institucional</w:t>
        </w:r>
      </w:hyperlink>
      <w:r>
        <w:rPr/>
        <w:t>, consultado el 16 de enero.</w:t>
      </w:r>
    </w:p>
    <w:p>
      <w:pPr>
        <w:pStyle w:val="BodyText"/>
      </w:pPr>
    </w:p>
    <w:p>
      <w:pPr>
        <w:pStyle w:val="BodyText"/>
        <w:tabs>
          <w:tab w:pos="1581" w:val="left" w:leader="none"/>
          <w:tab w:pos="2907" w:val="left" w:leader="none"/>
          <w:tab w:pos="4171" w:val="left" w:leader="none"/>
          <w:tab w:pos="5315" w:val="left" w:leader="none"/>
          <w:tab w:pos="6099" w:val="left" w:leader="none"/>
          <w:tab w:pos="7715" w:val="left" w:leader="none"/>
          <w:tab w:pos="8420" w:val="left" w:leader="none"/>
        </w:tabs>
        <w:spacing w:line="360" w:lineRule="auto" w:before="142"/>
        <w:ind w:left="102" w:right="117"/>
      </w:pPr>
      <w:r>
        <w:rPr/>
        <w:t>Wikipedia</w:t>
        <w:tab/>
        <w:t>(2012b),</w:t>
        <w:tab/>
        <w:t>“Anexo:</w:t>
        <w:tab/>
        <w:t>países</w:t>
        <w:tab/>
        <w:t>por</w:t>
        <w:tab/>
        <w:t>superficie”,</w:t>
        <w:tab/>
        <w:t>en</w:t>
        <w:tab/>
        <w:t>línea http://es.wikipedia.org/wiki/Anexo:Pa%C3%ADses_por_superficie#Lista, consultado el 31 de</w:t>
      </w:r>
      <w:r>
        <w:rPr>
          <w:spacing w:val="-12"/>
        </w:rPr>
        <w:t> </w:t>
      </w:r>
      <w:r>
        <w:rPr/>
        <w:t>enero.</w:t>
      </w:r>
    </w:p>
    <w:p>
      <w:pPr>
        <w:pStyle w:val="BodyText"/>
      </w:pPr>
    </w:p>
    <w:p>
      <w:pPr>
        <w:pStyle w:val="BodyText"/>
        <w:tabs>
          <w:tab w:pos="1584" w:val="left" w:leader="none"/>
          <w:tab w:pos="2898" w:val="left" w:leader="none"/>
          <w:tab w:pos="4164" w:val="left" w:leader="none"/>
          <w:tab w:pos="5308" w:val="left" w:leader="none"/>
          <w:tab w:pos="6094" w:val="left" w:leader="none"/>
          <w:tab w:pos="7713" w:val="left" w:leader="none"/>
          <w:tab w:pos="8420" w:val="left" w:leader="none"/>
        </w:tabs>
        <w:spacing w:line="360" w:lineRule="auto" w:before="142"/>
        <w:ind w:left="102" w:right="117"/>
      </w:pPr>
      <w:r>
        <w:rPr/>
        <w:t>Wikipedia</w:t>
        <w:tab/>
        <w:t>(2012c),</w:t>
        <w:tab/>
        <w:t>“Anexo:</w:t>
        <w:tab/>
        <w:t>países</w:t>
        <w:tab/>
        <w:t>por</w:t>
        <w:tab/>
        <w:t>población”,</w:t>
        <w:tab/>
        <w:t>en</w:t>
        <w:tab/>
        <w:t>línea http://es.wikipedia.org/wiki/Anexo:Pa%C3%ADses_por_poblaci%C3%B3n, consultado el 7 de</w:t>
      </w:r>
      <w:r>
        <w:rPr>
          <w:spacing w:val="-13"/>
        </w:rPr>
        <w:t> </w:t>
      </w:r>
      <w:r>
        <w:rPr/>
        <w:t>febrero.</w:t>
      </w:r>
    </w:p>
    <w:p>
      <w:pPr>
        <w:pStyle w:val="BodyText"/>
      </w:pPr>
    </w:p>
    <w:p>
      <w:pPr>
        <w:pStyle w:val="BodyText"/>
        <w:tabs>
          <w:tab w:pos="1346" w:val="left" w:leader="none"/>
          <w:tab w:pos="2439" w:val="left" w:leader="none"/>
          <w:tab w:pos="3468" w:val="left" w:leader="none"/>
          <w:tab w:pos="4377" w:val="left" w:leader="none"/>
          <w:tab w:pos="6100" w:val="left" w:leader="none"/>
          <w:tab w:pos="6568" w:val="left" w:leader="none"/>
          <w:tab w:pos="7953" w:val="left" w:leader="none"/>
          <w:tab w:pos="8423" w:val="left" w:leader="none"/>
        </w:tabs>
        <w:spacing w:line="360" w:lineRule="auto" w:before="142"/>
        <w:ind w:left="102" w:right="117"/>
      </w:pPr>
      <w:r>
        <w:rPr/>
        <w:t>Wikipedia</w:t>
        <w:tab/>
        <w:t>(2012d),</w:t>
        <w:tab/>
        <w:t>“Anexo:</w:t>
        <w:tab/>
        <w:t>países</w:t>
        <w:tab/>
        <w:t>por </w:t>
      </w:r>
      <w:r>
        <w:rPr>
          <w:spacing w:val="63"/>
        </w:rPr>
        <w:t> </w:t>
      </w:r>
      <w:r>
        <w:rPr/>
        <w:t>densidad</w:t>
        <w:tab/>
        <w:t>de</w:t>
        <w:tab/>
        <w:t>población”,</w:t>
        <w:tab/>
        <w:t>en</w:t>
        <w:tab/>
      </w:r>
      <w:r>
        <w:rPr>
          <w:spacing w:val="-1"/>
        </w:rPr>
        <w:t>línea </w:t>
      </w:r>
      <w:r>
        <w:rPr/>
        <w:t>http://es.wikipedia.org/wiki/Anexo:Pa%C3%ADses_por_densidad_de_poblaci%C3</w:t>
      </w:r>
    </w:p>
    <w:p>
      <w:pPr>
        <w:pStyle w:val="BodyText"/>
        <w:spacing w:before="2"/>
        <w:ind w:left="102" w:right="120"/>
      </w:pPr>
      <w:r>
        <w:rPr/>
        <w:t>%B3n, consultado el 19 de febrero.</w:t>
      </w:r>
    </w:p>
    <w:p>
      <w:pPr>
        <w:pStyle w:val="BodyText"/>
      </w:pPr>
    </w:p>
    <w:p>
      <w:pPr>
        <w:pStyle w:val="BodyText"/>
        <w:spacing w:before="9"/>
        <w:rPr>
          <w:sz w:val="23"/>
        </w:rPr>
      </w:pPr>
    </w:p>
    <w:p>
      <w:pPr>
        <w:spacing w:before="0"/>
        <w:ind w:left="102" w:right="120" w:firstLine="0"/>
        <w:jc w:val="left"/>
        <w:rPr>
          <w:i/>
          <w:sz w:val="24"/>
        </w:rPr>
      </w:pPr>
      <w:r>
        <w:rPr>
          <w:sz w:val="24"/>
        </w:rPr>
        <w:t>Woldenberg, José (2007), </w:t>
      </w:r>
      <w:r>
        <w:rPr>
          <w:i/>
          <w:sz w:val="24"/>
        </w:rPr>
        <w:t>El cambio democrático y la educación cívica en México,</w:t>
      </w:r>
    </w:p>
    <w:p>
      <w:pPr>
        <w:pStyle w:val="BodyText"/>
        <w:spacing w:before="142"/>
        <w:ind w:left="102" w:right="120"/>
      </w:pPr>
      <w:r>
        <w:rPr/>
        <w:t>México, Cal y arena, 169 pp.</w:t>
      </w:r>
    </w:p>
    <w:p>
      <w:pPr>
        <w:pStyle w:val="BodyText"/>
      </w:pPr>
    </w:p>
    <w:p>
      <w:pPr>
        <w:pStyle w:val="BodyText"/>
        <w:spacing w:before="9"/>
        <w:rPr>
          <w:sz w:val="23"/>
        </w:rPr>
      </w:pPr>
    </w:p>
    <w:p>
      <w:pPr>
        <w:pStyle w:val="BodyText"/>
        <w:spacing w:line="480" w:lineRule="auto"/>
        <w:ind w:left="102" w:right="118"/>
        <w:jc w:val="both"/>
      </w:pPr>
      <w:r>
        <w:rPr/>
        <w:t>Woldenberg, José (2010), “Balance y perspectiva de la Reforma Electoral 2007”, en Jorge Alcocer y Lorenzo Córdova Vianello, </w:t>
      </w:r>
      <w:r>
        <w:rPr>
          <w:i/>
        </w:rPr>
        <w:t>Democracia y reglas del juego, </w:t>
      </w:r>
      <w:r>
        <w:rPr/>
        <w:t>México, Universidad Nacional Autónoma de México, pp. 63-76.</w:t>
      </w:r>
    </w:p>
    <w:p>
      <w:pPr>
        <w:pStyle w:val="BodyText"/>
      </w:pPr>
    </w:p>
    <w:p>
      <w:pPr>
        <w:pStyle w:val="BodyText"/>
        <w:spacing w:before="5"/>
      </w:pPr>
    </w:p>
    <w:p>
      <w:pPr>
        <w:spacing w:line="480" w:lineRule="auto" w:before="0"/>
        <w:ind w:left="102" w:right="120" w:firstLine="0"/>
        <w:jc w:val="left"/>
        <w:rPr>
          <w:sz w:val="24"/>
        </w:rPr>
      </w:pPr>
      <w:r>
        <w:rPr>
          <w:sz w:val="24"/>
        </w:rPr>
        <w:t>Woldenberg, José (2012a), </w:t>
      </w:r>
      <w:r>
        <w:rPr>
          <w:i/>
          <w:sz w:val="24"/>
        </w:rPr>
        <w:t>Historia mínima de la transición democrática en </w:t>
      </w:r>
      <w:r>
        <w:rPr>
          <w:i/>
          <w:sz w:val="24"/>
        </w:rPr>
        <w:t>México</w:t>
      </w:r>
      <w:r>
        <w:rPr>
          <w:sz w:val="24"/>
        </w:rPr>
        <w:t>, México, El Colegio de México, 150 pp.</w:t>
      </w:r>
    </w:p>
    <w:p>
      <w:pPr>
        <w:pStyle w:val="BodyText"/>
      </w:pPr>
    </w:p>
    <w:p>
      <w:pPr>
        <w:spacing w:line="360" w:lineRule="auto" w:before="147"/>
        <w:ind w:left="102" w:right="120" w:firstLine="0"/>
        <w:jc w:val="left"/>
        <w:rPr>
          <w:sz w:val="24"/>
        </w:rPr>
      </w:pPr>
      <w:r>
        <w:rPr>
          <w:sz w:val="24"/>
        </w:rPr>
        <w:t>Woldenberg, José (2012b), </w:t>
      </w:r>
      <w:r>
        <w:rPr>
          <w:i/>
          <w:sz w:val="24"/>
        </w:rPr>
        <w:t>La transición democrática en México, </w:t>
      </w:r>
      <w:r>
        <w:rPr>
          <w:sz w:val="24"/>
        </w:rPr>
        <w:t>México, El Colegio de México, 150 pp.</w:t>
      </w:r>
    </w:p>
    <w:p>
      <w:pPr>
        <w:spacing w:after="0" w:line="360" w:lineRule="auto"/>
        <w:jc w:val="left"/>
        <w:rPr>
          <w:sz w:val="24"/>
        </w:rPr>
        <w:sectPr>
          <w:pgSz w:w="12240" w:h="15840"/>
          <w:pgMar w:header="749" w:footer="1003" w:top="960" w:bottom="1200" w:left="1600" w:right="1580"/>
        </w:sectPr>
      </w:pPr>
    </w:p>
    <w:p>
      <w:pPr>
        <w:pStyle w:val="BodyText"/>
        <w:rPr>
          <w:sz w:val="20"/>
        </w:rPr>
      </w:pPr>
    </w:p>
    <w:p>
      <w:pPr>
        <w:pStyle w:val="BodyText"/>
        <w:spacing w:line="360" w:lineRule="auto" w:before="212"/>
        <w:ind w:left="102" w:right="118"/>
        <w:jc w:val="both"/>
      </w:pPr>
      <w:r>
        <w:rPr/>
        <w:t>Woldenberg, José (2013), </w:t>
      </w:r>
      <w:r>
        <w:rPr>
          <w:i/>
        </w:rPr>
        <w:t>La transición democrática mexicana, </w:t>
      </w:r>
      <w:r>
        <w:rPr/>
        <w:t>discurso presentado ante el Centro para América Latina y el Caribe y el Instituto de Investigaciones sobre Cuba de la Universidad Internacional de Florida, en línea </w:t>
      </w:r>
      <w:hyperlink r:id="rId647">
        <w:r>
          <w:rPr/>
          <w:t>http://memoria.fiu.edu/memoria/documents/woldenberg.pdf</w:t>
        </w:r>
      </w:hyperlink>
      <w:r>
        <w:rPr/>
        <w:t>, consultado el 30 de mayo.</w:t>
      </w:r>
    </w:p>
    <w:p>
      <w:pPr>
        <w:pStyle w:val="BodyText"/>
      </w:pPr>
    </w:p>
    <w:p>
      <w:pPr>
        <w:pStyle w:val="BodyText"/>
        <w:spacing w:line="360" w:lineRule="auto" w:before="142"/>
        <w:ind w:left="102" w:right="122"/>
        <w:jc w:val="both"/>
      </w:pPr>
      <w:r>
        <w:rPr/>
        <w:t>Zeledón Cambronero, Mario (1992), “Periodismo, historia y democracia” en  </w:t>
      </w:r>
      <w:r>
        <w:rPr>
          <w:i/>
        </w:rPr>
        <w:t>Revista de Ciencias Sociales</w:t>
      </w:r>
      <w:r>
        <w:rPr/>
        <w:t>, núm. 57, San José, Costa Rica, Universidad de Costa Rica, pp.</w:t>
      </w:r>
      <w:r>
        <w:rPr>
          <w:spacing w:val="-6"/>
        </w:rPr>
        <w:t> </w:t>
      </w:r>
      <w:r>
        <w:rPr/>
        <w:t>7-16.</w:t>
      </w:r>
    </w:p>
    <w:sectPr>
      <w:pgSz w:w="12240" w:h="15840"/>
      <w:pgMar w:header="749" w:footer="1003" w:top="960" w:bottom="1200" w:left="160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Trebuchet MS">
    <w:altName w:val="Trebuchet MS"/>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1.290009pt;margin-top:730.856018pt;width:9.6pt;height:13.05pt;mso-position-horizontal-relative:page;mso-position-vertical-relative:page;z-index:-33136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3</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30.856018pt;width:13.3pt;height:13.05pt;mso-position-horizontal-relative:page;mso-position-vertical-relative:page;z-index:-331144" type="#_x0000_t202" filled="false" stroked="false">
          <v:textbox inset="0,0,0,0">
            <w:txbxContent>
              <w:p>
                <w:pPr>
                  <w:spacing w:line="245" w:lineRule="exact" w:before="0"/>
                  <w:ind w:left="20" w:right="0" w:firstLine="0"/>
                  <w:jc w:val="left"/>
                  <w:rPr>
                    <w:rFonts w:ascii="Calibri"/>
                    <w:sz w:val="22"/>
                  </w:rPr>
                </w:pPr>
                <w:r>
                  <w:rPr>
                    <w:rFonts w:ascii="Calibri"/>
                    <w:sz w:val="22"/>
                  </w:rPr>
                  <w:t>50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30.856018pt;width:15.3pt;height:13.05pt;mso-position-horizontal-relative:page;mso-position-vertical-relative:page;z-index:-33112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51</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30.856018pt;width:13.3pt;height:13.05pt;mso-position-horizontal-relative:page;mso-position-vertical-relative:page;z-index:-331096" type="#_x0000_t202" filled="false" stroked="false">
          <v:textbox inset="0,0,0,0">
            <w:txbxContent>
              <w:p>
                <w:pPr>
                  <w:spacing w:line="245" w:lineRule="exact" w:before="0"/>
                  <w:ind w:left="20" w:right="0" w:firstLine="0"/>
                  <w:jc w:val="left"/>
                  <w:rPr>
                    <w:rFonts w:ascii="Calibri"/>
                    <w:sz w:val="22"/>
                  </w:rPr>
                </w:pPr>
                <w:r>
                  <w:rPr>
                    <w:rFonts w:ascii="Calibri"/>
                    <w:sz w:val="22"/>
                  </w:rPr>
                  <w:t>60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30.856018pt;width:15.3pt;height:13.05pt;mso-position-horizontal-relative:page;mso-position-vertical-relative:page;z-index:-33107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61</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30.856018pt;width:13.3pt;height:13.05pt;mso-position-horizontal-relative:page;mso-position-vertical-relative:page;z-index:-331048" type="#_x0000_t202" filled="false" stroked="false">
          <v:textbox inset="0,0,0,0">
            <w:txbxContent>
              <w:p>
                <w:pPr>
                  <w:spacing w:line="245" w:lineRule="exact" w:before="0"/>
                  <w:ind w:left="20" w:right="0" w:firstLine="0"/>
                  <w:jc w:val="left"/>
                  <w:rPr>
                    <w:rFonts w:ascii="Calibri"/>
                    <w:sz w:val="22"/>
                  </w:rPr>
                </w:pPr>
                <w:r>
                  <w:rPr>
                    <w:rFonts w:ascii="Calibri"/>
                    <w:sz w:val="22"/>
                  </w:rPr>
                  <w:t>70</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30.856018pt;width:15.3pt;height:13.05pt;mso-position-horizontal-relative:page;mso-position-vertical-relative:page;z-index:-33102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71</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30.856018pt;width:13.3pt;height:13.05pt;mso-position-horizontal-relative:page;mso-position-vertical-relative:page;z-index:-331000" type="#_x0000_t202" filled="false" stroked="false">
          <v:textbox inset="0,0,0,0">
            <w:txbxContent>
              <w:p>
                <w:pPr>
                  <w:spacing w:line="245" w:lineRule="exact" w:before="0"/>
                  <w:ind w:left="20" w:right="0" w:firstLine="0"/>
                  <w:jc w:val="left"/>
                  <w:rPr>
                    <w:rFonts w:ascii="Calibri"/>
                    <w:sz w:val="22"/>
                  </w:rPr>
                </w:pPr>
                <w:r>
                  <w:rPr>
                    <w:rFonts w:ascii="Calibri"/>
                    <w:sz w:val="22"/>
                  </w:rPr>
                  <w:t>80</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30.856018pt;width:15.3pt;height:13.05pt;mso-position-horizontal-relative:page;mso-position-vertical-relative:page;z-index:-33097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81</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30.856018pt;width:13.3pt;height:13.05pt;mso-position-horizontal-relative:page;mso-position-vertical-relative:page;z-index:-330952" type="#_x0000_t202" filled="false" stroked="false">
          <v:textbox inset="0,0,0,0">
            <w:txbxContent>
              <w:p>
                <w:pPr>
                  <w:spacing w:line="245" w:lineRule="exact" w:before="0"/>
                  <w:ind w:left="20" w:right="0" w:firstLine="0"/>
                  <w:jc w:val="left"/>
                  <w:rPr>
                    <w:rFonts w:ascii="Calibri"/>
                    <w:sz w:val="22"/>
                  </w:rPr>
                </w:pPr>
                <w:r>
                  <w:rPr>
                    <w:rFonts w:ascii="Calibri"/>
                    <w:sz w:val="22"/>
                  </w:rPr>
                  <w:t>90</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30.856018pt;width:15.3pt;height:13.05pt;mso-position-horizontal-relative:page;mso-position-vertical-relative:page;z-index:-33092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30.856018pt;width:13.3pt;height:13.05pt;mso-position-horizontal-relative:page;mso-position-vertical-relative:page;z-index:-331336" type="#_x0000_t202" filled="false" stroked="false">
          <v:textbox inset="0,0,0,0">
            <w:txbxContent>
              <w:p>
                <w:pPr>
                  <w:spacing w:line="245" w:lineRule="exact" w:before="0"/>
                  <w:ind w:left="20" w:right="0" w:firstLine="0"/>
                  <w:jc w:val="left"/>
                  <w:rPr>
                    <w:rFonts w:ascii="Calibri"/>
                    <w:sz w:val="22"/>
                  </w:rPr>
                </w:pPr>
                <w:r>
                  <w:rPr>
                    <w:rFonts w:ascii="Calibri"/>
                    <w:sz w:val="22"/>
                  </w:rPr>
                  <w:t>10</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649994pt;margin-top:730.856018pt;width:20.75pt;height:13.05pt;mso-position-horizontal-relative:page;mso-position-vertical-relative:page;z-index:-33090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100</w:t>
                </w:r>
                <w:r>
                  <w:rPr/>
                  <w:fldChar w:fldCharType="end"/>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649994pt;margin-top:730.856018pt;width:20.75pt;height:13.05pt;mso-position-horizontal-relative:page;mso-position-vertical-relative:page;z-index:-33088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110</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649994pt;margin-top:730.856018pt;width:20.75pt;height:13.05pt;mso-position-horizontal-relative:page;mso-position-vertical-relative:page;z-index:-33085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120</w:t>
                </w:r>
                <w:r>
                  <w:rPr/>
                  <w:fldChar w:fldCharType="end"/>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649994pt;margin-top:730.856018pt;width:20.75pt;height:13.05pt;mso-position-horizontal-relative:page;mso-position-vertical-relative:page;z-index:-33083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130</w:t>
                </w:r>
                <w:r>
                  <w:rPr/>
                  <w:fldChar w:fldCharType="end"/>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649994pt;margin-top:730.856018pt;width:20.75pt;height:13.05pt;mso-position-horizontal-relative:page;mso-position-vertical-relative:page;z-index:-33080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140</w:t>
                </w:r>
                <w:r>
                  <w:rPr/>
                  <w:fldChar w:fldCharType="end"/>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649994pt;margin-top:730.856018pt;width:20.75pt;height:13.05pt;mso-position-horizontal-relative:page;mso-position-vertical-relative:page;z-index:-33078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150</w:t>
                </w:r>
                <w:r>
                  <w:rPr/>
                  <w:fldChar w:fldCharType="end"/>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649994pt;margin-top:730.856018pt;width:20.75pt;height:13.05pt;mso-position-horizontal-relative:page;mso-position-vertical-relative:page;z-index:-33076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155</w:t>
                </w:r>
                <w:r>
                  <w:rPr/>
                  <w:fldChar w:fldCharType="end"/>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649994pt;margin-top:730.856018pt;width:20.75pt;height:13.05pt;mso-position-horizontal-relative:page;mso-position-vertical-relative:page;z-index:-33073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160</w:t>
                </w:r>
                <w:r>
                  <w:rPr/>
                  <w:fldChar w:fldCharType="end"/>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649994pt;margin-top:730.856018pt;width:20.75pt;height:13.05pt;mso-position-horizontal-relative:page;mso-position-vertical-relative:page;z-index:-33071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170</w:t>
                </w:r>
                <w:r>
                  <w:rPr/>
                  <w:fldChar w:fldCharType="end"/>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649994pt;margin-top:730.856018pt;width:20.75pt;height:13.05pt;mso-position-horizontal-relative:page;mso-position-vertical-relative:page;z-index:-33068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180</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30.856018pt;width:15.3pt;height:13.05pt;mso-position-horizontal-relative:page;mso-position-vertical-relative:page;z-index:-33131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649994pt;margin-top:730.856018pt;width:20.75pt;height:13.05pt;mso-position-horizontal-relative:page;mso-position-vertical-relative:page;z-index:-33066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190</w:t>
                </w:r>
                <w:r>
                  <w:rPr/>
                  <w:fldChar w:fldCharType="end"/>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649994pt;margin-top:730.856018pt;width:20.75pt;height:13.05pt;mso-position-horizontal-relative:page;mso-position-vertical-relative:page;z-index:-33064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200</w:t>
                </w:r>
                <w:r>
                  <w:rPr/>
                  <w:fldChar w:fldCharType="end"/>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649994pt;margin-top:730.856018pt;width:20.75pt;height:13.05pt;mso-position-horizontal-relative:page;mso-position-vertical-relative:page;z-index:-33061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210</w:t>
                </w:r>
                <w:r>
                  <w:rPr/>
                  <w:fldChar w:fldCharType="end"/>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649994pt;margin-top:730.856018pt;width:20.75pt;height:13.05pt;mso-position-horizontal-relative:page;mso-position-vertical-relative:page;z-index:-33059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220</w:t>
                </w:r>
                <w:r>
                  <w:rPr/>
                  <w:fldChar w:fldCharType="end"/>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649994pt;margin-top:730.856018pt;width:20.75pt;height:13.05pt;mso-position-horizontal-relative:page;mso-position-vertical-relative:page;z-index:-33056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230</w:t>
                </w:r>
                <w:r>
                  <w:rPr/>
                  <w:fldChar w:fldCharType="end"/>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649994pt;margin-top:730.856018pt;width:20.75pt;height:13.05pt;mso-position-horizontal-relative:page;mso-position-vertical-relative:page;z-index:-33054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240</w:t>
                </w:r>
                <w:r>
                  <w:rPr/>
                  <w:fldChar w:fldCharType="end"/>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649994pt;margin-top:730.856018pt;width:20.75pt;height:13.05pt;mso-position-horizontal-relative:page;mso-position-vertical-relative:page;z-index:-33052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250</w:t>
                </w:r>
                <w:r>
                  <w:rPr/>
                  <w:fldChar w:fldCharType="end"/>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649994pt;margin-top:730.856018pt;width:20.75pt;height:13.05pt;mso-position-horizontal-relative:page;mso-position-vertical-relative:page;z-index:-33049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260</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30.856018pt;width:13.3pt;height:13.05pt;mso-position-horizontal-relative:page;mso-position-vertical-relative:page;z-index:-331288" type="#_x0000_t202" filled="false" stroked="false">
          <v:textbox inset="0,0,0,0">
            <w:txbxContent>
              <w:p>
                <w:pPr>
                  <w:spacing w:line="245" w:lineRule="exact" w:before="0"/>
                  <w:ind w:left="20" w:right="0" w:firstLine="0"/>
                  <w:jc w:val="left"/>
                  <w:rPr>
                    <w:rFonts w:ascii="Calibri"/>
                    <w:sz w:val="22"/>
                  </w:rPr>
                </w:pPr>
                <w:r>
                  <w:rPr>
                    <w:rFonts w:ascii="Calibri"/>
                    <w:sz w:val="22"/>
                  </w:rPr>
                  <w:t>20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30.856018pt;width:15.3pt;height:13.05pt;mso-position-horizontal-relative:page;mso-position-vertical-relative:page;z-index:-33126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30.856018pt;width:13.3pt;height:13.05pt;mso-position-horizontal-relative:page;mso-position-vertical-relative:page;z-index:-331240" type="#_x0000_t202" filled="false" stroked="false">
          <v:textbox inset="0,0,0,0">
            <w:txbxContent>
              <w:p>
                <w:pPr>
                  <w:spacing w:line="245" w:lineRule="exact" w:before="0"/>
                  <w:ind w:left="20" w:right="0" w:firstLine="0"/>
                  <w:jc w:val="left"/>
                  <w:rPr>
                    <w:rFonts w:ascii="Calibri"/>
                    <w:sz w:val="22"/>
                  </w:rPr>
                </w:pPr>
                <w:r>
                  <w:rPr>
                    <w:rFonts w:ascii="Calibri"/>
                    <w:sz w:val="22"/>
                  </w:rPr>
                  <w:t>30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30.856018pt;width:15.3pt;height:13.05pt;mso-position-horizontal-relative:page;mso-position-vertical-relative:page;z-index:-33121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30.856018pt;width:13.3pt;height:13.05pt;mso-position-horizontal-relative:page;mso-position-vertical-relative:page;z-index:-331192" type="#_x0000_t202" filled="false" stroked="false">
          <v:textbox inset="0,0,0,0">
            <w:txbxContent>
              <w:p>
                <w:pPr>
                  <w:spacing w:line="245" w:lineRule="exact" w:before="0"/>
                  <w:ind w:left="20" w:right="0" w:firstLine="0"/>
                  <w:jc w:val="left"/>
                  <w:rPr>
                    <w:rFonts w:ascii="Calibri"/>
                    <w:sz w:val="22"/>
                  </w:rPr>
                </w:pPr>
                <w:r>
                  <w:rPr>
                    <w:rFonts w:ascii="Calibri"/>
                    <w:sz w:val="22"/>
                  </w:rPr>
                  <w:t>40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30.856018pt;width:15.3pt;height:13.05pt;mso-position-horizontal-relative:page;mso-position-vertical-relative:page;z-index:-33116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41</w:t>
                </w:r>
                <w:r>
                  <w:rPr/>
                  <w:fldChar w:fldCharType="end"/>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41.089996pt;margin-top:36.439999pt;width:279.5pt;height:13.05pt;mso-position-horizontal-relative:page;mso-position-vertical-relative:page;z-index:-331384" type="#_x0000_t202" filled="false" stroked="false">
          <v:textbox inset="0,0,0,0">
            <w:txbxContent>
              <w:p>
                <w:pPr>
                  <w:spacing w:line="245" w:lineRule="exact" w:before="0"/>
                  <w:ind w:left="20" w:right="-3" w:firstLine="0"/>
                  <w:jc w:val="left"/>
                  <w:rPr>
                    <w:rFonts w:ascii="Calibri" w:hAnsi="Calibri"/>
                    <w:i/>
                    <w:sz w:val="22"/>
                  </w:rPr>
                </w:pPr>
                <w:r>
                  <w:rPr>
                    <w:rFonts w:ascii="Calibri" w:hAnsi="Calibri"/>
                    <w:i/>
                    <w:sz w:val="22"/>
                  </w:rPr>
                  <w:t>Calidad de las elecciones en México y Costa Rica (2006 y 2010)</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5">
    <w:multiLevelType w:val="hybridMultilevel"/>
    <w:lvl w:ilvl="0">
      <w:start w:val="1"/>
      <w:numFmt w:val="decimal"/>
      <w:lvlText w:val="%1)"/>
      <w:lvlJc w:val="left"/>
      <w:pPr>
        <w:ind w:left="222" w:hanging="269"/>
        <w:jc w:val="left"/>
      </w:pPr>
      <w:rPr>
        <w:rFonts w:hint="default" w:ascii="Arial" w:hAnsi="Arial" w:eastAsia="Arial" w:cs="Arial"/>
        <w:w w:val="100"/>
        <w:sz w:val="22"/>
        <w:szCs w:val="22"/>
      </w:rPr>
    </w:lvl>
    <w:lvl w:ilvl="1">
      <w:start w:val="1"/>
      <w:numFmt w:val="decimal"/>
      <w:lvlText w:val="%2"/>
      <w:lvlJc w:val="left"/>
      <w:pPr>
        <w:ind w:left="1513" w:hanging="706"/>
        <w:jc w:val="left"/>
      </w:pPr>
      <w:rPr>
        <w:rFonts w:hint="default" w:ascii="Arial" w:hAnsi="Arial" w:eastAsia="Arial" w:cs="Arial"/>
        <w:b/>
        <w:bCs/>
        <w:w w:val="99"/>
        <w:sz w:val="24"/>
        <w:szCs w:val="24"/>
      </w:rPr>
    </w:lvl>
    <w:lvl w:ilvl="2">
      <w:start w:val="1"/>
      <w:numFmt w:val="bullet"/>
      <w:lvlText w:val="•"/>
      <w:lvlJc w:val="left"/>
      <w:pPr>
        <w:ind w:left="2357" w:hanging="706"/>
      </w:pPr>
      <w:rPr>
        <w:rFonts w:hint="default"/>
      </w:rPr>
    </w:lvl>
    <w:lvl w:ilvl="3">
      <w:start w:val="1"/>
      <w:numFmt w:val="bullet"/>
      <w:lvlText w:val="•"/>
      <w:lvlJc w:val="left"/>
      <w:pPr>
        <w:ind w:left="3195" w:hanging="706"/>
      </w:pPr>
      <w:rPr>
        <w:rFonts w:hint="default"/>
      </w:rPr>
    </w:lvl>
    <w:lvl w:ilvl="4">
      <w:start w:val="1"/>
      <w:numFmt w:val="bullet"/>
      <w:lvlText w:val="•"/>
      <w:lvlJc w:val="left"/>
      <w:pPr>
        <w:ind w:left="4033" w:hanging="706"/>
      </w:pPr>
      <w:rPr>
        <w:rFonts w:hint="default"/>
      </w:rPr>
    </w:lvl>
    <w:lvl w:ilvl="5">
      <w:start w:val="1"/>
      <w:numFmt w:val="bullet"/>
      <w:lvlText w:val="•"/>
      <w:lvlJc w:val="left"/>
      <w:pPr>
        <w:ind w:left="4871" w:hanging="706"/>
      </w:pPr>
      <w:rPr>
        <w:rFonts w:hint="default"/>
      </w:rPr>
    </w:lvl>
    <w:lvl w:ilvl="6">
      <w:start w:val="1"/>
      <w:numFmt w:val="bullet"/>
      <w:lvlText w:val="•"/>
      <w:lvlJc w:val="left"/>
      <w:pPr>
        <w:ind w:left="5708" w:hanging="706"/>
      </w:pPr>
      <w:rPr>
        <w:rFonts w:hint="default"/>
      </w:rPr>
    </w:lvl>
    <w:lvl w:ilvl="7">
      <w:start w:val="1"/>
      <w:numFmt w:val="bullet"/>
      <w:lvlText w:val="•"/>
      <w:lvlJc w:val="left"/>
      <w:pPr>
        <w:ind w:left="6546" w:hanging="706"/>
      </w:pPr>
      <w:rPr>
        <w:rFonts w:hint="default"/>
      </w:rPr>
    </w:lvl>
    <w:lvl w:ilvl="8">
      <w:start w:val="1"/>
      <w:numFmt w:val="bullet"/>
      <w:lvlText w:val="•"/>
      <w:lvlJc w:val="left"/>
      <w:pPr>
        <w:ind w:left="7384" w:hanging="706"/>
      </w:pPr>
      <w:rPr>
        <w:rFonts w:hint="default"/>
      </w:rPr>
    </w:lvl>
  </w:abstractNum>
  <w:abstractNum w:abstractNumId="26">
    <w:multiLevelType w:val="hybridMultilevel"/>
    <w:lvl w:ilvl="0">
      <w:start w:val="1"/>
      <w:numFmt w:val="upperLetter"/>
      <w:lvlText w:val="%1)"/>
      <w:lvlJc w:val="left"/>
      <w:pPr>
        <w:ind w:left="1170" w:hanging="360"/>
        <w:jc w:val="left"/>
      </w:pPr>
      <w:rPr>
        <w:rFonts w:hint="default" w:ascii="Arial" w:hAnsi="Arial" w:eastAsia="Arial" w:cs="Arial"/>
        <w:b/>
        <w:bCs/>
        <w:spacing w:val="-3"/>
        <w:w w:val="99"/>
        <w:sz w:val="24"/>
        <w:szCs w:val="24"/>
      </w:rPr>
    </w:lvl>
    <w:lvl w:ilvl="1">
      <w:start w:val="1"/>
      <w:numFmt w:val="lowerLetter"/>
      <w:lvlText w:val="%2)"/>
      <w:lvlJc w:val="left"/>
      <w:pPr>
        <w:ind w:left="954" w:hanging="284"/>
        <w:jc w:val="left"/>
      </w:pPr>
      <w:rPr>
        <w:rFonts w:hint="default" w:ascii="Arial" w:hAnsi="Arial" w:eastAsia="Arial" w:cs="Arial"/>
        <w:w w:val="100"/>
        <w:sz w:val="22"/>
        <w:szCs w:val="22"/>
      </w:rPr>
    </w:lvl>
    <w:lvl w:ilvl="2">
      <w:start w:val="1"/>
      <w:numFmt w:val="bullet"/>
      <w:lvlText w:val="•"/>
      <w:lvlJc w:val="left"/>
      <w:pPr>
        <w:ind w:left="2055" w:hanging="284"/>
      </w:pPr>
      <w:rPr>
        <w:rFonts w:hint="default"/>
      </w:rPr>
    </w:lvl>
    <w:lvl w:ilvl="3">
      <w:start w:val="1"/>
      <w:numFmt w:val="bullet"/>
      <w:lvlText w:val="•"/>
      <w:lvlJc w:val="left"/>
      <w:pPr>
        <w:ind w:left="2931" w:hanging="284"/>
      </w:pPr>
      <w:rPr>
        <w:rFonts w:hint="default"/>
      </w:rPr>
    </w:lvl>
    <w:lvl w:ilvl="4">
      <w:start w:val="1"/>
      <w:numFmt w:val="bullet"/>
      <w:lvlText w:val="•"/>
      <w:lvlJc w:val="left"/>
      <w:pPr>
        <w:ind w:left="3806" w:hanging="284"/>
      </w:pPr>
      <w:rPr>
        <w:rFonts w:hint="default"/>
      </w:rPr>
    </w:lvl>
    <w:lvl w:ilvl="5">
      <w:start w:val="1"/>
      <w:numFmt w:val="bullet"/>
      <w:lvlText w:val="•"/>
      <w:lvlJc w:val="left"/>
      <w:pPr>
        <w:ind w:left="4682" w:hanging="284"/>
      </w:pPr>
      <w:rPr>
        <w:rFonts w:hint="default"/>
      </w:rPr>
    </w:lvl>
    <w:lvl w:ilvl="6">
      <w:start w:val="1"/>
      <w:numFmt w:val="bullet"/>
      <w:lvlText w:val="•"/>
      <w:lvlJc w:val="left"/>
      <w:pPr>
        <w:ind w:left="5557" w:hanging="284"/>
      </w:pPr>
      <w:rPr>
        <w:rFonts w:hint="default"/>
      </w:rPr>
    </w:lvl>
    <w:lvl w:ilvl="7">
      <w:start w:val="1"/>
      <w:numFmt w:val="bullet"/>
      <w:lvlText w:val="•"/>
      <w:lvlJc w:val="left"/>
      <w:pPr>
        <w:ind w:left="6433" w:hanging="284"/>
      </w:pPr>
      <w:rPr>
        <w:rFonts w:hint="default"/>
      </w:rPr>
    </w:lvl>
    <w:lvl w:ilvl="8">
      <w:start w:val="1"/>
      <w:numFmt w:val="bullet"/>
      <w:lvlText w:val="•"/>
      <w:lvlJc w:val="left"/>
      <w:pPr>
        <w:ind w:left="7308" w:hanging="284"/>
      </w:pPr>
      <w:rPr>
        <w:rFonts w:hint="default"/>
      </w:rPr>
    </w:lvl>
  </w:abstractNum>
  <w:abstractNum w:abstractNumId="23">
    <w:multiLevelType w:val="hybridMultilevel"/>
    <w:lvl w:ilvl="0">
      <w:start w:val="3"/>
      <w:numFmt w:val="decimal"/>
      <w:lvlText w:val="%1"/>
      <w:lvlJc w:val="left"/>
      <w:pPr>
        <w:ind w:left="822" w:hanging="360"/>
        <w:jc w:val="left"/>
      </w:pPr>
      <w:rPr>
        <w:rFonts w:hint="default" w:ascii="Arial" w:hAnsi="Arial" w:eastAsia="Arial" w:cs="Arial"/>
        <w:b/>
        <w:bCs/>
        <w:w w:val="99"/>
        <w:sz w:val="24"/>
        <w:szCs w:val="24"/>
      </w:rPr>
    </w:lvl>
    <w:lvl w:ilvl="1">
      <w:start w:val="1"/>
      <w:numFmt w:val="lowerLetter"/>
      <w:lvlText w:val="%2)"/>
      <w:lvlJc w:val="left"/>
      <w:pPr>
        <w:ind w:left="1182" w:hanging="360"/>
        <w:jc w:val="left"/>
      </w:pPr>
      <w:rPr>
        <w:rFonts w:hint="default" w:ascii="Arial" w:hAnsi="Arial" w:eastAsia="Arial" w:cs="Arial"/>
        <w:w w:val="99"/>
        <w:sz w:val="24"/>
        <w:szCs w:val="24"/>
      </w:rPr>
    </w:lvl>
    <w:lvl w:ilvl="2">
      <w:start w:val="1"/>
      <w:numFmt w:val="bullet"/>
      <w:lvlText w:val="•"/>
      <w:lvlJc w:val="left"/>
      <w:pPr>
        <w:ind w:left="2055" w:hanging="360"/>
      </w:pPr>
      <w:rPr>
        <w:rFonts w:hint="default"/>
      </w:rPr>
    </w:lvl>
    <w:lvl w:ilvl="3">
      <w:start w:val="1"/>
      <w:numFmt w:val="bullet"/>
      <w:lvlText w:val="•"/>
      <w:lvlJc w:val="left"/>
      <w:pPr>
        <w:ind w:left="2931" w:hanging="360"/>
      </w:pPr>
      <w:rPr>
        <w:rFonts w:hint="default"/>
      </w:rPr>
    </w:lvl>
    <w:lvl w:ilvl="4">
      <w:start w:val="1"/>
      <w:numFmt w:val="bullet"/>
      <w:lvlText w:val="•"/>
      <w:lvlJc w:val="left"/>
      <w:pPr>
        <w:ind w:left="3806" w:hanging="360"/>
      </w:pPr>
      <w:rPr>
        <w:rFonts w:hint="default"/>
      </w:rPr>
    </w:lvl>
    <w:lvl w:ilvl="5">
      <w:start w:val="1"/>
      <w:numFmt w:val="bullet"/>
      <w:lvlText w:val="•"/>
      <w:lvlJc w:val="left"/>
      <w:pPr>
        <w:ind w:left="4682" w:hanging="360"/>
      </w:pPr>
      <w:rPr>
        <w:rFonts w:hint="default"/>
      </w:rPr>
    </w:lvl>
    <w:lvl w:ilvl="6">
      <w:start w:val="1"/>
      <w:numFmt w:val="bullet"/>
      <w:lvlText w:val="•"/>
      <w:lvlJc w:val="left"/>
      <w:pPr>
        <w:ind w:left="5557" w:hanging="360"/>
      </w:pPr>
      <w:rPr>
        <w:rFonts w:hint="default"/>
      </w:rPr>
    </w:lvl>
    <w:lvl w:ilvl="7">
      <w:start w:val="1"/>
      <w:numFmt w:val="bullet"/>
      <w:lvlText w:val="•"/>
      <w:lvlJc w:val="left"/>
      <w:pPr>
        <w:ind w:left="6433" w:hanging="360"/>
      </w:pPr>
      <w:rPr>
        <w:rFonts w:hint="default"/>
      </w:rPr>
    </w:lvl>
    <w:lvl w:ilvl="8">
      <w:start w:val="1"/>
      <w:numFmt w:val="bullet"/>
      <w:lvlText w:val="•"/>
      <w:lvlJc w:val="left"/>
      <w:pPr>
        <w:ind w:left="7308" w:hanging="360"/>
      </w:pPr>
      <w:rPr>
        <w:rFonts w:hint="default"/>
      </w:rPr>
    </w:lvl>
  </w:abstractNum>
  <w:abstractNum w:abstractNumId="21">
    <w:multiLevelType w:val="hybridMultilevel"/>
    <w:lvl w:ilvl="0">
      <w:start w:val="1"/>
      <w:numFmt w:val="lowerLetter"/>
      <w:lvlText w:val="%1)"/>
      <w:lvlJc w:val="left"/>
      <w:pPr>
        <w:ind w:left="1182" w:hanging="360"/>
        <w:jc w:val="left"/>
      </w:pPr>
      <w:rPr>
        <w:rFonts w:hint="default" w:ascii="Arial" w:hAnsi="Arial" w:eastAsia="Arial" w:cs="Arial"/>
        <w:w w:val="99"/>
        <w:sz w:val="24"/>
        <w:szCs w:val="24"/>
      </w:rPr>
    </w:lvl>
    <w:lvl w:ilvl="1">
      <w:start w:val="1"/>
      <w:numFmt w:val="lowerLetter"/>
      <w:lvlText w:val="%2)"/>
      <w:lvlJc w:val="left"/>
      <w:pPr>
        <w:ind w:left="954" w:hanging="272"/>
        <w:jc w:val="right"/>
      </w:pPr>
      <w:rPr>
        <w:rFonts w:hint="default"/>
        <w:w w:val="100"/>
      </w:rPr>
    </w:lvl>
    <w:lvl w:ilvl="2">
      <w:start w:val="1"/>
      <w:numFmt w:val="bullet"/>
      <w:lvlText w:val="•"/>
      <w:lvlJc w:val="left"/>
      <w:pPr>
        <w:ind w:left="2055" w:hanging="272"/>
      </w:pPr>
      <w:rPr>
        <w:rFonts w:hint="default"/>
      </w:rPr>
    </w:lvl>
    <w:lvl w:ilvl="3">
      <w:start w:val="1"/>
      <w:numFmt w:val="bullet"/>
      <w:lvlText w:val="•"/>
      <w:lvlJc w:val="left"/>
      <w:pPr>
        <w:ind w:left="2931" w:hanging="272"/>
      </w:pPr>
      <w:rPr>
        <w:rFonts w:hint="default"/>
      </w:rPr>
    </w:lvl>
    <w:lvl w:ilvl="4">
      <w:start w:val="1"/>
      <w:numFmt w:val="bullet"/>
      <w:lvlText w:val="•"/>
      <w:lvlJc w:val="left"/>
      <w:pPr>
        <w:ind w:left="3806" w:hanging="272"/>
      </w:pPr>
      <w:rPr>
        <w:rFonts w:hint="default"/>
      </w:rPr>
    </w:lvl>
    <w:lvl w:ilvl="5">
      <w:start w:val="1"/>
      <w:numFmt w:val="bullet"/>
      <w:lvlText w:val="•"/>
      <w:lvlJc w:val="left"/>
      <w:pPr>
        <w:ind w:left="4682" w:hanging="272"/>
      </w:pPr>
      <w:rPr>
        <w:rFonts w:hint="default"/>
      </w:rPr>
    </w:lvl>
    <w:lvl w:ilvl="6">
      <w:start w:val="1"/>
      <w:numFmt w:val="bullet"/>
      <w:lvlText w:val="•"/>
      <w:lvlJc w:val="left"/>
      <w:pPr>
        <w:ind w:left="5557" w:hanging="272"/>
      </w:pPr>
      <w:rPr>
        <w:rFonts w:hint="default"/>
      </w:rPr>
    </w:lvl>
    <w:lvl w:ilvl="7">
      <w:start w:val="1"/>
      <w:numFmt w:val="bullet"/>
      <w:lvlText w:val="•"/>
      <w:lvlJc w:val="left"/>
      <w:pPr>
        <w:ind w:left="6433" w:hanging="272"/>
      </w:pPr>
      <w:rPr>
        <w:rFonts w:hint="default"/>
      </w:rPr>
    </w:lvl>
    <w:lvl w:ilvl="8">
      <w:start w:val="1"/>
      <w:numFmt w:val="bullet"/>
      <w:lvlText w:val="•"/>
      <w:lvlJc w:val="left"/>
      <w:pPr>
        <w:ind w:left="7308" w:hanging="272"/>
      </w:pPr>
      <w:rPr>
        <w:rFonts w:hint="default"/>
      </w:rPr>
    </w:lvl>
  </w:abstractNum>
  <w:abstractNum w:abstractNumId="20">
    <w:multiLevelType w:val="hybridMultilevel"/>
    <w:lvl w:ilvl="0">
      <w:start w:val="1"/>
      <w:numFmt w:val="lowerLetter"/>
      <w:lvlText w:val="%1)"/>
      <w:lvlJc w:val="left"/>
      <w:pPr>
        <w:ind w:left="1190" w:hanging="360"/>
        <w:jc w:val="left"/>
      </w:pPr>
      <w:rPr>
        <w:rFonts w:hint="default" w:ascii="Arial" w:hAnsi="Arial" w:eastAsia="Arial" w:cs="Arial"/>
        <w:w w:val="99"/>
        <w:sz w:val="24"/>
        <w:szCs w:val="24"/>
      </w:rPr>
    </w:lvl>
    <w:lvl w:ilvl="1">
      <w:start w:val="1"/>
      <w:numFmt w:val="lowerLetter"/>
      <w:lvlText w:val="%2)"/>
      <w:lvlJc w:val="left"/>
      <w:pPr>
        <w:ind w:left="1334" w:hanging="360"/>
        <w:jc w:val="right"/>
      </w:pPr>
      <w:rPr>
        <w:rFonts w:hint="default" w:ascii="Arial" w:hAnsi="Arial" w:eastAsia="Arial" w:cs="Arial"/>
        <w:spacing w:val="-1"/>
        <w:w w:val="100"/>
        <w:sz w:val="22"/>
        <w:szCs w:val="22"/>
      </w:rPr>
    </w:lvl>
    <w:lvl w:ilvl="2">
      <w:start w:val="1"/>
      <w:numFmt w:val="bullet"/>
      <w:lvlText w:val="•"/>
      <w:lvlJc w:val="left"/>
      <w:pPr>
        <w:ind w:left="2200" w:hanging="360"/>
      </w:pPr>
      <w:rPr>
        <w:rFonts w:hint="default"/>
      </w:rPr>
    </w:lvl>
    <w:lvl w:ilvl="3">
      <w:start w:val="1"/>
      <w:numFmt w:val="bullet"/>
      <w:lvlText w:val="•"/>
      <w:lvlJc w:val="left"/>
      <w:pPr>
        <w:ind w:left="3060" w:hanging="360"/>
      </w:pPr>
      <w:rPr>
        <w:rFonts w:hint="default"/>
      </w:rPr>
    </w:lvl>
    <w:lvl w:ilvl="4">
      <w:start w:val="1"/>
      <w:numFmt w:val="bullet"/>
      <w:lvlText w:val="•"/>
      <w:lvlJc w:val="left"/>
      <w:pPr>
        <w:ind w:left="3920" w:hanging="360"/>
      </w:pPr>
      <w:rPr>
        <w:rFonts w:hint="default"/>
      </w:rPr>
    </w:lvl>
    <w:lvl w:ilvl="5">
      <w:start w:val="1"/>
      <w:numFmt w:val="bullet"/>
      <w:lvlText w:val="•"/>
      <w:lvlJc w:val="left"/>
      <w:pPr>
        <w:ind w:left="4780" w:hanging="360"/>
      </w:pPr>
      <w:rPr>
        <w:rFonts w:hint="default"/>
      </w:rPr>
    </w:lvl>
    <w:lvl w:ilvl="6">
      <w:start w:val="1"/>
      <w:numFmt w:val="bullet"/>
      <w:lvlText w:val="•"/>
      <w:lvlJc w:val="left"/>
      <w:pPr>
        <w:ind w:left="5640" w:hanging="360"/>
      </w:pPr>
      <w:rPr>
        <w:rFonts w:hint="default"/>
      </w:rPr>
    </w:lvl>
    <w:lvl w:ilvl="7">
      <w:start w:val="1"/>
      <w:numFmt w:val="bullet"/>
      <w:lvlText w:val="•"/>
      <w:lvlJc w:val="left"/>
      <w:pPr>
        <w:ind w:left="6500" w:hanging="360"/>
      </w:pPr>
      <w:rPr>
        <w:rFonts w:hint="default"/>
      </w:rPr>
    </w:lvl>
    <w:lvl w:ilvl="8">
      <w:start w:val="1"/>
      <w:numFmt w:val="bullet"/>
      <w:lvlText w:val="•"/>
      <w:lvlJc w:val="left"/>
      <w:pPr>
        <w:ind w:left="7360" w:hanging="360"/>
      </w:pPr>
      <w:rPr>
        <w:rFonts w:hint="default"/>
      </w:rPr>
    </w:lvl>
  </w:abstractNum>
  <w:abstractNum w:abstractNumId="11">
    <w:multiLevelType w:val="hybridMultilevel"/>
    <w:lvl w:ilvl="0">
      <w:start w:val="1"/>
      <w:numFmt w:val="upperRoman"/>
      <w:lvlText w:val="%1."/>
      <w:lvlJc w:val="left"/>
      <w:pPr>
        <w:ind w:left="810" w:hanging="495"/>
        <w:jc w:val="right"/>
      </w:pPr>
      <w:rPr>
        <w:rFonts w:hint="default" w:ascii="Arial" w:hAnsi="Arial" w:eastAsia="Arial" w:cs="Arial"/>
        <w:w w:val="100"/>
        <w:sz w:val="24"/>
        <w:szCs w:val="24"/>
      </w:rPr>
    </w:lvl>
    <w:lvl w:ilvl="1">
      <w:start w:val="1"/>
      <w:numFmt w:val="bullet"/>
      <w:lvlText w:val="•"/>
      <w:lvlJc w:val="left"/>
      <w:pPr>
        <w:ind w:left="1644" w:hanging="495"/>
      </w:pPr>
      <w:rPr>
        <w:rFonts w:hint="default"/>
      </w:rPr>
    </w:lvl>
    <w:lvl w:ilvl="2">
      <w:start w:val="1"/>
      <w:numFmt w:val="bullet"/>
      <w:lvlText w:val="•"/>
      <w:lvlJc w:val="left"/>
      <w:pPr>
        <w:ind w:left="2468" w:hanging="495"/>
      </w:pPr>
      <w:rPr>
        <w:rFonts w:hint="default"/>
      </w:rPr>
    </w:lvl>
    <w:lvl w:ilvl="3">
      <w:start w:val="1"/>
      <w:numFmt w:val="bullet"/>
      <w:lvlText w:val="•"/>
      <w:lvlJc w:val="left"/>
      <w:pPr>
        <w:ind w:left="3292" w:hanging="495"/>
      </w:pPr>
      <w:rPr>
        <w:rFonts w:hint="default"/>
      </w:rPr>
    </w:lvl>
    <w:lvl w:ilvl="4">
      <w:start w:val="1"/>
      <w:numFmt w:val="bullet"/>
      <w:lvlText w:val="•"/>
      <w:lvlJc w:val="left"/>
      <w:pPr>
        <w:ind w:left="4116" w:hanging="495"/>
      </w:pPr>
      <w:rPr>
        <w:rFonts w:hint="default"/>
      </w:rPr>
    </w:lvl>
    <w:lvl w:ilvl="5">
      <w:start w:val="1"/>
      <w:numFmt w:val="bullet"/>
      <w:lvlText w:val="•"/>
      <w:lvlJc w:val="left"/>
      <w:pPr>
        <w:ind w:left="4940" w:hanging="495"/>
      </w:pPr>
      <w:rPr>
        <w:rFonts w:hint="default"/>
      </w:rPr>
    </w:lvl>
    <w:lvl w:ilvl="6">
      <w:start w:val="1"/>
      <w:numFmt w:val="bullet"/>
      <w:lvlText w:val="•"/>
      <w:lvlJc w:val="left"/>
      <w:pPr>
        <w:ind w:left="5764" w:hanging="495"/>
      </w:pPr>
      <w:rPr>
        <w:rFonts w:hint="default"/>
      </w:rPr>
    </w:lvl>
    <w:lvl w:ilvl="7">
      <w:start w:val="1"/>
      <w:numFmt w:val="bullet"/>
      <w:lvlText w:val="•"/>
      <w:lvlJc w:val="left"/>
      <w:pPr>
        <w:ind w:left="6588" w:hanging="495"/>
      </w:pPr>
      <w:rPr>
        <w:rFonts w:hint="default"/>
      </w:rPr>
    </w:lvl>
    <w:lvl w:ilvl="8">
      <w:start w:val="1"/>
      <w:numFmt w:val="bullet"/>
      <w:lvlText w:val="•"/>
      <w:lvlJc w:val="left"/>
      <w:pPr>
        <w:ind w:left="7412" w:hanging="495"/>
      </w:pPr>
      <w:rPr>
        <w:rFonts w:hint="default"/>
      </w:rPr>
    </w:lvl>
  </w:abstractNum>
  <w:abstractNum w:abstractNumId="7">
    <w:multiLevelType w:val="hybridMultilevel"/>
    <w:lvl w:ilvl="0">
      <w:start w:val="1"/>
      <w:numFmt w:val="upperRoman"/>
      <w:lvlText w:val="%1."/>
      <w:lvlJc w:val="left"/>
      <w:pPr>
        <w:ind w:left="822" w:hanging="495"/>
        <w:jc w:val="right"/>
      </w:pPr>
      <w:rPr>
        <w:rFonts w:hint="default" w:ascii="Arial" w:hAnsi="Arial" w:eastAsia="Arial" w:cs="Arial"/>
        <w:i/>
        <w:spacing w:val="-31"/>
        <w:w w:val="99"/>
        <w:sz w:val="24"/>
        <w:szCs w:val="24"/>
      </w:rPr>
    </w:lvl>
    <w:lvl w:ilvl="1">
      <w:start w:val="1"/>
      <w:numFmt w:val="bullet"/>
      <w:lvlText w:val="•"/>
      <w:lvlJc w:val="left"/>
      <w:pPr>
        <w:ind w:left="1644" w:hanging="495"/>
      </w:pPr>
      <w:rPr>
        <w:rFonts w:hint="default"/>
      </w:rPr>
    </w:lvl>
    <w:lvl w:ilvl="2">
      <w:start w:val="1"/>
      <w:numFmt w:val="bullet"/>
      <w:lvlText w:val="•"/>
      <w:lvlJc w:val="left"/>
      <w:pPr>
        <w:ind w:left="2468" w:hanging="495"/>
      </w:pPr>
      <w:rPr>
        <w:rFonts w:hint="default"/>
      </w:rPr>
    </w:lvl>
    <w:lvl w:ilvl="3">
      <w:start w:val="1"/>
      <w:numFmt w:val="bullet"/>
      <w:lvlText w:val="•"/>
      <w:lvlJc w:val="left"/>
      <w:pPr>
        <w:ind w:left="3292" w:hanging="495"/>
      </w:pPr>
      <w:rPr>
        <w:rFonts w:hint="default"/>
      </w:rPr>
    </w:lvl>
    <w:lvl w:ilvl="4">
      <w:start w:val="1"/>
      <w:numFmt w:val="bullet"/>
      <w:lvlText w:val="•"/>
      <w:lvlJc w:val="left"/>
      <w:pPr>
        <w:ind w:left="4116" w:hanging="495"/>
      </w:pPr>
      <w:rPr>
        <w:rFonts w:hint="default"/>
      </w:rPr>
    </w:lvl>
    <w:lvl w:ilvl="5">
      <w:start w:val="1"/>
      <w:numFmt w:val="bullet"/>
      <w:lvlText w:val="•"/>
      <w:lvlJc w:val="left"/>
      <w:pPr>
        <w:ind w:left="4940" w:hanging="495"/>
      </w:pPr>
      <w:rPr>
        <w:rFonts w:hint="default"/>
      </w:rPr>
    </w:lvl>
    <w:lvl w:ilvl="6">
      <w:start w:val="1"/>
      <w:numFmt w:val="bullet"/>
      <w:lvlText w:val="•"/>
      <w:lvlJc w:val="left"/>
      <w:pPr>
        <w:ind w:left="5764" w:hanging="495"/>
      </w:pPr>
      <w:rPr>
        <w:rFonts w:hint="default"/>
      </w:rPr>
    </w:lvl>
    <w:lvl w:ilvl="7">
      <w:start w:val="1"/>
      <w:numFmt w:val="bullet"/>
      <w:lvlText w:val="•"/>
      <w:lvlJc w:val="left"/>
      <w:pPr>
        <w:ind w:left="6588" w:hanging="495"/>
      </w:pPr>
      <w:rPr>
        <w:rFonts w:hint="default"/>
      </w:rPr>
    </w:lvl>
    <w:lvl w:ilvl="8">
      <w:start w:val="1"/>
      <w:numFmt w:val="bullet"/>
      <w:lvlText w:val="•"/>
      <w:lvlJc w:val="left"/>
      <w:pPr>
        <w:ind w:left="7412" w:hanging="495"/>
      </w:pPr>
      <w:rPr>
        <w:rFonts w:hint="default"/>
      </w:rPr>
    </w:lvl>
  </w:abstractNum>
  <w:abstractNum w:abstractNumId="34">
    <w:multiLevelType w:val="hybridMultilevel"/>
    <w:lvl w:ilvl="0">
      <w:start w:val="1"/>
      <w:numFmt w:val="upperLetter"/>
      <w:lvlText w:val="%1)"/>
      <w:lvlJc w:val="left"/>
      <w:pPr>
        <w:ind w:left="1249" w:hanging="440"/>
        <w:jc w:val="right"/>
      </w:pPr>
      <w:rPr>
        <w:rFonts w:hint="default"/>
        <w:spacing w:val="-1"/>
        <w:w w:val="100"/>
      </w:rPr>
    </w:lvl>
    <w:lvl w:ilvl="1">
      <w:start w:val="1"/>
      <w:numFmt w:val="decimal"/>
      <w:lvlText w:val="%2."/>
      <w:lvlJc w:val="left"/>
      <w:pPr>
        <w:ind w:left="2258" w:hanging="360"/>
        <w:jc w:val="left"/>
      </w:pPr>
      <w:rPr>
        <w:rFonts w:hint="default" w:ascii="Arial" w:hAnsi="Arial" w:eastAsia="Arial" w:cs="Arial"/>
        <w:b/>
        <w:bCs/>
        <w:w w:val="99"/>
        <w:sz w:val="24"/>
        <w:szCs w:val="24"/>
      </w:rPr>
    </w:lvl>
    <w:lvl w:ilvl="2">
      <w:start w:val="1"/>
      <w:numFmt w:val="bullet"/>
      <w:lvlText w:val="•"/>
      <w:lvlJc w:val="left"/>
      <w:pPr>
        <w:ind w:left="3015" w:hanging="360"/>
      </w:pPr>
      <w:rPr>
        <w:rFonts w:hint="default"/>
      </w:rPr>
    </w:lvl>
    <w:lvl w:ilvl="3">
      <w:start w:val="1"/>
      <w:numFmt w:val="bullet"/>
      <w:lvlText w:val="•"/>
      <w:lvlJc w:val="left"/>
      <w:pPr>
        <w:ind w:left="3771" w:hanging="360"/>
      </w:pPr>
      <w:rPr>
        <w:rFonts w:hint="default"/>
      </w:rPr>
    </w:lvl>
    <w:lvl w:ilvl="4">
      <w:start w:val="1"/>
      <w:numFmt w:val="bullet"/>
      <w:lvlText w:val="•"/>
      <w:lvlJc w:val="left"/>
      <w:pPr>
        <w:ind w:left="4526" w:hanging="360"/>
      </w:pPr>
      <w:rPr>
        <w:rFonts w:hint="default"/>
      </w:rPr>
    </w:lvl>
    <w:lvl w:ilvl="5">
      <w:start w:val="1"/>
      <w:numFmt w:val="bullet"/>
      <w:lvlText w:val="•"/>
      <w:lvlJc w:val="left"/>
      <w:pPr>
        <w:ind w:left="5282" w:hanging="360"/>
      </w:pPr>
      <w:rPr>
        <w:rFonts w:hint="default"/>
      </w:rPr>
    </w:lvl>
    <w:lvl w:ilvl="6">
      <w:start w:val="1"/>
      <w:numFmt w:val="bullet"/>
      <w:lvlText w:val="•"/>
      <w:lvlJc w:val="left"/>
      <w:pPr>
        <w:ind w:left="6037" w:hanging="360"/>
      </w:pPr>
      <w:rPr>
        <w:rFonts w:hint="default"/>
      </w:rPr>
    </w:lvl>
    <w:lvl w:ilvl="7">
      <w:start w:val="1"/>
      <w:numFmt w:val="bullet"/>
      <w:lvlText w:val="•"/>
      <w:lvlJc w:val="left"/>
      <w:pPr>
        <w:ind w:left="6793" w:hanging="360"/>
      </w:pPr>
      <w:rPr>
        <w:rFonts w:hint="default"/>
      </w:rPr>
    </w:lvl>
    <w:lvl w:ilvl="8">
      <w:start w:val="1"/>
      <w:numFmt w:val="bullet"/>
      <w:lvlText w:val="•"/>
      <w:lvlJc w:val="left"/>
      <w:pPr>
        <w:ind w:left="7548" w:hanging="360"/>
      </w:pPr>
      <w:rPr>
        <w:rFonts w:hint="default"/>
      </w:rPr>
    </w:lvl>
  </w:abstractNum>
  <w:abstractNum w:abstractNumId="33">
    <w:multiLevelType w:val="hybridMultilevel"/>
    <w:lvl w:ilvl="0">
      <w:start w:val="2"/>
      <w:numFmt w:val="decimal"/>
      <w:lvlText w:val="%1"/>
      <w:lvlJc w:val="left"/>
      <w:pPr>
        <w:ind w:left="1518" w:hanging="708"/>
        <w:jc w:val="left"/>
      </w:pPr>
      <w:rPr>
        <w:rFonts w:hint="default" w:ascii="Arial" w:hAnsi="Arial" w:eastAsia="Arial" w:cs="Arial"/>
        <w:i/>
        <w:w w:val="99"/>
        <w:sz w:val="24"/>
        <w:szCs w:val="24"/>
      </w:rPr>
    </w:lvl>
    <w:lvl w:ilvl="1">
      <w:start w:val="1"/>
      <w:numFmt w:val="bullet"/>
      <w:lvlText w:val="•"/>
      <w:lvlJc w:val="left"/>
      <w:pPr>
        <w:ind w:left="2274" w:hanging="708"/>
      </w:pPr>
      <w:rPr>
        <w:rFonts w:hint="default"/>
      </w:rPr>
    </w:lvl>
    <w:lvl w:ilvl="2">
      <w:start w:val="1"/>
      <w:numFmt w:val="bullet"/>
      <w:lvlText w:val="•"/>
      <w:lvlJc w:val="left"/>
      <w:pPr>
        <w:ind w:left="3028" w:hanging="708"/>
      </w:pPr>
      <w:rPr>
        <w:rFonts w:hint="default"/>
      </w:rPr>
    </w:lvl>
    <w:lvl w:ilvl="3">
      <w:start w:val="1"/>
      <w:numFmt w:val="bullet"/>
      <w:lvlText w:val="•"/>
      <w:lvlJc w:val="left"/>
      <w:pPr>
        <w:ind w:left="3782" w:hanging="708"/>
      </w:pPr>
      <w:rPr>
        <w:rFonts w:hint="default"/>
      </w:rPr>
    </w:lvl>
    <w:lvl w:ilvl="4">
      <w:start w:val="1"/>
      <w:numFmt w:val="bullet"/>
      <w:lvlText w:val="•"/>
      <w:lvlJc w:val="left"/>
      <w:pPr>
        <w:ind w:left="4536" w:hanging="708"/>
      </w:pPr>
      <w:rPr>
        <w:rFonts w:hint="default"/>
      </w:rPr>
    </w:lvl>
    <w:lvl w:ilvl="5">
      <w:start w:val="1"/>
      <w:numFmt w:val="bullet"/>
      <w:lvlText w:val="•"/>
      <w:lvlJc w:val="left"/>
      <w:pPr>
        <w:ind w:left="5290" w:hanging="708"/>
      </w:pPr>
      <w:rPr>
        <w:rFonts w:hint="default"/>
      </w:rPr>
    </w:lvl>
    <w:lvl w:ilvl="6">
      <w:start w:val="1"/>
      <w:numFmt w:val="bullet"/>
      <w:lvlText w:val="•"/>
      <w:lvlJc w:val="left"/>
      <w:pPr>
        <w:ind w:left="6044" w:hanging="708"/>
      </w:pPr>
      <w:rPr>
        <w:rFonts w:hint="default"/>
      </w:rPr>
    </w:lvl>
    <w:lvl w:ilvl="7">
      <w:start w:val="1"/>
      <w:numFmt w:val="bullet"/>
      <w:lvlText w:val="•"/>
      <w:lvlJc w:val="left"/>
      <w:pPr>
        <w:ind w:left="6798" w:hanging="708"/>
      </w:pPr>
      <w:rPr>
        <w:rFonts w:hint="default"/>
      </w:rPr>
    </w:lvl>
    <w:lvl w:ilvl="8">
      <w:start w:val="1"/>
      <w:numFmt w:val="bullet"/>
      <w:lvlText w:val="•"/>
      <w:lvlJc w:val="left"/>
      <w:pPr>
        <w:ind w:left="7552" w:hanging="708"/>
      </w:pPr>
      <w:rPr>
        <w:rFonts w:hint="default"/>
      </w:rPr>
    </w:lvl>
  </w:abstractNum>
  <w:abstractNum w:abstractNumId="32">
    <w:multiLevelType w:val="hybridMultilevel"/>
    <w:lvl w:ilvl="0">
      <w:start w:val="1"/>
      <w:numFmt w:val="decimal"/>
      <w:lvlText w:val="%1."/>
      <w:lvlJc w:val="left"/>
      <w:pPr>
        <w:ind w:left="1190" w:hanging="360"/>
        <w:jc w:val="right"/>
      </w:pPr>
      <w:rPr>
        <w:rFonts w:hint="default" w:ascii="Arial" w:hAnsi="Arial" w:eastAsia="Arial" w:cs="Arial"/>
        <w:i/>
        <w:w w:val="99"/>
        <w:sz w:val="24"/>
        <w:szCs w:val="24"/>
      </w:rPr>
    </w:lvl>
    <w:lvl w:ilvl="1">
      <w:start w:val="1"/>
      <w:numFmt w:val="bullet"/>
      <w:lvlText w:val="•"/>
      <w:lvlJc w:val="left"/>
      <w:pPr>
        <w:ind w:left="1988" w:hanging="360"/>
      </w:pPr>
      <w:rPr>
        <w:rFonts w:hint="default"/>
      </w:rPr>
    </w:lvl>
    <w:lvl w:ilvl="2">
      <w:start w:val="1"/>
      <w:numFmt w:val="bullet"/>
      <w:lvlText w:val="•"/>
      <w:lvlJc w:val="left"/>
      <w:pPr>
        <w:ind w:left="2776" w:hanging="360"/>
      </w:pPr>
      <w:rPr>
        <w:rFonts w:hint="default"/>
      </w:rPr>
    </w:lvl>
    <w:lvl w:ilvl="3">
      <w:start w:val="1"/>
      <w:numFmt w:val="bullet"/>
      <w:lvlText w:val="•"/>
      <w:lvlJc w:val="left"/>
      <w:pPr>
        <w:ind w:left="3564" w:hanging="360"/>
      </w:pPr>
      <w:rPr>
        <w:rFonts w:hint="default"/>
      </w:rPr>
    </w:lvl>
    <w:lvl w:ilvl="4">
      <w:start w:val="1"/>
      <w:numFmt w:val="bullet"/>
      <w:lvlText w:val="•"/>
      <w:lvlJc w:val="left"/>
      <w:pPr>
        <w:ind w:left="4352" w:hanging="360"/>
      </w:pPr>
      <w:rPr>
        <w:rFonts w:hint="default"/>
      </w:rPr>
    </w:lvl>
    <w:lvl w:ilvl="5">
      <w:start w:val="1"/>
      <w:numFmt w:val="bullet"/>
      <w:lvlText w:val="•"/>
      <w:lvlJc w:val="left"/>
      <w:pPr>
        <w:ind w:left="5140" w:hanging="360"/>
      </w:pPr>
      <w:rPr>
        <w:rFonts w:hint="default"/>
      </w:rPr>
    </w:lvl>
    <w:lvl w:ilvl="6">
      <w:start w:val="1"/>
      <w:numFmt w:val="bullet"/>
      <w:lvlText w:val="•"/>
      <w:lvlJc w:val="left"/>
      <w:pPr>
        <w:ind w:left="5928" w:hanging="360"/>
      </w:pPr>
      <w:rPr>
        <w:rFonts w:hint="default"/>
      </w:rPr>
    </w:lvl>
    <w:lvl w:ilvl="7">
      <w:start w:val="1"/>
      <w:numFmt w:val="bullet"/>
      <w:lvlText w:val="•"/>
      <w:lvlJc w:val="left"/>
      <w:pPr>
        <w:ind w:left="6716" w:hanging="360"/>
      </w:pPr>
      <w:rPr>
        <w:rFonts w:hint="default"/>
      </w:rPr>
    </w:lvl>
    <w:lvl w:ilvl="8">
      <w:start w:val="1"/>
      <w:numFmt w:val="bullet"/>
      <w:lvlText w:val="•"/>
      <w:lvlJc w:val="left"/>
      <w:pPr>
        <w:ind w:left="7504" w:hanging="360"/>
      </w:pPr>
      <w:rPr>
        <w:rFonts w:hint="default"/>
      </w:rPr>
    </w:lvl>
  </w:abstractNum>
  <w:abstractNum w:abstractNumId="31">
    <w:multiLevelType w:val="hybridMultilevel"/>
    <w:lvl w:ilvl="0">
      <w:start w:val="1"/>
      <w:numFmt w:val="decimal"/>
      <w:lvlText w:val="%1."/>
      <w:lvlJc w:val="left"/>
      <w:pPr>
        <w:ind w:left="1513" w:hanging="706"/>
        <w:jc w:val="left"/>
      </w:pPr>
      <w:rPr>
        <w:rFonts w:hint="default" w:ascii="Arial" w:hAnsi="Arial" w:eastAsia="Arial" w:cs="Arial"/>
        <w:i/>
        <w:w w:val="99"/>
        <w:sz w:val="24"/>
        <w:szCs w:val="24"/>
      </w:rPr>
    </w:lvl>
    <w:lvl w:ilvl="1">
      <w:start w:val="1"/>
      <w:numFmt w:val="bullet"/>
      <w:lvlText w:val="•"/>
      <w:lvlJc w:val="left"/>
      <w:pPr>
        <w:ind w:left="2274" w:hanging="706"/>
      </w:pPr>
      <w:rPr>
        <w:rFonts w:hint="default"/>
      </w:rPr>
    </w:lvl>
    <w:lvl w:ilvl="2">
      <w:start w:val="1"/>
      <w:numFmt w:val="bullet"/>
      <w:lvlText w:val="•"/>
      <w:lvlJc w:val="left"/>
      <w:pPr>
        <w:ind w:left="3028" w:hanging="706"/>
      </w:pPr>
      <w:rPr>
        <w:rFonts w:hint="default"/>
      </w:rPr>
    </w:lvl>
    <w:lvl w:ilvl="3">
      <w:start w:val="1"/>
      <w:numFmt w:val="bullet"/>
      <w:lvlText w:val="•"/>
      <w:lvlJc w:val="left"/>
      <w:pPr>
        <w:ind w:left="3782" w:hanging="706"/>
      </w:pPr>
      <w:rPr>
        <w:rFonts w:hint="default"/>
      </w:rPr>
    </w:lvl>
    <w:lvl w:ilvl="4">
      <w:start w:val="1"/>
      <w:numFmt w:val="bullet"/>
      <w:lvlText w:val="•"/>
      <w:lvlJc w:val="left"/>
      <w:pPr>
        <w:ind w:left="4536" w:hanging="706"/>
      </w:pPr>
      <w:rPr>
        <w:rFonts w:hint="default"/>
      </w:rPr>
    </w:lvl>
    <w:lvl w:ilvl="5">
      <w:start w:val="1"/>
      <w:numFmt w:val="bullet"/>
      <w:lvlText w:val="•"/>
      <w:lvlJc w:val="left"/>
      <w:pPr>
        <w:ind w:left="5290" w:hanging="706"/>
      </w:pPr>
      <w:rPr>
        <w:rFonts w:hint="default"/>
      </w:rPr>
    </w:lvl>
    <w:lvl w:ilvl="6">
      <w:start w:val="1"/>
      <w:numFmt w:val="bullet"/>
      <w:lvlText w:val="•"/>
      <w:lvlJc w:val="left"/>
      <w:pPr>
        <w:ind w:left="6044" w:hanging="706"/>
      </w:pPr>
      <w:rPr>
        <w:rFonts w:hint="default"/>
      </w:rPr>
    </w:lvl>
    <w:lvl w:ilvl="7">
      <w:start w:val="1"/>
      <w:numFmt w:val="bullet"/>
      <w:lvlText w:val="•"/>
      <w:lvlJc w:val="left"/>
      <w:pPr>
        <w:ind w:left="6798" w:hanging="706"/>
      </w:pPr>
      <w:rPr>
        <w:rFonts w:hint="default"/>
      </w:rPr>
    </w:lvl>
    <w:lvl w:ilvl="8">
      <w:start w:val="1"/>
      <w:numFmt w:val="bullet"/>
      <w:lvlText w:val="•"/>
      <w:lvlJc w:val="left"/>
      <w:pPr>
        <w:ind w:left="7552" w:hanging="706"/>
      </w:pPr>
      <w:rPr>
        <w:rFonts w:hint="default"/>
      </w:rPr>
    </w:lvl>
  </w:abstractNum>
  <w:abstractNum w:abstractNumId="30">
    <w:multiLevelType w:val="hybridMultilevel"/>
    <w:lvl w:ilvl="0">
      <w:start w:val="1"/>
      <w:numFmt w:val="lowerLetter"/>
      <w:lvlText w:val="%1)"/>
      <w:lvlJc w:val="left"/>
      <w:pPr>
        <w:ind w:left="810" w:hanging="315"/>
        <w:jc w:val="left"/>
      </w:pPr>
      <w:rPr>
        <w:rFonts w:hint="default" w:ascii="Arial" w:hAnsi="Arial" w:eastAsia="Arial" w:cs="Arial"/>
        <w:w w:val="100"/>
        <w:sz w:val="22"/>
        <w:szCs w:val="22"/>
      </w:rPr>
    </w:lvl>
    <w:lvl w:ilvl="1">
      <w:start w:val="1"/>
      <w:numFmt w:val="bullet"/>
      <w:lvlText w:val="•"/>
      <w:lvlJc w:val="left"/>
      <w:pPr>
        <w:ind w:left="1644" w:hanging="315"/>
      </w:pPr>
      <w:rPr>
        <w:rFonts w:hint="default"/>
      </w:rPr>
    </w:lvl>
    <w:lvl w:ilvl="2">
      <w:start w:val="1"/>
      <w:numFmt w:val="bullet"/>
      <w:lvlText w:val="•"/>
      <w:lvlJc w:val="left"/>
      <w:pPr>
        <w:ind w:left="2468" w:hanging="315"/>
      </w:pPr>
      <w:rPr>
        <w:rFonts w:hint="default"/>
      </w:rPr>
    </w:lvl>
    <w:lvl w:ilvl="3">
      <w:start w:val="1"/>
      <w:numFmt w:val="bullet"/>
      <w:lvlText w:val="•"/>
      <w:lvlJc w:val="left"/>
      <w:pPr>
        <w:ind w:left="3292" w:hanging="315"/>
      </w:pPr>
      <w:rPr>
        <w:rFonts w:hint="default"/>
      </w:rPr>
    </w:lvl>
    <w:lvl w:ilvl="4">
      <w:start w:val="1"/>
      <w:numFmt w:val="bullet"/>
      <w:lvlText w:val="•"/>
      <w:lvlJc w:val="left"/>
      <w:pPr>
        <w:ind w:left="4116" w:hanging="315"/>
      </w:pPr>
      <w:rPr>
        <w:rFonts w:hint="default"/>
      </w:rPr>
    </w:lvl>
    <w:lvl w:ilvl="5">
      <w:start w:val="1"/>
      <w:numFmt w:val="bullet"/>
      <w:lvlText w:val="•"/>
      <w:lvlJc w:val="left"/>
      <w:pPr>
        <w:ind w:left="4940" w:hanging="315"/>
      </w:pPr>
      <w:rPr>
        <w:rFonts w:hint="default"/>
      </w:rPr>
    </w:lvl>
    <w:lvl w:ilvl="6">
      <w:start w:val="1"/>
      <w:numFmt w:val="bullet"/>
      <w:lvlText w:val="•"/>
      <w:lvlJc w:val="left"/>
      <w:pPr>
        <w:ind w:left="5764" w:hanging="315"/>
      </w:pPr>
      <w:rPr>
        <w:rFonts w:hint="default"/>
      </w:rPr>
    </w:lvl>
    <w:lvl w:ilvl="7">
      <w:start w:val="1"/>
      <w:numFmt w:val="bullet"/>
      <w:lvlText w:val="•"/>
      <w:lvlJc w:val="left"/>
      <w:pPr>
        <w:ind w:left="6588" w:hanging="315"/>
      </w:pPr>
      <w:rPr>
        <w:rFonts w:hint="default"/>
      </w:rPr>
    </w:lvl>
    <w:lvl w:ilvl="8">
      <w:start w:val="1"/>
      <w:numFmt w:val="bullet"/>
      <w:lvlText w:val="•"/>
      <w:lvlJc w:val="left"/>
      <w:pPr>
        <w:ind w:left="7412" w:hanging="315"/>
      </w:pPr>
      <w:rPr>
        <w:rFonts w:hint="default"/>
      </w:rPr>
    </w:lvl>
  </w:abstractNum>
  <w:abstractNum w:abstractNumId="29">
    <w:multiLevelType w:val="hybridMultilevel"/>
    <w:lvl w:ilvl="0">
      <w:start w:val="1"/>
      <w:numFmt w:val="upperLetter"/>
      <w:lvlText w:val="%1."/>
      <w:lvlJc w:val="left"/>
      <w:pPr>
        <w:ind w:left="810" w:hanging="336"/>
        <w:jc w:val="left"/>
      </w:pPr>
      <w:rPr>
        <w:rFonts w:hint="default" w:ascii="Arial" w:hAnsi="Arial" w:eastAsia="Arial" w:cs="Arial"/>
        <w:spacing w:val="-1"/>
        <w:w w:val="100"/>
        <w:sz w:val="22"/>
        <w:szCs w:val="22"/>
      </w:rPr>
    </w:lvl>
    <w:lvl w:ilvl="1">
      <w:start w:val="1"/>
      <w:numFmt w:val="bullet"/>
      <w:lvlText w:val="•"/>
      <w:lvlJc w:val="left"/>
      <w:pPr>
        <w:ind w:left="1644" w:hanging="336"/>
      </w:pPr>
      <w:rPr>
        <w:rFonts w:hint="default"/>
      </w:rPr>
    </w:lvl>
    <w:lvl w:ilvl="2">
      <w:start w:val="1"/>
      <w:numFmt w:val="bullet"/>
      <w:lvlText w:val="•"/>
      <w:lvlJc w:val="left"/>
      <w:pPr>
        <w:ind w:left="2468" w:hanging="336"/>
      </w:pPr>
      <w:rPr>
        <w:rFonts w:hint="default"/>
      </w:rPr>
    </w:lvl>
    <w:lvl w:ilvl="3">
      <w:start w:val="1"/>
      <w:numFmt w:val="bullet"/>
      <w:lvlText w:val="•"/>
      <w:lvlJc w:val="left"/>
      <w:pPr>
        <w:ind w:left="3292" w:hanging="336"/>
      </w:pPr>
      <w:rPr>
        <w:rFonts w:hint="default"/>
      </w:rPr>
    </w:lvl>
    <w:lvl w:ilvl="4">
      <w:start w:val="1"/>
      <w:numFmt w:val="bullet"/>
      <w:lvlText w:val="•"/>
      <w:lvlJc w:val="left"/>
      <w:pPr>
        <w:ind w:left="4116" w:hanging="336"/>
      </w:pPr>
      <w:rPr>
        <w:rFonts w:hint="default"/>
      </w:rPr>
    </w:lvl>
    <w:lvl w:ilvl="5">
      <w:start w:val="1"/>
      <w:numFmt w:val="bullet"/>
      <w:lvlText w:val="•"/>
      <w:lvlJc w:val="left"/>
      <w:pPr>
        <w:ind w:left="4940" w:hanging="336"/>
      </w:pPr>
      <w:rPr>
        <w:rFonts w:hint="default"/>
      </w:rPr>
    </w:lvl>
    <w:lvl w:ilvl="6">
      <w:start w:val="1"/>
      <w:numFmt w:val="bullet"/>
      <w:lvlText w:val="•"/>
      <w:lvlJc w:val="left"/>
      <w:pPr>
        <w:ind w:left="5764" w:hanging="336"/>
      </w:pPr>
      <w:rPr>
        <w:rFonts w:hint="default"/>
      </w:rPr>
    </w:lvl>
    <w:lvl w:ilvl="7">
      <w:start w:val="1"/>
      <w:numFmt w:val="bullet"/>
      <w:lvlText w:val="•"/>
      <w:lvlJc w:val="left"/>
      <w:pPr>
        <w:ind w:left="6588" w:hanging="336"/>
      </w:pPr>
      <w:rPr>
        <w:rFonts w:hint="default"/>
      </w:rPr>
    </w:lvl>
    <w:lvl w:ilvl="8">
      <w:start w:val="1"/>
      <w:numFmt w:val="bullet"/>
      <w:lvlText w:val="•"/>
      <w:lvlJc w:val="left"/>
      <w:pPr>
        <w:ind w:left="7412" w:hanging="336"/>
      </w:pPr>
      <w:rPr>
        <w:rFonts w:hint="default"/>
      </w:rPr>
    </w:lvl>
  </w:abstractNum>
  <w:abstractNum w:abstractNumId="28">
    <w:multiLevelType w:val="hybridMultilevel"/>
    <w:lvl w:ilvl="0">
      <w:start w:val="2"/>
      <w:numFmt w:val="lowerLetter"/>
      <w:lvlText w:val="%1)"/>
      <w:lvlJc w:val="left"/>
      <w:pPr>
        <w:ind w:left="122" w:hanging="291"/>
        <w:jc w:val="left"/>
      </w:pPr>
      <w:rPr>
        <w:rFonts w:hint="default" w:ascii="Arial" w:hAnsi="Arial" w:eastAsia="Arial" w:cs="Arial"/>
        <w:w w:val="99"/>
        <w:sz w:val="24"/>
        <w:szCs w:val="24"/>
      </w:rPr>
    </w:lvl>
    <w:lvl w:ilvl="1">
      <w:start w:val="10"/>
      <w:numFmt w:val="lowerLetter"/>
      <w:lvlText w:val="%2)"/>
      <w:lvlJc w:val="left"/>
      <w:pPr>
        <w:ind w:left="688" w:hanging="199"/>
        <w:jc w:val="left"/>
      </w:pPr>
      <w:rPr>
        <w:rFonts w:hint="default" w:ascii="Arial" w:hAnsi="Arial" w:eastAsia="Arial" w:cs="Arial"/>
        <w:spacing w:val="0"/>
        <w:w w:val="100"/>
        <w:sz w:val="22"/>
        <w:szCs w:val="22"/>
      </w:rPr>
    </w:lvl>
    <w:lvl w:ilvl="2">
      <w:start w:val="1"/>
      <w:numFmt w:val="bullet"/>
      <w:lvlText w:val="•"/>
      <w:lvlJc w:val="left"/>
      <w:pPr>
        <w:ind w:left="1613" w:hanging="199"/>
      </w:pPr>
      <w:rPr>
        <w:rFonts w:hint="default"/>
      </w:rPr>
    </w:lvl>
    <w:lvl w:ilvl="3">
      <w:start w:val="1"/>
      <w:numFmt w:val="bullet"/>
      <w:lvlText w:val="•"/>
      <w:lvlJc w:val="left"/>
      <w:pPr>
        <w:ind w:left="2546" w:hanging="199"/>
      </w:pPr>
      <w:rPr>
        <w:rFonts w:hint="default"/>
      </w:rPr>
    </w:lvl>
    <w:lvl w:ilvl="4">
      <w:start w:val="1"/>
      <w:numFmt w:val="bullet"/>
      <w:lvlText w:val="•"/>
      <w:lvlJc w:val="left"/>
      <w:pPr>
        <w:ind w:left="3480" w:hanging="199"/>
      </w:pPr>
      <w:rPr>
        <w:rFonts w:hint="default"/>
      </w:rPr>
    </w:lvl>
    <w:lvl w:ilvl="5">
      <w:start w:val="1"/>
      <w:numFmt w:val="bullet"/>
      <w:lvlText w:val="•"/>
      <w:lvlJc w:val="left"/>
      <w:pPr>
        <w:ind w:left="4413" w:hanging="199"/>
      </w:pPr>
      <w:rPr>
        <w:rFonts w:hint="default"/>
      </w:rPr>
    </w:lvl>
    <w:lvl w:ilvl="6">
      <w:start w:val="1"/>
      <w:numFmt w:val="bullet"/>
      <w:lvlText w:val="•"/>
      <w:lvlJc w:val="left"/>
      <w:pPr>
        <w:ind w:left="5346" w:hanging="199"/>
      </w:pPr>
      <w:rPr>
        <w:rFonts w:hint="default"/>
      </w:rPr>
    </w:lvl>
    <w:lvl w:ilvl="7">
      <w:start w:val="1"/>
      <w:numFmt w:val="bullet"/>
      <w:lvlText w:val="•"/>
      <w:lvlJc w:val="left"/>
      <w:pPr>
        <w:ind w:left="6280" w:hanging="199"/>
      </w:pPr>
      <w:rPr>
        <w:rFonts w:hint="default"/>
      </w:rPr>
    </w:lvl>
    <w:lvl w:ilvl="8">
      <w:start w:val="1"/>
      <w:numFmt w:val="bullet"/>
      <w:lvlText w:val="•"/>
      <w:lvlJc w:val="left"/>
      <w:pPr>
        <w:ind w:left="7213" w:hanging="199"/>
      </w:pPr>
      <w:rPr>
        <w:rFonts w:hint="default"/>
      </w:rPr>
    </w:lvl>
  </w:abstractNum>
  <w:abstractNum w:abstractNumId="27">
    <w:multiLevelType w:val="hybridMultilevel"/>
    <w:lvl w:ilvl="0">
      <w:start w:val="1"/>
      <w:numFmt w:val="decimal"/>
      <w:lvlText w:val="%1."/>
      <w:lvlJc w:val="left"/>
      <w:pPr>
        <w:ind w:left="1190" w:hanging="360"/>
        <w:jc w:val="left"/>
      </w:pPr>
      <w:rPr>
        <w:rFonts w:hint="default" w:ascii="Arial" w:hAnsi="Arial" w:eastAsia="Arial" w:cs="Arial"/>
        <w:i/>
        <w:w w:val="99"/>
        <w:sz w:val="24"/>
        <w:szCs w:val="24"/>
      </w:rPr>
    </w:lvl>
    <w:lvl w:ilvl="1">
      <w:start w:val="1"/>
      <w:numFmt w:val="bullet"/>
      <w:lvlText w:val="•"/>
      <w:lvlJc w:val="left"/>
      <w:pPr>
        <w:ind w:left="1988" w:hanging="360"/>
      </w:pPr>
      <w:rPr>
        <w:rFonts w:hint="default"/>
      </w:rPr>
    </w:lvl>
    <w:lvl w:ilvl="2">
      <w:start w:val="1"/>
      <w:numFmt w:val="bullet"/>
      <w:lvlText w:val="•"/>
      <w:lvlJc w:val="left"/>
      <w:pPr>
        <w:ind w:left="2776" w:hanging="360"/>
      </w:pPr>
      <w:rPr>
        <w:rFonts w:hint="default"/>
      </w:rPr>
    </w:lvl>
    <w:lvl w:ilvl="3">
      <w:start w:val="1"/>
      <w:numFmt w:val="bullet"/>
      <w:lvlText w:val="•"/>
      <w:lvlJc w:val="left"/>
      <w:pPr>
        <w:ind w:left="3564" w:hanging="360"/>
      </w:pPr>
      <w:rPr>
        <w:rFonts w:hint="default"/>
      </w:rPr>
    </w:lvl>
    <w:lvl w:ilvl="4">
      <w:start w:val="1"/>
      <w:numFmt w:val="bullet"/>
      <w:lvlText w:val="•"/>
      <w:lvlJc w:val="left"/>
      <w:pPr>
        <w:ind w:left="4352" w:hanging="360"/>
      </w:pPr>
      <w:rPr>
        <w:rFonts w:hint="default"/>
      </w:rPr>
    </w:lvl>
    <w:lvl w:ilvl="5">
      <w:start w:val="1"/>
      <w:numFmt w:val="bullet"/>
      <w:lvlText w:val="•"/>
      <w:lvlJc w:val="left"/>
      <w:pPr>
        <w:ind w:left="5140" w:hanging="360"/>
      </w:pPr>
      <w:rPr>
        <w:rFonts w:hint="default"/>
      </w:rPr>
    </w:lvl>
    <w:lvl w:ilvl="6">
      <w:start w:val="1"/>
      <w:numFmt w:val="bullet"/>
      <w:lvlText w:val="•"/>
      <w:lvlJc w:val="left"/>
      <w:pPr>
        <w:ind w:left="5928" w:hanging="360"/>
      </w:pPr>
      <w:rPr>
        <w:rFonts w:hint="default"/>
      </w:rPr>
    </w:lvl>
    <w:lvl w:ilvl="7">
      <w:start w:val="1"/>
      <w:numFmt w:val="bullet"/>
      <w:lvlText w:val="•"/>
      <w:lvlJc w:val="left"/>
      <w:pPr>
        <w:ind w:left="6716" w:hanging="360"/>
      </w:pPr>
      <w:rPr>
        <w:rFonts w:hint="default"/>
      </w:rPr>
    </w:lvl>
    <w:lvl w:ilvl="8">
      <w:start w:val="1"/>
      <w:numFmt w:val="bullet"/>
      <w:lvlText w:val="•"/>
      <w:lvlJc w:val="left"/>
      <w:pPr>
        <w:ind w:left="7504" w:hanging="360"/>
      </w:pPr>
      <w:rPr>
        <w:rFonts w:hint="default"/>
      </w:rPr>
    </w:lvl>
  </w:abstractNum>
  <w:abstractNum w:abstractNumId="25">
    <w:multiLevelType w:val="hybridMultilevel"/>
    <w:lvl w:ilvl="0">
      <w:start w:val="1"/>
      <w:numFmt w:val="decimal"/>
      <w:lvlText w:val="%1"/>
      <w:lvlJc w:val="left"/>
      <w:pPr>
        <w:ind w:left="690" w:hanging="360"/>
        <w:jc w:val="left"/>
      </w:pPr>
      <w:rPr>
        <w:rFonts w:hint="default" w:ascii="Arial" w:hAnsi="Arial" w:eastAsia="Arial" w:cs="Arial"/>
        <w:b/>
        <w:bCs/>
        <w:w w:val="99"/>
        <w:sz w:val="24"/>
        <w:szCs w:val="24"/>
      </w:rPr>
    </w:lvl>
    <w:lvl w:ilvl="1">
      <w:start w:val="1"/>
      <w:numFmt w:val="lowerLetter"/>
      <w:lvlText w:val="%2)"/>
      <w:lvlJc w:val="left"/>
      <w:pPr>
        <w:ind w:left="1182" w:hanging="360"/>
        <w:jc w:val="left"/>
      </w:pPr>
      <w:rPr>
        <w:rFonts w:hint="default" w:ascii="Arial" w:hAnsi="Arial" w:eastAsia="Arial" w:cs="Arial"/>
        <w:w w:val="99"/>
        <w:sz w:val="24"/>
        <w:szCs w:val="24"/>
      </w:rPr>
    </w:lvl>
    <w:lvl w:ilvl="2">
      <w:start w:val="2"/>
      <w:numFmt w:val="lowerLetter"/>
      <w:lvlText w:val="%3)"/>
      <w:lvlJc w:val="left"/>
      <w:pPr>
        <w:ind w:left="1182" w:hanging="360"/>
        <w:jc w:val="left"/>
      </w:pPr>
      <w:rPr>
        <w:rFonts w:hint="default" w:ascii="Arial" w:hAnsi="Arial" w:eastAsia="Arial" w:cs="Arial"/>
        <w:w w:val="99"/>
        <w:sz w:val="24"/>
        <w:szCs w:val="24"/>
      </w:rPr>
    </w:lvl>
    <w:lvl w:ilvl="3">
      <w:start w:val="1"/>
      <w:numFmt w:val="bullet"/>
      <w:lvlText w:val="•"/>
      <w:lvlJc w:val="left"/>
      <w:pPr>
        <w:ind w:left="2165" w:hanging="360"/>
      </w:pPr>
      <w:rPr>
        <w:rFonts w:hint="default"/>
      </w:rPr>
    </w:lvl>
    <w:lvl w:ilvl="4">
      <w:start w:val="1"/>
      <w:numFmt w:val="bullet"/>
      <w:lvlText w:val="•"/>
      <w:lvlJc w:val="left"/>
      <w:pPr>
        <w:ind w:left="3150" w:hanging="360"/>
      </w:pPr>
      <w:rPr>
        <w:rFonts w:hint="default"/>
      </w:rPr>
    </w:lvl>
    <w:lvl w:ilvl="5">
      <w:start w:val="1"/>
      <w:numFmt w:val="bullet"/>
      <w:lvlText w:val="•"/>
      <w:lvlJc w:val="left"/>
      <w:pPr>
        <w:ind w:left="4135" w:hanging="360"/>
      </w:pPr>
      <w:rPr>
        <w:rFonts w:hint="default"/>
      </w:rPr>
    </w:lvl>
    <w:lvl w:ilvl="6">
      <w:start w:val="1"/>
      <w:numFmt w:val="bullet"/>
      <w:lvlText w:val="•"/>
      <w:lvlJc w:val="left"/>
      <w:pPr>
        <w:ind w:left="5120" w:hanging="360"/>
      </w:pPr>
      <w:rPr>
        <w:rFonts w:hint="default"/>
      </w:rPr>
    </w:lvl>
    <w:lvl w:ilvl="7">
      <w:start w:val="1"/>
      <w:numFmt w:val="bullet"/>
      <w:lvlText w:val="•"/>
      <w:lvlJc w:val="left"/>
      <w:pPr>
        <w:ind w:left="6105" w:hanging="360"/>
      </w:pPr>
      <w:rPr>
        <w:rFonts w:hint="default"/>
      </w:rPr>
    </w:lvl>
    <w:lvl w:ilvl="8">
      <w:start w:val="1"/>
      <w:numFmt w:val="bullet"/>
      <w:lvlText w:val="•"/>
      <w:lvlJc w:val="left"/>
      <w:pPr>
        <w:ind w:left="7090" w:hanging="360"/>
      </w:pPr>
      <w:rPr>
        <w:rFonts w:hint="default"/>
      </w:rPr>
    </w:lvl>
  </w:abstractNum>
  <w:abstractNum w:abstractNumId="24">
    <w:multiLevelType w:val="hybridMultilevel"/>
    <w:lvl w:ilvl="0">
      <w:start w:val="57"/>
      <w:numFmt w:val="decimal"/>
      <w:lvlText w:val="(%1)"/>
      <w:lvlJc w:val="left"/>
      <w:pPr>
        <w:ind w:left="102" w:hanging="528"/>
        <w:jc w:val="left"/>
      </w:pPr>
      <w:rPr>
        <w:rFonts w:hint="default" w:ascii="Arial" w:hAnsi="Arial" w:eastAsia="Arial" w:cs="Arial"/>
        <w:w w:val="99"/>
        <w:sz w:val="24"/>
        <w:szCs w:val="24"/>
      </w:rPr>
    </w:lvl>
    <w:lvl w:ilvl="1">
      <w:start w:val="1"/>
      <w:numFmt w:val="lowerLetter"/>
      <w:lvlText w:val="%2)"/>
      <w:lvlJc w:val="left"/>
      <w:pPr>
        <w:ind w:left="1170" w:hanging="360"/>
        <w:jc w:val="left"/>
      </w:pPr>
      <w:rPr>
        <w:rFonts w:hint="default" w:ascii="Arial" w:hAnsi="Arial" w:eastAsia="Arial" w:cs="Arial"/>
        <w:spacing w:val="-1"/>
        <w:w w:val="100"/>
        <w:sz w:val="22"/>
        <w:szCs w:val="22"/>
      </w:rPr>
    </w:lvl>
    <w:lvl w:ilvl="2">
      <w:start w:val="1"/>
      <w:numFmt w:val="bullet"/>
      <w:lvlText w:val="•"/>
      <w:lvlJc w:val="left"/>
      <w:pPr>
        <w:ind w:left="2055" w:hanging="360"/>
      </w:pPr>
      <w:rPr>
        <w:rFonts w:hint="default"/>
      </w:rPr>
    </w:lvl>
    <w:lvl w:ilvl="3">
      <w:start w:val="1"/>
      <w:numFmt w:val="bullet"/>
      <w:lvlText w:val="•"/>
      <w:lvlJc w:val="left"/>
      <w:pPr>
        <w:ind w:left="2931" w:hanging="360"/>
      </w:pPr>
      <w:rPr>
        <w:rFonts w:hint="default"/>
      </w:rPr>
    </w:lvl>
    <w:lvl w:ilvl="4">
      <w:start w:val="1"/>
      <w:numFmt w:val="bullet"/>
      <w:lvlText w:val="•"/>
      <w:lvlJc w:val="left"/>
      <w:pPr>
        <w:ind w:left="3806" w:hanging="360"/>
      </w:pPr>
      <w:rPr>
        <w:rFonts w:hint="default"/>
      </w:rPr>
    </w:lvl>
    <w:lvl w:ilvl="5">
      <w:start w:val="1"/>
      <w:numFmt w:val="bullet"/>
      <w:lvlText w:val="•"/>
      <w:lvlJc w:val="left"/>
      <w:pPr>
        <w:ind w:left="4682" w:hanging="360"/>
      </w:pPr>
      <w:rPr>
        <w:rFonts w:hint="default"/>
      </w:rPr>
    </w:lvl>
    <w:lvl w:ilvl="6">
      <w:start w:val="1"/>
      <w:numFmt w:val="bullet"/>
      <w:lvlText w:val="•"/>
      <w:lvlJc w:val="left"/>
      <w:pPr>
        <w:ind w:left="5557" w:hanging="360"/>
      </w:pPr>
      <w:rPr>
        <w:rFonts w:hint="default"/>
      </w:rPr>
    </w:lvl>
    <w:lvl w:ilvl="7">
      <w:start w:val="1"/>
      <w:numFmt w:val="bullet"/>
      <w:lvlText w:val="•"/>
      <w:lvlJc w:val="left"/>
      <w:pPr>
        <w:ind w:left="6433" w:hanging="360"/>
      </w:pPr>
      <w:rPr>
        <w:rFonts w:hint="default"/>
      </w:rPr>
    </w:lvl>
    <w:lvl w:ilvl="8">
      <w:start w:val="1"/>
      <w:numFmt w:val="bullet"/>
      <w:lvlText w:val="•"/>
      <w:lvlJc w:val="left"/>
      <w:pPr>
        <w:ind w:left="7308" w:hanging="360"/>
      </w:pPr>
      <w:rPr>
        <w:rFonts w:hint="default"/>
      </w:rPr>
    </w:lvl>
  </w:abstractNum>
  <w:abstractNum w:abstractNumId="22">
    <w:multiLevelType w:val="hybridMultilevel"/>
    <w:lvl w:ilvl="0">
      <w:start w:val="1"/>
      <w:numFmt w:val="decimal"/>
      <w:lvlText w:val="%1"/>
      <w:lvlJc w:val="left"/>
      <w:pPr>
        <w:ind w:left="1031" w:hanging="202"/>
        <w:jc w:val="left"/>
      </w:pPr>
      <w:rPr>
        <w:rFonts w:hint="default"/>
        <w:w w:val="99"/>
      </w:rPr>
    </w:lvl>
    <w:lvl w:ilvl="1">
      <w:start w:val="1"/>
      <w:numFmt w:val="lowerLetter"/>
      <w:lvlText w:val="%2)"/>
      <w:lvlJc w:val="left"/>
      <w:pPr>
        <w:ind w:left="954" w:hanging="336"/>
        <w:jc w:val="left"/>
      </w:pPr>
      <w:rPr>
        <w:rFonts w:hint="default" w:ascii="Arial" w:hAnsi="Arial" w:eastAsia="Arial" w:cs="Arial"/>
        <w:color w:val="221F1F"/>
        <w:spacing w:val="-1"/>
        <w:w w:val="100"/>
        <w:sz w:val="22"/>
        <w:szCs w:val="22"/>
      </w:rPr>
    </w:lvl>
    <w:lvl w:ilvl="2">
      <w:start w:val="1"/>
      <w:numFmt w:val="bullet"/>
      <w:lvlText w:val="•"/>
      <w:lvlJc w:val="left"/>
      <w:pPr>
        <w:ind w:left="1931" w:hanging="336"/>
      </w:pPr>
      <w:rPr>
        <w:rFonts w:hint="default"/>
      </w:rPr>
    </w:lvl>
    <w:lvl w:ilvl="3">
      <w:start w:val="1"/>
      <w:numFmt w:val="bullet"/>
      <w:lvlText w:val="•"/>
      <w:lvlJc w:val="left"/>
      <w:pPr>
        <w:ind w:left="2822" w:hanging="336"/>
      </w:pPr>
      <w:rPr>
        <w:rFonts w:hint="default"/>
      </w:rPr>
    </w:lvl>
    <w:lvl w:ilvl="4">
      <w:start w:val="1"/>
      <w:numFmt w:val="bullet"/>
      <w:lvlText w:val="•"/>
      <w:lvlJc w:val="left"/>
      <w:pPr>
        <w:ind w:left="3713" w:hanging="336"/>
      </w:pPr>
      <w:rPr>
        <w:rFonts w:hint="default"/>
      </w:rPr>
    </w:lvl>
    <w:lvl w:ilvl="5">
      <w:start w:val="1"/>
      <w:numFmt w:val="bullet"/>
      <w:lvlText w:val="•"/>
      <w:lvlJc w:val="left"/>
      <w:pPr>
        <w:ind w:left="4604" w:hanging="336"/>
      </w:pPr>
      <w:rPr>
        <w:rFonts w:hint="default"/>
      </w:rPr>
    </w:lvl>
    <w:lvl w:ilvl="6">
      <w:start w:val="1"/>
      <w:numFmt w:val="bullet"/>
      <w:lvlText w:val="•"/>
      <w:lvlJc w:val="left"/>
      <w:pPr>
        <w:ind w:left="5495" w:hanging="336"/>
      </w:pPr>
      <w:rPr>
        <w:rFonts w:hint="default"/>
      </w:rPr>
    </w:lvl>
    <w:lvl w:ilvl="7">
      <w:start w:val="1"/>
      <w:numFmt w:val="bullet"/>
      <w:lvlText w:val="•"/>
      <w:lvlJc w:val="left"/>
      <w:pPr>
        <w:ind w:left="6386" w:hanging="336"/>
      </w:pPr>
      <w:rPr>
        <w:rFonts w:hint="default"/>
      </w:rPr>
    </w:lvl>
    <w:lvl w:ilvl="8">
      <w:start w:val="1"/>
      <w:numFmt w:val="bullet"/>
      <w:lvlText w:val="•"/>
      <w:lvlJc w:val="left"/>
      <w:pPr>
        <w:ind w:left="7277" w:hanging="336"/>
      </w:pPr>
      <w:rPr>
        <w:rFonts w:hint="default"/>
      </w:rPr>
    </w:lvl>
  </w:abstractNum>
  <w:abstractNum w:abstractNumId="19">
    <w:multiLevelType w:val="hybridMultilevel"/>
    <w:lvl w:ilvl="0">
      <w:start w:val="1"/>
      <w:numFmt w:val="lowerLetter"/>
      <w:lvlText w:val="(%1)"/>
      <w:lvlJc w:val="left"/>
      <w:pPr>
        <w:ind w:left="162" w:hanging="398"/>
        <w:jc w:val="left"/>
      </w:pPr>
      <w:rPr>
        <w:rFonts w:hint="default" w:ascii="Arial" w:hAnsi="Arial" w:eastAsia="Arial" w:cs="Arial"/>
        <w:w w:val="100"/>
        <w:sz w:val="22"/>
        <w:szCs w:val="22"/>
      </w:rPr>
    </w:lvl>
    <w:lvl w:ilvl="1">
      <w:start w:val="1"/>
      <w:numFmt w:val="upperLetter"/>
      <w:lvlText w:val="%2)"/>
      <w:lvlJc w:val="left"/>
      <w:pPr>
        <w:ind w:left="822" w:hanging="360"/>
        <w:jc w:val="left"/>
      </w:pPr>
      <w:rPr>
        <w:rFonts w:hint="default" w:ascii="Arial" w:hAnsi="Arial" w:eastAsia="Arial" w:cs="Arial"/>
        <w:spacing w:val="-1"/>
        <w:w w:val="100"/>
        <w:sz w:val="28"/>
        <w:szCs w:val="28"/>
      </w:rPr>
    </w:lvl>
    <w:lvl w:ilvl="2">
      <w:start w:val="1"/>
      <w:numFmt w:val="lowerLetter"/>
      <w:lvlText w:val="%3)"/>
      <w:lvlJc w:val="left"/>
      <w:pPr>
        <w:ind w:left="954" w:hanging="276"/>
        <w:jc w:val="left"/>
      </w:pPr>
      <w:rPr>
        <w:rFonts w:hint="default" w:ascii="Arial" w:hAnsi="Arial" w:eastAsia="Arial" w:cs="Arial"/>
        <w:w w:val="100"/>
        <w:sz w:val="22"/>
        <w:szCs w:val="22"/>
      </w:rPr>
    </w:lvl>
    <w:lvl w:ilvl="3">
      <w:start w:val="1"/>
      <w:numFmt w:val="bullet"/>
      <w:lvlText w:val="•"/>
      <w:lvlJc w:val="left"/>
      <w:pPr>
        <w:ind w:left="1972" w:hanging="276"/>
      </w:pPr>
      <w:rPr>
        <w:rFonts w:hint="default"/>
      </w:rPr>
    </w:lvl>
    <w:lvl w:ilvl="4">
      <w:start w:val="1"/>
      <w:numFmt w:val="bullet"/>
      <w:lvlText w:val="•"/>
      <w:lvlJc w:val="left"/>
      <w:pPr>
        <w:ind w:left="2985" w:hanging="276"/>
      </w:pPr>
      <w:rPr>
        <w:rFonts w:hint="default"/>
      </w:rPr>
    </w:lvl>
    <w:lvl w:ilvl="5">
      <w:start w:val="1"/>
      <w:numFmt w:val="bullet"/>
      <w:lvlText w:val="•"/>
      <w:lvlJc w:val="left"/>
      <w:pPr>
        <w:ind w:left="3997" w:hanging="276"/>
      </w:pPr>
      <w:rPr>
        <w:rFonts w:hint="default"/>
      </w:rPr>
    </w:lvl>
    <w:lvl w:ilvl="6">
      <w:start w:val="1"/>
      <w:numFmt w:val="bullet"/>
      <w:lvlText w:val="•"/>
      <w:lvlJc w:val="left"/>
      <w:pPr>
        <w:ind w:left="5010" w:hanging="276"/>
      </w:pPr>
      <w:rPr>
        <w:rFonts w:hint="default"/>
      </w:rPr>
    </w:lvl>
    <w:lvl w:ilvl="7">
      <w:start w:val="1"/>
      <w:numFmt w:val="bullet"/>
      <w:lvlText w:val="•"/>
      <w:lvlJc w:val="left"/>
      <w:pPr>
        <w:ind w:left="6022" w:hanging="276"/>
      </w:pPr>
      <w:rPr>
        <w:rFonts w:hint="default"/>
      </w:rPr>
    </w:lvl>
    <w:lvl w:ilvl="8">
      <w:start w:val="1"/>
      <w:numFmt w:val="bullet"/>
      <w:lvlText w:val="•"/>
      <w:lvlJc w:val="left"/>
      <w:pPr>
        <w:ind w:left="7035" w:hanging="276"/>
      </w:pPr>
      <w:rPr>
        <w:rFonts w:hint="default"/>
      </w:rPr>
    </w:lvl>
  </w:abstractNum>
  <w:abstractNum w:abstractNumId="18">
    <w:multiLevelType w:val="hybridMultilevel"/>
    <w:lvl w:ilvl="0">
      <w:start w:val="1"/>
      <w:numFmt w:val="upperRoman"/>
      <w:lvlText w:val="%1."/>
      <w:lvlJc w:val="left"/>
      <w:pPr>
        <w:ind w:left="822" w:hanging="495"/>
        <w:jc w:val="right"/>
      </w:pPr>
      <w:rPr>
        <w:rFonts w:hint="default" w:ascii="Arial" w:hAnsi="Arial" w:eastAsia="Arial" w:cs="Arial"/>
        <w:w w:val="100"/>
        <w:sz w:val="24"/>
        <w:szCs w:val="24"/>
      </w:rPr>
    </w:lvl>
    <w:lvl w:ilvl="1">
      <w:start w:val="1"/>
      <w:numFmt w:val="bullet"/>
      <w:lvlText w:val="•"/>
      <w:lvlJc w:val="left"/>
      <w:pPr>
        <w:ind w:left="1644" w:hanging="495"/>
      </w:pPr>
      <w:rPr>
        <w:rFonts w:hint="default"/>
      </w:rPr>
    </w:lvl>
    <w:lvl w:ilvl="2">
      <w:start w:val="1"/>
      <w:numFmt w:val="bullet"/>
      <w:lvlText w:val="•"/>
      <w:lvlJc w:val="left"/>
      <w:pPr>
        <w:ind w:left="2468" w:hanging="495"/>
      </w:pPr>
      <w:rPr>
        <w:rFonts w:hint="default"/>
      </w:rPr>
    </w:lvl>
    <w:lvl w:ilvl="3">
      <w:start w:val="1"/>
      <w:numFmt w:val="bullet"/>
      <w:lvlText w:val="•"/>
      <w:lvlJc w:val="left"/>
      <w:pPr>
        <w:ind w:left="3292" w:hanging="495"/>
      </w:pPr>
      <w:rPr>
        <w:rFonts w:hint="default"/>
      </w:rPr>
    </w:lvl>
    <w:lvl w:ilvl="4">
      <w:start w:val="1"/>
      <w:numFmt w:val="bullet"/>
      <w:lvlText w:val="•"/>
      <w:lvlJc w:val="left"/>
      <w:pPr>
        <w:ind w:left="4116" w:hanging="495"/>
      </w:pPr>
      <w:rPr>
        <w:rFonts w:hint="default"/>
      </w:rPr>
    </w:lvl>
    <w:lvl w:ilvl="5">
      <w:start w:val="1"/>
      <w:numFmt w:val="bullet"/>
      <w:lvlText w:val="•"/>
      <w:lvlJc w:val="left"/>
      <w:pPr>
        <w:ind w:left="4940" w:hanging="495"/>
      </w:pPr>
      <w:rPr>
        <w:rFonts w:hint="default"/>
      </w:rPr>
    </w:lvl>
    <w:lvl w:ilvl="6">
      <w:start w:val="1"/>
      <w:numFmt w:val="bullet"/>
      <w:lvlText w:val="•"/>
      <w:lvlJc w:val="left"/>
      <w:pPr>
        <w:ind w:left="5764" w:hanging="495"/>
      </w:pPr>
      <w:rPr>
        <w:rFonts w:hint="default"/>
      </w:rPr>
    </w:lvl>
    <w:lvl w:ilvl="7">
      <w:start w:val="1"/>
      <w:numFmt w:val="bullet"/>
      <w:lvlText w:val="•"/>
      <w:lvlJc w:val="left"/>
      <w:pPr>
        <w:ind w:left="6588" w:hanging="495"/>
      </w:pPr>
      <w:rPr>
        <w:rFonts w:hint="default"/>
      </w:rPr>
    </w:lvl>
    <w:lvl w:ilvl="8">
      <w:start w:val="1"/>
      <w:numFmt w:val="bullet"/>
      <w:lvlText w:val="•"/>
      <w:lvlJc w:val="left"/>
      <w:pPr>
        <w:ind w:left="7412" w:hanging="495"/>
      </w:pPr>
      <w:rPr>
        <w:rFonts w:hint="default"/>
      </w:rPr>
    </w:lvl>
  </w:abstractNum>
  <w:abstractNum w:abstractNumId="17">
    <w:multiLevelType w:val="hybridMultilevel"/>
    <w:lvl w:ilvl="0">
      <w:start w:val="1"/>
      <w:numFmt w:val="lowerLetter"/>
      <w:lvlText w:val="%1)"/>
      <w:lvlJc w:val="left"/>
      <w:pPr>
        <w:ind w:left="1170" w:hanging="360"/>
        <w:jc w:val="left"/>
      </w:pPr>
      <w:rPr>
        <w:rFonts w:hint="default" w:ascii="Arial" w:hAnsi="Arial" w:eastAsia="Arial" w:cs="Arial"/>
        <w:w w:val="99"/>
        <w:sz w:val="24"/>
        <w:szCs w:val="24"/>
      </w:rPr>
    </w:lvl>
    <w:lvl w:ilvl="1">
      <w:start w:val="1"/>
      <w:numFmt w:val="bullet"/>
      <w:lvlText w:val="•"/>
      <w:lvlJc w:val="left"/>
      <w:pPr>
        <w:ind w:left="1968" w:hanging="360"/>
      </w:pPr>
      <w:rPr>
        <w:rFonts w:hint="default"/>
      </w:rPr>
    </w:lvl>
    <w:lvl w:ilvl="2">
      <w:start w:val="1"/>
      <w:numFmt w:val="bullet"/>
      <w:lvlText w:val="•"/>
      <w:lvlJc w:val="left"/>
      <w:pPr>
        <w:ind w:left="2756" w:hanging="360"/>
      </w:pPr>
      <w:rPr>
        <w:rFonts w:hint="default"/>
      </w:rPr>
    </w:lvl>
    <w:lvl w:ilvl="3">
      <w:start w:val="1"/>
      <w:numFmt w:val="bullet"/>
      <w:lvlText w:val="•"/>
      <w:lvlJc w:val="left"/>
      <w:pPr>
        <w:ind w:left="3544" w:hanging="360"/>
      </w:pPr>
      <w:rPr>
        <w:rFonts w:hint="default"/>
      </w:rPr>
    </w:lvl>
    <w:lvl w:ilvl="4">
      <w:start w:val="1"/>
      <w:numFmt w:val="bullet"/>
      <w:lvlText w:val="•"/>
      <w:lvlJc w:val="left"/>
      <w:pPr>
        <w:ind w:left="4332" w:hanging="360"/>
      </w:pPr>
      <w:rPr>
        <w:rFonts w:hint="default"/>
      </w:rPr>
    </w:lvl>
    <w:lvl w:ilvl="5">
      <w:start w:val="1"/>
      <w:numFmt w:val="bullet"/>
      <w:lvlText w:val="•"/>
      <w:lvlJc w:val="left"/>
      <w:pPr>
        <w:ind w:left="5120" w:hanging="360"/>
      </w:pPr>
      <w:rPr>
        <w:rFonts w:hint="default"/>
      </w:rPr>
    </w:lvl>
    <w:lvl w:ilvl="6">
      <w:start w:val="1"/>
      <w:numFmt w:val="bullet"/>
      <w:lvlText w:val="•"/>
      <w:lvlJc w:val="left"/>
      <w:pPr>
        <w:ind w:left="5908" w:hanging="360"/>
      </w:pPr>
      <w:rPr>
        <w:rFonts w:hint="default"/>
      </w:rPr>
    </w:lvl>
    <w:lvl w:ilvl="7">
      <w:start w:val="1"/>
      <w:numFmt w:val="bullet"/>
      <w:lvlText w:val="•"/>
      <w:lvlJc w:val="left"/>
      <w:pPr>
        <w:ind w:left="6696" w:hanging="360"/>
      </w:pPr>
      <w:rPr>
        <w:rFonts w:hint="default"/>
      </w:rPr>
    </w:lvl>
    <w:lvl w:ilvl="8">
      <w:start w:val="1"/>
      <w:numFmt w:val="bullet"/>
      <w:lvlText w:val="•"/>
      <w:lvlJc w:val="left"/>
      <w:pPr>
        <w:ind w:left="7484" w:hanging="360"/>
      </w:pPr>
      <w:rPr>
        <w:rFonts w:hint="default"/>
      </w:rPr>
    </w:lvl>
  </w:abstractNum>
  <w:abstractNum w:abstractNumId="16">
    <w:multiLevelType w:val="hybridMultilevel"/>
    <w:lvl w:ilvl="0">
      <w:start w:val="1"/>
      <w:numFmt w:val="upperRoman"/>
      <w:lvlText w:val="%1."/>
      <w:lvlJc w:val="left"/>
      <w:pPr>
        <w:ind w:left="810" w:hanging="495"/>
        <w:jc w:val="right"/>
      </w:pPr>
      <w:rPr>
        <w:rFonts w:hint="default" w:ascii="Arial" w:hAnsi="Arial" w:eastAsia="Arial" w:cs="Arial"/>
        <w:w w:val="100"/>
        <w:sz w:val="24"/>
        <w:szCs w:val="24"/>
      </w:rPr>
    </w:lvl>
    <w:lvl w:ilvl="1">
      <w:start w:val="1"/>
      <w:numFmt w:val="bullet"/>
      <w:lvlText w:val="•"/>
      <w:lvlJc w:val="left"/>
      <w:pPr>
        <w:ind w:left="1644" w:hanging="495"/>
      </w:pPr>
      <w:rPr>
        <w:rFonts w:hint="default"/>
      </w:rPr>
    </w:lvl>
    <w:lvl w:ilvl="2">
      <w:start w:val="1"/>
      <w:numFmt w:val="bullet"/>
      <w:lvlText w:val="•"/>
      <w:lvlJc w:val="left"/>
      <w:pPr>
        <w:ind w:left="2468" w:hanging="495"/>
      </w:pPr>
      <w:rPr>
        <w:rFonts w:hint="default"/>
      </w:rPr>
    </w:lvl>
    <w:lvl w:ilvl="3">
      <w:start w:val="1"/>
      <w:numFmt w:val="bullet"/>
      <w:lvlText w:val="•"/>
      <w:lvlJc w:val="left"/>
      <w:pPr>
        <w:ind w:left="3292" w:hanging="495"/>
      </w:pPr>
      <w:rPr>
        <w:rFonts w:hint="default"/>
      </w:rPr>
    </w:lvl>
    <w:lvl w:ilvl="4">
      <w:start w:val="1"/>
      <w:numFmt w:val="bullet"/>
      <w:lvlText w:val="•"/>
      <w:lvlJc w:val="left"/>
      <w:pPr>
        <w:ind w:left="4116" w:hanging="495"/>
      </w:pPr>
      <w:rPr>
        <w:rFonts w:hint="default"/>
      </w:rPr>
    </w:lvl>
    <w:lvl w:ilvl="5">
      <w:start w:val="1"/>
      <w:numFmt w:val="bullet"/>
      <w:lvlText w:val="•"/>
      <w:lvlJc w:val="left"/>
      <w:pPr>
        <w:ind w:left="4940" w:hanging="495"/>
      </w:pPr>
      <w:rPr>
        <w:rFonts w:hint="default"/>
      </w:rPr>
    </w:lvl>
    <w:lvl w:ilvl="6">
      <w:start w:val="1"/>
      <w:numFmt w:val="bullet"/>
      <w:lvlText w:val="•"/>
      <w:lvlJc w:val="left"/>
      <w:pPr>
        <w:ind w:left="5764" w:hanging="495"/>
      </w:pPr>
      <w:rPr>
        <w:rFonts w:hint="default"/>
      </w:rPr>
    </w:lvl>
    <w:lvl w:ilvl="7">
      <w:start w:val="1"/>
      <w:numFmt w:val="bullet"/>
      <w:lvlText w:val="•"/>
      <w:lvlJc w:val="left"/>
      <w:pPr>
        <w:ind w:left="6588" w:hanging="495"/>
      </w:pPr>
      <w:rPr>
        <w:rFonts w:hint="default"/>
      </w:rPr>
    </w:lvl>
    <w:lvl w:ilvl="8">
      <w:start w:val="1"/>
      <w:numFmt w:val="bullet"/>
      <w:lvlText w:val="•"/>
      <w:lvlJc w:val="left"/>
      <w:pPr>
        <w:ind w:left="7412" w:hanging="495"/>
      </w:pPr>
      <w:rPr>
        <w:rFonts w:hint="default"/>
      </w:rPr>
    </w:lvl>
  </w:abstractNum>
  <w:abstractNum w:abstractNumId="15">
    <w:multiLevelType w:val="hybridMultilevel"/>
    <w:lvl w:ilvl="0">
      <w:start w:val="1"/>
      <w:numFmt w:val="upperRoman"/>
      <w:lvlText w:val="%1."/>
      <w:lvlJc w:val="left"/>
      <w:pPr>
        <w:ind w:left="810" w:hanging="495"/>
        <w:jc w:val="right"/>
      </w:pPr>
      <w:rPr>
        <w:rFonts w:hint="default"/>
        <w:w w:val="100"/>
      </w:rPr>
    </w:lvl>
    <w:lvl w:ilvl="1">
      <w:start w:val="1"/>
      <w:numFmt w:val="bullet"/>
      <w:lvlText w:val="•"/>
      <w:lvlJc w:val="left"/>
      <w:pPr>
        <w:ind w:left="1644" w:hanging="495"/>
      </w:pPr>
      <w:rPr>
        <w:rFonts w:hint="default"/>
      </w:rPr>
    </w:lvl>
    <w:lvl w:ilvl="2">
      <w:start w:val="1"/>
      <w:numFmt w:val="bullet"/>
      <w:lvlText w:val="•"/>
      <w:lvlJc w:val="left"/>
      <w:pPr>
        <w:ind w:left="2468" w:hanging="495"/>
      </w:pPr>
      <w:rPr>
        <w:rFonts w:hint="default"/>
      </w:rPr>
    </w:lvl>
    <w:lvl w:ilvl="3">
      <w:start w:val="1"/>
      <w:numFmt w:val="bullet"/>
      <w:lvlText w:val="•"/>
      <w:lvlJc w:val="left"/>
      <w:pPr>
        <w:ind w:left="3292" w:hanging="495"/>
      </w:pPr>
      <w:rPr>
        <w:rFonts w:hint="default"/>
      </w:rPr>
    </w:lvl>
    <w:lvl w:ilvl="4">
      <w:start w:val="1"/>
      <w:numFmt w:val="bullet"/>
      <w:lvlText w:val="•"/>
      <w:lvlJc w:val="left"/>
      <w:pPr>
        <w:ind w:left="4116" w:hanging="495"/>
      </w:pPr>
      <w:rPr>
        <w:rFonts w:hint="default"/>
      </w:rPr>
    </w:lvl>
    <w:lvl w:ilvl="5">
      <w:start w:val="1"/>
      <w:numFmt w:val="bullet"/>
      <w:lvlText w:val="•"/>
      <w:lvlJc w:val="left"/>
      <w:pPr>
        <w:ind w:left="4940" w:hanging="495"/>
      </w:pPr>
      <w:rPr>
        <w:rFonts w:hint="default"/>
      </w:rPr>
    </w:lvl>
    <w:lvl w:ilvl="6">
      <w:start w:val="1"/>
      <w:numFmt w:val="bullet"/>
      <w:lvlText w:val="•"/>
      <w:lvlJc w:val="left"/>
      <w:pPr>
        <w:ind w:left="5764" w:hanging="495"/>
      </w:pPr>
      <w:rPr>
        <w:rFonts w:hint="default"/>
      </w:rPr>
    </w:lvl>
    <w:lvl w:ilvl="7">
      <w:start w:val="1"/>
      <w:numFmt w:val="bullet"/>
      <w:lvlText w:val="•"/>
      <w:lvlJc w:val="left"/>
      <w:pPr>
        <w:ind w:left="6588" w:hanging="495"/>
      </w:pPr>
      <w:rPr>
        <w:rFonts w:hint="default"/>
      </w:rPr>
    </w:lvl>
    <w:lvl w:ilvl="8">
      <w:start w:val="1"/>
      <w:numFmt w:val="bullet"/>
      <w:lvlText w:val="•"/>
      <w:lvlJc w:val="left"/>
      <w:pPr>
        <w:ind w:left="7412" w:hanging="495"/>
      </w:pPr>
      <w:rPr>
        <w:rFonts w:hint="default"/>
      </w:rPr>
    </w:lvl>
  </w:abstractNum>
  <w:abstractNum w:abstractNumId="14">
    <w:multiLevelType w:val="hybridMultilevel"/>
    <w:lvl w:ilvl="0">
      <w:start w:val="1"/>
      <w:numFmt w:val="upperRoman"/>
      <w:lvlText w:val="%1."/>
      <w:lvlJc w:val="left"/>
      <w:pPr>
        <w:ind w:left="810" w:hanging="495"/>
        <w:jc w:val="right"/>
      </w:pPr>
      <w:rPr>
        <w:rFonts w:hint="default" w:ascii="Arial" w:hAnsi="Arial" w:eastAsia="Arial" w:cs="Arial"/>
        <w:w w:val="100"/>
        <w:sz w:val="24"/>
        <w:szCs w:val="24"/>
      </w:rPr>
    </w:lvl>
    <w:lvl w:ilvl="1">
      <w:start w:val="1"/>
      <w:numFmt w:val="bullet"/>
      <w:lvlText w:val="•"/>
      <w:lvlJc w:val="left"/>
      <w:pPr>
        <w:ind w:left="1644" w:hanging="495"/>
      </w:pPr>
      <w:rPr>
        <w:rFonts w:hint="default"/>
      </w:rPr>
    </w:lvl>
    <w:lvl w:ilvl="2">
      <w:start w:val="1"/>
      <w:numFmt w:val="bullet"/>
      <w:lvlText w:val="•"/>
      <w:lvlJc w:val="left"/>
      <w:pPr>
        <w:ind w:left="2468" w:hanging="495"/>
      </w:pPr>
      <w:rPr>
        <w:rFonts w:hint="default"/>
      </w:rPr>
    </w:lvl>
    <w:lvl w:ilvl="3">
      <w:start w:val="1"/>
      <w:numFmt w:val="bullet"/>
      <w:lvlText w:val="•"/>
      <w:lvlJc w:val="left"/>
      <w:pPr>
        <w:ind w:left="3292" w:hanging="495"/>
      </w:pPr>
      <w:rPr>
        <w:rFonts w:hint="default"/>
      </w:rPr>
    </w:lvl>
    <w:lvl w:ilvl="4">
      <w:start w:val="1"/>
      <w:numFmt w:val="bullet"/>
      <w:lvlText w:val="•"/>
      <w:lvlJc w:val="left"/>
      <w:pPr>
        <w:ind w:left="4116" w:hanging="495"/>
      </w:pPr>
      <w:rPr>
        <w:rFonts w:hint="default"/>
      </w:rPr>
    </w:lvl>
    <w:lvl w:ilvl="5">
      <w:start w:val="1"/>
      <w:numFmt w:val="bullet"/>
      <w:lvlText w:val="•"/>
      <w:lvlJc w:val="left"/>
      <w:pPr>
        <w:ind w:left="4940" w:hanging="495"/>
      </w:pPr>
      <w:rPr>
        <w:rFonts w:hint="default"/>
      </w:rPr>
    </w:lvl>
    <w:lvl w:ilvl="6">
      <w:start w:val="1"/>
      <w:numFmt w:val="bullet"/>
      <w:lvlText w:val="•"/>
      <w:lvlJc w:val="left"/>
      <w:pPr>
        <w:ind w:left="5764" w:hanging="495"/>
      </w:pPr>
      <w:rPr>
        <w:rFonts w:hint="default"/>
      </w:rPr>
    </w:lvl>
    <w:lvl w:ilvl="7">
      <w:start w:val="1"/>
      <w:numFmt w:val="bullet"/>
      <w:lvlText w:val="•"/>
      <w:lvlJc w:val="left"/>
      <w:pPr>
        <w:ind w:left="6588" w:hanging="495"/>
      </w:pPr>
      <w:rPr>
        <w:rFonts w:hint="default"/>
      </w:rPr>
    </w:lvl>
    <w:lvl w:ilvl="8">
      <w:start w:val="1"/>
      <w:numFmt w:val="bullet"/>
      <w:lvlText w:val="•"/>
      <w:lvlJc w:val="left"/>
      <w:pPr>
        <w:ind w:left="7412" w:hanging="495"/>
      </w:pPr>
      <w:rPr>
        <w:rFonts w:hint="default"/>
      </w:rPr>
    </w:lvl>
  </w:abstractNum>
  <w:abstractNum w:abstractNumId="13">
    <w:multiLevelType w:val="hybridMultilevel"/>
    <w:lvl w:ilvl="0">
      <w:start w:val="1"/>
      <w:numFmt w:val="upperRoman"/>
      <w:lvlText w:val="%1."/>
      <w:lvlJc w:val="left"/>
      <w:pPr>
        <w:ind w:left="810" w:hanging="495"/>
        <w:jc w:val="right"/>
      </w:pPr>
      <w:rPr>
        <w:rFonts w:hint="default" w:ascii="Arial" w:hAnsi="Arial" w:eastAsia="Arial" w:cs="Arial"/>
        <w:w w:val="100"/>
        <w:sz w:val="24"/>
        <w:szCs w:val="24"/>
      </w:rPr>
    </w:lvl>
    <w:lvl w:ilvl="1">
      <w:start w:val="1"/>
      <w:numFmt w:val="bullet"/>
      <w:lvlText w:val="•"/>
      <w:lvlJc w:val="left"/>
      <w:pPr>
        <w:ind w:left="1644" w:hanging="495"/>
      </w:pPr>
      <w:rPr>
        <w:rFonts w:hint="default"/>
      </w:rPr>
    </w:lvl>
    <w:lvl w:ilvl="2">
      <w:start w:val="1"/>
      <w:numFmt w:val="bullet"/>
      <w:lvlText w:val="•"/>
      <w:lvlJc w:val="left"/>
      <w:pPr>
        <w:ind w:left="2468" w:hanging="495"/>
      </w:pPr>
      <w:rPr>
        <w:rFonts w:hint="default"/>
      </w:rPr>
    </w:lvl>
    <w:lvl w:ilvl="3">
      <w:start w:val="1"/>
      <w:numFmt w:val="bullet"/>
      <w:lvlText w:val="•"/>
      <w:lvlJc w:val="left"/>
      <w:pPr>
        <w:ind w:left="3292" w:hanging="495"/>
      </w:pPr>
      <w:rPr>
        <w:rFonts w:hint="default"/>
      </w:rPr>
    </w:lvl>
    <w:lvl w:ilvl="4">
      <w:start w:val="1"/>
      <w:numFmt w:val="bullet"/>
      <w:lvlText w:val="•"/>
      <w:lvlJc w:val="left"/>
      <w:pPr>
        <w:ind w:left="4116" w:hanging="495"/>
      </w:pPr>
      <w:rPr>
        <w:rFonts w:hint="default"/>
      </w:rPr>
    </w:lvl>
    <w:lvl w:ilvl="5">
      <w:start w:val="1"/>
      <w:numFmt w:val="bullet"/>
      <w:lvlText w:val="•"/>
      <w:lvlJc w:val="left"/>
      <w:pPr>
        <w:ind w:left="4940" w:hanging="495"/>
      </w:pPr>
      <w:rPr>
        <w:rFonts w:hint="default"/>
      </w:rPr>
    </w:lvl>
    <w:lvl w:ilvl="6">
      <w:start w:val="1"/>
      <w:numFmt w:val="bullet"/>
      <w:lvlText w:val="•"/>
      <w:lvlJc w:val="left"/>
      <w:pPr>
        <w:ind w:left="5764" w:hanging="495"/>
      </w:pPr>
      <w:rPr>
        <w:rFonts w:hint="default"/>
      </w:rPr>
    </w:lvl>
    <w:lvl w:ilvl="7">
      <w:start w:val="1"/>
      <w:numFmt w:val="bullet"/>
      <w:lvlText w:val="•"/>
      <w:lvlJc w:val="left"/>
      <w:pPr>
        <w:ind w:left="6588" w:hanging="495"/>
      </w:pPr>
      <w:rPr>
        <w:rFonts w:hint="default"/>
      </w:rPr>
    </w:lvl>
    <w:lvl w:ilvl="8">
      <w:start w:val="1"/>
      <w:numFmt w:val="bullet"/>
      <w:lvlText w:val="•"/>
      <w:lvlJc w:val="left"/>
      <w:pPr>
        <w:ind w:left="7412" w:hanging="495"/>
      </w:pPr>
      <w:rPr>
        <w:rFonts w:hint="default"/>
      </w:rPr>
    </w:lvl>
  </w:abstractNum>
  <w:abstractNum w:abstractNumId="12">
    <w:multiLevelType w:val="hybridMultilevel"/>
    <w:lvl w:ilvl="0">
      <w:start w:val="1"/>
      <w:numFmt w:val="upperRoman"/>
      <w:lvlText w:val="%1."/>
      <w:lvlJc w:val="left"/>
      <w:pPr>
        <w:ind w:left="810" w:hanging="495"/>
        <w:jc w:val="right"/>
      </w:pPr>
      <w:rPr>
        <w:rFonts w:hint="default" w:ascii="Arial" w:hAnsi="Arial" w:eastAsia="Arial" w:cs="Arial"/>
        <w:w w:val="100"/>
        <w:sz w:val="24"/>
        <w:szCs w:val="24"/>
      </w:rPr>
    </w:lvl>
    <w:lvl w:ilvl="1">
      <w:start w:val="1"/>
      <w:numFmt w:val="bullet"/>
      <w:lvlText w:val="•"/>
      <w:lvlJc w:val="left"/>
      <w:pPr>
        <w:ind w:left="1644" w:hanging="495"/>
      </w:pPr>
      <w:rPr>
        <w:rFonts w:hint="default"/>
      </w:rPr>
    </w:lvl>
    <w:lvl w:ilvl="2">
      <w:start w:val="1"/>
      <w:numFmt w:val="bullet"/>
      <w:lvlText w:val="•"/>
      <w:lvlJc w:val="left"/>
      <w:pPr>
        <w:ind w:left="2468" w:hanging="495"/>
      </w:pPr>
      <w:rPr>
        <w:rFonts w:hint="default"/>
      </w:rPr>
    </w:lvl>
    <w:lvl w:ilvl="3">
      <w:start w:val="1"/>
      <w:numFmt w:val="bullet"/>
      <w:lvlText w:val="•"/>
      <w:lvlJc w:val="left"/>
      <w:pPr>
        <w:ind w:left="3292" w:hanging="495"/>
      </w:pPr>
      <w:rPr>
        <w:rFonts w:hint="default"/>
      </w:rPr>
    </w:lvl>
    <w:lvl w:ilvl="4">
      <w:start w:val="1"/>
      <w:numFmt w:val="bullet"/>
      <w:lvlText w:val="•"/>
      <w:lvlJc w:val="left"/>
      <w:pPr>
        <w:ind w:left="4116" w:hanging="495"/>
      </w:pPr>
      <w:rPr>
        <w:rFonts w:hint="default"/>
      </w:rPr>
    </w:lvl>
    <w:lvl w:ilvl="5">
      <w:start w:val="1"/>
      <w:numFmt w:val="bullet"/>
      <w:lvlText w:val="•"/>
      <w:lvlJc w:val="left"/>
      <w:pPr>
        <w:ind w:left="4940" w:hanging="495"/>
      </w:pPr>
      <w:rPr>
        <w:rFonts w:hint="default"/>
      </w:rPr>
    </w:lvl>
    <w:lvl w:ilvl="6">
      <w:start w:val="1"/>
      <w:numFmt w:val="bullet"/>
      <w:lvlText w:val="•"/>
      <w:lvlJc w:val="left"/>
      <w:pPr>
        <w:ind w:left="5764" w:hanging="495"/>
      </w:pPr>
      <w:rPr>
        <w:rFonts w:hint="default"/>
      </w:rPr>
    </w:lvl>
    <w:lvl w:ilvl="7">
      <w:start w:val="1"/>
      <w:numFmt w:val="bullet"/>
      <w:lvlText w:val="•"/>
      <w:lvlJc w:val="left"/>
      <w:pPr>
        <w:ind w:left="6588" w:hanging="495"/>
      </w:pPr>
      <w:rPr>
        <w:rFonts w:hint="default"/>
      </w:rPr>
    </w:lvl>
    <w:lvl w:ilvl="8">
      <w:start w:val="1"/>
      <w:numFmt w:val="bullet"/>
      <w:lvlText w:val="•"/>
      <w:lvlJc w:val="left"/>
      <w:pPr>
        <w:ind w:left="7412" w:hanging="495"/>
      </w:pPr>
      <w:rPr>
        <w:rFonts w:hint="default"/>
      </w:rPr>
    </w:lvl>
  </w:abstractNum>
  <w:abstractNum w:abstractNumId="10">
    <w:multiLevelType w:val="hybridMultilevel"/>
    <w:lvl w:ilvl="0">
      <w:start w:val="1"/>
      <w:numFmt w:val="lowerLetter"/>
      <w:lvlText w:val="%1)"/>
      <w:lvlJc w:val="left"/>
      <w:pPr>
        <w:ind w:left="1170" w:hanging="360"/>
        <w:jc w:val="right"/>
      </w:pPr>
      <w:rPr>
        <w:rFonts w:hint="default" w:ascii="Arial" w:hAnsi="Arial" w:eastAsia="Arial" w:cs="Arial"/>
        <w:w w:val="99"/>
        <w:sz w:val="24"/>
        <w:szCs w:val="24"/>
      </w:rPr>
    </w:lvl>
    <w:lvl w:ilvl="1">
      <w:start w:val="1"/>
      <w:numFmt w:val="bullet"/>
      <w:lvlText w:val="•"/>
      <w:lvlJc w:val="left"/>
      <w:pPr>
        <w:ind w:left="1968" w:hanging="360"/>
      </w:pPr>
      <w:rPr>
        <w:rFonts w:hint="default"/>
      </w:rPr>
    </w:lvl>
    <w:lvl w:ilvl="2">
      <w:start w:val="1"/>
      <w:numFmt w:val="bullet"/>
      <w:lvlText w:val="•"/>
      <w:lvlJc w:val="left"/>
      <w:pPr>
        <w:ind w:left="2756" w:hanging="360"/>
      </w:pPr>
      <w:rPr>
        <w:rFonts w:hint="default"/>
      </w:rPr>
    </w:lvl>
    <w:lvl w:ilvl="3">
      <w:start w:val="1"/>
      <w:numFmt w:val="bullet"/>
      <w:lvlText w:val="•"/>
      <w:lvlJc w:val="left"/>
      <w:pPr>
        <w:ind w:left="3544" w:hanging="360"/>
      </w:pPr>
      <w:rPr>
        <w:rFonts w:hint="default"/>
      </w:rPr>
    </w:lvl>
    <w:lvl w:ilvl="4">
      <w:start w:val="1"/>
      <w:numFmt w:val="bullet"/>
      <w:lvlText w:val="•"/>
      <w:lvlJc w:val="left"/>
      <w:pPr>
        <w:ind w:left="4332" w:hanging="360"/>
      </w:pPr>
      <w:rPr>
        <w:rFonts w:hint="default"/>
      </w:rPr>
    </w:lvl>
    <w:lvl w:ilvl="5">
      <w:start w:val="1"/>
      <w:numFmt w:val="bullet"/>
      <w:lvlText w:val="•"/>
      <w:lvlJc w:val="left"/>
      <w:pPr>
        <w:ind w:left="5120" w:hanging="360"/>
      </w:pPr>
      <w:rPr>
        <w:rFonts w:hint="default"/>
      </w:rPr>
    </w:lvl>
    <w:lvl w:ilvl="6">
      <w:start w:val="1"/>
      <w:numFmt w:val="bullet"/>
      <w:lvlText w:val="•"/>
      <w:lvlJc w:val="left"/>
      <w:pPr>
        <w:ind w:left="5908" w:hanging="360"/>
      </w:pPr>
      <w:rPr>
        <w:rFonts w:hint="default"/>
      </w:rPr>
    </w:lvl>
    <w:lvl w:ilvl="7">
      <w:start w:val="1"/>
      <w:numFmt w:val="bullet"/>
      <w:lvlText w:val="•"/>
      <w:lvlJc w:val="left"/>
      <w:pPr>
        <w:ind w:left="6696" w:hanging="360"/>
      </w:pPr>
      <w:rPr>
        <w:rFonts w:hint="default"/>
      </w:rPr>
    </w:lvl>
    <w:lvl w:ilvl="8">
      <w:start w:val="1"/>
      <w:numFmt w:val="bullet"/>
      <w:lvlText w:val="•"/>
      <w:lvlJc w:val="left"/>
      <w:pPr>
        <w:ind w:left="7484" w:hanging="360"/>
      </w:pPr>
      <w:rPr>
        <w:rFonts w:hint="default"/>
      </w:rPr>
    </w:lvl>
  </w:abstractNum>
  <w:abstractNum w:abstractNumId="9">
    <w:multiLevelType w:val="hybridMultilevel"/>
    <w:lvl w:ilvl="0">
      <w:start w:val="2"/>
      <w:numFmt w:val="decimal"/>
      <w:lvlText w:val="%1"/>
      <w:lvlJc w:val="left"/>
      <w:pPr>
        <w:ind w:left="676" w:hanging="360"/>
        <w:jc w:val="left"/>
      </w:pPr>
      <w:rPr>
        <w:rFonts w:hint="default" w:ascii="Arial" w:hAnsi="Arial" w:eastAsia="Arial" w:cs="Arial"/>
        <w:b/>
        <w:bCs/>
        <w:w w:val="99"/>
        <w:sz w:val="24"/>
        <w:szCs w:val="24"/>
      </w:rPr>
    </w:lvl>
    <w:lvl w:ilvl="1">
      <w:start w:val="1"/>
      <w:numFmt w:val="lowerLetter"/>
      <w:lvlText w:val="%2)"/>
      <w:lvlJc w:val="left"/>
      <w:pPr>
        <w:ind w:left="1170" w:hanging="360"/>
        <w:jc w:val="left"/>
      </w:pPr>
      <w:rPr>
        <w:rFonts w:hint="default" w:ascii="Arial" w:hAnsi="Arial" w:eastAsia="Arial" w:cs="Arial"/>
        <w:w w:val="99"/>
        <w:sz w:val="24"/>
        <w:szCs w:val="24"/>
      </w:rPr>
    </w:lvl>
    <w:lvl w:ilvl="2">
      <w:start w:val="1"/>
      <w:numFmt w:val="bullet"/>
      <w:lvlText w:val="•"/>
      <w:lvlJc w:val="left"/>
      <w:pPr>
        <w:ind w:left="2055" w:hanging="360"/>
      </w:pPr>
      <w:rPr>
        <w:rFonts w:hint="default"/>
      </w:rPr>
    </w:lvl>
    <w:lvl w:ilvl="3">
      <w:start w:val="1"/>
      <w:numFmt w:val="bullet"/>
      <w:lvlText w:val="•"/>
      <w:lvlJc w:val="left"/>
      <w:pPr>
        <w:ind w:left="2931" w:hanging="360"/>
      </w:pPr>
      <w:rPr>
        <w:rFonts w:hint="default"/>
      </w:rPr>
    </w:lvl>
    <w:lvl w:ilvl="4">
      <w:start w:val="1"/>
      <w:numFmt w:val="bullet"/>
      <w:lvlText w:val="•"/>
      <w:lvlJc w:val="left"/>
      <w:pPr>
        <w:ind w:left="3806" w:hanging="360"/>
      </w:pPr>
      <w:rPr>
        <w:rFonts w:hint="default"/>
      </w:rPr>
    </w:lvl>
    <w:lvl w:ilvl="5">
      <w:start w:val="1"/>
      <w:numFmt w:val="bullet"/>
      <w:lvlText w:val="•"/>
      <w:lvlJc w:val="left"/>
      <w:pPr>
        <w:ind w:left="4682" w:hanging="360"/>
      </w:pPr>
      <w:rPr>
        <w:rFonts w:hint="default"/>
      </w:rPr>
    </w:lvl>
    <w:lvl w:ilvl="6">
      <w:start w:val="1"/>
      <w:numFmt w:val="bullet"/>
      <w:lvlText w:val="•"/>
      <w:lvlJc w:val="left"/>
      <w:pPr>
        <w:ind w:left="5557" w:hanging="360"/>
      </w:pPr>
      <w:rPr>
        <w:rFonts w:hint="default"/>
      </w:rPr>
    </w:lvl>
    <w:lvl w:ilvl="7">
      <w:start w:val="1"/>
      <w:numFmt w:val="bullet"/>
      <w:lvlText w:val="•"/>
      <w:lvlJc w:val="left"/>
      <w:pPr>
        <w:ind w:left="6433" w:hanging="360"/>
      </w:pPr>
      <w:rPr>
        <w:rFonts w:hint="default"/>
      </w:rPr>
    </w:lvl>
    <w:lvl w:ilvl="8">
      <w:start w:val="1"/>
      <w:numFmt w:val="bullet"/>
      <w:lvlText w:val="•"/>
      <w:lvlJc w:val="left"/>
      <w:pPr>
        <w:ind w:left="7308" w:hanging="360"/>
      </w:pPr>
      <w:rPr>
        <w:rFonts w:hint="default"/>
      </w:rPr>
    </w:lvl>
  </w:abstractNum>
  <w:abstractNum w:abstractNumId="8">
    <w:multiLevelType w:val="hybridMultilevel"/>
    <w:lvl w:ilvl="0">
      <w:start w:val="1"/>
      <w:numFmt w:val="upperRoman"/>
      <w:lvlText w:val="%1."/>
      <w:lvlJc w:val="left"/>
      <w:pPr>
        <w:ind w:left="842" w:hanging="495"/>
        <w:jc w:val="right"/>
      </w:pPr>
      <w:rPr>
        <w:rFonts w:hint="default" w:ascii="Arial" w:hAnsi="Arial" w:eastAsia="Arial" w:cs="Arial"/>
        <w:i/>
        <w:spacing w:val="-31"/>
        <w:w w:val="99"/>
        <w:sz w:val="24"/>
        <w:szCs w:val="24"/>
      </w:rPr>
    </w:lvl>
    <w:lvl w:ilvl="1">
      <w:start w:val="1"/>
      <w:numFmt w:val="bullet"/>
      <w:lvlText w:val="•"/>
      <w:lvlJc w:val="left"/>
      <w:pPr>
        <w:ind w:left="1664" w:hanging="495"/>
      </w:pPr>
      <w:rPr>
        <w:rFonts w:hint="default"/>
      </w:rPr>
    </w:lvl>
    <w:lvl w:ilvl="2">
      <w:start w:val="1"/>
      <w:numFmt w:val="bullet"/>
      <w:lvlText w:val="•"/>
      <w:lvlJc w:val="left"/>
      <w:pPr>
        <w:ind w:left="2488" w:hanging="495"/>
      </w:pPr>
      <w:rPr>
        <w:rFonts w:hint="default"/>
      </w:rPr>
    </w:lvl>
    <w:lvl w:ilvl="3">
      <w:start w:val="1"/>
      <w:numFmt w:val="bullet"/>
      <w:lvlText w:val="•"/>
      <w:lvlJc w:val="left"/>
      <w:pPr>
        <w:ind w:left="3312" w:hanging="495"/>
      </w:pPr>
      <w:rPr>
        <w:rFonts w:hint="default"/>
      </w:rPr>
    </w:lvl>
    <w:lvl w:ilvl="4">
      <w:start w:val="1"/>
      <w:numFmt w:val="bullet"/>
      <w:lvlText w:val="•"/>
      <w:lvlJc w:val="left"/>
      <w:pPr>
        <w:ind w:left="4136" w:hanging="495"/>
      </w:pPr>
      <w:rPr>
        <w:rFonts w:hint="default"/>
      </w:rPr>
    </w:lvl>
    <w:lvl w:ilvl="5">
      <w:start w:val="1"/>
      <w:numFmt w:val="bullet"/>
      <w:lvlText w:val="•"/>
      <w:lvlJc w:val="left"/>
      <w:pPr>
        <w:ind w:left="4960" w:hanging="495"/>
      </w:pPr>
      <w:rPr>
        <w:rFonts w:hint="default"/>
      </w:rPr>
    </w:lvl>
    <w:lvl w:ilvl="6">
      <w:start w:val="1"/>
      <w:numFmt w:val="bullet"/>
      <w:lvlText w:val="•"/>
      <w:lvlJc w:val="left"/>
      <w:pPr>
        <w:ind w:left="5784" w:hanging="495"/>
      </w:pPr>
      <w:rPr>
        <w:rFonts w:hint="default"/>
      </w:rPr>
    </w:lvl>
    <w:lvl w:ilvl="7">
      <w:start w:val="1"/>
      <w:numFmt w:val="bullet"/>
      <w:lvlText w:val="•"/>
      <w:lvlJc w:val="left"/>
      <w:pPr>
        <w:ind w:left="6608" w:hanging="495"/>
      </w:pPr>
      <w:rPr>
        <w:rFonts w:hint="default"/>
      </w:rPr>
    </w:lvl>
    <w:lvl w:ilvl="8">
      <w:start w:val="1"/>
      <w:numFmt w:val="bullet"/>
      <w:lvlText w:val="•"/>
      <w:lvlJc w:val="left"/>
      <w:pPr>
        <w:ind w:left="7432" w:hanging="495"/>
      </w:pPr>
      <w:rPr>
        <w:rFonts w:hint="default"/>
      </w:rPr>
    </w:lvl>
  </w:abstractNum>
  <w:abstractNum w:abstractNumId="6">
    <w:multiLevelType w:val="hybridMultilevel"/>
    <w:lvl w:ilvl="0">
      <w:start w:val="1"/>
      <w:numFmt w:val="upperRoman"/>
      <w:lvlText w:val="%1."/>
      <w:lvlJc w:val="left"/>
      <w:pPr>
        <w:ind w:left="822" w:hanging="495"/>
        <w:jc w:val="right"/>
      </w:pPr>
      <w:rPr>
        <w:rFonts w:hint="default"/>
        <w:w w:val="100"/>
      </w:rPr>
    </w:lvl>
    <w:lvl w:ilvl="1">
      <w:start w:val="1"/>
      <w:numFmt w:val="bullet"/>
      <w:lvlText w:val="•"/>
      <w:lvlJc w:val="left"/>
      <w:pPr>
        <w:ind w:left="1644" w:hanging="495"/>
      </w:pPr>
      <w:rPr>
        <w:rFonts w:hint="default"/>
      </w:rPr>
    </w:lvl>
    <w:lvl w:ilvl="2">
      <w:start w:val="1"/>
      <w:numFmt w:val="bullet"/>
      <w:lvlText w:val="•"/>
      <w:lvlJc w:val="left"/>
      <w:pPr>
        <w:ind w:left="2468" w:hanging="495"/>
      </w:pPr>
      <w:rPr>
        <w:rFonts w:hint="default"/>
      </w:rPr>
    </w:lvl>
    <w:lvl w:ilvl="3">
      <w:start w:val="1"/>
      <w:numFmt w:val="bullet"/>
      <w:lvlText w:val="•"/>
      <w:lvlJc w:val="left"/>
      <w:pPr>
        <w:ind w:left="3292" w:hanging="495"/>
      </w:pPr>
      <w:rPr>
        <w:rFonts w:hint="default"/>
      </w:rPr>
    </w:lvl>
    <w:lvl w:ilvl="4">
      <w:start w:val="1"/>
      <w:numFmt w:val="bullet"/>
      <w:lvlText w:val="•"/>
      <w:lvlJc w:val="left"/>
      <w:pPr>
        <w:ind w:left="4116" w:hanging="495"/>
      </w:pPr>
      <w:rPr>
        <w:rFonts w:hint="default"/>
      </w:rPr>
    </w:lvl>
    <w:lvl w:ilvl="5">
      <w:start w:val="1"/>
      <w:numFmt w:val="bullet"/>
      <w:lvlText w:val="•"/>
      <w:lvlJc w:val="left"/>
      <w:pPr>
        <w:ind w:left="4940" w:hanging="495"/>
      </w:pPr>
      <w:rPr>
        <w:rFonts w:hint="default"/>
      </w:rPr>
    </w:lvl>
    <w:lvl w:ilvl="6">
      <w:start w:val="1"/>
      <w:numFmt w:val="bullet"/>
      <w:lvlText w:val="•"/>
      <w:lvlJc w:val="left"/>
      <w:pPr>
        <w:ind w:left="5764" w:hanging="495"/>
      </w:pPr>
      <w:rPr>
        <w:rFonts w:hint="default"/>
      </w:rPr>
    </w:lvl>
    <w:lvl w:ilvl="7">
      <w:start w:val="1"/>
      <w:numFmt w:val="bullet"/>
      <w:lvlText w:val="•"/>
      <w:lvlJc w:val="left"/>
      <w:pPr>
        <w:ind w:left="6588" w:hanging="495"/>
      </w:pPr>
      <w:rPr>
        <w:rFonts w:hint="default"/>
      </w:rPr>
    </w:lvl>
    <w:lvl w:ilvl="8">
      <w:start w:val="1"/>
      <w:numFmt w:val="bullet"/>
      <w:lvlText w:val="•"/>
      <w:lvlJc w:val="left"/>
      <w:pPr>
        <w:ind w:left="7412" w:hanging="495"/>
      </w:pPr>
      <w:rPr>
        <w:rFonts w:hint="default"/>
      </w:rPr>
    </w:lvl>
  </w:abstractNum>
  <w:abstractNum w:abstractNumId="5">
    <w:multiLevelType w:val="hybridMultilevel"/>
    <w:lvl w:ilvl="0">
      <w:start w:val="1"/>
      <w:numFmt w:val="upperRoman"/>
      <w:lvlText w:val="%1."/>
      <w:lvlJc w:val="left"/>
      <w:pPr>
        <w:ind w:left="822" w:hanging="495"/>
        <w:jc w:val="right"/>
      </w:pPr>
      <w:rPr>
        <w:rFonts w:hint="default"/>
        <w:w w:val="100"/>
      </w:rPr>
    </w:lvl>
    <w:lvl w:ilvl="1">
      <w:start w:val="1"/>
      <w:numFmt w:val="bullet"/>
      <w:lvlText w:val="•"/>
      <w:lvlJc w:val="left"/>
      <w:pPr>
        <w:ind w:left="1644" w:hanging="495"/>
      </w:pPr>
      <w:rPr>
        <w:rFonts w:hint="default"/>
      </w:rPr>
    </w:lvl>
    <w:lvl w:ilvl="2">
      <w:start w:val="1"/>
      <w:numFmt w:val="bullet"/>
      <w:lvlText w:val="•"/>
      <w:lvlJc w:val="left"/>
      <w:pPr>
        <w:ind w:left="2468" w:hanging="495"/>
      </w:pPr>
      <w:rPr>
        <w:rFonts w:hint="default"/>
      </w:rPr>
    </w:lvl>
    <w:lvl w:ilvl="3">
      <w:start w:val="1"/>
      <w:numFmt w:val="bullet"/>
      <w:lvlText w:val="•"/>
      <w:lvlJc w:val="left"/>
      <w:pPr>
        <w:ind w:left="3292" w:hanging="495"/>
      </w:pPr>
      <w:rPr>
        <w:rFonts w:hint="default"/>
      </w:rPr>
    </w:lvl>
    <w:lvl w:ilvl="4">
      <w:start w:val="1"/>
      <w:numFmt w:val="bullet"/>
      <w:lvlText w:val="•"/>
      <w:lvlJc w:val="left"/>
      <w:pPr>
        <w:ind w:left="4116" w:hanging="495"/>
      </w:pPr>
      <w:rPr>
        <w:rFonts w:hint="default"/>
      </w:rPr>
    </w:lvl>
    <w:lvl w:ilvl="5">
      <w:start w:val="1"/>
      <w:numFmt w:val="bullet"/>
      <w:lvlText w:val="•"/>
      <w:lvlJc w:val="left"/>
      <w:pPr>
        <w:ind w:left="4940" w:hanging="495"/>
      </w:pPr>
      <w:rPr>
        <w:rFonts w:hint="default"/>
      </w:rPr>
    </w:lvl>
    <w:lvl w:ilvl="6">
      <w:start w:val="1"/>
      <w:numFmt w:val="bullet"/>
      <w:lvlText w:val="•"/>
      <w:lvlJc w:val="left"/>
      <w:pPr>
        <w:ind w:left="5764" w:hanging="495"/>
      </w:pPr>
      <w:rPr>
        <w:rFonts w:hint="default"/>
      </w:rPr>
    </w:lvl>
    <w:lvl w:ilvl="7">
      <w:start w:val="1"/>
      <w:numFmt w:val="bullet"/>
      <w:lvlText w:val="•"/>
      <w:lvlJc w:val="left"/>
      <w:pPr>
        <w:ind w:left="6588" w:hanging="495"/>
      </w:pPr>
      <w:rPr>
        <w:rFonts w:hint="default"/>
      </w:rPr>
    </w:lvl>
    <w:lvl w:ilvl="8">
      <w:start w:val="1"/>
      <w:numFmt w:val="bullet"/>
      <w:lvlText w:val="•"/>
      <w:lvlJc w:val="left"/>
      <w:pPr>
        <w:ind w:left="7412" w:hanging="495"/>
      </w:pPr>
      <w:rPr>
        <w:rFonts w:hint="default"/>
      </w:rPr>
    </w:lvl>
  </w:abstractNum>
  <w:abstractNum w:abstractNumId="4">
    <w:multiLevelType w:val="hybridMultilevel"/>
    <w:lvl w:ilvl="0">
      <w:start w:val="1"/>
      <w:numFmt w:val="upperRoman"/>
      <w:lvlText w:val="%1."/>
      <w:lvlJc w:val="left"/>
      <w:pPr>
        <w:ind w:left="822" w:hanging="495"/>
        <w:jc w:val="right"/>
      </w:pPr>
      <w:rPr>
        <w:rFonts w:hint="default"/>
        <w:w w:val="100"/>
      </w:rPr>
    </w:lvl>
    <w:lvl w:ilvl="1">
      <w:start w:val="1"/>
      <w:numFmt w:val="bullet"/>
      <w:lvlText w:val="•"/>
      <w:lvlJc w:val="left"/>
      <w:pPr>
        <w:ind w:left="1644" w:hanging="495"/>
      </w:pPr>
      <w:rPr>
        <w:rFonts w:hint="default"/>
      </w:rPr>
    </w:lvl>
    <w:lvl w:ilvl="2">
      <w:start w:val="1"/>
      <w:numFmt w:val="bullet"/>
      <w:lvlText w:val="•"/>
      <w:lvlJc w:val="left"/>
      <w:pPr>
        <w:ind w:left="2468" w:hanging="495"/>
      </w:pPr>
      <w:rPr>
        <w:rFonts w:hint="default"/>
      </w:rPr>
    </w:lvl>
    <w:lvl w:ilvl="3">
      <w:start w:val="1"/>
      <w:numFmt w:val="bullet"/>
      <w:lvlText w:val="•"/>
      <w:lvlJc w:val="left"/>
      <w:pPr>
        <w:ind w:left="3292" w:hanging="495"/>
      </w:pPr>
      <w:rPr>
        <w:rFonts w:hint="default"/>
      </w:rPr>
    </w:lvl>
    <w:lvl w:ilvl="4">
      <w:start w:val="1"/>
      <w:numFmt w:val="bullet"/>
      <w:lvlText w:val="•"/>
      <w:lvlJc w:val="left"/>
      <w:pPr>
        <w:ind w:left="4116" w:hanging="495"/>
      </w:pPr>
      <w:rPr>
        <w:rFonts w:hint="default"/>
      </w:rPr>
    </w:lvl>
    <w:lvl w:ilvl="5">
      <w:start w:val="1"/>
      <w:numFmt w:val="bullet"/>
      <w:lvlText w:val="•"/>
      <w:lvlJc w:val="left"/>
      <w:pPr>
        <w:ind w:left="4940" w:hanging="495"/>
      </w:pPr>
      <w:rPr>
        <w:rFonts w:hint="default"/>
      </w:rPr>
    </w:lvl>
    <w:lvl w:ilvl="6">
      <w:start w:val="1"/>
      <w:numFmt w:val="bullet"/>
      <w:lvlText w:val="•"/>
      <w:lvlJc w:val="left"/>
      <w:pPr>
        <w:ind w:left="5764" w:hanging="495"/>
      </w:pPr>
      <w:rPr>
        <w:rFonts w:hint="default"/>
      </w:rPr>
    </w:lvl>
    <w:lvl w:ilvl="7">
      <w:start w:val="1"/>
      <w:numFmt w:val="bullet"/>
      <w:lvlText w:val="•"/>
      <w:lvlJc w:val="left"/>
      <w:pPr>
        <w:ind w:left="6588" w:hanging="495"/>
      </w:pPr>
      <w:rPr>
        <w:rFonts w:hint="default"/>
      </w:rPr>
    </w:lvl>
    <w:lvl w:ilvl="8">
      <w:start w:val="1"/>
      <w:numFmt w:val="bullet"/>
      <w:lvlText w:val="•"/>
      <w:lvlJc w:val="left"/>
      <w:pPr>
        <w:ind w:left="7412" w:hanging="495"/>
      </w:pPr>
      <w:rPr>
        <w:rFonts w:hint="default"/>
      </w:rPr>
    </w:lvl>
  </w:abstractNum>
  <w:abstractNum w:abstractNumId="3">
    <w:multiLevelType w:val="hybridMultilevel"/>
    <w:lvl w:ilvl="0">
      <w:start w:val="1"/>
      <w:numFmt w:val="upperRoman"/>
      <w:lvlText w:val="%1."/>
      <w:lvlJc w:val="left"/>
      <w:pPr>
        <w:ind w:left="822" w:hanging="495"/>
        <w:jc w:val="right"/>
      </w:pPr>
      <w:rPr>
        <w:rFonts w:hint="default"/>
        <w:w w:val="100"/>
      </w:rPr>
    </w:lvl>
    <w:lvl w:ilvl="1">
      <w:start w:val="1"/>
      <w:numFmt w:val="bullet"/>
      <w:lvlText w:val="•"/>
      <w:lvlJc w:val="left"/>
      <w:pPr>
        <w:ind w:left="1644" w:hanging="495"/>
      </w:pPr>
      <w:rPr>
        <w:rFonts w:hint="default"/>
      </w:rPr>
    </w:lvl>
    <w:lvl w:ilvl="2">
      <w:start w:val="1"/>
      <w:numFmt w:val="bullet"/>
      <w:lvlText w:val="•"/>
      <w:lvlJc w:val="left"/>
      <w:pPr>
        <w:ind w:left="2468" w:hanging="495"/>
      </w:pPr>
      <w:rPr>
        <w:rFonts w:hint="default"/>
      </w:rPr>
    </w:lvl>
    <w:lvl w:ilvl="3">
      <w:start w:val="1"/>
      <w:numFmt w:val="bullet"/>
      <w:lvlText w:val="•"/>
      <w:lvlJc w:val="left"/>
      <w:pPr>
        <w:ind w:left="3292" w:hanging="495"/>
      </w:pPr>
      <w:rPr>
        <w:rFonts w:hint="default"/>
      </w:rPr>
    </w:lvl>
    <w:lvl w:ilvl="4">
      <w:start w:val="1"/>
      <w:numFmt w:val="bullet"/>
      <w:lvlText w:val="•"/>
      <w:lvlJc w:val="left"/>
      <w:pPr>
        <w:ind w:left="4116" w:hanging="495"/>
      </w:pPr>
      <w:rPr>
        <w:rFonts w:hint="default"/>
      </w:rPr>
    </w:lvl>
    <w:lvl w:ilvl="5">
      <w:start w:val="1"/>
      <w:numFmt w:val="bullet"/>
      <w:lvlText w:val="•"/>
      <w:lvlJc w:val="left"/>
      <w:pPr>
        <w:ind w:left="4940" w:hanging="495"/>
      </w:pPr>
      <w:rPr>
        <w:rFonts w:hint="default"/>
      </w:rPr>
    </w:lvl>
    <w:lvl w:ilvl="6">
      <w:start w:val="1"/>
      <w:numFmt w:val="bullet"/>
      <w:lvlText w:val="•"/>
      <w:lvlJc w:val="left"/>
      <w:pPr>
        <w:ind w:left="5764" w:hanging="495"/>
      </w:pPr>
      <w:rPr>
        <w:rFonts w:hint="default"/>
      </w:rPr>
    </w:lvl>
    <w:lvl w:ilvl="7">
      <w:start w:val="1"/>
      <w:numFmt w:val="bullet"/>
      <w:lvlText w:val="•"/>
      <w:lvlJc w:val="left"/>
      <w:pPr>
        <w:ind w:left="6588" w:hanging="495"/>
      </w:pPr>
      <w:rPr>
        <w:rFonts w:hint="default"/>
      </w:rPr>
    </w:lvl>
    <w:lvl w:ilvl="8">
      <w:start w:val="1"/>
      <w:numFmt w:val="bullet"/>
      <w:lvlText w:val="•"/>
      <w:lvlJc w:val="left"/>
      <w:pPr>
        <w:ind w:left="7412" w:hanging="495"/>
      </w:pPr>
      <w:rPr>
        <w:rFonts w:hint="default"/>
      </w:rPr>
    </w:lvl>
  </w:abstractNum>
  <w:abstractNum w:abstractNumId="2">
    <w:multiLevelType w:val="hybridMultilevel"/>
    <w:lvl w:ilvl="0">
      <w:start w:val="1"/>
      <w:numFmt w:val="upperRoman"/>
      <w:lvlText w:val="%1."/>
      <w:lvlJc w:val="left"/>
      <w:pPr>
        <w:ind w:left="822" w:hanging="495"/>
        <w:jc w:val="right"/>
      </w:pPr>
      <w:rPr>
        <w:rFonts w:hint="default" w:ascii="Arial" w:hAnsi="Arial" w:eastAsia="Arial" w:cs="Arial"/>
        <w:w w:val="100"/>
        <w:sz w:val="24"/>
        <w:szCs w:val="24"/>
      </w:rPr>
    </w:lvl>
    <w:lvl w:ilvl="1">
      <w:start w:val="1"/>
      <w:numFmt w:val="bullet"/>
      <w:lvlText w:val="•"/>
      <w:lvlJc w:val="left"/>
      <w:pPr>
        <w:ind w:left="1644" w:hanging="495"/>
      </w:pPr>
      <w:rPr>
        <w:rFonts w:hint="default"/>
      </w:rPr>
    </w:lvl>
    <w:lvl w:ilvl="2">
      <w:start w:val="1"/>
      <w:numFmt w:val="bullet"/>
      <w:lvlText w:val="•"/>
      <w:lvlJc w:val="left"/>
      <w:pPr>
        <w:ind w:left="2468" w:hanging="495"/>
      </w:pPr>
      <w:rPr>
        <w:rFonts w:hint="default"/>
      </w:rPr>
    </w:lvl>
    <w:lvl w:ilvl="3">
      <w:start w:val="1"/>
      <w:numFmt w:val="bullet"/>
      <w:lvlText w:val="•"/>
      <w:lvlJc w:val="left"/>
      <w:pPr>
        <w:ind w:left="3292" w:hanging="495"/>
      </w:pPr>
      <w:rPr>
        <w:rFonts w:hint="default"/>
      </w:rPr>
    </w:lvl>
    <w:lvl w:ilvl="4">
      <w:start w:val="1"/>
      <w:numFmt w:val="bullet"/>
      <w:lvlText w:val="•"/>
      <w:lvlJc w:val="left"/>
      <w:pPr>
        <w:ind w:left="4116" w:hanging="495"/>
      </w:pPr>
      <w:rPr>
        <w:rFonts w:hint="default"/>
      </w:rPr>
    </w:lvl>
    <w:lvl w:ilvl="5">
      <w:start w:val="1"/>
      <w:numFmt w:val="bullet"/>
      <w:lvlText w:val="•"/>
      <w:lvlJc w:val="left"/>
      <w:pPr>
        <w:ind w:left="4940" w:hanging="495"/>
      </w:pPr>
      <w:rPr>
        <w:rFonts w:hint="default"/>
      </w:rPr>
    </w:lvl>
    <w:lvl w:ilvl="6">
      <w:start w:val="1"/>
      <w:numFmt w:val="bullet"/>
      <w:lvlText w:val="•"/>
      <w:lvlJc w:val="left"/>
      <w:pPr>
        <w:ind w:left="5764" w:hanging="495"/>
      </w:pPr>
      <w:rPr>
        <w:rFonts w:hint="default"/>
      </w:rPr>
    </w:lvl>
    <w:lvl w:ilvl="7">
      <w:start w:val="1"/>
      <w:numFmt w:val="bullet"/>
      <w:lvlText w:val="•"/>
      <w:lvlJc w:val="left"/>
      <w:pPr>
        <w:ind w:left="6588" w:hanging="495"/>
      </w:pPr>
      <w:rPr>
        <w:rFonts w:hint="default"/>
      </w:rPr>
    </w:lvl>
    <w:lvl w:ilvl="8">
      <w:start w:val="1"/>
      <w:numFmt w:val="bullet"/>
      <w:lvlText w:val="•"/>
      <w:lvlJc w:val="left"/>
      <w:pPr>
        <w:ind w:left="7412" w:hanging="495"/>
      </w:pPr>
      <w:rPr>
        <w:rFonts w:hint="default"/>
      </w:rPr>
    </w:lvl>
  </w:abstractNum>
  <w:abstractNum w:abstractNumId="1">
    <w:multiLevelType w:val="hybridMultilevel"/>
    <w:lvl w:ilvl="0">
      <w:start w:val="1"/>
      <w:numFmt w:val="upperRoman"/>
      <w:lvlText w:val="%1."/>
      <w:lvlJc w:val="left"/>
      <w:pPr>
        <w:ind w:left="842" w:hanging="495"/>
        <w:jc w:val="right"/>
      </w:pPr>
      <w:rPr>
        <w:rFonts w:hint="default"/>
        <w:w w:val="100"/>
      </w:rPr>
    </w:lvl>
    <w:lvl w:ilvl="1">
      <w:start w:val="1"/>
      <w:numFmt w:val="bullet"/>
      <w:lvlText w:val="•"/>
      <w:lvlJc w:val="left"/>
      <w:pPr>
        <w:ind w:left="1664" w:hanging="495"/>
      </w:pPr>
      <w:rPr>
        <w:rFonts w:hint="default"/>
      </w:rPr>
    </w:lvl>
    <w:lvl w:ilvl="2">
      <w:start w:val="1"/>
      <w:numFmt w:val="bullet"/>
      <w:lvlText w:val="•"/>
      <w:lvlJc w:val="left"/>
      <w:pPr>
        <w:ind w:left="2488" w:hanging="495"/>
      </w:pPr>
      <w:rPr>
        <w:rFonts w:hint="default"/>
      </w:rPr>
    </w:lvl>
    <w:lvl w:ilvl="3">
      <w:start w:val="1"/>
      <w:numFmt w:val="bullet"/>
      <w:lvlText w:val="•"/>
      <w:lvlJc w:val="left"/>
      <w:pPr>
        <w:ind w:left="3312" w:hanging="495"/>
      </w:pPr>
      <w:rPr>
        <w:rFonts w:hint="default"/>
      </w:rPr>
    </w:lvl>
    <w:lvl w:ilvl="4">
      <w:start w:val="1"/>
      <w:numFmt w:val="bullet"/>
      <w:lvlText w:val="•"/>
      <w:lvlJc w:val="left"/>
      <w:pPr>
        <w:ind w:left="4136" w:hanging="495"/>
      </w:pPr>
      <w:rPr>
        <w:rFonts w:hint="default"/>
      </w:rPr>
    </w:lvl>
    <w:lvl w:ilvl="5">
      <w:start w:val="1"/>
      <w:numFmt w:val="bullet"/>
      <w:lvlText w:val="•"/>
      <w:lvlJc w:val="left"/>
      <w:pPr>
        <w:ind w:left="4960" w:hanging="495"/>
      </w:pPr>
      <w:rPr>
        <w:rFonts w:hint="default"/>
      </w:rPr>
    </w:lvl>
    <w:lvl w:ilvl="6">
      <w:start w:val="1"/>
      <w:numFmt w:val="bullet"/>
      <w:lvlText w:val="•"/>
      <w:lvlJc w:val="left"/>
      <w:pPr>
        <w:ind w:left="5784" w:hanging="495"/>
      </w:pPr>
      <w:rPr>
        <w:rFonts w:hint="default"/>
      </w:rPr>
    </w:lvl>
    <w:lvl w:ilvl="7">
      <w:start w:val="1"/>
      <w:numFmt w:val="bullet"/>
      <w:lvlText w:val="•"/>
      <w:lvlJc w:val="left"/>
      <w:pPr>
        <w:ind w:left="6608" w:hanging="495"/>
      </w:pPr>
      <w:rPr>
        <w:rFonts w:hint="default"/>
      </w:rPr>
    </w:lvl>
    <w:lvl w:ilvl="8">
      <w:start w:val="1"/>
      <w:numFmt w:val="bullet"/>
      <w:lvlText w:val="•"/>
      <w:lvlJc w:val="left"/>
      <w:pPr>
        <w:ind w:left="7432" w:hanging="495"/>
      </w:pPr>
      <w:rPr>
        <w:rFonts w:hint="default"/>
      </w:rPr>
    </w:lvl>
  </w:abstractNum>
  <w:abstractNum w:abstractNumId="0">
    <w:multiLevelType w:val="hybridMultilevel"/>
    <w:lvl w:ilvl="0">
      <w:start w:val="1"/>
      <w:numFmt w:val="upperLetter"/>
      <w:lvlText w:val="%1)"/>
      <w:lvlJc w:val="left"/>
      <w:pPr>
        <w:ind w:left="822" w:hanging="360"/>
        <w:jc w:val="left"/>
      </w:pPr>
      <w:rPr>
        <w:rFonts w:hint="default" w:ascii="Arial" w:hAnsi="Arial" w:eastAsia="Arial" w:cs="Arial"/>
        <w:spacing w:val="-1"/>
        <w:w w:val="100"/>
        <w:sz w:val="28"/>
        <w:szCs w:val="28"/>
      </w:rPr>
    </w:lvl>
    <w:lvl w:ilvl="1">
      <w:start w:val="1"/>
      <w:numFmt w:val="lowerLetter"/>
      <w:lvlText w:val="%2)"/>
      <w:lvlJc w:val="left"/>
      <w:pPr>
        <w:ind w:left="1818" w:hanging="281"/>
        <w:jc w:val="right"/>
      </w:pPr>
      <w:rPr>
        <w:rFonts w:hint="default" w:ascii="Arial" w:hAnsi="Arial" w:eastAsia="Arial" w:cs="Arial"/>
        <w:spacing w:val="-2"/>
        <w:w w:val="99"/>
        <w:sz w:val="24"/>
        <w:szCs w:val="24"/>
      </w:rPr>
    </w:lvl>
    <w:lvl w:ilvl="2">
      <w:start w:val="1"/>
      <w:numFmt w:val="bullet"/>
      <w:lvlText w:val="•"/>
      <w:lvlJc w:val="left"/>
      <w:pPr>
        <w:ind w:left="1540" w:hanging="281"/>
      </w:pPr>
      <w:rPr>
        <w:rFonts w:hint="default"/>
      </w:rPr>
    </w:lvl>
    <w:lvl w:ilvl="3">
      <w:start w:val="1"/>
      <w:numFmt w:val="bullet"/>
      <w:lvlText w:val="•"/>
      <w:lvlJc w:val="left"/>
      <w:pPr>
        <w:ind w:left="1820" w:hanging="281"/>
      </w:pPr>
      <w:rPr>
        <w:rFonts w:hint="default"/>
      </w:rPr>
    </w:lvl>
    <w:lvl w:ilvl="4">
      <w:start w:val="1"/>
      <w:numFmt w:val="bullet"/>
      <w:lvlText w:val="•"/>
      <w:lvlJc w:val="left"/>
      <w:pPr>
        <w:ind w:left="2854" w:hanging="281"/>
      </w:pPr>
      <w:rPr>
        <w:rFonts w:hint="default"/>
      </w:rPr>
    </w:lvl>
    <w:lvl w:ilvl="5">
      <w:start w:val="1"/>
      <w:numFmt w:val="bullet"/>
      <w:lvlText w:val="•"/>
      <w:lvlJc w:val="left"/>
      <w:pPr>
        <w:ind w:left="3888" w:hanging="281"/>
      </w:pPr>
      <w:rPr>
        <w:rFonts w:hint="default"/>
      </w:rPr>
    </w:lvl>
    <w:lvl w:ilvl="6">
      <w:start w:val="1"/>
      <w:numFmt w:val="bullet"/>
      <w:lvlText w:val="•"/>
      <w:lvlJc w:val="left"/>
      <w:pPr>
        <w:ind w:left="4922" w:hanging="281"/>
      </w:pPr>
      <w:rPr>
        <w:rFonts w:hint="default"/>
      </w:rPr>
    </w:lvl>
    <w:lvl w:ilvl="7">
      <w:start w:val="1"/>
      <w:numFmt w:val="bullet"/>
      <w:lvlText w:val="•"/>
      <w:lvlJc w:val="left"/>
      <w:pPr>
        <w:ind w:left="5957" w:hanging="281"/>
      </w:pPr>
      <w:rPr>
        <w:rFonts w:hint="default"/>
      </w:rPr>
    </w:lvl>
    <w:lvl w:ilvl="8">
      <w:start w:val="1"/>
      <w:numFmt w:val="bullet"/>
      <w:lvlText w:val="•"/>
      <w:lvlJc w:val="left"/>
      <w:pPr>
        <w:ind w:left="6991" w:hanging="281"/>
      </w:pPr>
      <w:rPr>
        <w:rFonts w:hint="default"/>
      </w:rPr>
    </w:lvl>
  </w:abstractNum>
  <w:num w:numId="36">
    <w:abstractNumId w:val="35"/>
  </w:num>
  <w:num w:numId="27">
    <w:abstractNumId w:val="26"/>
  </w:num>
  <w:num w:numId="24">
    <w:abstractNumId w:val="23"/>
  </w:num>
  <w:num w:numId="22">
    <w:abstractNumId w:val="21"/>
  </w:num>
  <w:num w:numId="21">
    <w:abstractNumId w:val="20"/>
  </w:num>
  <w:num w:numId="12">
    <w:abstractNumId w:val="11"/>
  </w:num>
  <w:num w:numId="8">
    <w:abstractNumId w:val="7"/>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6">
    <w:abstractNumId w:val="25"/>
  </w:num>
  <w:num w:numId="25">
    <w:abstractNumId w:val="24"/>
  </w:num>
  <w:num w:numId="23">
    <w:abstractNumId w:val="22"/>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1">
    <w:abstractNumId w:val="10"/>
  </w:num>
  <w:num w:numId="10">
    <w:abstractNumId w:val="9"/>
  </w:num>
  <w:num w:numId="9">
    <w:abstractNumId w:val="8"/>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213"/>
      <w:ind w:left="822"/>
      <w:outlineLvl w:val="1"/>
    </w:pPr>
    <w:rPr>
      <w:rFonts w:ascii="Arial" w:hAnsi="Arial" w:eastAsia="Arial" w:cs="Arial"/>
      <w:sz w:val="28"/>
      <w:szCs w:val="28"/>
    </w:rPr>
  </w:style>
  <w:style w:styleId="Heading2" w:type="paragraph">
    <w:name w:val="Heading 2"/>
    <w:basedOn w:val="Normal"/>
    <w:uiPriority w:val="1"/>
    <w:qFormat/>
    <w:pPr>
      <w:spacing w:before="142"/>
      <w:ind w:left="714"/>
      <w:jc w:val="center"/>
      <w:outlineLvl w:val="2"/>
    </w:pPr>
    <w:rPr>
      <w:rFonts w:ascii="Arial" w:hAnsi="Arial" w:eastAsia="Arial" w:cs="Arial"/>
      <w:b/>
      <w:bCs/>
      <w:sz w:val="24"/>
      <w:szCs w:val="24"/>
    </w:rPr>
  </w:style>
  <w:style w:styleId="ListParagraph" w:type="paragraph">
    <w:name w:val="List Paragraph"/>
    <w:basedOn w:val="Normal"/>
    <w:uiPriority w:val="1"/>
    <w:qFormat/>
    <w:pPr>
      <w:ind w:left="822" w:hanging="360"/>
      <w:jc w:val="both"/>
    </w:pPr>
    <w:rPr>
      <w:rFonts w:ascii="Arial" w:hAnsi="Arial" w:eastAsia="Arial" w:cs="Arial"/>
    </w:rPr>
  </w:style>
  <w:style w:styleId="TableParagraph" w:type="paragraph">
    <w:name w:val="Table Paragraph"/>
    <w:basedOn w:val="Normal"/>
    <w:uiPriority w:val="1"/>
    <w:qFormat/>
    <w:pPr>
      <w:ind w:left="103"/>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jpeg"/><Relationship Id="rId7" Type="http://schemas.openxmlformats.org/officeDocument/2006/relationships/header" Target="header1.xml"/><Relationship Id="rId8" Type="http://schemas.openxmlformats.org/officeDocument/2006/relationships/footer" Target="footer1.xml"/><Relationship Id="rId9" Type="http://schemas.openxmlformats.org/officeDocument/2006/relationships/footer" Target="footer2.xml"/><Relationship Id="rId10" Type="http://schemas.openxmlformats.org/officeDocument/2006/relationships/footer" Target="footer3.xml"/><Relationship Id="rId11" Type="http://schemas.openxmlformats.org/officeDocument/2006/relationships/footer" Target="footer4.xml"/><Relationship Id="rId12" Type="http://schemas.openxmlformats.org/officeDocument/2006/relationships/footer" Target="footer5.xml"/><Relationship Id="rId13" Type="http://schemas.openxmlformats.org/officeDocument/2006/relationships/footer" Target="footer6.xml"/><Relationship Id="rId14" Type="http://schemas.openxmlformats.org/officeDocument/2006/relationships/footer" Target="footer7.xml"/><Relationship Id="rId15" Type="http://schemas.openxmlformats.org/officeDocument/2006/relationships/hyperlink" Target="http://es.wikipedia.org/wiki/Pa%C3%ADs_insular" TargetMode="External"/><Relationship Id="rId16" Type="http://schemas.openxmlformats.org/officeDocument/2006/relationships/hyperlink" Target="http://es.wikipedia.org/wiki/Polinesia" TargetMode="External"/><Relationship Id="rId17" Type="http://schemas.openxmlformats.org/officeDocument/2006/relationships/footer" Target="footer8.xml"/><Relationship Id="rId18" Type="http://schemas.openxmlformats.org/officeDocument/2006/relationships/footer" Target="footer9.xml"/><Relationship Id="rId19" Type="http://schemas.openxmlformats.org/officeDocument/2006/relationships/hyperlink" Target="http://es.wikipedia.org/wiki/Acta_Constitutiva_de_la_Federaci%C3%B3n_Mexicana" TargetMode="External"/><Relationship Id="rId20" Type="http://schemas.openxmlformats.org/officeDocument/2006/relationships/hyperlink" Target="http://es.wikipedia.org/wiki/4_de_octubre" TargetMode="External"/><Relationship Id="rId21" Type="http://schemas.openxmlformats.org/officeDocument/2006/relationships/hyperlink" Target="http://es.wikipedia.org/wiki/Constituci%C3%B3n_Federal_de_los_Estados_Unidos_Mexicanos_de_1824" TargetMode="External"/><Relationship Id="rId22" Type="http://schemas.openxmlformats.org/officeDocument/2006/relationships/hyperlink" Target="http://es.wikipedia.org/wiki/Estados_Unidos_Mexicanos" TargetMode="External"/><Relationship Id="rId23" Type="http://schemas.openxmlformats.org/officeDocument/2006/relationships/hyperlink" Target="http://es.wikipedia.org/wiki/Constituci%C3%B3n_Pol%C3%ADtica_de_los_Estados_Unidos_Mexicanos_de_1917" TargetMode="External"/><Relationship Id="rId24" Type="http://schemas.openxmlformats.org/officeDocument/2006/relationships/footer" Target="footer10.xml"/><Relationship Id="rId25" Type="http://schemas.openxmlformats.org/officeDocument/2006/relationships/footer" Target="footer11.xml"/><Relationship Id="rId26" Type="http://schemas.openxmlformats.org/officeDocument/2006/relationships/footer" Target="footer12.xml"/><Relationship Id="rId27" Type="http://schemas.openxmlformats.org/officeDocument/2006/relationships/footer" Target="footer13.xml"/><Relationship Id="rId28" Type="http://schemas.openxmlformats.org/officeDocument/2006/relationships/footer" Target="footer14.xml"/><Relationship Id="rId29" Type="http://schemas.openxmlformats.org/officeDocument/2006/relationships/footer" Target="footer15.xml"/><Relationship Id="rId30" Type="http://schemas.openxmlformats.org/officeDocument/2006/relationships/hyperlink" Target="http://es.wikipedia.org/wiki/Democristianos" TargetMode="External"/><Relationship Id="rId31" Type="http://schemas.openxmlformats.org/officeDocument/2006/relationships/hyperlink" Target="http://es.wikipedia.org/wiki/Conservadores" TargetMode="External"/><Relationship Id="rId32" Type="http://schemas.openxmlformats.org/officeDocument/2006/relationships/hyperlink" Target="http://es.wikipedia.org/wiki/Calderonistas" TargetMode="External"/><Relationship Id="rId33" Type="http://schemas.openxmlformats.org/officeDocument/2006/relationships/hyperlink" Target="http://es.wikipedia.org/wiki/Liberales" TargetMode="External"/><Relationship Id="rId34" Type="http://schemas.openxmlformats.org/officeDocument/2006/relationships/hyperlink" Target="http://es.wikipedia.org/wiki/Liberacionismo_(Costa_Rica)" TargetMode="External"/><Relationship Id="rId35" Type="http://schemas.openxmlformats.org/officeDocument/2006/relationships/hyperlink" Target="http://es.wikipedia.org/wiki/Socialismo_democr%C3%A1tico" TargetMode="External"/><Relationship Id="rId36" Type="http://schemas.openxmlformats.org/officeDocument/2006/relationships/hyperlink" Target="http://es.wikipedia.org/wiki/Partido_Liberaci%C3%B3n_Nacional" TargetMode="External"/><Relationship Id="rId37" Type="http://schemas.openxmlformats.org/officeDocument/2006/relationships/footer" Target="footer16.xml"/><Relationship Id="rId38" Type="http://schemas.openxmlformats.org/officeDocument/2006/relationships/footer" Target="footer17.xml"/><Relationship Id="rId39" Type="http://schemas.openxmlformats.org/officeDocument/2006/relationships/footer" Target="footer18.xml"/><Relationship Id="rId40" Type="http://schemas.openxmlformats.org/officeDocument/2006/relationships/footer" Target="footer19.xml"/><Relationship Id="rId41" Type="http://schemas.openxmlformats.org/officeDocument/2006/relationships/hyperlink" Target="http://portal.te.gob.mx/sites/default/files/publicaciones/file/Dictamen_relativo_eleccion_presidencial_2006.pdf" TargetMode="External"/><Relationship Id="rId42" Type="http://schemas.openxmlformats.org/officeDocument/2006/relationships/footer" Target="footer20.xml"/><Relationship Id="rId43" Type="http://schemas.openxmlformats.org/officeDocument/2006/relationships/footer" Target="footer21.xml"/><Relationship Id="rId44" Type="http://schemas.openxmlformats.org/officeDocument/2006/relationships/footer" Target="footer22.xml"/><Relationship Id="rId45" Type="http://schemas.openxmlformats.org/officeDocument/2006/relationships/hyperlink" Target="http://es.wikipedia.org/wiki/Elecciones_municipales_de_Pococ%C3%AD_de_2010" TargetMode="External"/><Relationship Id="rId46" Type="http://schemas.openxmlformats.org/officeDocument/2006/relationships/footer" Target="footer23.xml"/><Relationship Id="rId47" Type="http://schemas.openxmlformats.org/officeDocument/2006/relationships/footer" Target="footer24.xml"/><Relationship Id="rId48" Type="http://schemas.openxmlformats.org/officeDocument/2006/relationships/hyperlink" Target="http://es.wikipedia.org/wiki/13_de_mayo" TargetMode="External"/><Relationship Id="rId49" Type="http://schemas.openxmlformats.org/officeDocument/2006/relationships/hyperlink" Target="http://es.wikipedia.org/wiki/2007" TargetMode="External"/><Relationship Id="rId50" Type="http://schemas.openxmlformats.org/officeDocument/2006/relationships/image" Target="media/image3.png"/><Relationship Id="rId51" Type="http://schemas.openxmlformats.org/officeDocument/2006/relationships/image" Target="media/image4.png"/><Relationship Id="rId52" Type="http://schemas.openxmlformats.org/officeDocument/2006/relationships/image" Target="media/image5.png"/><Relationship Id="rId53" Type="http://schemas.openxmlformats.org/officeDocument/2006/relationships/image" Target="media/image6.png"/><Relationship Id="rId54" Type="http://schemas.openxmlformats.org/officeDocument/2006/relationships/image" Target="media/image7.png"/><Relationship Id="rId55" Type="http://schemas.openxmlformats.org/officeDocument/2006/relationships/image" Target="media/image8.png"/><Relationship Id="rId56" Type="http://schemas.openxmlformats.org/officeDocument/2006/relationships/image" Target="media/image9.png"/><Relationship Id="rId57" Type="http://schemas.openxmlformats.org/officeDocument/2006/relationships/image" Target="media/image10.png"/><Relationship Id="rId58" Type="http://schemas.openxmlformats.org/officeDocument/2006/relationships/image" Target="media/image11.png"/><Relationship Id="rId59" Type="http://schemas.openxmlformats.org/officeDocument/2006/relationships/image" Target="media/image12.png"/><Relationship Id="rId60" Type="http://schemas.openxmlformats.org/officeDocument/2006/relationships/image" Target="media/image13.png"/><Relationship Id="rId61" Type="http://schemas.openxmlformats.org/officeDocument/2006/relationships/image" Target="media/image14.png"/><Relationship Id="rId62" Type="http://schemas.openxmlformats.org/officeDocument/2006/relationships/image" Target="media/image15.png"/><Relationship Id="rId63" Type="http://schemas.openxmlformats.org/officeDocument/2006/relationships/image" Target="media/image16.png"/><Relationship Id="rId64" Type="http://schemas.openxmlformats.org/officeDocument/2006/relationships/image" Target="media/image17.png"/><Relationship Id="rId65" Type="http://schemas.openxmlformats.org/officeDocument/2006/relationships/image" Target="media/image18.png"/><Relationship Id="rId66" Type="http://schemas.openxmlformats.org/officeDocument/2006/relationships/image" Target="media/image19.png"/><Relationship Id="rId67" Type="http://schemas.openxmlformats.org/officeDocument/2006/relationships/image" Target="media/image20.png"/><Relationship Id="rId68" Type="http://schemas.openxmlformats.org/officeDocument/2006/relationships/image" Target="media/image21.png"/><Relationship Id="rId69" Type="http://schemas.openxmlformats.org/officeDocument/2006/relationships/image" Target="media/image22.png"/><Relationship Id="rId70" Type="http://schemas.openxmlformats.org/officeDocument/2006/relationships/image" Target="media/image23.png"/><Relationship Id="rId71" Type="http://schemas.openxmlformats.org/officeDocument/2006/relationships/image" Target="media/image24.png"/><Relationship Id="rId72" Type="http://schemas.openxmlformats.org/officeDocument/2006/relationships/image" Target="media/image25.png"/><Relationship Id="rId73" Type="http://schemas.openxmlformats.org/officeDocument/2006/relationships/image" Target="media/image26.png"/><Relationship Id="rId74" Type="http://schemas.openxmlformats.org/officeDocument/2006/relationships/image" Target="media/image27.png"/><Relationship Id="rId75" Type="http://schemas.openxmlformats.org/officeDocument/2006/relationships/image" Target="media/image28.png"/><Relationship Id="rId76" Type="http://schemas.openxmlformats.org/officeDocument/2006/relationships/image" Target="media/image29.png"/><Relationship Id="rId77" Type="http://schemas.openxmlformats.org/officeDocument/2006/relationships/image" Target="media/image30.png"/><Relationship Id="rId78" Type="http://schemas.openxmlformats.org/officeDocument/2006/relationships/image" Target="media/image31.png"/><Relationship Id="rId79" Type="http://schemas.openxmlformats.org/officeDocument/2006/relationships/image" Target="media/image32.png"/><Relationship Id="rId80" Type="http://schemas.openxmlformats.org/officeDocument/2006/relationships/image" Target="media/image33.png"/><Relationship Id="rId81" Type="http://schemas.openxmlformats.org/officeDocument/2006/relationships/image" Target="media/image34.png"/><Relationship Id="rId82" Type="http://schemas.openxmlformats.org/officeDocument/2006/relationships/image" Target="media/image35.png"/><Relationship Id="rId83" Type="http://schemas.openxmlformats.org/officeDocument/2006/relationships/image" Target="media/image36.png"/><Relationship Id="rId84" Type="http://schemas.openxmlformats.org/officeDocument/2006/relationships/image" Target="media/image37.png"/><Relationship Id="rId85" Type="http://schemas.openxmlformats.org/officeDocument/2006/relationships/image" Target="media/image38.png"/><Relationship Id="rId86" Type="http://schemas.openxmlformats.org/officeDocument/2006/relationships/image" Target="media/image39.png"/><Relationship Id="rId87" Type="http://schemas.openxmlformats.org/officeDocument/2006/relationships/image" Target="media/image40.png"/><Relationship Id="rId88" Type="http://schemas.openxmlformats.org/officeDocument/2006/relationships/image" Target="media/image41.png"/><Relationship Id="rId89" Type="http://schemas.openxmlformats.org/officeDocument/2006/relationships/image" Target="media/image42.png"/><Relationship Id="rId90" Type="http://schemas.openxmlformats.org/officeDocument/2006/relationships/image" Target="media/image43.png"/><Relationship Id="rId91" Type="http://schemas.openxmlformats.org/officeDocument/2006/relationships/image" Target="media/image44.png"/><Relationship Id="rId92" Type="http://schemas.openxmlformats.org/officeDocument/2006/relationships/image" Target="media/image45.png"/><Relationship Id="rId93" Type="http://schemas.openxmlformats.org/officeDocument/2006/relationships/image" Target="media/image46.png"/><Relationship Id="rId94" Type="http://schemas.openxmlformats.org/officeDocument/2006/relationships/image" Target="media/image47.png"/><Relationship Id="rId95" Type="http://schemas.openxmlformats.org/officeDocument/2006/relationships/image" Target="media/image48.png"/><Relationship Id="rId96" Type="http://schemas.openxmlformats.org/officeDocument/2006/relationships/image" Target="media/image49.png"/><Relationship Id="rId97" Type="http://schemas.openxmlformats.org/officeDocument/2006/relationships/image" Target="media/image50.png"/><Relationship Id="rId98" Type="http://schemas.openxmlformats.org/officeDocument/2006/relationships/image" Target="media/image51.png"/><Relationship Id="rId99" Type="http://schemas.openxmlformats.org/officeDocument/2006/relationships/image" Target="media/image52.png"/><Relationship Id="rId100" Type="http://schemas.openxmlformats.org/officeDocument/2006/relationships/image" Target="media/image53.png"/><Relationship Id="rId101" Type="http://schemas.openxmlformats.org/officeDocument/2006/relationships/image" Target="media/image54.png"/><Relationship Id="rId102" Type="http://schemas.openxmlformats.org/officeDocument/2006/relationships/image" Target="media/image55.png"/><Relationship Id="rId103" Type="http://schemas.openxmlformats.org/officeDocument/2006/relationships/image" Target="media/image56.png"/><Relationship Id="rId104" Type="http://schemas.openxmlformats.org/officeDocument/2006/relationships/image" Target="media/image57.png"/><Relationship Id="rId105" Type="http://schemas.openxmlformats.org/officeDocument/2006/relationships/image" Target="media/image58.png"/><Relationship Id="rId106" Type="http://schemas.openxmlformats.org/officeDocument/2006/relationships/image" Target="media/image59.png"/><Relationship Id="rId107" Type="http://schemas.openxmlformats.org/officeDocument/2006/relationships/image" Target="media/image60.png"/><Relationship Id="rId108" Type="http://schemas.openxmlformats.org/officeDocument/2006/relationships/image" Target="media/image61.png"/><Relationship Id="rId109" Type="http://schemas.openxmlformats.org/officeDocument/2006/relationships/image" Target="media/image62.png"/><Relationship Id="rId110" Type="http://schemas.openxmlformats.org/officeDocument/2006/relationships/image" Target="media/image63.png"/><Relationship Id="rId111" Type="http://schemas.openxmlformats.org/officeDocument/2006/relationships/image" Target="media/image64.png"/><Relationship Id="rId112" Type="http://schemas.openxmlformats.org/officeDocument/2006/relationships/image" Target="media/image65.png"/><Relationship Id="rId113" Type="http://schemas.openxmlformats.org/officeDocument/2006/relationships/image" Target="media/image66.png"/><Relationship Id="rId114" Type="http://schemas.openxmlformats.org/officeDocument/2006/relationships/image" Target="media/image67.png"/><Relationship Id="rId115" Type="http://schemas.openxmlformats.org/officeDocument/2006/relationships/image" Target="media/image68.png"/><Relationship Id="rId116" Type="http://schemas.openxmlformats.org/officeDocument/2006/relationships/image" Target="media/image69.png"/><Relationship Id="rId117" Type="http://schemas.openxmlformats.org/officeDocument/2006/relationships/image" Target="media/image70.png"/><Relationship Id="rId118" Type="http://schemas.openxmlformats.org/officeDocument/2006/relationships/image" Target="media/image71.png"/><Relationship Id="rId119" Type="http://schemas.openxmlformats.org/officeDocument/2006/relationships/image" Target="media/image72.png"/><Relationship Id="rId120" Type="http://schemas.openxmlformats.org/officeDocument/2006/relationships/image" Target="media/image73.png"/><Relationship Id="rId121" Type="http://schemas.openxmlformats.org/officeDocument/2006/relationships/image" Target="media/image74.png"/><Relationship Id="rId122" Type="http://schemas.openxmlformats.org/officeDocument/2006/relationships/image" Target="media/image75.png"/><Relationship Id="rId123" Type="http://schemas.openxmlformats.org/officeDocument/2006/relationships/image" Target="media/image76.png"/><Relationship Id="rId124" Type="http://schemas.openxmlformats.org/officeDocument/2006/relationships/image" Target="media/image77.png"/><Relationship Id="rId125" Type="http://schemas.openxmlformats.org/officeDocument/2006/relationships/image" Target="media/image78.png"/><Relationship Id="rId126" Type="http://schemas.openxmlformats.org/officeDocument/2006/relationships/image" Target="media/image79.png"/><Relationship Id="rId127" Type="http://schemas.openxmlformats.org/officeDocument/2006/relationships/image" Target="media/image80.png"/><Relationship Id="rId128" Type="http://schemas.openxmlformats.org/officeDocument/2006/relationships/image" Target="media/image81.png"/><Relationship Id="rId129" Type="http://schemas.openxmlformats.org/officeDocument/2006/relationships/image" Target="media/image82.png"/><Relationship Id="rId130" Type="http://schemas.openxmlformats.org/officeDocument/2006/relationships/image" Target="media/image83.png"/><Relationship Id="rId131" Type="http://schemas.openxmlformats.org/officeDocument/2006/relationships/image" Target="media/image84.png"/><Relationship Id="rId132" Type="http://schemas.openxmlformats.org/officeDocument/2006/relationships/image" Target="media/image85.png"/><Relationship Id="rId133" Type="http://schemas.openxmlformats.org/officeDocument/2006/relationships/image" Target="media/image86.png"/><Relationship Id="rId134" Type="http://schemas.openxmlformats.org/officeDocument/2006/relationships/image" Target="media/image87.png"/><Relationship Id="rId135" Type="http://schemas.openxmlformats.org/officeDocument/2006/relationships/image" Target="media/image88.png"/><Relationship Id="rId136" Type="http://schemas.openxmlformats.org/officeDocument/2006/relationships/image" Target="media/image89.png"/><Relationship Id="rId137" Type="http://schemas.openxmlformats.org/officeDocument/2006/relationships/image" Target="media/image90.png"/><Relationship Id="rId138" Type="http://schemas.openxmlformats.org/officeDocument/2006/relationships/image" Target="media/image91.png"/><Relationship Id="rId139" Type="http://schemas.openxmlformats.org/officeDocument/2006/relationships/image" Target="media/image92.png"/><Relationship Id="rId140" Type="http://schemas.openxmlformats.org/officeDocument/2006/relationships/image" Target="media/image93.png"/><Relationship Id="rId141" Type="http://schemas.openxmlformats.org/officeDocument/2006/relationships/image" Target="media/image94.png"/><Relationship Id="rId142" Type="http://schemas.openxmlformats.org/officeDocument/2006/relationships/image" Target="media/image95.png"/><Relationship Id="rId143" Type="http://schemas.openxmlformats.org/officeDocument/2006/relationships/image" Target="media/image96.png"/><Relationship Id="rId144" Type="http://schemas.openxmlformats.org/officeDocument/2006/relationships/image" Target="media/image97.png"/><Relationship Id="rId145" Type="http://schemas.openxmlformats.org/officeDocument/2006/relationships/image" Target="media/image98.png"/><Relationship Id="rId146" Type="http://schemas.openxmlformats.org/officeDocument/2006/relationships/image" Target="media/image99.png"/><Relationship Id="rId147" Type="http://schemas.openxmlformats.org/officeDocument/2006/relationships/image" Target="media/image100.png"/><Relationship Id="rId148" Type="http://schemas.openxmlformats.org/officeDocument/2006/relationships/image" Target="media/image101.png"/><Relationship Id="rId149" Type="http://schemas.openxmlformats.org/officeDocument/2006/relationships/image" Target="media/image102.png"/><Relationship Id="rId150" Type="http://schemas.openxmlformats.org/officeDocument/2006/relationships/image" Target="media/image103.png"/><Relationship Id="rId151" Type="http://schemas.openxmlformats.org/officeDocument/2006/relationships/image" Target="media/image104.png"/><Relationship Id="rId152" Type="http://schemas.openxmlformats.org/officeDocument/2006/relationships/image" Target="media/image105.png"/><Relationship Id="rId153" Type="http://schemas.openxmlformats.org/officeDocument/2006/relationships/image" Target="media/image106.png"/><Relationship Id="rId154" Type="http://schemas.openxmlformats.org/officeDocument/2006/relationships/image" Target="media/image107.png"/><Relationship Id="rId155" Type="http://schemas.openxmlformats.org/officeDocument/2006/relationships/image" Target="media/image108.png"/><Relationship Id="rId156" Type="http://schemas.openxmlformats.org/officeDocument/2006/relationships/image" Target="media/image109.png"/><Relationship Id="rId157" Type="http://schemas.openxmlformats.org/officeDocument/2006/relationships/image" Target="media/image110.png"/><Relationship Id="rId158" Type="http://schemas.openxmlformats.org/officeDocument/2006/relationships/image" Target="media/image111.png"/><Relationship Id="rId159" Type="http://schemas.openxmlformats.org/officeDocument/2006/relationships/image" Target="media/image112.png"/><Relationship Id="rId160" Type="http://schemas.openxmlformats.org/officeDocument/2006/relationships/image" Target="media/image113.png"/><Relationship Id="rId161" Type="http://schemas.openxmlformats.org/officeDocument/2006/relationships/image" Target="media/image114.png"/><Relationship Id="rId162" Type="http://schemas.openxmlformats.org/officeDocument/2006/relationships/image" Target="media/image115.png"/><Relationship Id="rId163" Type="http://schemas.openxmlformats.org/officeDocument/2006/relationships/image" Target="media/image116.png"/><Relationship Id="rId164" Type="http://schemas.openxmlformats.org/officeDocument/2006/relationships/image" Target="media/image117.png"/><Relationship Id="rId165" Type="http://schemas.openxmlformats.org/officeDocument/2006/relationships/image" Target="media/image118.png"/><Relationship Id="rId166" Type="http://schemas.openxmlformats.org/officeDocument/2006/relationships/image" Target="media/image119.png"/><Relationship Id="rId167" Type="http://schemas.openxmlformats.org/officeDocument/2006/relationships/image" Target="media/image120.png"/><Relationship Id="rId168" Type="http://schemas.openxmlformats.org/officeDocument/2006/relationships/image" Target="media/image121.png"/><Relationship Id="rId169" Type="http://schemas.openxmlformats.org/officeDocument/2006/relationships/image" Target="media/image122.png"/><Relationship Id="rId170" Type="http://schemas.openxmlformats.org/officeDocument/2006/relationships/image" Target="media/image123.png"/><Relationship Id="rId171" Type="http://schemas.openxmlformats.org/officeDocument/2006/relationships/image" Target="media/image124.png"/><Relationship Id="rId172" Type="http://schemas.openxmlformats.org/officeDocument/2006/relationships/image" Target="media/image125.png"/><Relationship Id="rId173" Type="http://schemas.openxmlformats.org/officeDocument/2006/relationships/image" Target="media/image126.png"/><Relationship Id="rId174" Type="http://schemas.openxmlformats.org/officeDocument/2006/relationships/image" Target="media/image127.png"/><Relationship Id="rId175" Type="http://schemas.openxmlformats.org/officeDocument/2006/relationships/image" Target="media/image128.png"/><Relationship Id="rId176" Type="http://schemas.openxmlformats.org/officeDocument/2006/relationships/image" Target="media/image129.png"/><Relationship Id="rId177" Type="http://schemas.openxmlformats.org/officeDocument/2006/relationships/image" Target="media/image130.png"/><Relationship Id="rId178" Type="http://schemas.openxmlformats.org/officeDocument/2006/relationships/image" Target="media/image131.png"/><Relationship Id="rId179" Type="http://schemas.openxmlformats.org/officeDocument/2006/relationships/image" Target="media/image132.png"/><Relationship Id="rId180" Type="http://schemas.openxmlformats.org/officeDocument/2006/relationships/image" Target="media/image133.png"/><Relationship Id="rId181" Type="http://schemas.openxmlformats.org/officeDocument/2006/relationships/image" Target="media/image134.png"/><Relationship Id="rId182" Type="http://schemas.openxmlformats.org/officeDocument/2006/relationships/image" Target="media/image135.png"/><Relationship Id="rId183" Type="http://schemas.openxmlformats.org/officeDocument/2006/relationships/image" Target="media/image136.png"/><Relationship Id="rId184" Type="http://schemas.openxmlformats.org/officeDocument/2006/relationships/image" Target="media/image137.png"/><Relationship Id="rId185" Type="http://schemas.openxmlformats.org/officeDocument/2006/relationships/image" Target="media/image138.png"/><Relationship Id="rId186" Type="http://schemas.openxmlformats.org/officeDocument/2006/relationships/image" Target="media/image139.png"/><Relationship Id="rId187" Type="http://schemas.openxmlformats.org/officeDocument/2006/relationships/image" Target="media/image140.png"/><Relationship Id="rId188" Type="http://schemas.openxmlformats.org/officeDocument/2006/relationships/image" Target="media/image141.png"/><Relationship Id="rId189" Type="http://schemas.openxmlformats.org/officeDocument/2006/relationships/image" Target="media/image142.png"/><Relationship Id="rId190" Type="http://schemas.openxmlformats.org/officeDocument/2006/relationships/image" Target="media/image143.png"/><Relationship Id="rId191" Type="http://schemas.openxmlformats.org/officeDocument/2006/relationships/image" Target="media/image144.png"/><Relationship Id="rId192" Type="http://schemas.openxmlformats.org/officeDocument/2006/relationships/image" Target="media/image145.png"/><Relationship Id="rId193" Type="http://schemas.openxmlformats.org/officeDocument/2006/relationships/image" Target="media/image146.png"/><Relationship Id="rId194" Type="http://schemas.openxmlformats.org/officeDocument/2006/relationships/footer" Target="footer25.xml"/><Relationship Id="rId195" Type="http://schemas.openxmlformats.org/officeDocument/2006/relationships/image" Target="media/image147.png"/><Relationship Id="rId196" Type="http://schemas.openxmlformats.org/officeDocument/2006/relationships/image" Target="media/image148.png"/><Relationship Id="rId197" Type="http://schemas.openxmlformats.org/officeDocument/2006/relationships/image" Target="media/image149.png"/><Relationship Id="rId198" Type="http://schemas.openxmlformats.org/officeDocument/2006/relationships/image" Target="media/image150.png"/><Relationship Id="rId199" Type="http://schemas.openxmlformats.org/officeDocument/2006/relationships/image" Target="media/image151.png"/><Relationship Id="rId200" Type="http://schemas.openxmlformats.org/officeDocument/2006/relationships/image" Target="media/image152.png"/><Relationship Id="rId201" Type="http://schemas.openxmlformats.org/officeDocument/2006/relationships/image" Target="media/image153.png"/><Relationship Id="rId202" Type="http://schemas.openxmlformats.org/officeDocument/2006/relationships/image" Target="media/image154.png"/><Relationship Id="rId203" Type="http://schemas.openxmlformats.org/officeDocument/2006/relationships/image" Target="media/image155.png"/><Relationship Id="rId204" Type="http://schemas.openxmlformats.org/officeDocument/2006/relationships/image" Target="media/image156.png"/><Relationship Id="rId205" Type="http://schemas.openxmlformats.org/officeDocument/2006/relationships/image" Target="media/image157.png"/><Relationship Id="rId206" Type="http://schemas.openxmlformats.org/officeDocument/2006/relationships/image" Target="media/image158.png"/><Relationship Id="rId207" Type="http://schemas.openxmlformats.org/officeDocument/2006/relationships/image" Target="media/image159.png"/><Relationship Id="rId208" Type="http://schemas.openxmlformats.org/officeDocument/2006/relationships/image" Target="media/image160.png"/><Relationship Id="rId209" Type="http://schemas.openxmlformats.org/officeDocument/2006/relationships/image" Target="media/image161.png"/><Relationship Id="rId210" Type="http://schemas.openxmlformats.org/officeDocument/2006/relationships/image" Target="media/image162.png"/><Relationship Id="rId211" Type="http://schemas.openxmlformats.org/officeDocument/2006/relationships/image" Target="media/image163.png"/><Relationship Id="rId212" Type="http://schemas.openxmlformats.org/officeDocument/2006/relationships/image" Target="media/image164.png"/><Relationship Id="rId213" Type="http://schemas.openxmlformats.org/officeDocument/2006/relationships/image" Target="media/image165.png"/><Relationship Id="rId214" Type="http://schemas.openxmlformats.org/officeDocument/2006/relationships/image" Target="media/image166.png"/><Relationship Id="rId215" Type="http://schemas.openxmlformats.org/officeDocument/2006/relationships/image" Target="media/image167.png"/><Relationship Id="rId216" Type="http://schemas.openxmlformats.org/officeDocument/2006/relationships/image" Target="media/image168.png"/><Relationship Id="rId217" Type="http://schemas.openxmlformats.org/officeDocument/2006/relationships/image" Target="media/image169.png"/><Relationship Id="rId218" Type="http://schemas.openxmlformats.org/officeDocument/2006/relationships/image" Target="media/image170.png"/><Relationship Id="rId219" Type="http://schemas.openxmlformats.org/officeDocument/2006/relationships/image" Target="media/image171.png"/><Relationship Id="rId220" Type="http://schemas.openxmlformats.org/officeDocument/2006/relationships/image" Target="media/image172.png"/><Relationship Id="rId221" Type="http://schemas.openxmlformats.org/officeDocument/2006/relationships/image" Target="media/image173.png"/><Relationship Id="rId222" Type="http://schemas.openxmlformats.org/officeDocument/2006/relationships/image" Target="media/image174.png"/><Relationship Id="rId223" Type="http://schemas.openxmlformats.org/officeDocument/2006/relationships/image" Target="media/image175.png"/><Relationship Id="rId224" Type="http://schemas.openxmlformats.org/officeDocument/2006/relationships/image" Target="media/image176.png"/><Relationship Id="rId225" Type="http://schemas.openxmlformats.org/officeDocument/2006/relationships/image" Target="media/image177.png"/><Relationship Id="rId226" Type="http://schemas.openxmlformats.org/officeDocument/2006/relationships/image" Target="media/image178.png"/><Relationship Id="rId227" Type="http://schemas.openxmlformats.org/officeDocument/2006/relationships/image" Target="media/image179.png"/><Relationship Id="rId228" Type="http://schemas.openxmlformats.org/officeDocument/2006/relationships/image" Target="media/image180.png"/><Relationship Id="rId229" Type="http://schemas.openxmlformats.org/officeDocument/2006/relationships/image" Target="media/image181.png"/><Relationship Id="rId230" Type="http://schemas.openxmlformats.org/officeDocument/2006/relationships/image" Target="media/image182.png"/><Relationship Id="rId231" Type="http://schemas.openxmlformats.org/officeDocument/2006/relationships/image" Target="media/image183.png"/><Relationship Id="rId232" Type="http://schemas.openxmlformats.org/officeDocument/2006/relationships/image" Target="media/image184.png"/><Relationship Id="rId233" Type="http://schemas.openxmlformats.org/officeDocument/2006/relationships/image" Target="media/image185.png"/><Relationship Id="rId234" Type="http://schemas.openxmlformats.org/officeDocument/2006/relationships/image" Target="media/image186.png"/><Relationship Id="rId235" Type="http://schemas.openxmlformats.org/officeDocument/2006/relationships/image" Target="media/image187.png"/><Relationship Id="rId236" Type="http://schemas.openxmlformats.org/officeDocument/2006/relationships/image" Target="media/image188.png"/><Relationship Id="rId237" Type="http://schemas.openxmlformats.org/officeDocument/2006/relationships/image" Target="media/image189.png"/><Relationship Id="rId238" Type="http://schemas.openxmlformats.org/officeDocument/2006/relationships/image" Target="media/image190.png"/><Relationship Id="rId239" Type="http://schemas.openxmlformats.org/officeDocument/2006/relationships/image" Target="media/image191.png"/><Relationship Id="rId240" Type="http://schemas.openxmlformats.org/officeDocument/2006/relationships/image" Target="media/image192.png"/><Relationship Id="rId241" Type="http://schemas.openxmlformats.org/officeDocument/2006/relationships/image" Target="media/image193.png"/><Relationship Id="rId242" Type="http://schemas.openxmlformats.org/officeDocument/2006/relationships/image" Target="media/image194.png"/><Relationship Id="rId243" Type="http://schemas.openxmlformats.org/officeDocument/2006/relationships/image" Target="media/image195.png"/><Relationship Id="rId244" Type="http://schemas.openxmlformats.org/officeDocument/2006/relationships/image" Target="media/image196.png"/><Relationship Id="rId245" Type="http://schemas.openxmlformats.org/officeDocument/2006/relationships/image" Target="media/image197.png"/><Relationship Id="rId246" Type="http://schemas.openxmlformats.org/officeDocument/2006/relationships/image" Target="media/image198.png"/><Relationship Id="rId247" Type="http://schemas.openxmlformats.org/officeDocument/2006/relationships/image" Target="media/image199.png"/><Relationship Id="rId248" Type="http://schemas.openxmlformats.org/officeDocument/2006/relationships/image" Target="media/image200.png"/><Relationship Id="rId249" Type="http://schemas.openxmlformats.org/officeDocument/2006/relationships/image" Target="media/image201.png"/><Relationship Id="rId250" Type="http://schemas.openxmlformats.org/officeDocument/2006/relationships/image" Target="media/image202.png"/><Relationship Id="rId251" Type="http://schemas.openxmlformats.org/officeDocument/2006/relationships/image" Target="media/image203.png"/><Relationship Id="rId252" Type="http://schemas.openxmlformats.org/officeDocument/2006/relationships/image" Target="media/image204.png"/><Relationship Id="rId253" Type="http://schemas.openxmlformats.org/officeDocument/2006/relationships/image" Target="media/image205.png"/><Relationship Id="rId254" Type="http://schemas.openxmlformats.org/officeDocument/2006/relationships/image" Target="media/image206.png"/><Relationship Id="rId255" Type="http://schemas.openxmlformats.org/officeDocument/2006/relationships/image" Target="media/image207.png"/><Relationship Id="rId256" Type="http://schemas.openxmlformats.org/officeDocument/2006/relationships/image" Target="media/image208.png"/><Relationship Id="rId257" Type="http://schemas.openxmlformats.org/officeDocument/2006/relationships/image" Target="media/image209.png"/><Relationship Id="rId258" Type="http://schemas.openxmlformats.org/officeDocument/2006/relationships/image" Target="media/image210.png"/><Relationship Id="rId259" Type="http://schemas.openxmlformats.org/officeDocument/2006/relationships/image" Target="media/image211.png"/><Relationship Id="rId260" Type="http://schemas.openxmlformats.org/officeDocument/2006/relationships/image" Target="media/image212.png"/><Relationship Id="rId261" Type="http://schemas.openxmlformats.org/officeDocument/2006/relationships/image" Target="media/image213.png"/><Relationship Id="rId262" Type="http://schemas.openxmlformats.org/officeDocument/2006/relationships/image" Target="media/image214.png"/><Relationship Id="rId263" Type="http://schemas.openxmlformats.org/officeDocument/2006/relationships/image" Target="media/image215.png"/><Relationship Id="rId264" Type="http://schemas.openxmlformats.org/officeDocument/2006/relationships/image" Target="media/image216.png"/><Relationship Id="rId265" Type="http://schemas.openxmlformats.org/officeDocument/2006/relationships/image" Target="media/image217.png"/><Relationship Id="rId266" Type="http://schemas.openxmlformats.org/officeDocument/2006/relationships/image" Target="media/image218.png"/><Relationship Id="rId267" Type="http://schemas.openxmlformats.org/officeDocument/2006/relationships/image" Target="media/image219.png"/><Relationship Id="rId268" Type="http://schemas.openxmlformats.org/officeDocument/2006/relationships/image" Target="media/image220.png"/><Relationship Id="rId269" Type="http://schemas.openxmlformats.org/officeDocument/2006/relationships/image" Target="media/image221.png"/><Relationship Id="rId270" Type="http://schemas.openxmlformats.org/officeDocument/2006/relationships/image" Target="media/image222.png"/><Relationship Id="rId271" Type="http://schemas.openxmlformats.org/officeDocument/2006/relationships/image" Target="media/image223.png"/><Relationship Id="rId272" Type="http://schemas.openxmlformats.org/officeDocument/2006/relationships/image" Target="media/image224.png"/><Relationship Id="rId273" Type="http://schemas.openxmlformats.org/officeDocument/2006/relationships/image" Target="media/image225.png"/><Relationship Id="rId274" Type="http://schemas.openxmlformats.org/officeDocument/2006/relationships/image" Target="media/image226.png"/><Relationship Id="rId275" Type="http://schemas.openxmlformats.org/officeDocument/2006/relationships/image" Target="media/image227.png"/><Relationship Id="rId276" Type="http://schemas.openxmlformats.org/officeDocument/2006/relationships/image" Target="media/image228.png"/><Relationship Id="rId277" Type="http://schemas.openxmlformats.org/officeDocument/2006/relationships/image" Target="media/image229.png"/><Relationship Id="rId278" Type="http://schemas.openxmlformats.org/officeDocument/2006/relationships/image" Target="media/image230.png"/><Relationship Id="rId279" Type="http://schemas.openxmlformats.org/officeDocument/2006/relationships/image" Target="media/image231.png"/><Relationship Id="rId280" Type="http://schemas.openxmlformats.org/officeDocument/2006/relationships/image" Target="media/image232.png"/><Relationship Id="rId281" Type="http://schemas.openxmlformats.org/officeDocument/2006/relationships/image" Target="media/image233.png"/><Relationship Id="rId282" Type="http://schemas.openxmlformats.org/officeDocument/2006/relationships/image" Target="media/image234.png"/><Relationship Id="rId283" Type="http://schemas.openxmlformats.org/officeDocument/2006/relationships/image" Target="media/image235.png"/><Relationship Id="rId284" Type="http://schemas.openxmlformats.org/officeDocument/2006/relationships/image" Target="media/image236.png"/><Relationship Id="rId285" Type="http://schemas.openxmlformats.org/officeDocument/2006/relationships/image" Target="media/image237.png"/><Relationship Id="rId286" Type="http://schemas.openxmlformats.org/officeDocument/2006/relationships/image" Target="media/image238.png"/><Relationship Id="rId287" Type="http://schemas.openxmlformats.org/officeDocument/2006/relationships/image" Target="media/image239.png"/><Relationship Id="rId288" Type="http://schemas.openxmlformats.org/officeDocument/2006/relationships/image" Target="media/image240.png"/><Relationship Id="rId289" Type="http://schemas.openxmlformats.org/officeDocument/2006/relationships/image" Target="media/image241.png"/><Relationship Id="rId290" Type="http://schemas.openxmlformats.org/officeDocument/2006/relationships/image" Target="media/image242.png"/><Relationship Id="rId291" Type="http://schemas.openxmlformats.org/officeDocument/2006/relationships/image" Target="media/image243.png"/><Relationship Id="rId292" Type="http://schemas.openxmlformats.org/officeDocument/2006/relationships/image" Target="media/image244.png"/><Relationship Id="rId293" Type="http://schemas.openxmlformats.org/officeDocument/2006/relationships/image" Target="media/image245.png"/><Relationship Id="rId294" Type="http://schemas.openxmlformats.org/officeDocument/2006/relationships/image" Target="media/image246.png"/><Relationship Id="rId295" Type="http://schemas.openxmlformats.org/officeDocument/2006/relationships/image" Target="media/image247.png"/><Relationship Id="rId296" Type="http://schemas.openxmlformats.org/officeDocument/2006/relationships/image" Target="media/image248.png"/><Relationship Id="rId297" Type="http://schemas.openxmlformats.org/officeDocument/2006/relationships/image" Target="media/image249.png"/><Relationship Id="rId298" Type="http://schemas.openxmlformats.org/officeDocument/2006/relationships/image" Target="media/image250.png"/><Relationship Id="rId299" Type="http://schemas.openxmlformats.org/officeDocument/2006/relationships/image" Target="media/image251.png"/><Relationship Id="rId300" Type="http://schemas.openxmlformats.org/officeDocument/2006/relationships/image" Target="media/image252.png"/><Relationship Id="rId301" Type="http://schemas.openxmlformats.org/officeDocument/2006/relationships/image" Target="media/image253.png"/><Relationship Id="rId302" Type="http://schemas.openxmlformats.org/officeDocument/2006/relationships/image" Target="media/image254.png"/><Relationship Id="rId303" Type="http://schemas.openxmlformats.org/officeDocument/2006/relationships/image" Target="media/image255.png"/><Relationship Id="rId304" Type="http://schemas.openxmlformats.org/officeDocument/2006/relationships/image" Target="media/image256.png"/><Relationship Id="rId305" Type="http://schemas.openxmlformats.org/officeDocument/2006/relationships/image" Target="media/image257.png"/><Relationship Id="rId306" Type="http://schemas.openxmlformats.org/officeDocument/2006/relationships/image" Target="media/image258.png"/><Relationship Id="rId307" Type="http://schemas.openxmlformats.org/officeDocument/2006/relationships/image" Target="media/image259.png"/><Relationship Id="rId308" Type="http://schemas.openxmlformats.org/officeDocument/2006/relationships/image" Target="media/image260.png"/><Relationship Id="rId309" Type="http://schemas.openxmlformats.org/officeDocument/2006/relationships/image" Target="media/image261.png"/><Relationship Id="rId310" Type="http://schemas.openxmlformats.org/officeDocument/2006/relationships/image" Target="media/image262.png"/><Relationship Id="rId311" Type="http://schemas.openxmlformats.org/officeDocument/2006/relationships/image" Target="media/image263.png"/><Relationship Id="rId312" Type="http://schemas.openxmlformats.org/officeDocument/2006/relationships/image" Target="media/image264.png"/><Relationship Id="rId313" Type="http://schemas.openxmlformats.org/officeDocument/2006/relationships/image" Target="media/image265.png"/><Relationship Id="rId314" Type="http://schemas.openxmlformats.org/officeDocument/2006/relationships/image" Target="media/image266.png"/><Relationship Id="rId315" Type="http://schemas.openxmlformats.org/officeDocument/2006/relationships/image" Target="media/image267.png"/><Relationship Id="rId316" Type="http://schemas.openxmlformats.org/officeDocument/2006/relationships/image" Target="media/image268.png"/><Relationship Id="rId317" Type="http://schemas.openxmlformats.org/officeDocument/2006/relationships/image" Target="media/image269.png"/><Relationship Id="rId318" Type="http://schemas.openxmlformats.org/officeDocument/2006/relationships/image" Target="media/image270.png"/><Relationship Id="rId319" Type="http://schemas.openxmlformats.org/officeDocument/2006/relationships/image" Target="media/image271.png"/><Relationship Id="rId320" Type="http://schemas.openxmlformats.org/officeDocument/2006/relationships/image" Target="media/image272.png"/><Relationship Id="rId321" Type="http://schemas.openxmlformats.org/officeDocument/2006/relationships/image" Target="media/image273.png"/><Relationship Id="rId322" Type="http://schemas.openxmlformats.org/officeDocument/2006/relationships/image" Target="media/image274.png"/><Relationship Id="rId323" Type="http://schemas.openxmlformats.org/officeDocument/2006/relationships/image" Target="media/image275.png"/><Relationship Id="rId324" Type="http://schemas.openxmlformats.org/officeDocument/2006/relationships/image" Target="media/image276.png"/><Relationship Id="rId325" Type="http://schemas.openxmlformats.org/officeDocument/2006/relationships/image" Target="media/image277.png"/><Relationship Id="rId326" Type="http://schemas.openxmlformats.org/officeDocument/2006/relationships/image" Target="media/image278.png"/><Relationship Id="rId327" Type="http://schemas.openxmlformats.org/officeDocument/2006/relationships/image" Target="media/image279.png"/><Relationship Id="rId328" Type="http://schemas.openxmlformats.org/officeDocument/2006/relationships/image" Target="media/image280.png"/><Relationship Id="rId329" Type="http://schemas.openxmlformats.org/officeDocument/2006/relationships/image" Target="media/image281.png"/><Relationship Id="rId330" Type="http://schemas.openxmlformats.org/officeDocument/2006/relationships/image" Target="media/image282.png"/><Relationship Id="rId331" Type="http://schemas.openxmlformats.org/officeDocument/2006/relationships/image" Target="media/image283.png"/><Relationship Id="rId332" Type="http://schemas.openxmlformats.org/officeDocument/2006/relationships/image" Target="media/image284.png"/><Relationship Id="rId333" Type="http://schemas.openxmlformats.org/officeDocument/2006/relationships/image" Target="media/image285.png"/><Relationship Id="rId334" Type="http://schemas.openxmlformats.org/officeDocument/2006/relationships/image" Target="media/image286.png"/><Relationship Id="rId335" Type="http://schemas.openxmlformats.org/officeDocument/2006/relationships/image" Target="media/image287.png"/><Relationship Id="rId336" Type="http://schemas.openxmlformats.org/officeDocument/2006/relationships/image" Target="media/image288.png"/><Relationship Id="rId337" Type="http://schemas.openxmlformats.org/officeDocument/2006/relationships/image" Target="media/image289.png"/><Relationship Id="rId338" Type="http://schemas.openxmlformats.org/officeDocument/2006/relationships/image" Target="media/image290.png"/><Relationship Id="rId339" Type="http://schemas.openxmlformats.org/officeDocument/2006/relationships/image" Target="media/image291.png"/><Relationship Id="rId340" Type="http://schemas.openxmlformats.org/officeDocument/2006/relationships/image" Target="media/image292.png"/><Relationship Id="rId341" Type="http://schemas.openxmlformats.org/officeDocument/2006/relationships/image" Target="media/image293.png"/><Relationship Id="rId342" Type="http://schemas.openxmlformats.org/officeDocument/2006/relationships/image" Target="media/image294.png"/><Relationship Id="rId343" Type="http://schemas.openxmlformats.org/officeDocument/2006/relationships/image" Target="media/image295.png"/><Relationship Id="rId344" Type="http://schemas.openxmlformats.org/officeDocument/2006/relationships/image" Target="media/image296.png"/><Relationship Id="rId345" Type="http://schemas.openxmlformats.org/officeDocument/2006/relationships/image" Target="media/image297.png"/><Relationship Id="rId346" Type="http://schemas.openxmlformats.org/officeDocument/2006/relationships/image" Target="media/image298.png"/><Relationship Id="rId347" Type="http://schemas.openxmlformats.org/officeDocument/2006/relationships/image" Target="media/image299.png"/><Relationship Id="rId348" Type="http://schemas.openxmlformats.org/officeDocument/2006/relationships/image" Target="media/image300.png"/><Relationship Id="rId349" Type="http://schemas.openxmlformats.org/officeDocument/2006/relationships/image" Target="media/image301.png"/><Relationship Id="rId350" Type="http://schemas.openxmlformats.org/officeDocument/2006/relationships/image" Target="media/image302.png"/><Relationship Id="rId351" Type="http://schemas.openxmlformats.org/officeDocument/2006/relationships/image" Target="media/image303.png"/><Relationship Id="rId352" Type="http://schemas.openxmlformats.org/officeDocument/2006/relationships/image" Target="media/image304.png"/><Relationship Id="rId353" Type="http://schemas.openxmlformats.org/officeDocument/2006/relationships/image" Target="media/image305.png"/><Relationship Id="rId354" Type="http://schemas.openxmlformats.org/officeDocument/2006/relationships/image" Target="media/image306.png"/><Relationship Id="rId355" Type="http://schemas.openxmlformats.org/officeDocument/2006/relationships/image" Target="media/image307.png"/><Relationship Id="rId356" Type="http://schemas.openxmlformats.org/officeDocument/2006/relationships/image" Target="media/image308.png"/><Relationship Id="rId357" Type="http://schemas.openxmlformats.org/officeDocument/2006/relationships/image" Target="media/image309.png"/><Relationship Id="rId358" Type="http://schemas.openxmlformats.org/officeDocument/2006/relationships/image" Target="media/image310.png"/><Relationship Id="rId359" Type="http://schemas.openxmlformats.org/officeDocument/2006/relationships/image" Target="media/image311.png"/><Relationship Id="rId360" Type="http://schemas.openxmlformats.org/officeDocument/2006/relationships/image" Target="media/image312.png"/><Relationship Id="rId361" Type="http://schemas.openxmlformats.org/officeDocument/2006/relationships/image" Target="media/image313.png"/><Relationship Id="rId362" Type="http://schemas.openxmlformats.org/officeDocument/2006/relationships/image" Target="media/image314.png"/><Relationship Id="rId363" Type="http://schemas.openxmlformats.org/officeDocument/2006/relationships/image" Target="media/image315.png"/><Relationship Id="rId364" Type="http://schemas.openxmlformats.org/officeDocument/2006/relationships/image" Target="media/image316.png"/><Relationship Id="rId365" Type="http://schemas.openxmlformats.org/officeDocument/2006/relationships/image" Target="media/image317.png"/><Relationship Id="rId366" Type="http://schemas.openxmlformats.org/officeDocument/2006/relationships/image" Target="media/image318.png"/><Relationship Id="rId367" Type="http://schemas.openxmlformats.org/officeDocument/2006/relationships/image" Target="media/image319.png"/><Relationship Id="rId368" Type="http://schemas.openxmlformats.org/officeDocument/2006/relationships/image" Target="media/image320.png"/><Relationship Id="rId369" Type="http://schemas.openxmlformats.org/officeDocument/2006/relationships/image" Target="media/image321.png"/><Relationship Id="rId370" Type="http://schemas.openxmlformats.org/officeDocument/2006/relationships/image" Target="media/image322.png"/><Relationship Id="rId371" Type="http://schemas.openxmlformats.org/officeDocument/2006/relationships/image" Target="media/image323.png"/><Relationship Id="rId372" Type="http://schemas.openxmlformats.org/officeDocument/2006/relationships/image" Target="media/image324.png"/><Relationship Id="rId373" Type="http://schemas.openxmlformats.org/officeDocument/2006/relationships/image" Target="media/image325.png"/><Relationship Id="rId374" Type="http://schemas.openxmlformats.org/officeDocument/2006/relationships/image" Target="media/image326.png"/><Relationship Id="rId375" Type="http://schemas.openxmlformats.org/officeDocument/2006/relationships/image" Target="media/image327.png"/><Relationship Id="rId376" Type="http://schemas.openxmlformats.org/officeDocument/2006/relationships/image" Target="media/image328.png"/><Relationship Id="rId377" Type="http://schemas.openxmlformats.org/officeDocument/2006/relationships/image" Target="media/image329.png"/><Relationship Id="rId378" Type="http://schemas.openxmlformats.org/officeDocument/2006/relationships/image" Target="media/image330.png"/><Relationship Id="rId379" Type="http://schemas.openxmlformats.org/officeDocument/2006/relationships/image" Target="media/image331.png"/><Relationship Id="rId380" Type="http://schemas.openxmlformats.org/officeDocument/2006/relationships/image" Target="media/image332.png"/><Relationship Id="rId381" Type="http://schemas.openxmlformats.org/officeDocument/2006/relationships/image" Target="media/image333.png"/><Relationship Id="rId382" Type="http://schemas.openxmlformats.org/officeDocument/2006/relationships/image" Target="media/image334.png"/><Relationship Id="rId383" Type="http://schemas.openxmlformats.org/officeDocument/2006/relationships/image" Target="media/image335.png"/><Relationship Id="rId384" Type="http://schemas.openxmlformats.org/officeDocument/2006/relationships/image" Target="media/image336.png"/><Relationship Id="rId385" Type="http://schemas.openxmlformats.org/officeDocument/2006/relationships/image" Target="media/image337.png"/><Relationship Id="rId386" Type="http://schemas.openxmlformats.org/officeDocument/2006/relationships/image" Target="media/image338.png"/><Relationship Id="rId387" Type="http://schemas.openxmlformats.org/officeDocument/2006/relationships/image" Target="media/image339.png"/><Relationship Id="rId388" Type="http://schemas.openxmlformats.org/officeDocument/2006/relationships/image" Target="media/image340.png"/><Relationship Id="rId389" Type="http://schemas.openxmlformats.org/officeDocument/2006/relationships/image" Target="media/image341.png"/><Relationship Id="rId390" Type="http://schemas.openxmlformats.org/officeDocument/2006/relationships/image" Target="media/image342.png"/><Relationship Id="rId391" Type="http://schemas.openxmlformats.org/officeDocument/2006/relationships/image" Target="media/image343.png"/><Relationship Id="rId392" Type="http://schemas.openxmlformats.org/officeDocument/2006/relationships/image" Target="media/image344.png"/><Relationship Id="rId393" Type="http://schemas.openxmlformats.org/officeDocument/2006/relationships/image" Target="media/image345.png"/><Relationship Id="rId394" Type="http://schemas.openxmlformats.org/officeDocument/2006/relationships/image" Target="media/image346.png"/><Relationship Id="rId395" Type="http://schemas.openxmlformats.org/officeDocument/2006/relationships/image" Target="media/image347.png"/><Relationship Id="rId396" Type="http://schemas.openxmlformats.org/officeDocument/2006/relationships/image" Target="media/image348.png"/><Relationship Id="rId397" Type="http://schemas.openxmlformats.org/officeDocument/2006/relationships/image" Target="media/image349.png"/><Relationship Id="rId398" Type="http://schemas.openxmlformats.org/officeDocument/2006/relationships/image" Target="media/image350.png"/><Relationship Id="rId399" Type="http://schemas.openxmlformats.org/officeDocument/2006/relationships/image" Target="media/image351.png"/><Relationship Id="rId400" Type="http://schemas.openxmlformats.org/officeDocument/2006/relationships/image" Target="media/image352.png"/><Relationship Id="rId401" Type="http://schemas.openxmlformats.org/officeDocument/2006/relationships/image" Target="media/image353.png"/><Relationship Id="rId402" Type="http://schemas.openxmlformats.org/officeDocument/2006/relationships/image" Target="media/image354.png"/><Relationship Id="rId403" Type="http://schemas.openxmlformats.org/officeDocument/2006/relationships/image" Target="media/image355.png"/><Relationship Id="rId404" Type="http://schemas.openxmlformats.org/officeDocument/2006/relationships/image" Target="media/image356.png"/><Relationship Id="rId405" Type="http://schemas.openxmlformats.org/officeDocument/2006/relationships/footer" Target="footer26.xml"/><Relationship Id="rId406" Type="http://schemas.openxmlformats.org/officeDocument/2006/relationships/footer" Target="footer27.xml"/><Relationship Id="rId407" Type="http://schemas.openxmlformats.org/officeDocument/2006/relationships/image" Target="media/image357.png"/><Relationship Id="rId408" Type="http://schemas.openxmlformats.org/officeDocument/2006/relationships/image" Target="media/image358.png"/><Relationship Id="rId409" Type="http://schemas.openxmlformats.org/officeDocument/2006/relationships/image" Target="media/image359.png"/><Relationship Id="rId410" Type="http://schemas.openxmlformats.org/officeDocument/2006/relationships/image" Target="media/image360.png"/><Relationship Id="rId411" Type="http://schemas.openxmlformats.org/officeDocument/2006/relationships/image" Target="media/image361.png"/><Relationship Id="rId412" Type="http://schemas.openxmlformats.org/officeDocument/2006/relationships/image" Target="media/image362.png"/><Relationship Id="rId413" Type="http://schemas.openxmlformats.org/officeDocument/2006/relationships/image" Target="media/image363.png"/><Relationship Id="rId414" Type="http://schemas.openxmlformats.org/officeDocument/2006/relationships/image" Target="media/image364.png"/><Relationship Id="rId415" Type="http://schemas.openxmlformats.org/officeDocument/2006/relationships/image" Target="media/image365.png"/><Relationship Id="rId416" Type="http://schemas.openxmlformats.org/officeDocument/2006/relationships/image" Target="media/image366.png"/><Relationship Id="rId417" Type="http://schemas.openxmlformats.org/officeDocument/2006/relationships/image" Target="media/image367.png"/><Relationship Id="rId418" Type="http://schemas.openxmlformats.org/officeDocument/2006/relationships/image" Target="media/image368.png"/><Relationship Id="rId419" Type="http://schemas.openxmlformats.org/officeDocument/2006/relationships/image" Target="media/image369.png"/><Relationship Id="rId420" Type="http://schemas.openxmlformats.org/officeDocument/2006/relationships/image" Target="media/image370.png"/><Relationship Id="rId421" Type="http://schemas.openxmlformats.org/officeDocument/2006/relationships/image" Target="media/image371.png"/><Relationship Id="rId422" Type="http://schemas.openxmlformats.org/officeDocument/2006/relationships/image" Target="media/image372.png"/><Relationship Id="rId423" Type="http://schemas.openxmlformats.org/officeDocument/2006/relationships/image" Target="media/image373.png"/><Relationship Id="rId424" Type="http://schemas.openxmlformats.org/officeDocument/2006/relationships/image" Target="media/image374.png"/><Relationship Id="rId425" Type="http://schemas.openxmlformats.org/officeDocument/2006/relationships/image" Target="media/image375.png"/><Relationship Id="rId426" Type="http://schemas.openxmlformats.org/officeDocument/2006/relationships/image" Target="media/image376.png"/><Relationship Id="rId427" Type="http://schemas.openxmlformats.org/officeDocument/2006/relationships/image" Target="media/image377.png"/><Relationship Id="rId428" Type="http://schemas.openxmlformats.org/officeDocument/2006/relationships/image" Target="media/image378.png"/><Relationship Id="rId429" Type="http://schemas.openxmlformats.org/officeDocument/2006/relationships/image" Target="media/image379.png"/><Relationship Id="rId430" Type="http://schemas.openxmlformats.org/officeDocument/2006/relationships/image" Target="media/image380.png"/><Relationship Id="rId431" Type="http://schemas.openxmlformats.org/officeDocument/2006/relationships/image" Target="media/image381.png"/><Relationship Id="rId432" Type="http://schemas.openxmlformats.org/officeDocument/2006/relationships/image" Target="media/image382.png"/><Relationship Id="rId433" Type="http://schemas.openxmlformats.org/officeDocument/2006/relationships/image" Target="media/image383.png"/><Relationship Id="rId434" Type="http://schemas.openxmlformats.org/officeDocument/2006/relationships/image" Target="media/image384.png"/><Relationship Id="rId435" Type="http://schemas.openxmlformats.org/officeDocument/2006/relationships/image" Target="media/image385.png"/><Relationship Id="rId436" Type="http://schemas.openxmlformats.org/officeDocument/2006/relationships/image" Target="media/image386.png"/><Relationship Id="rId437" Type="http://schemas.openxmlformats.org/officeDocument/2006/relationships/image" Target="media/image387.png"/><Relationship Id="rId438" Type="http://schemas.openxmlformats.org/officeDocument/2006/relationships/image" Target="media/image388.png"/><Relationship Id="rId439" Type="http://schemas.openxmlformats.org/officeDocument/2006/relationships/image" Target="media/image389.png"/><Relationship Id="rId440" Type="http://schemas.openxmlformats.org/officeDocument/2006/relationships/image" Target="media/image390.png"/><Relationship Id="rId441" Type="http://schemas.openxmlformats.org/officeDocument/2006/relationships/image" Target="media/image391.png"/><Relationship Id="rId442" Type="http://schemas.openxmlformats.org/officeDocument/2006/relationships/image" Target="media/image392.png"/><Relationship Id="rId443" Type="http://schemas.openxmlformats.org/officeDocument/2006/relationships/image" Target="media/image393.png"/><Relationship Id="rId444" Type="http://schemas.openxmlformats.org/officeDocument/2006/relationships/image" Target="media/image394.png"/><Relationship Id="rId445" Type="http://schemas.openxmlformats.org/officeDocument/2006/relationships/image" Target="media/image395.png"/><Relationship Id="rId446" Type="http://schemas.openxmlformats.org/officeDocument/2006/relationships/image" Target="media/image396.png"/><Relationship Id="rId447" Type="http://schemas.openxmlformats.org/officeDocument/2006/relationships/image" Target="media/image397.png"/><Relationship Id="rId448" Type="http://schemas.openxmlformats.org/officeDocument/2006/relationships/image" Target="media/image398.png"/><Relationship Id="rId449" Type="http://schemas.openxmlformats.org/officeDocument/2006/relationships/image" Target="media/image399.png"/><Relationship Id="rId450" Type="http://schemas.openxmlformats.org/officeDocument/2006/relationships/image" Target="media/image400.png"/><Relationship Id="rId451" Type="http://schemas.openxmlformats.org/officeDocument/2006/relationships/image" Target="media/image401.png"/><Relationship Id="rId452" Type="http://schemas.openxmlformats.org/officeDocument/2006/relationships/image" Target="media/image402.png"/><Relationship Id="rId453" Type="http://schemas.openxmlformats.org/officeDocument/2006/relationships/image" Target="media/image403.png"/><Relationship Id="rId454" Type="http://schemas.openxmlformats.org/officeDocument/2006/relationships/image" Target="media/image404.png"/><Relationship Id="rId455" Type="http://schemas.openxmlformats.org/officeDocument/2006/relationships/image" Target="media/image405.png"/><Relationship Id="rId456" Type="http://schemas.openxmlformats.org/officeDocument/2006/relationships/image" Target="media/image406.png"/><Relationship Id="rId457" Type="http://schemas.openxmlformats.org/officeDocument/2006/relationships/image" Target="media/image407.png"/><Relationship Id="rId458" Type="http://schemas.openxmlformats.org/officeDocument/2006/relationships/image" Target="media/image408.png"/><Relationship Id="rId459" Type="http://schemas.openxmlformats.org/officeDocument/2006/relationships/image" Target="media/image409.png"/><Relationship Id="rId460" Type="http://schemas.openxmlformats.org/officeDocument/2006/relationships/image" Target="media/image410.png"/><Relationship Id="rId461" Type="http://schemas.openxmlformats.org/officeDocument/2006/relationships/image" Target="media/image411.png"/><Relationship Id="rId462" Type="http://schemas.openxmlformats.org/officeDocument/2006/relationships/image" Target="media/image412.png"/><Relationship Id="rId463" Type="http://schemas.openxmlformats.org/officeDocument/2006/relationships/image" Target="media/image413.png"/><Relationship Id="rId464" Type="http://schemas.openxmlformats.org/officeDocument/2006/relationships/image" Target="media/image414.png"/><Relationship Id="rId465" Type="http://schemas.openxmlformats.org/officeDocument/2006/relationships/image" Target="media/image415.png"/><Relationship Id="rId466" Type="http://schemas.openxmlformats.org/officeDocument/2006/relationships/image" Target="media/image416.png"/><Relationship Id="rId467" Type="http://schemas.openxmlformats.org/officeDocument/2006/relationships/image" Target="media/image417.png"/><Relationship Id="rId468" Type="http://schemas.openxmlformats.org/officeDocument/2006/relationships/image" Target="media/image418.png"/><Relationship Id="rId469" Type="http://schemas.openxmlformats.org/officeDocument/2006/relationships/image" Target="media/image419.png"/><Relationship Id="rId470" Type="http://schemas.openxmlformats.org/officeDocument/2006/relationships/image" Target="media/image420.png"/><Relationship Id="rId471" Type="http://schemas.openxmlformats.org/officeDocument/2006/relationships/image" Target="media/image421.png"/><Relationship Id="rId472" Type="http://schemas.openxmlformats.org/officeDocument/2006/relationships/image" Target="media/image422.png"/><Relationship Id="rId473" Type="http://schemas.openxmlformats.org/officeDocument/2006/relationships/image" Target="media/image423.png"/><Relationship Id="rId474" Type="http://schemas.openxmlformats.org/officeDocument/2006/relationships/image" Target="media/image424.png"/><Relationship Id="rId475" Type="http://schemas.openxmlformats.org/officeDocument/2006/relationships/image" Target="media/image425.png"/><Relationship Id="rId476" Type="http://schemas.openxmlformats.org/officeDocument/2006/relationships/image" Target="media/image426.png"/><Relationship Id="rId477" Type="http://schemas.openxmlformats.org/officeDocument/2006/relationships/image" Target="media/image427.png"/><Relationship Id="rId478" Type="http://schemas.openxmlformats.org/officeDocument/2006/relationships/image" Target="media/image428.png"/><Relationship Id="rId479" Type="http://schemas.openxmlformats.org/officeDocument/2006/relationships/image" Target="media/image429.png"/><Relationship Id="rId480" Type="http://schemas.openxmlformats.org/officeDocument/2006/relationships/image" Target="media/image430.png"/><Relationship Id="rId481" Type="http://schemas.openxmlformats.org/officeDocument/2006/relationships/image" Target="media/image431.png"/><Relationship Id="rId482" Type="http://schemas.openxmlformats.org/officeDocument/2006/relationships/image" Target="media/image432.png"/><Relationship Id="rId483" Type="http://schemas.openxmlformats.org/officeDocument/2006/relationships/image" Target="media/image433.png"/><Relationship Id="rId484" Type="http://schemas.openxmlformats.org/officeDocument/2006/relationships/image" Target="media/image434.png"/><Relationship Id="rId485" Type="http://schemas.openxmlformats.org/officeDocument/2006/relationships/image" Target="media/image435.png"/><Relationship Id="rId486" Type="http://schemas.openxmlformats.org/officeDocument/2006/relationships/image" Target="media/image436.png"/><Relationship Id="rId487" Type="http://schemas.openxmlformats.org/officeDocument/2006/relationships/image" Target="media/image437.png"/><Relationship Id="rId488" Type="http://schemas.openxmlformats.org/officeDocument/2006/relationships/image" Target="media/image438.png"/><Relationship Id="rId489" Type="http://schemas.openxmlformats.org/officeDocument/2006/relationships/image" Target="media/image439.png"/><Relationship Id="rId490" Type="http://schemas.openxmlformats.org/officeDocument/2006/relationships/image" Target="media/image440.png"/><Relationship Id="rId491" Type="http://schemas.openxmlformats.org/officeDocument/2006/relationships/image" Target="media/image441.png"/><Relationship Id="rId492" Type="http://schemas.openxmlformats.org/officeDocument/2006/relationships/image" Target="media/image442.png"/><Relationship Id="rId493" Type="http://schemas.openxmlformats.org/officeDocument/2006/relationships/image" Target="media/image443.png"/><Relationship Id="rId494" Type="http://schemas.openxmlformats.org/officeDocument/2006/relationships/image" Target="media/image444.png"/><Relationship Id="rId495" Type="http://schemas.openxmlformats.org/officeDocument/2006/relationships/image" Target="media/image445.png"/><Relationship Id="rId496" Type="http://schemas.openxmlformats.org/officeDocument/2006/relationships/image" Target="media/image446.png"/><Relationship Id="rId497" Type="http://schemas.openxmlformats.org/officeDocument/2006/relationships/image" Target="media/image447.png"/><Relationship Id="rId498" Type="http://schemas.openxmlformats.org/officeDocument/2006/relationships/image" Target="media/image448.png"/><Relationship Id="rId499" Type="http://schemas.openxmlformats.org/officeDocument/2006/relationships/image" Target="media/image449.png"/><Relationship Id="rId500" Type="http://schemas.openxmlformats.org/officeDocument/2006/relationships/image" Target="media/image450.png"/><Relationship Id="rId501" Type="http://schemas.openxmlformats.org/officeDocument/2006/relationships/image" Target="media/image451.png"/><Relationship Id="rId502" Type="http://schemas.openxmlformats.org/officeDocument/2006/relationships/image" Target="media/image452.png"/><Relationship Id="rId503" Type="http://schemas.openxmlformats.org/officeDocument/2006/relationships/image" Target="media/image453.png"/><Relationship Id="rId504" Type="http://schemas.openxmlformats.org/officeDocument/2006/relationships/image" Target="media/image454.png"/><Relationship Id="rId505" Type="http://schemas.openxmlformats.org/officeDocument/2006/relationships/image" Target="media/image455.png"/><Relationship Id="rId506" Type="http://schemas.openxmlformats.org/officeDocument/2006/relationships/image" Target="media/image456.png"/><Relationship Id="rId507" Type="http://schemas.openxmlformats.org/officeDocument/2006/relationships/image" Target="media/image457.png"/><Relationship Id="rId508" Type="http://schemas.openxmlformats.org/officeDocument/2006/relationships/image" Target="media/image458.png"/><Relationship Id="rId509" Type="http://schemas.openxmlformats.org/officeDocument/2006/relationships/image" Target="media/image459.png"/><Relationship Id="rId510" Type="http://schemas.openxmlformats.org/officeDocument/2006/relationships/image" Target="media/image460.png"/><Relationship Id="rId511" Type="http://schemas.openxmlformats.org/officeDocument/2006/relationships/image" Target="media/image461.png"/><Relationship Id="rId512" Type="http://schemas.openxmlformats.org/officeDocument/2006/relationships/image" Target="media/image462.png"/><Relationship Id="rId513" Type="http://schemas.openxmlformats.org/officeDocument/2006/relationships/image" Target="media/image463.png"/><Relationship Id="rId514" Type="http://schemas.openxmlformats.org/officeDocument/2006/relationships/image" Target="media/image464.png"/><Relationship Id="rId515" Type="http://schemas.openxmlformats.org/officeDocument/2006/relationships/image" Target="media/image465.png"/><Relationship Id="rId516" Type="http://schemas.openxmlformats.org/officeDocument/2006/relationships/image" Target="media/image466.png"/><Relationship Id="rId517" Type="http://schemas.openxmlformats.org/officeDocument/2006/relationships/image" Target="media/image467.png"/><Relationship Id="rId518" Type="http://schemas.openxmlformats.org/officeDocument/2006/relationships/image" Target="media/image468.png"/><Relationship Id="rId519" Type="http://schemas.openxmlformats.org/officeDocument/2006/relationships/image" Target="media/image469.png"/><Relationship Id="rId520" Type="http://schemas.openxmlformats.org/officeDocument/2006/relationships/image" Target="media/image470.png"/><Relationship Id="rId521" Type="http://schemas.openxmlformats.org/officeDocument/2006/relationships/image" Target="media/image471.png"/><Relationship Id="rId522" Type="http://schemas.openxmlformats.org/officeDocument/2006/relationships/image" Target="media/image472.png"/><Relationship Id="rId523" Type="http://schemas.openxmlformats.org/officeDocument/2006/relationships/image" Target="media/image473.png"/><Relationship Id="rId524" Type="http://schemas.openxmlformats.org/officeDocument/2006/relationships/image" Target="media/image474.png"/><Relationship Id="rId525" Type="http://schemas.openxmlformats.org/officeDocument/2006/relationships/image" Target="media/image475.png"/><Relationship Id="rId526" Type="http://schemas.openxmlformats.org/officeDocument/2006/relationships/image" Target="media/image476.png"/><Relationship Id="rId527" Type="http://schemas.openxmlformats.org/officeDocument/2006/relationships/image" Target="media/image477.png"/><Relationship Id="rId528" Type="http://schemas.openxmlformats.org/officeDocument/2006/relationships/image" Target="media/image478.png"/><Relationship Id="rId529" Type="http://schemas.openxmlformats.org/officeDocument/2006/relationships/image" Target="media/image479.png"/><Relationship Id="rId530" Type="http://schemas.openxmlformats.org/officeDocument/2006/relationships/image" Target="media/image480.png"/><Relationship Id="rId531" Type="http://schemas.openxmlformats.org/officeDocument/2006/relationships/image" Target="media/image481.png"/><Relationship Id="rId532" Type="http://schemas.openxmlformats.org/officeDocument/2006/relationships/image" Target="media/image482.png"/><Relationship Id="rId533" Type="http://schemas.openxmlformats.org/officeDocument/2006/relationships/image" Target="media/image483.png"/><Relationship Id="rId534" Type="http://schemas.openxmlformats.org/officeDocument/2006/relationships/image" Target="media/image484.png"/><Relationship Id="rId535" Type="http://schemas.openxmlformats.org/officeDocument/2006/relationships/image" Target="media/image485.png"/><Relationship Id="rId536" Type="http://schemas.openxmlformats.org/officeDocument/2006/relationships/image" Target="media/image486.png"/><Relationship Id="rId537" Type="http://schemas.openxmlformats.org/officeDocument/2006/relationships/image" Target="media/image487.png"/><Relationship Id="rId538" Type="http://schemas.openxmlformats.org/officeDocument/2006/relationships/image" Target="media/image488.png"/><Relationship Id="rId539" Type="http://schemas.openxmlformats.org/officeDocument/2006/relationships/image" Target="media/image489.png"/><Relationship Id="rId540" Type="http://schemas.openxmlformats.org/officeDocument/2006/relationships/image" Target="media/image490.png"/><Relationship Id="rId541" Type="http://schemas.openxmlformats.org/officeDocument/2006/relationships/image" Target="media/image491.png"/><Relationship Id="rId542" Type="http://schemas.openxmlformats.org/officeDocument/2006/relationships/image" Target="media/image492.png"/><Relationship Id="rId543" Type="http://schemas.openxmlformats.org/officeDocument/2006/relationships/image" Target="media/image493.png"/><Relationship Id="rId544" Type="http://schemas.openxmlformats.org/officeDocument/2006/relationships/image" Target="media/image494.png"/><Relationship Id="rId545" Type="http://schemas.openxmlformats.org/officeDocument/2006/relationships/footer" Target="footer28.xml"/><Relationship Id="rId546" Type="http://schemas.openxmlformats.org/officeDocument/2006/relationships/footer" Target="footer29.xml"/><Relationship Id="rId547" Type="http://schemas.openxmlformats.org/officeDocument/2006/relationships/footer" Target="footer30.xml"/><Relationship Id="rId548" Type="http://schemas.openxmlformats.org/officeDocument/2006/relationships/hyperlink" Target="http://www.eluniversal.com.mx/notas/864754.html" TargetMode="External"/><Relationship Id="rId549" Type="http://schemas.openxmlformats.org/officeDocument/2006/relationships/hyperlink" Target="http://pactopormexico.org/" TargetMode="External"/><Relationship Id="rId550" Type="http://schemas.openxmlformats.org/officeDocument/2006/relationships/footer" Target="footer31.xml"/><Relationship Id="rId551" Type="http://schemas.openxmlformats.org/officeDocument/2006/relationships/footer" Target="footer32.xml"/><Relationship Id="rId552" Type="http://schemas.openxmlformats.org/officeDocument/2006/relationships/footer" Target="footer33.xml"/><Relationship Id="rId553" Type="http://schemas.openxmlformats.org/officeDocument/2006/relationships/footer" Target="footer34.xml"/><Relationship Id="rId554" Type="http://schemas.openxmlformats.org/officeDocument/2006/relationships/hyperlink" Target="http://www.tse.go.cr/pdf/normativa/leyinscripcionycedulacionindigena.pdf" TargetMode="External"/><Relationship Id="rId555" Type="http://schemas.openxmlformats.org/officeDocument/2006/relationships/hyperlink" Target="https://www.larepublica.net/app/cms/www/index.php?pk_articulo=41525" TargetMode="External"/><Relationship Id="rId556" Type="http://schemas.openxmlformats.org/officeDocument/2006/relationships/hyperlink" Target="http://www.asf.gob.mx/Trans/Informes/ir2006i/Indice/Auditorias.htm" TargetMode="External"/><Relationship Id="rId557" Type="http://schemas.openxmlformats.org/officeDocument/2006/relationships/hyperlink" Target="http://edomex.milenio.com/cdb/doc/impreso/8957356" TargetMode="External"/><Relationship Id="rId558" Type="http://schemas.openxmlformats.org/officeDocument/2006/relationships/hyperlink" Target="http://www.fusildechispas.com/2009/11/pln-acapara-propaganda-electoral-guevara-y-chinchilla-parejos-en-gastos/" TargetMode="External"/><Relationship Id="rId559" Type="http://schemas.openxmlformats.org/officeDocument/2006/relationships/hyperlink" Target="http://www.ife.org.mx/documentos/PPP/ppp/2006/Dictamen/index_campania.htm" TargetMode="External"/><Relationship Id="rId560" Type="http://schemas.openxmlformats.org/officeDocument/2006/relationships/hyperlink" Target="http://www.ife.org.mx/documentos/proceso_2005-2006/docs/rep_final_monitoreos.pdf" TargetMode="External"/><Relationship Id="rId561" Type="http://schemas.openxmlformats.org/officeDocument/2006/relationships/hyperlink" Target="http://www.ife.org.mx/documentos/proceso_2005-2006/docs/monitoreo_noticiarios.pdf" TargetMode="External"/><Relationship Id="rId562" Type="http://schemas.openxmlformats.org/officeDocument/2006/relationships/hyperlink" Target="http://www.ieem.org.mx/consejo_general/cg/2005/a122.html" TargetMode="External"/><Relationship Id="rId563" Type="http://schemas.openxmlformats.org/officeDocument/2006/relationships/hyperlink" Target="http://www.ieem.org.mx/consejo_general/cg/2005/a153.html" TargetMode="External"/><Relationship Id="rId564" Type="http://schemas.openxmlformats.org/officeDocument/2006/relationships/hyperlink" Target="http://www.ieem.org.mx/consejo_general/cg/2006/a288.html" TargetMode="External"/><Relationship Id="rId565" Type="http://schemas.openxmlformats.org/officeDocument/2006/relationships/hyperlink" Target="http://www.ieem.org.mx/consejo_general/cg/2006/a304.html" TargetMode="External"/><Relationship Id="rId566" Type="http://schemas.openxmlformats.org/officeDocument/2006/relationships/hyperlink" Target="http://www.ieem.org.mx/consejo_general/cg/2006/a323.html" TargetMode="External"/><Relationship Id="rId567" Type="http://schemas.openxmlformats.org/officeDocument/2006/relationships/hyperlink" Target="http://www.ieem.org.mx/consejo_general/cg/2007/a008.html" TargetMode="External"/><Relationship Id="rId568" Type="http://schemas.openxmlformats.org/officeDocument/2006/relationships/hyperlink" Target="http://www.ife.org.mx/documentos/TRANSP/docs/consejo-general/acuerdos/2005/30nov05/CGo301105ap12.pdf" TargetMode="External"/><Relationship Id="rId569" Type="http://schemas.openxmlformats.org/officeDocument/2006/relationships/hyperlink" Target="http://www.ife.org.mx/documentos/TRANSP/docs/consejo-general/acuerdos/ind101105.htm" TargetMode="External"/><Relationship Id="rId570" Type="http://schemas.openxmlformats.org/officeDocument/2006/relationships/hyperlink" Target="http://www.ife.org.mx/docs/Internet/Partidos_Politicos_DEPPP/financiamiento_DEPPP/acuerdos_1997-2006/actividades_ordinariasPP/CG14-2006.pdf" TargetMode="External"/><Relationship Id="rId571" Type="http://schemas.openxmlformats.org/officeDocument/2006/relationships/hyperlink" Target="http://www.ife.org.mx/docs/IFE-v2/DS/DS-CG/DS-SesionesCG/CG-acuerdos/2006/31ENE/CGo310106ap16.pdf" TargetMode="External"/><Relationship Id="rId572" Type="http://schemas.openxmlformats.org/officeDocument/2006/relationships/footer" Target="footer35.xml"/><Relationship Id="rId573" Type="http://schemas.openxmlformats.org/officeDocument/2006/relationships/hyperlink" Target="http://pac2006.ife.org.mx/download/02/pac_down_coaliciones_31oct2005.pdf" TargetMode="External"/><Relationship Id="rId574" Type="http://schemas.openxmlformats.org/officeDocument/2006/relationships/hyperlink" Target="http://www.ife.org.mx/docs/Internet/Estructura_IFE/CG/sesiones_CG/resoluciones_CG/2007/21mayo/CGe210507rp2.pdf" TargetMode="External"/><Relationship Id="rId575" Type="http://schemas.openxmlformats.org/officeDocument/2006/relationships/hyperlink" Target="http://www2.ife.org.mx/docs/Internet/Estructura_IFE/CG/sesiones_CG/resoluciones_CG/2007/23marzo/CGe230307rp2_14.pdf" TargetMode="External"/><Relationship Id="rId576" Type="http://schemas.openxmlformats.org/officeDocument/2006/relationships/hyperlink" Target="http://www.ife.org.mx/docs/IFE-v2/DS/DS-Varios/DS-CG/DS-SesionesCG/CG-actas/2008/febrero/CGe150208/CGe150208.pdf" TargetMode="External"/><Relationship Id="rId577" Type="http://schemas.openxmlformats.org/officeDocument/2006/relationships/hyperlink" Target="http://www.ife.org.mx/docs/IFE-v2/DS/DS-CG/DS-SesionesCG/CG-acuerdos/2008/29febrero/CGo290208ap9.pdf" TargetMode="External"/><Relationship Id="rId578" Type="http://schemas.openxmlformats.org/officeDocument/2006/relationships/hyperlink" Target="http://www.ife.org.mx/docs/IFE-v2/DS/DS-CG/DS-SesionesCG/CG-acuerdos/2008/12marzo/CGe120308ap5.pdf" TargetMode="External"/><Relationship Id="rId579" Type="http://schemas.openxmlformats.org/officeDocument/2006/relationships/hyperlink" Target="http://www.ife.org.mx/docs/IFE-v2/DS/DS-CG/DS-SesionesCG/CG-acuerdos/2008/Mayo/2Mayo/CGe020508ap3.pdf" TargetMode="External"/><Relationship Id="rId580" Type="http://schemas.openxmlformats.org/officeDocument/2006/relationships/hyperlink" Target="http://www.ife.org.mx/docs/IFE-v2/DS/DS-CG/DS-SesionesCG/CG-acuerdos/2008/agosto/CGe140808ap5.pdf" TargetMode="External"/><Relationship Id="rId581" Type="http://schemas.openxmlformats.org/officeDocument/2006/relationships/hyperlink" Target="http://www.ife.org.mx/docs/IFE-v2/DS/DS-CG/DS-SesionesCG/CG-acuerdos/2008/agosto/CGe140808ap6.pdf" TargetMode="External"/><Relationship Id="rId582" Type="http://schemas.openxmlformats.org/officeDocument/2006/relationships/hyperlink" Target="http://www.ieem.org.mx/consejo_general/a2005.html" TargetMode="External"/><Relationship Id="rId583" Type="http://schemas.openxmlformats.org/officeDocument/2006/relationships/hyperlink" Target="http://www.ieem.org.mx/consejo_general/a2006.html" TargetMode="External"/><Relationship Id="rId584" Type="http://schemas.openxmlformats.org/officeDocument/2006/relationships/hyperlink" Target="http://www.conae.gob.mx/work/sites/CONAE/resources/LocalContent/4627/1/Toluca1.htm" TargetMode="External"/><Relationship Id="rId585" Type="http://schemas.openxmlformats.org/officeDocument/2006/relationships/hyperlink" Target="http://www.controles.co.cr/clientes/" TargetMode="External"/><Relationship Id="rId586" Type="http://schemas.openxmlformats.org/officeDocument/2006/relationships/hyperlink" Target="http://www.eluniversal.com.mx/editoriales/55430.html" TargetMode="External"/><Relationship Id="rId587" Type="http://schemas.openxmlformats.org/officeDocument/2006/relationships/hyperlink" Target="http://www.fenamm.org.mx/site/index.php?option=com_content&amp;amp;view=article&amp;amp;id=187&amp;amp;Itemid=123" TargetMode="External"/><Relationship Id="rId588" Type="http://schemas.openxmlformats.org/officeDocument/2006/relationships/hyperlink" Target="http://www.edomexico.gob.mx/bitacora/htm/00/000502.html" TargetMode="External"/><Relationship Id="rId589" Type="http://schemas.openxmlformats.org/officeDocument/2006/relationships/hyperlink" Target="http://www.toluca.gob.mx/dependencias/secretaria/index.php" TargetMode="External"/><Relationship Id="rId590" Type="http://schemas.openxmlformats.org/officeDocument/2006/relationships/hyperlink" Target="http://www.ieem.org.mx/com2009/INTEGRA_AYUNTAMIENTOS_2009.pdf" TargetMode="External"/><Relationship Id="rId591" Type="http://schemas.openxmlformats.org/officeDocument/2006/relationships/hyperlink" Target="http://www.ieem.org.mx/capacitacion/pdf/GLOSARIO.pdf" TargetMode="External"/><Relationship Id="rId592" Type="http://schemas.openxmlformats.org/officeDocument/2006/relationships/hyperlink" Target="http://www.ordenjuridico.gob.mx/Publicaciones/CDs2011/CDElectoral/pdf/FEDCONV13.pdf" TargetMode="External"/><Relationship Id="rId593" Type="http://schemas.openxmlformats.org/officeDocument/2006/relationships/hyperlink" Target="http://www.ife.org.mx/documentos/proceso_2005-2006/cuadernos/pdf/C2/c2_2-3.pdf" TargetMode="External"/><Relationship Id="rId594" Type="http://schemas.openxmlformats.org/officeDocument/2006/relationships/hyperlink" Target="http://www.ife.org.mx/documentos/Estadisticas2006/diputadosmr/pdfs/graf_curules_diputados.pdf" TargetMode="External"/><Relationship Id="rId595" Type="http://schemas.openxmlformats.org/officeDocument/2006/relationships/hyperlink" Target="http://www.ife.org.mx/documentos/Estadisticas2006/presidente/gra_nac.html" TargetMode="External"/><Relationship Id="rId596" Type="http://schemas.openxmlformats.org/officeDocument/2006/relationships/hyperlink" Target="http://www.ife.org.mx/documentos/Estadisticas2006/diputadosrp/gra_diprp_1.html" TargetMode="External"/><Relationship Id="rId597" Type="http://schemas.openxmlformats.org/officeDocument/2006/relationships/hyperlink" Target="http://www.ife.org.mx/documentos/Estadisticas2006/senadoresmr/gra_senmr_1.html" TargetMode="External"/><Relationship Id="rId598" Type="http://schemas.openxmlformats.org/officeDocument/2006/relationships/hyperlink" Target="http://www.ife.org.mx/documentos/Estadisticas2006/senadoresrp/gra_senrp_1.html" TargetMode="External"/><Relationship Id="rId599" Type="http://schemas.openxmlformats.org/officeDocument/2006/relationships/hyperlink" Target="http://normateca.ife.org.mx/internet/scripts/glosario/glosario.html" TargetMode="External"/><Relationship Id="rId600" Type="http://schemas.openxmlformats.org/officeDocument/2006/relationships/footer" Target="footer36.xml"/><Relationship Id="rId601" Type="http://schemas.openxmlformats.org/officeDocument/2006/relationships/hyperlink" Target="http://www.inafed.gob.mx/work/resources/libros_en_linea/informacionbasicasobreadmonygobiernompal.pdf" TargetMode="External"/><Relationship Id="rId602" Type="http://schemas.openxmlformats.org/officeDocument/2006/relationships/hyperlink" Target="http://www.inec.go.cr/Web/Home/pagPrincipal.aspx" TargetMode="External"/><Relationship Id="rId603" Type="http://schemas.openxmlformats.org/officeDocument/2006/relationships/hyperlink" Target="http://www.inegi.org.mx/est/contenidos/proyectos/ccpv/cpv2005/presentacion.aspx?p=1" TargetMode="External"/><Relationship Id="rId604" Type="http://schemas.openxmlformats.org/officeDocument/2006/relationships/hyperlink" Target="http://www.inegi.org.mx/Sistemas/temasV2/Default.aspx?s=est&amp;amp;c=17484" TargetMode="External"/><Relationship Id="rId605" Type="http://schemas.openxmlformats.org/officeDocument/2006/relationships/hyperlink" Target="http://cuentame.inegi.org.mx/monografias/informacion/mex/territorio/div_municipal.aspx?tema=me&amp;amp;e=15" TargetMode="External"/><Relationship Id="rId606" Type="http://schemas.openxmlformats.org/officeDocument/2006/relationships/hyperlink" Target="http://www.inegi.org.mx/sistemas/sisept/default.aspx?t=mdemo11&amp;amp;s=est&amp;amp;c=17520" TargetMode="External"/><Relationship Id="rId607" Type="http://schemas.openxmlformats.org/officeDocument/2006/relationships/hyperlink" Target="http://cuentame.inegi.org.mx/territorio/extension/default.aspx?tema=T" TargetMode="External"/><Relationship Id="rId608" Type="http://schemas.openxmlformats.org/officeDocument/2006/relationships/hyperlink" Target="http://cuentame.inegi.org.mx/monografias/informacion/mex/poblacion/default.aspx?tema=me&amp;amp;e=15" TargetMode="External"/><Relationship Id="rId609" Type="http://schemas.openxmlformats.org/officeDocument/2006/relationships/hyperlink" Target="http://cuentame.inegi.org.mx/monografias/informacion/mex/territorio/default.aspx?tema=me&amp;amp;e=15" TargetMode="External"/><Relationship Id="rId610" Type="http://schemas.openxmlformats.org/officeDocument/2006/relationships/hyperlink" Target="http://cuentame.inegi.org.mx/monografias/informacion/mex/poblacion/densidad.aspx?tema=me&amp;amp;e=15" TargetMode="External"/><Relationship Id="rId611" Type="http://schemas.openxmlformats.org/officeDocument/2006/relationships/hyperlink" Target="http://cuentame.inegi.org.mx/poblacion/habitantes.aspx?tema=P" TargetMode="External"/><Relationship Id="rId612" Type="http://schemas.openxmlformats.org/officeDocument/2006/relationships/hyperlink" Target="http://www.centroscomunitariosdeaprendizaje.org.mx/sites/default/files/caracteristicas_t1p4.pdf" TargetMode="External"/><Relationship Id="rId613" Type="http://schemas.openxmlformats.org/officeDocument/2006/relationships/hyperlink" Target="http://upload.wikimedia.org/wikipedia/commons/f/fa/Tratados_de_C%C3%B3rdoba.JPG" TargetMode="External"/><Relationship Id="rId614" Type="http://schemas.openxmlformats.org/officeDocument/2006/relationships/hyperlink" Target="http://polis.revues.org/6581#quotation" TargetMode="External"/><Relationship Id="rId615" Type="http://schemas.openxmlformats.org/officeDocument/2006/relationships/hyperlink" Target="http://joselopezsanchez.files.wordpress.com/2010/05/la-importancia-de-la-democracia.pdf" TargetMode="External"/><Relationship Id="rId616" Type="http://schemas.openxmlformats.org/officeDocument/2006/relationships/hyperlink" Target="http://www.claseshistoria.com/glosario/estadofederal.htm" TargetMode="External"/><Relationship Id="rId617" Type="http://schemas.openxmlformats.org/officeDocument/2006/relationships/hyperlink" Target="http://vectoreconomico.com.mx/files/pdfs/r03072006.pdf" TargetMode="External"/><Relationship Id="rId618" Type="http://schemas.openxmlformats.org/officeDocument/2006/relationships/hyperlink" Target="http://www.oanda.com/lang/es/currency/historical-rates/" TargetMode="External"/><Relationship Id="rId619" Type="http://schemas.openxmlformats.org/officeDocument/2006/relationships/hyperlink" Target="http://www.wordreference.com/definicion/mito" TargetMode="External"/><Relationship Id="rId620" Type="http://schemas.openxmlformats.org/officeDocument/2006/relationships/footer" Target="footer37.xml"/><Relationship Id="rId621" Type="http://schemas.openxmlformats.org/officeDocument/2006/relationships/hyperlink" Target="http://www.pgr.gob.mx/" TargetMode="External"/><Relationship Id="rId622" Type="http://schemas.openxmlformats.org/officeDocument/2006/relationships/hyperlink" Target="http://www.pri.org.mx/LaFuerzadeMexico/NuestroPartido/LineaTiempo.aspx" TargetMode="External"/><Relationship Id="rId623" Type="http://schemas.openxmlformats.org/officeDocument/2006/relationships/hyperlink" Target="http://blog.elpridehoy.org.mx/index.php/2010/04/22/geografia-electoral-2010-analisis-y-tendencias-de-la-votacion-para-las-siguientes-elecciones-en-mexico/" TargetMode="External"/><Relationship Id="rId624" Type="http://schemas.openxmlformats.org/officeDocument/2006/relationships/hyperlink" Target="http://www.prensalibre.cr/pl/nacional/35334-tse-ha-estudiado-mas-de-la-mitad-de-liquidaciones.html" TargetMode="External"/><Relationship Id="rId625" Type="http://schemas.openxmlformats.org/officeDocument/2006/relationships/hyperlink" Target="http://www.crhoy.com/10-partidos-politicos-tienen-causas-abiertas-ante-el-tse-y-la-fiscalia/" TargetMode="External"/><Relationship Id="rId626" Type="http://schemas.openxmlformats.org/officeDocument/2006/relationships/hyperlink" Target="http://www.teemmx.org.mx/Sentencias/default.htm" TargetMode="External"/><Relationship Id="rId627" Type="http://schemas.openxmlformats.org/officeDocument/2006/relationships/hyperlink" Target="http://www.diputados.gob.mx/cedia/sia/se/SE-ISS-28-07.pdf" TargetMode="External"/><Relationship Id="rId628" Type="http://schemas.openxmlformats.org/officeDocument/2006/relationships/hyperlink" Target="http://www.te.gob.mx/documentacion/publicaciones/informes/dictamen.pdf" TargetMode="External"/><Relationship Id="rId629" Type="http://schemas.openxmlformats.org/officeDocument/2006/relationships/hyperlink" Target="http://portal.te.gob.mx/colecciones/sentencias/html/SUP/2007/RAP/SUP-RAP-00046-2007-Inc1.htm" TargetMode="External"/><Relationship Id="rId630" Type="http://schemas.openxmlformats.org/officeDocument/2006/relationships/hyperlink" Target="http://portal.te.gob.mx/colecciones/sentencias/html/SUP/2007/RAP/SUP-RAP-00048-2007.htm" TargetMode="External"/><Relationship Id="rId631" Type="http://schemas.openxmlformats.org/officeDocument/2006/relationships/hyperlink" Target="http://portal.te.gob.mx/colecciones/sentencias/html/SUP/2007/RAP/SUP-RAP-00047-2007.htm" TargetMode="External"/><Relationship Id="rId632" Type="http://schemas.openxmlformats.org/officeDocument/2006/relationships/hyperlink" Target="http://portal.te.gob.mx/acercate/quienes-somos-y-que-hacemos" TargetMode="External"/><Relationship Id="rId633" Type="http://schemas.openxmlformats.org/officeDocument/2006/relationships/hyperlink" Target="http://portal.te.gob.mx/turnos-sentencias/sistema-consulta" TargetMode="External"/><Relationship Id="rId634" Type="http://schemas.openxmlformats.org/officeDocument/2006/relationships/hyperlink" Target="http://www.tse.go.cr/juris/electorales/4129-E8-2009.html?zoom_highlight=N%2E%BA%2B4129%2DE8%2D2009" TargetMode="External"/><Relationship Id="rId635" Type="http://schemas.openxmlformats.org/officeDocument/2006/relationships/hyperlink" Target="http://www.tse.go.cr/juris/electorales/1092-E10-2010.html?zoom_highlight=1092-E10-2011" TargetMode="External"/><Relationship Id="rId636" Type="http://schemas.openxmlformats.org/officeDocument/2006/relationships/hyperlink" Target="http://www.tse.go.cr/juris/electorales/6302-E10-2012.html?zoom_highlight=6302-E10-2012%2B" TargetMode="External"/><Relationship Id="rId637" Type="http://schemas.openxmlformats.org/officeDocument/2006/relationships/hyperlink" Target="http://www.tse.go.cr/magistrados.htm" TargetMode="External"/><Relationship Id="rId638" Type="http://schemas.openxmlformats.org/officeDocument/2006/relationships/hyperlink" Target="http://www.tse.go.cr/pdf/informes_gestion/inf_final_zettybou.pdf" TargetMode="External"/><Relationship Id="rId639" Type="http://schemas.openxmlformats.org/officeDocument/2006/relationships/hyperlink" Target="http://www.tse.go.cr/pdf/informes_gestion/inf_final_luisantoniosobrado1.pdf" TargetMode="External"/><Relationship Id="rId640" Type="http://schemas.openxmlformats.org/officeDocument/2006/relationships/hyperlink" Target="http://www.tse.go.cr/pdf/informes_gestion/inf_final_maxesquivel.pdf" TargetMode="External"/><Relationship Id="rId641" Type="http://schemas.openxmlformats.org/officeDocument/2006/relationships/hyperlink" Target="http://www.tse.go.cr/actas.htm" TargetMode="External"/><Relationship Id="rId642" Type="http://schemas.openxmlformats.org/officeDocument/2006/relationships/hyperlink" Target="http://www.tse.go.cr/pdf/informes_gestion/inf_final_luisantoniosobrado3.pdf" TargetMode="External"/><Relationship Id="rId643" Type="http://schemas.openxmlformats.org/officeDocument/2006/relationships/hyperlink" Target="http://www.tse.go.cr/pdf/varios/estadisticas_resoluciones.pdf" TargetMode="External"/><Relationship Id="rId644" Type="http://schemas.openxmlformats.org/officeDocument/2006/relationships/hyperlink" Target="http://www.tse.go.cr/generalidades_jurisdiccion.htm" TargetMode="External"/><Relationship Id="rId645" Type="http://schemas.openxmlformats.org/officeDocument/2006/relationships/hyperlink" Target="http://www.tse.go.cr/pdf/boletines/boletin_2010.pdf" TargetMode="External"/><Relationship Id="rId646" Type="http://schemas.openxmlformats.org/officeDocument/2006/relationships/hyperlink" Target="http://es.wikipedia.org/wiki/Partido_Revolucionario_Institucional" TargetMode="External"/><Relationship Id="rId647" Type="http://schemas.openxmlformats.org/officeDocument/2006/relationships/hyperlink" Target="http://memoria.fiu.edu/memoria/documents/woldenberg.pdf" TargetMode="External"/><Relationship Id="rId648"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2017-05-22T19:30:46Z</dcterms:created>
  <dcterms:modified xsi:type="dcterms:W3CDTF">2017-05-22T19:30:46Z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2017-05-22T00:00:00Z</vt:filetime>
  </property>
</Properties>
</file>