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2340" w:rsidRDefault="00762340" w:rsidP="00B603A3">
      <w:pPr>
        <w:spacing w:before="240"/>
        <w:jc w:val="center"/>
        <w:rPr>
          <w:rFonts w:ascii="Arial" w:hAnsi="Arial" w:cs="Arial"/>
          <w:b/>
          <w:i/>
          <w:smallCaps/>
          <w:sz w:val="28"/>
          <w:szCs w:val="28"/>
        </w:rPr>
      </w:pPr>
      <w:bookmarkStart w:id="0" w:name="_GoBack"/>
      <w:bookmarkEnd w:id="0"/>
    </w:p>
    <w:p w:rsidR="00B603A3" w:rsidRPr="00B603A3" w:rsidRDefault="00B603A3" w:rsidP="00B603A3">
      <w:pPr>
        <w:spacing w:before="240"/>
        <w:jc w:val="center"/>
        <w:rPr>
          <w:rFonts w:ascii="Arial" w:hAnsi="Arial" w:cs="Arial"/>
          <w:b/>
          <w:i/>
          <w:smallCaps/>
          <w:sz w:val="24"/>
          <w:szCs w:val="24"/>
        </w:rPr>
      </w:pPr>
      <w:r w:rsidRPr="00B603A3">
        <w:rPr>
          <w:rFonts w:ascii="Arial" w:hAnsi="Arial" w:cs="Arial"/>
          <w:b/>
          <w:i/>
          <w:smallCaps/>
          <w:sz w:val="28"/>
          <w:szCs w:val="28"/>
        </w:rPr>
        <w:t>proyectos de investigación humanística, científica y tecnológica</w:t>
      </w:r>
      <w:r w:rsidRPr="00B603A3">
        <w:rPr>
          <w:rFonts w:ascii="Arial" w:hAnsi="Arial" w:cs="Arial"/>
          <w:b/>
          <w:i/>
          <w:smallCaps/>
          <w:sz w:val="24"/>
          <w:szCs w:val="24"/>
        </w:rPr>
        <w:t xml:space="preserve"> UAEM-2013-B</w:t>
      </w:r>
    </w:p>
    <w:p w:rsidR="00B603A3" w:rsidRDefault="00B603A3" w:rsidP="00B603A3">
      <w:pPr>
        <w:autoSpaceDE w:val="0"/>
        <w:autoSpaceDN w:val="0"/>
        <w:adjustRightInd w:val="0"/>
        <w:spacing w:line="240" w:lineRule="auto"/>
        <w:jc w:val="center"/>
        <w:rPr>
          <w:rFonts w:ascii="Arial" w:hAnsi="Arial" w:cs="Arial"/>
          <w:b/>
          <w:bCs/>
        </w:rPr>
      </w:pPr>
    </w:p>
    <w:p w:rsidR="00B603A3" w:rsidRDefault="00B603A3" w:rsidP="00B603A3">
      <w:pPr>
        <w:autoSpaceDE w:val="0"/>
        <w:autoSpaceDN w:val="0"/>
        <w:adjustRightInd w:val="0"/>
        <w:spacing w:after="0" w:line="240" w:lineRule="auto"/>
        <w:jc w:val="center"/>
        <w:rPr>
          <w:rFonts w:ascii="Arial" w:hAnsi="Arial" w:cs="Arial"/>
          <w:b/>
          <w:i/>
          <w:smallCaps/>
          <w:sz w:val="28"/>
          <w:szCs w:val="28"/>
        </w:rPr>
      </w:pPr>
      <w:r w:rsidRPr="00B603A3">
        <w:rPr>
          <w:rFonts w:ascii="Arial" w:hAnsi="Arial" w:cs="Arial"/>
          <w:b/>
          <w:i/>
          <w:smallCaps/>
          <w:sz w:val="28"/>
          <w:szCs w:val="28"/>
        </w:rPr>
        <w:t>Informe final</w:t>
      </w:r>
    </w:p>
    <w:p w:rsidR="00B603A3" w:rsidRPr="00B603A3" w:rsidRDefault="00B603A3" w:rsidP="00B603A3">
      <w:pPr>
        <w:autoSpaceDE w:val="0"/>
        <w:autoSpaceDN w:val="0"/>
        <w:adjustRightInd w:val="0"/>
        <w:spacing w:line="240" w:lineRule="auto"/>
        <w:jc w:val="center"/>
        <w:rPr>
          <w:rFonts w:ascii="Arial" w:hAnsi="Arial" w:cs="Arial"/>
          <w:b/>
          <w:i/>
          <w:smallCaps/>
          <w:sz w:val="28"/>
          <w:szCs w:val="28"/>
        </w:rPr>
      </w:pPr>
    </w:p>
    <w:p w:rsidR="00B603A3" w:rsidRPr="00B603A3" w:rsidRDefault="00B603A3" w:rsidP="00B603A3">
      <w:pPr>
        <w:spacing w:before="240" w:after="0"/>
        <w:jc w:val="center"/>
        <w:rPr>
          <w:rFonts w:ascii="Arial" w:hAnsi="Arial" w:cs="Arial"/>
          <w:b/>
          <w:i/>
          <w:smallCaps/>
          <w:sz w:val="28"/>
          <w:szCs w:val="28"/>
        </w:rPr>
      </w:pPr>
      <w:r w:rsidRPr="00B603A3">
        <w:rPr>
          <w:rFonts w:ascii="Arial" w:hAnsi="Arial" w:cs="Arial"/>
          <w:b/>
          <w:i/>
          <w:smallCaps/>
          <w:sz w:val="28"/>
          <w:szCs w:val="28"/>
        </w:rPr>
        <w:t xml:space="preserve"> “Estudio de la carga de la enfermedad atribuible al uso de plaguicidas”</w:t>
      </w:r>
    </w:p>
    <w:p w:rsidR="00B603A3" w:rsidRPr="00B603A3" w:rsidRDefault="00B603A3" w:rsidP="00B603A3">
      <w:pPr>
        <w:jc w:val="center"/>
        <w:rPr>
          <w:rFonts w:ascii="Arial" w:hAnsi="Arial" w:cs="Arial"/>
          <w:i/>
          <w:smallCaps/>
          <w:sz w:val="24"/>
          <w:szCs w:val="24"/>
        </w:rPr>
      </w:pPr>
      <w:r w:rsidRPr="00B603A3">
        <w:rPr>
          <w:rFonts w:ascii="Arial" w:hAnsi="Arial" w:cs="Arial"/>
          <w:i/>
          <w:sz w:val="24"/>
          <w:szCs w:val="24"/>
        </w:rPr>
        <w:t>C</w:t>
      </w:r>
      <w:r>
        <w:rPr>
          <w:rFonts w:ascii="Arial" w:hAnsi="Arial" w:cs="Arial"/>
          <w:i/>
          <w:smallCaps/>
          <w:sz w:val="24"/>
          <w:szCs w:val="24"/>
        </w:rPr>
        <w:t>lave</w:t>
      </w:r>
      <w:r w:rsidRPr="00B603A3">
        <w:rPr>
          <w:rFonts w:ascii="Arial" w:hAnsi="Arial" w:cs="Arial"/>
          <w:i/>
          <w:smallCaps/>
          <w:sz w:val="24"/>
          <w:szCs w:val="24"/>
        </w:rPr>
        <w:t xml:space="preserve">   3553/2013CHT</w:t>
      </w:r>
    </w:p>
    <w:p w:rsidR="00B603A3" w:rsidRDefault="00B603A3" w:rsidP="00B603A3">
      <w:pPr>
        <w:autoSpaceDE w:val="0"/>
        <w:autoSpaceDN w:val="0"/>
        <w:adjustRightInd w:val="0"/>
        <w:spacing w:after="0" w:line="240" w:lineRule="auto"/>
        <w:rPr>
          <w:rFonts w:ascii="Arial" w:hAnsi="Arial" w:cs="Arial"/>
          <w:b/>
          <w:bCs/>
        </w:rPr>
      </w:pPr>
    </w:p>
    <w:p w:rsidR="00B603A3" w:rsidRDefault="00B603A3" w:rsidP="00B603A3">
      <w:pPr>
        <w:autoSpaceDE w:val="0"/>
        <w:autoSpaceDN w:val="0"/>
        <w:adjustRightInd w:val="0"/>
        <w:spacing w:after="0" w:line="240" w:lineRule="auto"/>
        <w:rPr>
          <w:rFonts w:ascii="Arial" w:hAnsi="Arial" w:cs="Arial"/>
          <w:b/>
          <w:bCs/>
        </w:rPr>
      </w:pPr>
    </w:p>
    <w:p w:rsidR="00762340" w:rsidRDefault="00762340" w:rsidP="00B603A3">
      <w:pPr>
        <w:autoSpaceDE w:val="0"/>
        <w:autoSpaceDN w:val="0"/>
        <w:adjustRightInd w:val="0"/>
        <w:spacing w:after="0" w:line="240" w:lineRule="auto"/>
        <w:rPr>
          <w:rFonts w:ascii="Arial" w:hAnsi="Arial" w:cs="Arial"/>
          <w:b/>
          <w:bCs/>
        </w:rPr>
      </w:pPr>
    </w:p>
    <w:p w:rsidR="00B603A3" w:rsidRPr="00B603A3" w:rsidRDefault="00B603A3" w:rsidP="00B603A3">
      <w:pPr>
        <w:autoSpaceDE w:val="0"/>
        <w:autoSpaceDN w:val="0"/>
        <w:adjustRightInd w:val="0"/>
        <w:spacing w:after="0" w:line="240" w:lineRule="auto"/>
        <w:rPr>
          <w:rFonts w:ascii="Arial" w:hAnsi="Arial" w:cs="Arial"/>
          <w:b/>
          <w:bCs/>
          <w:sz w:val="24"/>
          <w:szCs w:val="24"/>
        </w:rPr>
      </w:pPr>
      <w:r w:rsidRPr="00B603A3">
        <w:rPr>
          <w:rFonts w:ascii="Arial" w:hAnsi="Arial" w:cs="Arial"/>
          <w:b/>
          <w:bCs/>
          <w:sz w:val="24"/>
          <w:szCs w:val="24"/>
        </w:rPr>
        <w:t xml:space="preserve">RESPONSABLE TÉCNICO:    </w:t>
      </w:r>
      <w:r w:rsidRPr="00B603A3">
        <w:rPr>
          <w:rFonts w:ascii="Arial" w:hAnsi="Arial" w:cs="Arial"/>
          <w:smallCaps/>
          <w:sz w:val="24"/>
          <w:szCs w:val="24"/>
        </w:rPr>
        <w:t xml:space="preserve">Dr. Miguel Angel </w:t>
      </w:r>
      <w:r w:rsidRPr="00B603A3">
        <w:rPr>
          <w:rFonts w:ascii="Arial" w:hAnsi="Arial" w:cs="Arial"/>
          <w:b/>
          <w:smallCaps/>
          <w:sz w:val="24"/>
          <w:szCs w:val="24"/>
        </w:rPr>
        <w:t>Gómez Albores</w:t>
      </w:r>
    </w:p>
    <w:p w:rsidR="00B603A3" w:rsidRDefault="00B603A3" w:rsidP="00B603A3">
      <w:pPr>
        <w:autoSpaceDE w:val="0"/>
        <w:autoSpaceDN w:val="0"/>
        <w:adjustRightInd w:val="0"/>
        <w:spacing w:after="0" w:line="240" w:lineRule="auto"/>
        <w:rPr>
          <w:rFonts w:ascii="Arial" w:hAnsi="Arial" w:cs="Arial"/>
          <w:b/>
          <w:bCs/>
          <w:sz w:val="24"/>
          <w:szCs w:val="24"/>
        </w:rPr>
      </w:pPr>
    </w:p>
    <w:p w:rsidR="00762340" w:rsidRPr="00B603A3" w:rsidRDefault="00762340" w:rsidP="00B603A3">
      <w:pPr>
        <w:autoSpaceDE w:val="0"/>
        <w:autoSpaceDN w:val="0"/>
        <w:adjustRightInd w:val="0"/>
        <w:spacing w:after="0" w:line="240" w:lineRule="auto"/>
        <w:rPr>
          <w:rFonts w:ascii="Arial" w:hAnsi="Arial" w:cs="Arial"/>
          <w:b/>
          <w:bCs/>
          <w:sz w:val="24"/>
          <w:szCs w:val="24"/>
        </w:rPr>
      </w:pPr>
    </w:p>
    <w:p w:rsidR="00B603A3" w:rsidRPr="00B603A3" w:rsidRDefault="00B603A3" w:rsidP="00B603A3">
      <w:pPr>
        <w:autoSpaceDE w:val="0"/>
        <w:autoSpaceDN w:val="0"/>
        <w:adjustRightInd w:val="0"/>
        <w:spacing w:after="0" w:line="240" w:lineRule="auto"/>
        <w:rPr>
          <w:rFonts w:ascii="Arial" w:hAnsi="Arial" w:cs="Arial"/>
          <w:b/>
          <w:bCs/>
          <w:sz w:val="24"/>
          <w:szCs w:val="24"/>
        </w:rPr>
      </w:pPr>
    </w:p>
    <w:p w:rsidR="00B603A3" w:rsidRPr="00B603A3" w:rsidRDefault="00B603A3" w:rsidP="00B603A3">
      <w:pPr>
        <w:autoSpaceDE w:val="0"/>
        <w:autoSpaceDN w:val="0"/>
        <w:adjustRightInd w:val="0"/>
        <w:spacing w:after="0" w:line="240" w:lineRule="auto"/>
        <w:rPr>
          <w:rFonts w:ascii="Arial" w:hAnsi="Arial" w:cs="Arial"/>
          <w:b/>
          <w:bCs/>
          <w:sz w:val="24"/>
          <w:szCs w:val="24"/>
        </w:rPr>
      </w:pPr>
    </w:p>
    <w:p w:rsidR="00B603A3" w:rsidRPr="00B603A3" w:rsidRDefault="00B603A3" w:rsidP="00B603A3">
      <w:pPr>
        <w:autoSpaceDE w:val="0"/>
        <w:autoSpaceDN w:val="0"/>
        <w:adjustRightInd w:val="0"/>
        <w:spacing w:after="0" w:line="240" w:lineRule="auto"/>
        <w:rPr>
          <w:rFonts w:ascii="Arial" w:hAnsi="Arial" w:cs="Arial"/>
          <w:sz w:val="24"/>
          <w:szCs w:val="24"/>
        </w:rPr>
      </w:pPr>
      <w:r w:rsidRPr="00B603A3">
        <w:rPr>
          <w:rFonts w:ascii="Arial" w:hAnsi="Arial" w:cs="Arial"/>
          <w:b/>
          <w:bCs/>
          <w:sz w:val="24"/>
          <w:szCs w:val="24"/>
        </w:rPr>
        <w:t xml:space="preserve">CO-RESPONSABLE:    </w:t>
      </w:r>
      <w:r w:rsidRPr="00B603A3">
        <w:rPr>
          <w:rFonts w:ascii="Arial" w:hAnsi="Arial" w:cs="Arial"/>
          <w:smallCaps/>
          <w:sz w:val="24"/>
          <w:szCs w:val="24"/>
        </w:rPr>
        <w:t xml:space="preserve">Dra. Marivel </w:t>
      </w:r>
      <w:r w:rsidRPr="00B603A3">
        <w:rPr>
          <w:rFonts w:ascii="Arial" w:hAnsi="Arial" w:cs="Arial"/>
          <w:b/>
          <w:smallCaps/>
          <w:sz w:val="24"/>
          <w:szCs w:val="24"/>
        </w:rPr>
        <w:t>Hernández Téllez</w:t>
      </w:r>
    </w:p>
    <w:p w:rsidR="00B603A3" w:rsidRPr="00B603A3" w:rsidRDefault="00B603A3" w:rsidP="00B603A3">
      <w:pPr>
        <w:autoSpaceDE w:val="0"/>
        <w:autoSpaceDN w:val="0"/>
        <w:adjustRightInd w:val="0"/>
        <w:spacing w:after="0" w:line="240" w:lineRule="auto"/>
        <w:rPr>
          <w:rFonts w:ascii="Arial" w:hAnsi="Arial" w:cs="Arial"/>
          <w:b/>
          <w:bCs/>
          <w:sz w:val="24"/>
          <w:szCs w:val="24"/>
        </w:rPr>
      </w:pPr>
    </w:p>
    <w:p w:rsidR="00762340" w:rsidRDefault="00762340" w:rsidP="00B603A3">
      <w:pPr>
        <w:autoSpaceDE w:val="0"/>
        <w:autoSpaceDN w:val="0"/>
        <w:adjustRightInd w:val="0"/>
        <w:spacing w:before="240" w:after="0" w:line="240" w:lineRule="auto"/>
        <w:rPr>
          <w:rFonts w:ascii="Arial" w:hAnsi="Arial" w:cs="Arial"/>
          <w:b/>
          <w:bCs/>
          <w:sz w:val="24"/>
          <w:szCs w:val="24"/>
        </w:rPr>
      </w:pPr>
    </w:p>
    <w:p w:rsidR="00B603A3" w:rsidRPr="00B603A3" w:rsidRDefault="00B603A3" w:rsidP="00B603A3">
      <w:pPr>
        <w:autoSpaceDE w:val="0"/>
        <w:autoSpaceDN w:val="0"/>
        <w:adjustRightInd w:val="0"/>
        <w:spacing w:before="240" w:after="0" w:line="240" w:lineRule="auto"/>
        <w:rPr>
          <w:rFonts w:ascii="Arial" w:hAnsi="Arial" w:cs="Arial"/>
          <w:b/>
          <w:bCs/>
          <w:sz w:val="24"/>
          <w:szCs w:val="24"/>
        </w:rPr>
      </w:pPr>
      <w:r w:rsidRPr="00B603A3">
        <w:rPr>
          <w:rFonts w:ascii="Arial" w:hAnsi="Arial" w:cs="Arial"/>
          <w:b/>
          <w:bCs/>
          <w:sz w:val="24"/>
          <w:szCs w:val="24"/>
        </w:rPr>
        <w:t>COLABORADORES:</w:t>
      </w:r>
    </w:p>
    <w:p w:rsidR="00B603A3" w:rsidRPr="00B603A3" w:rsidRDefault="00B603A3" w:rsidP="00B603A3">
      <w:pPr>
        <w:autoSpaceDE w:val="0"/>
        <w:autoSpaceDN w:val="0"/>
        <w:adjustRightInd w:val="0"/>
        <w:spacing w:after="0" w:line="240" w:lineRule="auto"/>
        <w:ind w:firstLine="1843"/>
        <w:rPr>
          <w:rFonts w:ascii="SymbolMT" w:eastAsia="SymbolMT" w:hAnsi="Arial" w:cs="SymbolMT"/>
          <w:sz w:val="24"/>
          <w:szCs w:val="24"/>
        </w:rPr>
      </w:pPr>
    </w:p>
    <w:p w:rsidR="00B603A3" w:rsidRPr="00B603A3" w:rsidRDefault="00B603A3" w:rsidP="00B603A3">
      <w:pPr>
        <w:pStyle w:val="Prrafodelista"/>
        <w:numPr>
          <w:ilvl w:val="0"/>
          <w:numId w:val="10"/>
        </w:numPr>
        <w:autoSpaceDE w:val="0"/>
        <w:autoSpaceDN w:val="0"/>
        <w:adjustRightInd w:val="0"/>
        <w:spacing w:after="0" w:line="240" w:lineRule="auto"/>
        <w:ind w:left="851" w:hanging="425"/>
        <w:rPr>
          <w:rFonts w:ascii="Arial" w:hAnsi="Arial" w:cs="Arial"/>
          <w:smallCaps/>
          <w:sz w:val="24"/>
          <w:szCs w:val="24"/>
        </w:rPr>
      </w:pPr>
      <w:r w:rsidRPr="00B603A3">
        <w:rPr>
          <w:rFonts w:ascii="Arial" w:hAnsi="Arial" w:cs="Arial"/>
          <w:smallCaps/>
          <w:sz w:val="24"/>
          <w:szCs w:val="24"/>
        </w:rPr>
        <w:t xml:space="preserve">Dr. Héctor </w:t>
      </w:r>
      <w:r w:rsidRPr="00B603A3">
        <w:rPr>
          <w:rFonts w:ascii="Arial" w:hAnsi="Arial" w:cs="Arial"/>
          <w:b/>
          <w:smallCaps/>
          <w:sz w:val="24"/>
          <w:szCs w:val="24"/>
        </w:rPr>
        <w:t>Martínez Valdés</w:t>
      </w:r>
    </w:p>
    <w:p w:rsidR="00B603A3" w:rsidRPr="00B603A3" w:rsidRDefault="00B603A3" w:rsidP="00B603A3">
      <w:pPr>
        <w:pStyle w:val="Prrafodelista"/>
        <w:numPr>
          <w:ilvl w:val="0"/>
          <w:numId w:val="10"/>
        </w:numPr>
        <w:autoSpaceDE w:val="0"/>
        <w:autoSpaceDN w:val="0"/>
        <w:adjustRightInd w:val="0"/>
        <w:spacing w:after="0" w:line="240" w:lineRule="auto"/>
        <w:ind w:left="851" w:hanging="425"/>
        <w:rPr>
          <w:rFonts w:ascii="Arial" w:hAnsi="Arial" w:cs="Arial"/>
          <w:b/>
          <w:smallCaps/>
          <w:sz w:val="24"/>
          <w:szCs w:val="24"/>
        </w:rPr>
      </w:pPr>
      <w:r w:rsidRPr="00B603A3">
        <w:rPr>
          <w:rFonts w:ascii="Arial" w:hAnsi="Arial" w:cs="Arial"/>
          <w:bCs/>
          <w:sz w:val="24"/>
          <w:szCs w:val="24"/>
        </w:rPr>
        <w:t>D</w:t>
      </w:r>
      <w:r w:rsidRPr="00B603A3">
        <w:rPr>
          <w:rFonts w:ascii="Arial" w:hAnsi="Arial" w:cs="Arial"/>
          <w:sz w:val="24"/>
          <w:szCs w:val="24"/>
        </w:rPr>
        <w:t xml:space="preserve">R. </w:t>
      </w:r>
      <w:r w:rsidRPr="00B603A3">
        <w:rPr>
          <w:rFonts w:ascii="Arial" w:hAnsi="Arial" w:cs="Arial"/>
          <w:smallCaps/>
          <w:sz w:val="24"/>
          <w:szCs w:val="24"/>
        </w:rPr>
        <w:t xml:space="preserve">Carlos Alberto </w:t>
      </w:r>
      <w:r w:rsidRPr="00B603A3">
        <w:rPr>
          <w:rFonts w:ascii="Arial" w:hAnsi="Arial" w:cs="Arial"/>
          <w:b/>
          <w:smallCaps/>
          <w:sz w:val="24"/>
          <w:szCs w:val="24"/>
        </w:rPr>
        <w:t>Mastachi Loza</w:t>
      </w:r>
    </w:p>
    <w:p w:rsidR="00B603A3" w:rsidRPr="0056442E" w:rsidRDefault="00B603A3" w:rsidP="00B603A3">
      <w:pPr>
        <w:pStyle w:val="Prrafodelista"/>
        <w:numPr>
          <w:ilvl w:val="0"/>
          <w:numId w:val="10"/>
        </w:numPr>
        <w:autoSpaceDE w:val="0"/>
        <w:autoSpaceDN w:val="0"/>
        <w:adjustRightInd w:val="0"/>
        <w:spacing w:after="0" w:line="240" w:lineRule="auto"/>
        <w:ind w:left="851" w:hanging="425"/>
        <w:rPr>
          <w:rFonts w:ascii="Arial" w:hAnsi="Arial" w:cs="Arial"/>
          <w:smallCaps/>
          <w:sz w:val="24"/>
          <w:szCs w:val="24"/>
        </w:rPr>
      </w:pPr>
      <w:r w:rsidRPr="00B603A3">
        <w:rPr>
          <w:rFonts w:ascii="Arial" w:hAnsi="Arial" w:cs="Arial"/>
          <w:smallCaps/>
          <w:sz w:val="24"/>
          <w:szCs w:val="24"/>
        </w:rPr>
        <w:t xml:space="preserve">Dr. Alejandro Tonatiuh </w:t>
      </w:r>
      <w:r w:rsidRPr="00B603A3">
        <w:rPr>
          <w:rFonts w:ascii="Arial" w:hAnsi="Arial" w:cs="Arial"/>
          <w:b/>
          <w:smallCaps/>
          <w:sz w:val="24"/>
          <w:szCs w:val="24"/>
        </w:rPr>
        <w:t>Romero Contreras</w:t>
      </w:r>
    </w:p>
    <w:p w:rsidR="0056442E" w:rsidRPr="00B603A3" w:rsidRDefault="0056442E" w:rsidP="00B603A3">
      <w:pPr>
        <w:pStyle w:val="Prrafodelista"/>
        <w:numPr>
          <w:ilvl w:val="0"/>
          <w:numId w:val="10"/>
        </w:numPr>
        <w:autoSpaceDE w:val="0"/>
        <w:autoSpaceDN w:val="0"/>
        <w:adjustRightInd w:val="0"/>
        <w:spacing w:after="0" w:line="240" w:lineRule="auto"/>
        <w:ind w:left="851" w:hanging="425"/>
        <w:rPr>
          <w:rFonts w:ascii="Arial" w:hAnsi="Arial" w:cs="Arial"/>
          <w:smallCaps/>
          <w:sz w:val="24"/>
          <w:szCs w:val="24"/>
        </w:rPr>
      </w:pPr>
      <w:r>
        <w:rPr>
          <w:rFonts w:ascii="Arial" w:hAnsi="Arial" w:cs="Arial"/>
          <w:smallCaps/>
          <w:sz w:val="24"/>
          <w:szCs w:val="24"/>
        </w:rPr>
        <w:t xml:space="preserve">Mtra. Rosa Estela </w:t>
      </w:r>
      <w:r w:rsidRPr="0056442E">
        <w:rPr>
          <w:rFonts w:ascii="Arial" w:hAnsi="Arial" w:cs="Arial"/>
          <w:b/>
          <w:smallCaps/>
          <w:sz w:val="24"/>
          <w:szCs w:val="24"/>
        </w:rPr>
        <w:t>Hernández Valdés</w:t>
      </w:r>
    </w:p>
    <w:p w:rsidR="00B603A3" w:rsidRPr="00B603A3" w:rsidRDefault="00B603A3" w:rsidP="00B603A3">
      <w:pPr>
        <w:autoSpaceDE w:val="0"/>
        <w:autoSpaceDN w:val="0"/>
        <w:adjustRightInd w:val="0"/>
        <w:spacing w:after="0" w:line="240" w:lineRule="auto"/>
        <w:ind w:left="426"/>
        <w:rPr>
          <w:rFonts w:ascii="Arial" w:hAnsi="Arial" w:cs="Arial"/>
          <w:b/>
          <w:smallCaps/>
        </w:rPr>
      </w:pPr>
    </w:p>
    <w:p w:rsidR="00B603A3" w:rsidRDefault="00B603A3" w:rsidP="008A62FA">
      <w:pPr>
        <w:pStyle w:val="Sinespaciado"/>
        <w:jc w:val="center"/>
        <w:rPr>
          <w:rFonts w:ascii="Verdana" w:hAnsi="Verdana" w:cs="Arial"/>
          <w:b/>
          <w:color w:val="000000"/>
          <w:sz w:val="24"/>
          <w:szCs w:val="24"/>
        </w:rPr>
      </w:pPr>
    </w:p>
    <w:p w:rsidR="00B603A3" w:rsidRDefault="00B603A3" w:rsidP="008A62FA">
      <w:pPr>
        <w:pStyle w:val="Sinespaciado"/>
        <w:jc w:val="center"/>
        <w:rPr>
          <w:rFonts w:ascii="Verdana" w:hAnsi="Verdana" w:cs="Arial"/>
          <w:b/>
          <w:color w:val="000000"/>
          <w:sz w:val="24"/>
          <w:szCs w:val="24"/>
        </w:rPr>
      </w:pPr>
    </w:p>
    <w:p w:rsidR="00B603A3" w:rsidRDefault="00B603A3" w:rsidP="008A62FA">
      <w:pPr>
        <w:pStyle w:val="Sinespaciado"/>
        <w:jc w:val="center"/>
        <w:rPr>
          <w:rFonts w:ascii="Verdana" w:hAnsi="Verdana" w:cs="Arial"/>
          <w:b/>
          <w:color w:val="000000"/>
          <w:sz w:val="24"/>
          <w:szCs w:val="24"/>
        </w:rPr>
      </w:pPr>
    </w:p>
    <w:p w:rsidR="00B603A3" w:rsidRDefault="00B603A3" w:rsidP="008A62FA">
      <w:pPr>
        <w:pStyle w:val="Sinespaciado"/>
        <w:jc w:val="center"/>
        <w:rPr>
          <w:rFonts w:ascii="Verdana" w:hAnsi="Verdana" w:cs="Arial"/>
          <w:b/>
          <w:color w:val="000000"/>
          <w:sz w:val="24"/>
          <w:szCs w:val="24"/>
        </w:rPr>
      </w:pPr>
    </w:p>
    <w:p w:rsidR="00B603A3" w:rsidRDefault="00B603A3" w:rsidP="008A62FA">
      <w:pPr>
        <w:pStyle w:val="Sinespaciado"/>
        <w:jc w:val="center"/>
        <w:rPr>
          <w:rFonts w:ascii="Verdana" w:hAnsi="Verdana" w:cs="Arial"/>
          <w:b/>
          <w:color w:val="000000"/>
          <w:sz w:val="24"/>
          <w:szCs w:val="24"/>
        </w:rPr>
      </w:pPr>
    </w:p>
    <w:p w:rsidR="00B603A3" w:rsidRDefault="00B603A3" w:rsidP="008A62FA">
      <w:pPr>
        <w:pStyle w:val="Sinespaciado"/>
        <w:jc w:val="center"/>
        <w:rPr>
          <w:rFonts w:ascii="Verdana" w:hAnsi="Verdana" w:cs="Arial"/>
          <w:b/>
          <w:color w:val="000000"/>
          <w:sz w:val="24"/>
          <w:szCs w:val="24"/>
        </w:rPr>
      </w:pPr>
    </w:p>
    <w:p w:rsidR="00B603A3" w:rsidRDefault="00B603A3" w:rsidP="008A62FA">
      <w:pPr>
        <w:pStyle w:val="Sinespaciado"/>
        <w:jc w:val="center"/>
        <w:rPr>
          <w:rFonts w:ascii="Verdana" w:hAnsi="Verdana" w:cs="Arial"/>
          <w:b/>
          <w:color w:val="000000"/>
          <w:sz w:val="24"/>
          <w:szCs w:val="24"/>
        </w:rPr>
      </w:pPr>
    </w:p>
    <w:p w:rsidR="00B603A3" w:rsidRDefault="00B603A3" w:rsidP="008A62FA">
      <w:pPr>
        <w:pStyle w:val="Sinespaciado"/>
        <w:jc w:val="center"/>
        <w:rPr>
          <w:rFonts w:ascii="Verdana" w:hAnsi="Verdana" w:cs="Arial"/>
          <w:b/>
          <w:color w:val="000000"/>
          <w:sz w:val="24"/>
          <w:szCs w:val="24"/>
        </w:rPr>
      </w:pPr>
    </w:p>
    <w:p w:rsidR="00B603A3" w:rsidRDefault="00B603A3" w:rsidP="008A62FA">
      <w:pPr>
        <w:pStyle w:val="Sinespaciado"/>
        <w:jc w:val="center"/>
        <w:rPr>
          <w:rFonts w:ascii="Verdana" w:hAnsi="Verdana" w:cs="Arial"/>
          <w:b/>
          <w:color w:val="000000"/>
          <w:sz w:val="24"/>
          <w:szCs w:val="24"/>
        </w:rPr>
      </w:pPr>
    </w:p>
    <w:p w:rsidR="00B603A3" w:rsidRPr="00762340" w:rsidRDefault="00762340" w:rsidP="008A62FA">
      <w:pPr>
        <w:pStyle w:val="Sinespaciado"/>
        <w:jc w:val="center"/>
        <w:rPr>
          <w:rFonts w:asciiTheme="minorHAnsi" w:hAnsiTheme="minorHAnsi" w:cs="Arial"/>
          <w:color w:val="000000"/>
          <w:sz w:val="28"/>
          <w:szCs w:val="28"/>
        </w:rPr>
      </w:pPr>
      <w:r w:rsidRPr="00762340">
        <w:rPr>
          <w:rFonts w:asciiTheme="minorHAnsi" w:hAnsiTheme="minorHAnsi" w:cs="Arial"/>
          <w:color w:val="000000"/>
          <w:sz w:val="28"/>
          <w:szCs w:val="28"/>
        </w:rPr>
        <w:t>Agosto de 2015</w:t>
      </w:r>
    </w:p>
    <w:p w:rsidR="00B603A3" w:rsidRDefault="00B603A3" w:rsidP="008A62FA">
      <w:pPr>
        <w:pStyle w:val="Sinespaciado"/>
        <w:jc w:val="center"/>
        <w:rPr>
          <w:rFonts w:ascii="Verdana" w:hAnsi="Verdana" w:cs="Arial"/>
          <w:b/>
          <w:color w:val="000000"/>
          <w:sz w:val="24"/>
          <w:szCs w:val="24"/>
        </w:rPr>
      </w:pPr>
    </w:p>
    <w:p w:rsidR="00B603A3" w:rsidRDefault="00B603A3" w:rsidP="008A62FA">
      <w:pPr>
        <w:pStyle w:val="Sinespaciado"/>
        <w:jc w:val="center"/>
        <w:rPr>
          <w:rFonts w:ascii="Verdana" w:hAnsi="Verdana" w:cs="Arial"/>
          <w:b/>
          <w:color w:val="000000"/>
          <w:sz w:val="24"/>
          <w:szCs w:val="24"/>
        </w:rPr>
      </w:pPr>
    </w:p>
    <w:p w:rsidR="00B603A3" w:rsidRDefault="00B603A3" w:rsidP="008A62FA">
      <w:pPr>
        <w:pStyle w:val="Sinespaciado"/>
        <w:jc w:val="center"/>
        <w:rPr>
          <w:rFonts w:ascii="Verdana" w:hAnsi="Verdana" w:cs="Arial"/>
          <w:b/>
          <w:color w:val="000000"/>
          <w:sz w:val="24"/>
          <w:szCs w:val="24"/>
        </w:rPr>
      </w:pPr>
    </w:p>
    <w:p w:rsidR="00B603A3" w:rsidRDefault="00B603A3" w:rsidP="008A62FA">
      <w:pPr>
        <w:pStyle w:val="Sinespaciado"/>
        <w:jc w:val="center"/>
        <w:rPr>
          <w:rFonts w:ascii="Verdana" w:hAnsi="Verdana" w:cs="Arial"/>
          <w:b/>
          <w:color w:val="000000"/>
          <w:sz w:val="24"/>
          <w:szCs w:val="24"/>
        </w:rPr>
      </w:pPr>
    </w:p>
    <w:p w:rsidR="00B603A3" w:rsidRDefault="00B603A3" w:rsidP="008A62FA">
      <w:pPr>
        <w:pStyle w:val="Sinespaciado"/>
        <w:jc w:val="center"/>
        <w:rPr>
          <w:rFonts w:ascii="Verdana" w:hAnsi="Verdana" w:cs="Arial"/>
          <w:b/>
          <w:color w:val="000000"/>
          <w:sz w:val="24"/>
          <w:szCs w:val="24"/>
        </w:rPr>
      </w:pPr>
    </w:p>
    <w:p w:rsidR="00B603A3" w:rsidRDefault="00B603A3" w:rsidP="008A62FA">
      <w:pPr>
        <w:pStyle w:val="Sinespaciado"/>
        <w:jc w:val="center"/>
        <w:rPr>
          <w:rFonts w:ascii="Verdana" w:hAnsi="Verdana" w:cs="Arial"/>
          <w:b/>
          <w:color w:val="000000"/>
          <w:sz w:val="24"/>
          <w:szCs w:val="24"/>
        </w:rPr>
      </w:pPr>
    </w:p>
    <w:p w:rsidR="00B603A3" w:rsidRDefault="00B603A3" w:rsidP="008A62FA">
      <w:pPr>
        <w:pStyle w:val="Sinespaciado"/>
        <w:jc w:val="center"/>
        <w:rPr>
          <w:rFonts w:ascii="Verdana" w:hAnsi="Verdana" w:cs="Arial"/>
          <w:b/>
          <w:color w:val="000000"/>
          <w:sz w:val="24"/>
          <w:szCs w:val="24"/>
        </w:rPr>
      </w:pPr>
    </w:p>
    <w:p w:rsidR="008A62FA" w:rsidRPr="00D00C20" w:rsidRDefault="008A62FA" w:rsidP="008A62FA">
      <w:pPr>
        <w:pStyle w:val="Sinespaciado"/>
        <w:jc w:val="center"/>
        <w:rPr>
          <w:rFonts w:ascii="Verdana" w:hAnsi="Verdana" w:cs="Arial"/>
          <w:b/>
          <w:color w:val="000000"/>
          <w:sz w:val="24"/>
          <w:szCs w:val="24"/>
        </w:rPr>
      </w:pPr>
      <w:r w:rsidRPr="00D00C20">
        <w:rPr>
          <w:rFonts w:ascii="Verdana" w:hAnsi="Verdana" w:cs="Arial"/>
          <w:b/>
          <w:color w:val="000000"/>
          <w:sz w:val="24"/>
          <w:szCs w:val="24"/>
        </w:rPr>
        <w:t>Resumen</w:t>
      </w:r>
    </w:p>
    <w:p w:rsidR="008A62FA" w:rsidRPr="00D00C20" w:rsidRDefault="008A62FA" w:rsidP="008A62FA">
      <w:pPr>
        <w:pStyle w:val="Sinespaciado"/>
        <w:spacing w:line="360" w:lineRule="auto"/>
        <w:jc w:val="both"/>
        <w:rPr>
          <w:rFonts w:ascii="Verdana" w:hAnsi="Verdana" w:cs="Arial"/>
          <w:color w:val="000000"/>
          <w:sz w:val="24"/>
          <w:szCs w:val="24"/>
        </w:rPr>
      </w:pPr>
    </w:p>
    <w:p w:rsidR="008A62FA" w:rsidRPr="00B603A3" w:rsidRDefault="008A62FA" w:rsidP="00B603A3">
      <w:pPr>
        <w:pStyle w:val="Sinespaciado"/>
        <w:spacing w:line="276" w:lineRule="auto"/>
        <w:jc w:val="both"/>
        <w:rPr>
          <w:rFonts w:asciiTheme="minorHAnsi" w:hAnsiTheme="minorHAnsi" w:cs="Arial"/>
          <w:color w:val="000000"/>
          <w:sz w:val="24"/>
          <w:szCs w:val="24"/>
        </w:rPr>
      </w:pPr>
      <w:r w:rsidRPr="00B603A3">
        <w:rPr>
          <w:rFonts w:asciiTheme="minorHAnsi" w:hAnsiTheme="minorHAnsi" w:cs="Arial"/>
          <w:color w:val="000000"/>
          <w:sz w:val="24"/>
          <w:szCs w:val="24"/>
        </w:rPr>
        <w:t>En el Estado de México se concentra el 80% del total de la producción nacional de flor de</w:t>
      </w:r>
      <w:r w:rsidRPr="00B603A3">
        <w:rPr>
          <w:rFonts w:asciiTheme="minorHAnsi" w:hAnsiTheme="minorHAnsi" w:cs="Arial"/>
          <w:color w:val="8DB3E2"/>
        </w:rPr>
        <w:t xml:space="preserve"> </w:t>
      </w:r>
      <w:r w:rsidRPr="00B603A3">
        <w:rPr>
          <w:rFonts w:asciiTheme="minorHAnsi" w:hAnsiTheme="minorHAnsi" w:cs="Arial"/>
          <w:color w:val="000000"/>
          <w:sz w:val="24"/>
          <w:szCs w:val="24"/>
        </w:rPr>
        <w:t>corte, resaltando el municipio de Villa Guerrero con el 56% del total de la producción Estatal y el 70% para exportación. Esto a su vez implica un uso descontrolado de agroquímicos y una posible exposición a los trabajadores. Según datos del Instituto de Salud del Estado de México (ISEM, 2005), hay frecuentes reportes de intoxicaciones por plaguicidas, casos de anencefalia y trastornos del tubo neural; aunque la información disponible resulta insuficiente para establecer una asociación causal entre la exposición a plaguicidas y la generación de estos efectos en la zona florícola (Espitia et al., 2003).</w:t>
      </w:r>
    </w:p>
    <w:p w:rsidR="008A62FA" w:rsidRPr="00B603A3" w:rsidRDefault="008A62FA" w:rsidP="00B603A3">
      <w:pPr>
        <w:pStyle w:val="Sinespaciado"/>
        <w:spacing w:line="276" w:lineRule="auto"/>
        <w:jc w:val="both"/>
        <w:rPr>
          <w:rFonts w:asciiTheme="minorHAnsi" w:hAnsiTheme="minorHAnsi" w:cs="Arial"/>
          <w:color w:val="000000"/>
          <w:sz w:val="24"/>
          <w:szCs w:val="24"/>
        </w:rPr>
      </w:pPr>
    </w:p>
    <w:p w:rsidR="008A62FA" w:rsidRPr="00B603A3" w:rsidRDefault="008A62FA" w:rsidP="00B603A3">
      <w:pPr>
        <w:pStyle w:val="Sinespaciado"/>
        <w:spacing w:line="276" w:lineRule="auto"/>
        <w:jc w:val="both"/>
        <w:rPr>
          <w:rFonts w:asciiTheme="minorHAnsi" w:hAnsiTheme="minorHAnsi" w:cs="Arial"/>
          <w:color w:val="000000"/>
          <w:sz w:val="24"/>
          <w:szCs w:val="24"/>
        </w:rPr>
      </w:pPr>
      <w:r w:rsidRPr="00B603A3">
        <w:rPr>
          <w:rFonts w:asciiTheme="minorHAnsi" w:hAnsiTheme="minorHAnsi" w:cs="Arial"/>
          <w:color w:val="000000"/>
          <w:sz w:val="24"/>
          <w:szCs w:val="24"/>
        </w:rPr>
        <w:t xml:space="preserve">El objetivo de este estudio es analizar el comportamiento espacio-temporal en un Sistema de Información Geográfica (SIG), de las tasas de mortalidad infantil por malformaciones congénitas atribuibles al uso y exposición por plaguicidas, en el Corredor Florícola del Estado de México (CFEM). </w:t>
      </w:r>
    </w:p>
    <w:p w:rsidR="008A62FA" w:rsidRPr="00B603A3" w:rsidRDefault="008A62FA" w:rsidP="00B603A3">
      <w:pPr>
        <w:pStyle w:val="Sinespaciado"/>
        <w:spacing w:line="276" w:lineRule="auto"/>
        <w:jc w:val="both"/>
        <w:rPr>
          <w:rFonts w:asciiTheme="minorHAnsi" w:hAnsiTheme="minorHAnsi" w:cs="Arial"/>
          <w:color w:val="000000"/>
          <w:sz w:val="24"/>
          <w:szCs w:val="24"/>
        </w:rPr>
      </w:pPr>
    </w:p>
    <w:p w:rsidR="008A62FA" w:rsidRPr="00B603A3" w:rsidRDefault="008A62FA" w:rsidP="00B603A3">
      <w:pPr>
        <w:pStyle w:val="Sinespaciado"/>
        <w:spacing w:line="276" w:lineRule="auto"/>
        <w:jc w:val="both"/>
        <w:rPr>
          <w:rFonts w:asciiTheme="minorHAnsi" w:hAnsiTheme="minorHAnsi" w:cs="Arial"/>
          <w:color w:val="000000"/>
          <w:sz w:val="24"/>
          <w:szCs w:val="24"/>
        </w:rPr>
      </w:pPr>
      <w:r w:rsidRPr="00B603A3">
        <w:rPr>
          <w:rFonts w:asciiTheme="minorHAnsi" w:hAnsiTheme="minorHAnsi" w:cs="Arial"/>
          <w:color w:val="000000"/>
          <w:sz w:val="24"/>
          <w:szCs w:val="24"/>
        </w:rPr>
        <w:t>La metodología consistió en: 1) Conocer mediante visitas de campo las situación en los invernaderos en cuanto al uso y forma de aplicación de agroquímicos, el entorno geográfico de las municipalidades con producción florícola, así como las zonas donde no hay presencia de la actividad, con apoyo cartográfico. 2) Procesamiento de las bases de datos de población y mortalidad por defunciones fetales y generales para el período de 1998 a 2012 y al cálculo de las Tasas de Mortalidad Específica (TME)  para las causas de Anencefalia, y Espina bífida para el grupo de población menor a un año de edad. 3) Análisis del comportamiento de las TME utilizando el módulo de tendencias temporales (</w:t>
      </w:r>
      <w:r w:rsidRPr="00B603A3">
        <w:rPr>
          <w:rFonts w:asciiTheme="minorHAnsi" w:hAnsiTheme="minorHAnsi" w:cs="Arial"/>
          <w:i/>
          <w:color w:val="000000"/>
          <w:sz w:val="24"/>
          <w:szCs w:val="24"/>
        </w:rPr>
        <w:t>Earth Trends Modeler</w:t>
      </w:r>
      <w:r w:rsidRPr="00B603A3">
        <w:rPr>
          <w:rFonts w:asciiTheme="minorHAnsi" w:hAnsiTheme="minorHAnsi" w:cs="Arial"/>
          <w:color w:val="000000"/>
          <w:sz w:val="24"/>
          <w:szCs w:val="24"/>
        </w:rPr>
        <w:t xml:space="preserve">) del SIG </w:t>
      </w:r>
      <w:r w:rsidRPr="00B603A3">
        <w:rPr>
          <w:rFonts w:asciiTheme="minorHAnsi" w:hAnsiTheme="minorHAnsi" w:cs="Arial"/>
          <w:i/>
          <w:color w:val="000000"/>
          <w:sz w:val="24"/>
          <w:szCs w:val="24"/>
        </w:rPr>
        <w:t>Idrisi.</w:t>
      </w:r>
      <w:r w:rsidRPr="00B603A3">
        <w:rPr>
          <w:rFonts w:asciiTheme="minorHAnsi" w:hAnsiTheme="minorHAnsi" w:cs="Arial"/>
          <w:color w:val="000000"/>
          <w:sz w:val="24"/>
          <w:szCs w:val="24"/>
        </w:rPr>
        <w:t xml:space="preserve"> 4) Finalmente se calculó el riesgo atribuible considerando como zonas expuestas los municipios de mayor producción florícola, y como no expuestas aquellos en donde la actividad agrícola es prácticamente nula.</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r w:rsidRPr="00B603A3">
        <w:rPr>
          <w:rFonts w:asciiTheme="minorHAnsi" w:hAnsiTheme="minorHAnsi" w:cs="Arial"/>
          <w:color w:val="000000"/>
          <w:sz w:val="24"/>
          <w:szCs w:val="24"/>
        </w:rPr>
        <w:t xml:space="preserve">Los resultados mostraron una fuerte asociación entre el factor de riesgo en las zonas expuestas (municipios dentro del CFEM) con respecto de aquellos municipios que presentan una muy baja actividad agrícola. Con respecto </w:t>
      </w:r>
      <w:r w:rsidRPr="00B603A3">
        <w:rPr>
          <w:rFonts w:asciiTheme="minorHAnsi" w:hAnsiTheme="minorHAnsi" w:cs="Arial"/>
          <w:noProof/>
          <w:sz w:val="24"/>
          <w:szCs w:val="24"/>
          <w:lang w:eastAsia="es-MX"/>
        </w:rPr>
        <w:t>al indicador de riesgo relativo, en la zonas expuesta se presentan 3.6 veces más casos de mortalidad fetal para la causa Q00 que en las zonas no expuestas, el valor más alto se presento para la tasa de mortalidad infantil para la causa Q05, presentándose 6 veces más casos en la zona expuesta con respecto de la no expuesta.</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Para el caso del reisgo atribuible el valor más alto se presento para la TMI_Q05, lo que significa que si se eliminará el factor de riesgo se podría evitar en un 84% la tasa de mortalidad infantil para la causa de espina bífida. Le siguió con un 72% de la Tasa de mortalidad fetal para la causa </w:t>
      </w:r>
      <w:r w:rsidRPr="00B603A3">
        <w:rPr>
          <w:rFonts w:asciiTheme="minorHAnsi" w:hAnsiTheme="minorHAnsi" w:cs="Arial"/>
          <w:color w:val="000000"/>
          <w:sz w:val="24"/>
          <w:szCs w:val="24"/>
        </w:rPr>
        <w:t>Anencefalia que</w:t>
      </w:r>
      <w:r w:rsidRPr="00B603A3">
        <w:rPr>
          <w:rFonts w:asciiTheme="minorHAnsi" w:hAnsiTheme="minorHAnsi" w:cs="Arial"/>
          <w:noProof/>
          <w:sz w:val="24"/>
          <w:szCs w:val="24"/>
          <w:lang w:eastAsia="es-MX"/>
        </w:rPr>
        <w:t xml:space="preserve"> se podría evitar si se eliminará el factor de riesgo. Por su parte la TMI_Q00 no presento asociación al factor de riesgo, así mismo el riesgo relativo fue el más bajo. </w:t>
      </w:r>
    </w:p>
    <w:p w:rsidR="008A62FA" w:rsidRPr="00B603A3" w:rsidRDefault="008A62FA" w:rsidP="00B603A3">
      <w:pPr>
        <w:pStyle w:val="Sinespaciado"/>
        <w:spacing w:line="276" w:lineRule="auto"/>
        <w:jc w:val="both"/>
        <w:rPr>
          <w:rFonts w:asciiTheme="minorHAnsi" w:hAnsiTheme="minorHAnsi" w:cs="Arial"/>
          <w:color w:val="000000"/>
          <w:sz w:val="24"/>
          <w:szCs w:val="24"/>
        </w:rPr>
      </w:pPr>
    </w:p>
    <w:p w:rsidR="008A62FA" w:rsidRPr="00B603A3" w:rsidRDefault="008A62FA" w:rsidP="00B603A3">
      <w:pPr>
        <w:pStyle w:val="Sinespaciado"/>
        <w:spacing w:line="276" w:lineRule="auto"/>
        <w:jc w:val="both"/>
        <w:rPr>
          <w:rFonts w:asciiTheme="minorHAnsi" w:hAnsiTheme="minorHAnsi" w:cs="Arial"/>
          <w:color w:val="000000"/>
          <w:sz w:val="24"/>
          <w:szCs w:val="24"/>
        </w:rPr>
      </w:pPr>
    </w:p>
    <w:p w:rsidR="008A62FA" w:rsidRPr="00B603A3" w:rsidRDefault="008A62FA" w:rsidP="00B603A3">
      <w:pPr>
        <w:pStyle w:val="Sinespaciado"/>
        <w:numPr>
          <w:ilvl w:val="0"/>
          <w:numId w:val="8"/>
        </w:numPr>
        <w:spacing w:line="276" w:lineRule="auto"/>
        <w:ind w:left="426" w:hanging="426"/>
        <w:jc w:val="both"/>
        <w:rPr>
          <w:rFonts w:asciiTheme="minorHAnsi" w:hAnsiTheme="minorHAnsi" w:cs="Arial"/>
          <w:b/>
          <w:color w:val="000000"/>
          <w:sz w:val="28"/>
          <w:szCs w:val="28"/>
        </w:rPr>
      </w:pPr>
      <w:r w:rsidRPr="00B603A3">
        <w:rPr>
          <w:rFonts w:asciiTheme="minorHAnsi" w:hAnsiTheme="minorHAnsi" w:cs="Arial"/>
          <w:b/>
          <w:color w:val="000000"/>
          <w:sz w:val="28"/>
          <w:szCs w:val="28"/>
        </w:rPr>
        <w:t>Introducción</w:t>
      </w:r>
    </w:p>
    <w:p w:rsidR="008A62FA" w:rsidRPr="00B603A3" w:rsidRDefault="008A62FA" w:rsidP="00B603A3">
      <w:pPr>
        <w:pStyle w:val="Sinespaciado"/>
        <w:spacing w:line="276" w:lineRule="auto"/>
        <w:jc w:val="both"/>
        <w:rPr>
          <w:rFonts w:asciiTheme="minorHAnsi" w:hAnsiTheme="minorHAnsi" w:cs="Arial"/>
          <w:b/>
          <w:color w:val="000000"/>
          <w:sz w:val="24"/>
          <w:szCs w:val="24"/>
        </w:rPr>
      </w:pPr>
    </w:p>
    <w:p w:rsidR="008A62FA" w:rsidRPr="00B603A3" w:rsidRDefault="008A62FA" w:rsidP="00B603A3">
      <w:pPr>
        <w:pStyle w:val="Sinespaciado"/>
        <w:spacing w:line="276" w:lineRule="auto"/>
        <w:jc w:val="both"/>
        <w:rPr>
          <w:rFonts w:asciiTheme="minorHAnsi" w:hAnsiTheme="minorHAnsi" w:cs="Arial"/>
          <w:color w:val="000000"/>
          <w:sz w:val="24"/>
          <w:szCs w:val="24"/>
        </w:rPr>
      </w:pPr>
      <w:r w:rsidRPr="00B603A3">
        <w:rPr>
          <w:rFonts w:asciiTheme="minorHAnsi" w:hAnsiTheme="minorHAnsi" w:cs="Arial"/>
          <w:color w:val="000000"/>
          <w:sz w:val="24"/>
          <w:szCs w:val="24"/>
        </w:rPr>
        <w:t>La agricultura es una actividad básica para la supervivencia del ser humano. Desde tiempos remotos hasta la actualidad, se ha ido modificando con la aplicación de nuevos productos como los plaguicidas.</w:t>
      </w:r>
    </w:p>
    <w:p w:rsidR="008A62FA" w:rsidRPr="00B603A3" w:rsidRDefault="008A62FA" w:rsidP="00B603A3">
      <w:pPr>
        <w:spacing w:after="240"/>
        <w:jc w:val="both"/>
        <w:rPr>
          <w:rFonts w:asciiTheme="minorHAnsi" w:hAnsiTheme="minorHAnsi" w:cs="Arial"/>
          <w:color w:val="000000"/>
          <w:sz w:val="24"/>
          <w:szCs w:val="24"/>
        </w:rPr>
      </w:pPr>
      <w:r w:rsidRPr="00B603A3">
        <w:rPr>
          <w:rFonts w:asciiTheme="minorHAnsi" w:hAnsiTheme="minorHAnsi" w:cs="Arial"/>
          <w:color w:val="000000"/>
          <w:sz w:val="24"/>
          <w:szCs w:val="24"/>
        </w:rPr>
        <w:t xml:space="preserve">La importancia del empleo de plaguicidas se debe a que, destruyen o controlan el número de plagas nocivas presentes en: cultivos, y animales, así como también estimulan o inhiben el proceso de crecimiento de plantas, aumenta la biomasa animal y vegetal, combaten algas, bacterias, hongos y malas hierbas (Jolanta et al., 2011). En contraparte constituyen uno de los principales factores de contaminación ambiental, que amenazan la salud humana y a los ecosistemas locales de una zona, debido a su alto grado de toxicidad, bioacumulación y a su naturaleza persistente en el ambiente. (FAO, 2012). </w:t>
      </w:r>
    </w:p>
    <w:p w:rsidR="008A62FA" w:rsidRPr="00B603A3" w:rsidRDefault="008A62FA" w:rsidP="00B603A3">
      <w:pPr>
        <w:spacing w:before="240"/>
        <w:jc w:val="both"/>
        <w:rPr>
          <w:rFonts w:asciiTheme="minorHAnsi" w:hAnsiTheme="minorHAnsi" w:cs="Arial"/>
          <w:color w:val="000000"/>
          <w:sz w:val="24"/>
          <w:szCs w:val="24"/>
        </w:rPr>
      </w:pPr>
      <w:r w:rsidRPr="00B603A3">
        <w:rPr>
          <w:rFonts w:asciiTheme="minorHAnsi" w:hAnsiTheme="minorHAnsi" w:cs="Arial"/>
          <w:color w:val="000000"/>
          <w:sz w:val="24"/>
          <w:szCs w:val="24"/>
        </w:rPr>
        <w:t xml:space="preserve">En México, los principales Estados con mayor volumen de producción, son: Estado de México (53%), Puebla (23%), Sinaloa (11%), Baja California (4%), Guerrero (3%), seguidos en menor porcentaje por entidades como: Morelos, Veracruz, Oaxaca, Jalisco, Distrito Federal, Michoacán, Chiapas y Nayarit (SAGARPA, 2006). </w:t>
      </w:r>
    </w:p>
    <w:p w:rsidR="008A62FA" w:rsidRPr="00B603A3" w:rsidRDefault="008A62FA" w:rsidP="00B603A3">
      <w:pPr>
        <w:spacing w:before="240"/>
        <w:jc w:val="both"/>
        <w:rPr>
          <w:rFonts w:asciiTheme="minorHAnsi" w:hAnsiTheme="minorHAnsi" w:cs="Arial"/>
          <w:color w:val="000000"/>
          <w:sz w:val="24"/>
          <w:szCs w:val="24"/>
        </w:rPr>
      </w:pPr>
      <w:r w:rsidRPr="00B603A3">
        <w:rPr>
          <w:rFonts w:asciiTheme="minorHAnsi" w:hAnsiTheme="minorHAnsi" w:cs="Arial"/>
          <w:color w:val="000000"/>
          <w:sz w:val="24"/>
          <w:szCs w:val="24"/>
        </w:rPr>
        <w:t>En México se utiliza el 60% de los plaguicidas considerados perjudícales para la salud y el medio ambiente, de ellos, el 42% se fabrican en el país. De 90 plaguicidas que han sido cancelados o restringidos en los Estado Unidos, 30 se usan en México (INEGI, 1992). Los plaguicidas prohibidos en México se muestran en la siguiente tabla según el Diario Oficial de la Federación (DOF) (INE, 2012).</w:t>
      </w:r>
    </w:p>
    <w:p w:rsidR="008A62FA" w:rsidRPr="00B603A3" w:rsidRDefault="008A62FA" w:rsidP="00B603A3">
      <w:pPr>
        <w:jc w:val="both"/>
        <w:rPr>
          <w:rFonts w:asciiTheme="minorHAnsi" w:hAnsiTheme="minorHAnsi" w:cs="Arial"/>
          <w:color w:val="000000"/>
          <w:sz w:val="24"/>
          <w:szCs w:val="24"/>
        </w:rPr>
      </w:pPr>
      <w:r w:rsidRPr="00B603A3">
        <w:rPr>
          <w:rFonts w:asciiTheme="minorHAnsi" w:hAnsiTheme="minorHAnsi" w:cs="Arial"/>
          <w:color w:val="000000"/>
          <w:sz w:val="24"/>
          <w:szCs w:val="24"/>
        </w:rPr>
        <w:t>Tabla 1. Plaguicidas prohibidos en México, conforme al DOF (INE, 2012)</w:t>
      </w:r>
    </w:p>
    <w:tbl>
      <w:tblPr>
        <w:tblW w:w="8978" w:type="dxa"/>
        <w:tblBorders>
          <w:top w:val="single" w:sz="8" w:space="0" w:color="000000"/>
          <w:bottom w:val="single" w:sz="8" w:space="0" w:color="000000"/>
        </w:tblBorders>
        <w:tblLook w:val="04A0" w:firstRow="1" w:lastRow="0" w:firstColumn="1" w:lastColumn="0" w:noHBand="0" w:noVBand="1"/>
      </w:tblPr>
      <w:tblGrid>
        <w:gridCol w:w="3368"/>
        <w:gridCol w:w="3402"/>
        <w:gridCol w:w="2208"/>
      </w:tblGrid>
      <w:tr w:rsidR="008A62FA" w:rsidRPr="00B603A3" w:rsidTr="00B603A3">
        <w:trPr>
          <w:trHeight w:val="263"/>
        </w:trPr>
        <w:tc>
          <w:tcPr>
            <w:tcW w:w="3368" w:type="dxa"/>
            <w:tcBorders>
              <w:top w:val="single" w:sz="8" w:space="0" w:color="000000"/>
              <w:left w:val="nil"/>
              <w:bottom w:val="single" w:sz="8" w:space="0" w:color="000000"/>
              <w:right w:val="single" w:sz="4" w:space="0" w:color="000000"/>
            </w:tcBorders>
            <w:shd w:val="clear" w:color="auto" w:fill="auto"/>
          </w:tcPr>
          <w:p w:rsidR="008A62FA" w:rsidRPr="00B603A3" w:rsidRDefault="008A62FA" w:rsidP="00B603A3">
            <w:pPr>
              <w:spacing w:after="0"/>
              <w:jc w:val="center"/>
              <w:rPr>
                <w:rFonts w:asciiTheme="minorHAnsi" w:hAnsiTheme="minorHAnsi" w:cs="Arial"/>
                <w:b/>
                <w:bCs/>
                <w:color w:val="000000"/>
              </w:rPr>
            </w:pPr>
            <w:r w:rsidRPr="00B603A3">
              <w:rPr>
                <w:rFonts w:asciiTheme="minorHAnsi" w:hAnsiTheme="minorHAnsi" w:cs="Arial"/>
                <w:bCs/>
                <w:color w:val="000000"/>
              </w:rPr>
              <w:t>Triamifos</w:t>
            </w:r>
          </w:p>
        </w:tc>
        <w:tc>
          <w:tcPr>
            <w:tcW w:w="3402" w:type="dxa"/>
            <w:tcBorders>
              <w:top w:val="single" w:sz="8" w:space="0" w:color="000000"/>
              <w:left w:val="single" w:sz="4" w:space="0" w:color="000000"/>
              <w:bottom w:val="single" w:sz="8" w:space="0" w:color="000000"/>
              <w:right w:val="single" w:sz="4" w:space="0" w:color="000000"/>
            </w:tcBorders>
            <w:shd w:val="clear" w:color="auto" w:fill="auto"/>
          </w:tcPr>
          <w:p w:rsidR="008A62FA" w:rsidRPr="00B603A3" w:rsidRDefault="008A62FA" w:rsidP="00B603A3">
            <w:pPr>
              <w:spacing w:before="100" w:beforeAutospacing="1" w:after="0"/>
              <w:jc w:val="center"/>
              <w:rPr>
                <w:rFonts w:asciiTheme="minorHAnsi" w:hAnsiTheme="minorHAnsi" w:cs="Arial"/>
                <w:b/>
                <w:bCs/>
                <w:color w:val="000000"/>
              </w:rPr>
            </w:pPr>
            <w:r w:rsidRPr="00B603A3">
              <w:rPr>
                <w:rFonts w:asciiTheme="minorHAnsi" w:hAnsiTheme="minorHAnsi" w:cs="Arial"/>
                <w:bCs/>
                <w:color w:val="000000"/>
              </w:rPr>
              <w:t>Erbon</w:t>
            </w:r>
          </w:p>
        </w:tc>
        <w:tc>
          <w:tcPr>
            <w:tcW w:w="2208" w:type="dxa"/>
            <w:tcBorders>
              <w:top w:val="single" w:sz="8" w:space="0" w:color="000000"/>
              <w:left w:val="single" w:sz="4" w:space="0" w:color="000000"/>
              <w:bottom w:val="single" w:sz="8" w:space="0" w:color="000000"/>
              <w:right w:val="single" w:sz="4" w:space="0" w:color="FFFFFF"/>
            </w:tcBorders>
            <w:shd w:val="clear" w:color="auto" w:fill="auto"/>
          </w:tcPr>
          <w:p w:rsidR="008A62FA" w:rsidRPr="00B603A3" w:rsidRDefault="008A62FA" w:rsidP="00B603A3">
            <w:pPr>
              <w:spacing w:before="100" w:beforeAutospacing="1" w:after="0"/>
              <w:jc w:val="center"/>
              <w:rPr>
                <w:rFonts w:asciiTheme="minorHAnsi" w:hAnsiTheme="minorHAnsi" w:cs="Arial"/>
                <w:b/>
                <w:bCs/>
                <w:color w:val="000000"/>
              </w:rPr>
            </w:pPr>
            <w:r w:rsidRPr="00B603A3">
              <w:rPr>
                <w:rFonts w:asciiTheme="minorHAnsi" w:hAnsiTheme="minorHAnsi" w:cs="Arial"/>
                <w:bCs/>
                <w:color w:val="000000"/>
              </w:rPr>
              <w:t>DBCP</w:t>
            </w:r>
          </w:p>
        </w:tc>
      </w:tr>
      <w:tr w:rsidR="008A62FA" w:rsidRPr="00B603A3" w:rsidTr="00B603A3">
        <w:trPr>
          <w:trHeight w:val="240"/>
        </w:trPr>
        <w:tc>
          <w:tcPr>
            <w:tcW w:w="3368" w:type="dxa"/>
            <w:tcBorders>
              <w:left w:val="nil"/>
              <w:bottom w:val="single" w:sz="4" w:space="0" w:color="000000"/>
              <w:right w:val="single" w:sz="4" w:space="0" w:color="000000"/>
            </w:tcBorders>
            <w:shd w:val="clear" w:color="auto" w:fill="auto"/>
          </w:tcPr>
          <w:p w:rsidR="008A62FA" w:rsidRPr="00B603A3" w:rsidRDefault="008A62FA" w:rsidP="00B603A3">
            <w:pPr>
              <w:spacing w:after="0"/>
              <w:jc w:val="center"/>
              <w:rPr>
                <w:rFonts w:asciiTheme="minorHAnsi" w:hAnsiTheme="minorHAnsi" w:cs="Arial"/>
                <w:b/>
                <w:bCs/>
                <w:color w:val="000000"/>
              </w:rPr>
            </w:pPr>
            <w:r w:rsidRPr="00B603A3">
              <w:rPr>
                <w:rFonts w:asciiTheme="minorHAnsi" w:hAnsiTheme="minorHAnsi" w:cs="Arial"/>
                <w:bCs/>
                <w:color w:val="000000"/>
              </w:rPr>
              <w:t>Mercurio</w:t>
            </w:r>
          </w:p>
        </w:tc>
        <w:tc>
          <w:tcPr>
            <w:tcW w:w="3402" w:type="dxa"/>
            <w:tcBorders>
              <w:left w:val="single" w:sz="4" w:space="0" w:color="000000"/>
              <w:bottom w:val="single" w:sz="4" w:space="0" w:color="000000"/>
              <w:right w:val="single" w:sz="4" w:space="0" w:color="000000"/>
            </w:tcBorders>
            <w:shd w:val="clear" w:color="auto" w:fill="auto"/>
          </w:tcPr>
          <w:p w:rsidR="008A62FA" w:rsidRPr="00B603A3" w:rsidRDefault="008A62FA" w:rsidP="00B603A3">
            <w:pPr>
              <w:spacing w:after="0"/>
              <w:jc w:val="center"/>
              <w:rPr>
                <w:rFonts w:asciiTheme="minorHAnsi" w:hAnsiTheme="minorHAnsi" w:cs="Arial"/>
                <w:color w:val="000000"/>
              </w:rPr>
            </w:pPr>
            <w:r w:rsidRPr="00B603A3">
              <w:rPr>
                <w:rFonts w:asciiTheme="minorHAnsi" w:hAnsiTheme="minorHAnsi" w:cs="Arial"/>
                <w:color w:val="000000"/>
              </w:rPr>
              <w:t>Formotion</w:t>
            </w:r>
          </w:p>
        </w:tc>
        <w:tc>
          <w:tcPr>
            <w:tcW w:w="2208" w:type="dxa"/>
            <w:tcBorders>
              <w:left w:val="single" w:sz="4" w:space="0" w:color="000000"/>
              <w:bottom w:val="single" w:sz="4" w:space="0" w:color="000000"/>
              <w:right w:val="single" w:sz="4" w:space="0" w:color="FFFFFF"/>
            </w:tcBorders>
            <w:shd w:val="clear" w:color="auto" w:fill="auto"/>
          </w:tcPr>
          <w:p w:rsidR="008A62FA" w:rsidRPr="00B603A3" w:rsidRDefault="008A62FA" w:rsidP="00B603A3">
            <w:pPr>
              <w:spacing w:before="100" w:beforeAutospacing="1" w:after="0"/>
              <w:jc w:val="center"/>
              <w:rPr>
                <w:rFonts w:asciiTheme="minorHAnsi" w:hAnsiTheme="minorHAnsi" w:cs="Arial"/>
                <w:color w:val="000000"/>
              </w:rPr>
            </w:pPr>
            <w:r w:rsidRPr="00B603A3">
              <w:rPr>
                <w:rFonts w:asciiTheme="minorHAnsi" w:hAnsiTheme="minorHAnsi" w:cs="Arial"/>
                <w:color w:val="000000"/>
              </w:rPr>
              <w:t>Dialiafor</w:t>
            </w:r>
          </w:p>
        </w:tc>
      </w:tr>
      <w:tr w:rsidR="008A62FA" w:rsidRPr="00B603A3" w:rsidTr="00B603A3">
        <w:tc>
          <w:tcPr>
            <w:tcW w:w="3368" w:type="dxa"/>
            <w:tcBorders>
              <w:bottom w:val="single" w:sz="4" w:space="0" w:color="000000"/>
              <w:right w:val="single" w:sz="4" w:space="0" w:color="000000"/>
            </w:tcBorders>
            <w:shd w:val="clear" w:color="auto" w:fill="auto"/>
          </w:tcPr>
          <w:p w:rsidR="008A62FA" w:rsidRPr="00B603A3" w:rsidRDefault="008A62FA" w:rsidP="00B603A3">
            <w:pPr>
              <w:spacing w:after="0"/>
              <w:jc w:val="center"/>
              <w:rPr>
                <w:rFonts w:asciiTheme="minorHAnsi" w:hAnsiTheme="minorHAnsi" w:cs="Arial"/>
                <w:b/>
                <w:bCs/>
                <w:color w:val="000000"/>
              </w:rPr>
            </w:pPr>
            <w:r w:rsidRPr="00B603A3">
              <w:rPr>
                <w:rFonts w:asciiTheme="minorHAnsi" w:hAnsiTheme="minorHAnsi" w:cs="Arial"/>
                <w:bCs/>
                <w:color w:val="000000"/>
              </w:rPr>
              <w:t>Acido 2,4,5-T</w:t>
            </w:r>
          </w:p>
        </w:tc>
        <w:tc>
          <w:tcPr>
            <w:tcW w:w="3402" w:type="dxa"/>
            <w:tcBorders>
              <w:left w:val="single" w:sz="4" w:space="0" w:color="000000"/>
              <w:bottom w:val="single" w:sz="4" w:space="0" w:color="000000"/>
              <w:right w:val="single" w:sz="4" w:space="0" w:color="000000"/>
            </w:tcBorders>
            <w:shd w:val="clear" w:color="auto" w:fill="auto"/>
          </w:tcPr>
          <w:p w:rsidR="008A62FA" w:rsidRPr="00B603A3" w:rsidRDefault="008A62FA" w:rsidP="00B603A3">
            <w:pPr>
              <w:spacing w:after="0"/>
              <w:jc w:val="center"/>
              <w:rPr>
                <w:rFonts w:asciiTheme="minorHAnsi" w:hAnsiTheme="minorHAnsi" w:cs="Arial"/>
                <w:color w:val="000000"/>
              </w:rPr>
            </w:pPr>
            <w:r w:rsidRPr="00B603A3">
              <w:rPr>
                <w:rFonts w:asciiTheme="minorHAnsi" w:hAnsiTheme="minorHAnsi" w:cs="Arial"/>
                <w:color w:val="000000"/>
              </w:rPr>
              <w:t>Scradan</w:t>
            </w:r>
          </w:p>
        </w:tc>
        <w:tc>
          <w:tcPr>
            <w:tcW w:w="2208" w:type="dxa"/>
            <w:tcBorders>
              <w:left w:val="single" w:sz="4" w:space="0" w:color="000000"/>
              <w:bottom w:val="single" w:sz="4" w:space="0" w:color="000000"/>
              <w:right w:val="single" w:sz="4" w:space="0" w:color="FFFFFF"/>
            </w:tcBorders>
            <w:shd w:val="clear" w:color="auto" w:fill="auto"/>
          </w:tcPr>
          <w:p w:rsidR="008A62FA" w:rsidRPr="00B603A3" w:rsidRDefault="008A62FA" w:rsidP="00B603A3">
            <w:pPr>
              <w:spacing w:after="0"/>
              <w:jc w:val="center"/>
              <w:rPr>
                <w:rFonts w:asciiTheme="minorHAnsi" w:hAnsiTheme="minorHAnsi" w:cs="Arial"/>
                <w:color w:val="000000"/>
              </w:rPr>
            </w:pPr>
            <w:r w:rsidRPr="00B603A3">
              <w:rPr>
                <w:rFonts w:asciiTheme="minorHAnsi" w:hAnsiTheme="minorHAnsi" w:cs="Arial"/>
                <w:color w:val="000000"/>
              </w:rPr>
              <w:t>Dieldrin</w:t>
            </w:r>
          </w:p>
        </w:tc>
      </w:tr>
      <w:tr w:rsidR="008A62FA" w:rsidRPr="00B603A3" w:rsidTr="00B603A3">
        <w:tc>
          <w:tcPr>
            <w:tcW w:w="3368" w:type="dxa"/>
            <w:tcBorders>
              <w:top w:val="single" w:sz="4" w:space="0" w:color="000000"/>
              <w:left w:val="nil"/>
              <w:bottom w:val="single" w:sz="4" w:space="0" w:color="000000"/>
              <w:right w:val="single" w:sz="4" w:space="0" w:color="000000"/>
            </w:tcBorders>
            <w:shd w:val="clear" w:color="auto" w:fill="auto"/>
          </w:tcPr>
          <w:p w:rsidR="008A62FA" w:rsidRPr="00B603A3" w:rsidRDefault="008A62FA" w:rsidP="00B603A3">
            <w:pPr>
              <w:spacing w:after="0"/>
              <w:jc w:val="center"/>
              <w:rPr>
                <w:rFonts w:asciiTheme="minorHAnsi" w:hAnsiTheme="minorHAnsi" w:cs="Arial"/>
                <w:b/>
                <w:bCs/>
                <w:color w:val="000000"/>
              </w:rPr>
            </w:pPr>
            <w:r w:rsidRPr="00B603A3">
              <w:rPr>
                <w:rFonts w:asciiTheme="minorHAnsi" w:hAnsiTheme="minorHAnsi" w:cs="Arial"/>
                <w:bCs/>
                <w:color w:val="000000"/>
              </w:rPr>
              <w:t>Aldrin</w:t>
            </w:r>
          </w:p>
        </w:tc>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8A62FA" w:rsidRPr="00B603A3" w:rsidRDefault="008A62FA" w:rsidP="00B603A3">
            <w:pPr>
              <w:spacing w:after="0"/>
              <w:jc w:val="center"/>
              <w:rPr>
                <w:rFonts w:asciiTheme="minorHAnsi" w:hAnsiTheme="minorHAnsi" w:cs="Arial"/>
                <w:color w:val="000000"/>
              </w:rPr>
            </w:pPr>
            <w:r w:rsidRPr="00B603A3">
              <w:rPr>
                <w:rFonts w:asciiTheme="minorHAnsi" w:hAnsiTheme="minorHAnsi" w:cs="Arial"/>
                <w:color w:val="000000"/>
              </w:rPr>
              <w:t>Fumisel</w:t>
            </w:r>
          </w:p>
        </w:tc>
        <w:tc>
          <w:tcPr>
            <w:tcW w:w="2208" w:type="dxa"/>
            <w:tcBorders>
              <w:top w:val="single" w:sz="4" w:space="0" w:color="000000"/>
              <w:left w:val="single" w:sz="4" w:space="0" w:color="000000"/>
              <w:bottom w:val="single" w:sz="4" w:space="0" w:color="000000"/>
              <w:right w:val="single" w:sz="4" w:space="0" w:color="FFFFFF"/>
            </w:tcBorders>
            <w:shd w:val="clear" w:color="auto" w:fill="auto"/>
          </w:tcPr>
          <w:p w:rsidR="008A62FA" w:rsidRPr="00B603A3" w:rsidRDefault="008A62FA" w:rsidP="00B603A3">
            <w:pPr>
              <w:spacing w:after="0"/>
              <w:jc w:val="center"/>
              <w:rPr>
                <w:rFonts w:asciiTheme="minorHAnsi" w:hAnsiTheme="minorHAnsi" w:cs="Arial"/>
                <w:color w:val="000000"/>
              </w:rPr>
            </w:pPr>
            <w:r w:rsidRPr="00B603A3">
              <w:rPr>
                <w:rFonts w:asciiTheme="minorHAnsi" w:hAnsiTheme="minorHAnsi" w:cs="Arial"/>
                <w:color w:val="000000"/>
              </w:rPr>
              <w:t>Dinoseb</w:t>
            </w:r>
          </w:p>
        </w:tc>
      </w:tr>
      <w:tr w:rsidR="008A62FA" w:rsidRPr="00B603A3" w:rsidTr="00B603A3">
        <w:trPr>
          <w:trHeight w:val="257"/>
        </w:trPr>
        <w:tc>
          <w:tcPr>
            <w:tcW w:w="3368" w:type="dxa"/>
            <w:tcBorders>
              <w:top w:val="single" w:sz="4" w:space="0" w:color="000000"/>
              <w:bottom w:val="single" w:sz="4" w:space="0" w:color="000000"/>
              <w:right w:val="single" w:sz="4" w:space="0" w:color="000000"/>
            </w:tcBorders>
            <w:shd w:val="clear" w:color="auto" w:fill="auto"/>
          </w:tcPr>
          <w:p w:rsidR="008A62FA" w:rsidRPr="00B603A3" w:rsidRDefault="008A62FA" w:rsidP="00B603A3">
            <w:pPr>
              <w:spacing w:after="0"/>
              <w:jc w:val="center"/>
              <w:rPr>
                <w:rFonts w:asciiTheme="minorHAnsi" w:hAnsiTheme="minorHAnsi" w:cs="Arial"/>
                <w:b/>
                <w:bCs/>
                <w:color w:val="000000"/>
              </w:rPr>
            </w:pPr>
            <w:r w:rsidRPr="00B603A3">
              <w:rPr>
                <w:rFonts w:asciiTheme="minorHAnsi" w:hAnsiTheme="minorHAnsi" w:cs="Arial"/>
                <w:bCs/>
                <w:color w:val="000000"/>
              </w:rPr>
              <w:t>Cianofos</w:t>
            </w:r>
          </w:p>
        </w:tc>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8A62FA" w:rsidRPr="00B603A3" w:rsidRDefault="008A62FA" w:rsidP="00B603A3">
            <w:pPr>
              <w:spacing w:after="0"/>
              <w:jc w:val="center"/>
              <w:rPr>
                <w:rFonts w:asciiTheme="minorHAnsi" w:hAnsiTheme="minorHAnsi" w:cs="Arial"/>
                <w:color w:val="000000"/>
              </w:rPr>
            </w:pPr>
            <w:r w:rsidRPr="00B603A3">
              <w:rPr>
                <w:rFonts w:asciiTheme="minorHAnsi" w:hAnsiTheme="minorHAnsi" w:cs="Arial"/>
                <w:color w:val="000000"/>
              </w:rPr>
              <w:t>Kepone/Clordecone</w:t>
            </w:r>
          </w:p>
        </w:tc>
        <w:tc>
          <w:tcPr>
            <w:tcW w:w="2208" w:type="dxa"/>
            <w:tcBorders>
              <w:top w:val="single" w:sz="4" w:space="0" w:color="000000"/>
              <w:left w:val="single" w:sz="4" w:space="0" w:color="000000"/>
              <w:bottom w:val="single" w:sz="4" w:space="0" w:color="000000"/>
              <w:right w:val="single" w:sz="4" w:space="0" w:color="FFFFFF"/>
            </w:tcBorders>
            <w:shd w:val="clear" w:color="auto" w:fill="auto"/>
          </w:tcPr>
          <w:p w:rsidR="008A62FA" w:rsidRPr="00B603A3" w:rsidRDefault="008A62FA" w:rsidP="00B603A3">
            <w:pPr>
              <w:spacing w:before="100" w:beforeAutospacing="1" w:after="0"/>
              <w:jc w:val="center"/>
              <w:rPr>
                <w:rFonts w:asciiTheme="minorHAnsi" w:hAnsiTheme="minorHAnsi" w:cs="Arial"/>
                <w:color w:val="000000"/>
              </w:rPr>
            </w:pPr>
            <w:r w:rsidRPr="00B603A3">
              <w:rPr>
                <w:rFonts w:asciiTheme="minorHAnsi" w:hAnsiTheme="minorHAnsi" w:cs="Arial"/>
                <w:color w:val="000000"/>
              </w:rPr>
              <w:t>Endrin</w:t>
            </w:r>
          </w:p>
        </w:tc>
      </w:tr>
      <w:tr w:rsidR="008A62FA" w:rsidRPr="00B603A3" w:rsidTr="00B603A3">
        <w:tc>
          <w:tcPr>
            <w:tcW w:w="3368" w:type="dxa"/>
            <w:tcBorders>
              <w:left w:val="nil"/>
              <w:bottom w:val="single" w:sz="4" w:space="0" w:color="000000"/>
              <w:right w:val="single" w:sz="4" w:space="0" w:color="auto"/>
            </w:tcBorders>
            <w:shd w:val="clear" w:color="auto" w:fill="auto"/>
          </w:tcPr>
          <w:p w:rsidR="008A62FA" w:rsidRPr="00B603A3" w:rsidRDefault="008A62FA" w:rsidP="00B603A3">
            <w:pPr>
              <w:spacing w:after="0"/>
              <w:jc w:val="center"/>
              <w:rPr>
                <w:rFonts w:asciiTheme="minorHAnsi" w:hAnsiTheme="minorHAnsi" w:cs="Arial"/>
                <w:b/>
                <w:bCs/>
                <w:color w:val="000000"/>
              </w:rPr>
            </w:pPr>
            <w:r w:rsidRPr="00B603A3">
              <w:rPr>
                <w:rFonts w:asciiTheme="minorHAnsi" w:hAnsiTheme="minorHAnsi" w:cs="Arial"/>
                <w:bCs/>
                <w:color w:val="000000"/>
              </w:rPr>
              <w:t>Cloranil</w:t>
            </w:r>
          </w:p>
        </w:tc>
        <w:tc>
          <w:tcPr>
            <w:tcW w:w="3402" w:type="dxa"/>
            <w:tcBorders>
              <w:left w:val="single" w:sz="4" w:space="0" w:color="auto"/>
              <w:bottom w:val="single" w:sz="4" w:space="0" w:color="000000"/>
              <w:right w:val="single" w:sz="4" w:space="0" w:color="000000"/>
            </w:tcBorders>
            <w:shd w:val="clear" w:color="auto" w:fill="auto"/>
          </w:tcPr>
          <w:p w:rsidR="008A62FA" w:rsidRPr="00B603A3" w:rsidRDefault="008A62FA" w:rsidP="00B603A3">
            <w:pPr>
              <w:spacing w:after="0"/>
              <w:jc w:val="center"/>
              <w:rPr>
                <w:rFonts w:asciiTheme="minorHAnsi" w:hAnsiTheme="minorHAnsi" w:cs="Arial"/>
                <w:color w:val="000000"/>
              </w:rPr>
            </w:pPr>
            <w:r w:rsidRPr="00B603A3">
              <w:rPr>
                <w:rFonts w:asciiTheme="minorHAnsi" w:hAnsiTheme="minorHAnsi" w:cs="Arial"/>
                <w:color w:val="000000"/>
              </w:rPr>
              <w:t>Mirex</w:t>
            </w:r>
          </w:p>
        </w:tc>
        <w:tc>
          <w:tcPr>
            <w:tcW w:w="2208" w:type="dxa"/>
            <w:tcBorders>
              <w:left w:val="single" w:sz="4" w:space="0" w:color="000000"/>
              <w:bottom w:val="single" w:sz="4" w:space="0" w:color="000000"/>
              <w:right w:val="single" w:sz="4" w:space="0" w:color="FFFFFF"/>
            </w:tcBorders>
            <w:shd w:val="clear" w:color="auto" w:fill="auto"/>
          </w:tcPr>
          <w:p w:rsidR="008A62FA" w:rsidRPr="00B603A3" w:rsidRDefault="008A62FA" w:rsidP="00B603A3">
            <w:pPr>
              <w:spacing w:before="100" w:beforeAutospacing="1" w:after="0"/>
              <w:jc w:val="center"/>
              <w:rPr>
                <w:rFonts w:asciiTheme="minorHAnsi" w:hAnsiTheme="minorHAnsi" w:cs="Arial"/>
                <w:color w:val="000000"/>
              </w:rPr>
            </w:pPr>
            <w:r w:rsidRPr="00B603A3">
              <w:rPr>
                <w:rFonts w:asciiTheme="minorHAnsi" w:hAnsiTheme="minorHAnsi" w:cs="Arial"/>
                <w:color w:val="000000"/>
              </w:rPr>
              <w:t>Monuron</w:t>
            </w:r>
          </w:p>
        </w:tc>
      </w:tr>
      <w:tr w:rsidR="008A62FA" w:rsidRPr="00B603A3" w:rsidTr="00B603A3">
        <w:trPr>
          <w:trHeight w:val="223"/>
        </w:trPr>
        <w:tc>
          <w:tcPr>
            <w:tcW w:w="3368" w:type="dxa"/>
            <w:tcBorders>
              <w:top w:val="single" w:sz="4" w:space="0" w:color="000000"/>
              <w:bottom w:val="single" w:sz="4" w:space="0" w:color="000000"/>
              <w:right w:val="single" w:sz="4" w:space="0" w:color="auto"/>
            </w:tcBorders>
            <w:shd w:val="clear" w:color="auto" w:fill="auto"/>
          </w:tcPr>
          <w:p w:rsidR="008A62FA" w:rsidRPr="00B603A3" w:rsidRDefault="008A62FA" w:rsidP="00B603A3">
            <w:pPr>
              <w:spacing w:after="0"/>
              <w:jc w:val="center"/>
              <w:rPr>
                <w:rFonts w:asciiTheme="minorHAnsi" w:hAnsiTheme="minorHAnsi" w:cs="Arial"/>
                <w:b/>
                <w:bCs/>
                <w:color w:val="000000"/>
              </w:rPr>
            </w:pPr>
            <w:r w:rsidRPr="00B603A3">
              <w:rPr>
                <w:rFonts w:asciiTheme="minorHAnsi" w:hAnsiTheme="minorHAnsi" w:cs="Arial"/>
                <w:bCs/>
                <w:color w:val="000000"/>
              </w:rPr>
              <w:t>Nitrofen</w:t>
            </w:r>
          </w:p>
        </w:tc>
        <w:tc>
          <w:tcPr>
            <w:tcW w:w="3402" w:type="dxa"/>
            <w:tcBorders>
              <w:top w:val="single" w:sz="4" w:space="0" w:color="000000"/>
              <w:left w:val="single" w:sz="4" w:space="0" w:color="auto"/>
              <w:bottom w:val="single" w:sz="4" w:space="0" w:color="000000"/>
              <w:right w:val="single" w:sz="4" w:space="0" w:color="000000"/>
            </w:tcBorders>
            <w:shd w:val="clear" w:color="auto" w:fill="auto"/>
          </w:tcPr>
          <w:p w:rsidR="008A62FA" w:rsidRPr="00B603A3" w:rsidRDefault="008A62FA" w:rsidP="00B603A3">
            <w:pPr>
              <w:spacing w:after="0"/>
              <w:jc w:val="center"/>
              <w:rPr>
                <w:rFonts w:asciiTheme="minorHAnsi" w:hAnsiTheme="minorHAnsi" w:cs="Arial"/>
                <w:color w:val="000000"/>
              </w:rPr>
            </w:pPr>
            <w:r w:rsidRPr="00B603A3">
              <w:rPr>
                <w:rFonts w:asciiTheme="minorHAnsi" w:hAnsiTheme="minorHAnsi" w:cs="Arial"/>
                <w:color w:val="000000"/>
              </w:rPr>
              <w:t>HCH</w:t>
            </w:r>
          </w:p>
        </w:tc>
        <w:tc>
          <w:tcPr>
            <w:tcW w:w="2208" w:type="dxa"/>
            <w:tcBorders>
              <w:top w:val="single" w:sz="4" w:space="0" w:color="000000"/>
              <w:left w:val="single" w:sz="4" w:space="0" w:color="000000"/>
              <w:bottom w:val="single" w:sz="4" w:space="0" w:color="000000"/>
              <w:right w:val="single" w:sz="4" w:space="0" w:color="FFFFFF"/>
            </w:tcBorders>
            <w:shd w:val="clear" w:color="auto" w:fill="auto"/>
          </w:tcPr>
          <w:p w:rsidR="008A62FA" w:rsidRPr="00B603A3" w:rsidRDefault="008A62FA" w:rsidP="00B603A3">
            <w:pPr>
              <w:spacing w:before="100" w:beforeAutospacing="1" w:after="0"/>
              <w:jc w:val="center"/>
              <w:rPr>
                <w:rFonts w:asciiTheme="minorHAnsi" w:hAnsiTheme="minorHAnsi" w:cs="Arial"/>
                <w:color w:val="000000"/>
              </w:rPr>
            </w:pPr>
            <w:r w:rsidRPr="00B603A3">
              <w:rPr>
                <w:rFonts w:asciiTheme="minorHAnsi" w:hAnsiTheme="minorHAnsi" w:cs="Arial"/>
                <w:color w:val="000000"/>
              </w:rPr>
              <w:t>EPN</w:t>
            </w:r>
          </w:p>
        </w:tc>
      </w:tr>
      <w:tr w:rsidR="008A62FA" w:rsidRPr="00B603A3" w:rsidTr="00B603A3">
        <w:tc>
          <w:tcPr>
            <w:tcW w:w="3368" w:type="dxa"/>
            <w:tcBorders>
              <w:left w:val="nil"/>
              <w:bottom w:val="single" w:sz="4" w:space="0" w:color="000000"/>
              <w:right w:val="single" w:sz="4" w:space="0" w:color="auto"/>
            </w:tcBorders>
            <w:shd w:val="clear" w:color="auto" w:fill="auto"/>
          </w:tcPr>
          <w:p w:rsidR="008A62FA" w:rsidRPr="00B603A3" w:rsidRDefault="008A62FA" w:rsidP="00B603A3">
            <w:pPr>
              <w:spacing w:after="0"/>
              <w:jc w:val="center"/>
              <w:rPr>
                <w:rFonts w:asciiTheme="minorHAnsi" w:hAnsiTheme="minorHAnsi" w:cs="Arial"/>
                <w:b/>
                <w:bCs/>
                <w:color w:val="000000"/>
              </w:rPr>
            </w:pPr>
            <w:r w:rsidRPr="00B603A3">
              <w:rPr>
                <w:rFonts w:asciiTheme="minorHAnsi" w:hAnsiTheme="minorHAnsi" w:cs="Arial"/>
                <w:bCs/>
                <w:color w:val="000000"/>
              </w:rPr>
              <w:t>Paration etílico</w:t>
            </w:r>
          </w:p>
        </w:tc>
        <w:tc>
          <w:tcPr>
            <w:tcW w:w="3402" w:type="dxa"/>
            <w:tcBorders>
              <w:left w:val="single" w:sz="4" w:space="0" w:color="auto"/>
              <w:bottom w:val="single" w:sz="4" w:space="0" w:color="000000"/>
              <w:right w:val="single" w:sz="4" w:space="0" w:color="000000"/>
            </w:tcBorders>
            <w:shd w:val="clear" w:color="auto" w:fill="auto"/>
          </w:tcPr>
          <w:p w:rsidR="008A62FA" w:rsidRPr="00B603A3" w:rsidRDefault="008A62FA" w:rsidP="00B603A3">
            <w:pPr>
              <w:spacing w:after="0"/>
              <w:jc w:val="center"/>
              <w:rPr>
                <w:rFonts w:asciiTheme="minorHAnsi" w:hAnsiTheme="minorHAnsi" w:cs="Arial"/>
                <w:color w:val="000000"/>
              </w:rPr>
            </w:pPr>
            <w:r w:rsidRPr="00B603A3">
              <w:rPr>
                <w:rFonts w:asciiTheme="minorHAnsi" w:hAnsiTheme="minorHAnsi" w:cs="Arial"/>
                <w:color w:val="000000"/>
              </w:rPr>
              <w:t>Toxafeno</w:t>
            </w:r>
          </w:p>
        </w:tc>
        <w:tc>
          <w:tcPr>
            <w:tcW w:w="2208" w:type="dxa"/>
            <w:tcBorders>
              <w:left w:val="single" w:sz="4" w:space="0" w:color="000000"/>
              <w:bottom w:val="single" w:sz="4" w:space="0" w:color="000000"/>
              <w:right w:val="single" w:sz="4" w:space="0" w:color="FFFFFF"/>
            </w:tcBorders>
            <w:shd w:val="clear" w:color="auto" w:fill="auto"/>
          </w:tcPr>
          <w:p w:rsidR="008A62FA" w:rsidRPr="00B603A3" w:rsidRDefault="008A62FA" w:rsidP="00B603A3">
            <w:pPr>
              <w:spacing w:after="0"/>
              <w:jc w:val="center"/>
              <w:rPr>
                <w:rFonts w:asciiTheme="minorHAnsi" w:hAnsiTheme="minorHAnsi" w:cs="Arial"/>
                <w:color w:val="000000"/>
              </w:rPr>
            </w:pPr>
            <w:r w:rsidRPr="00B603A3">
              <w:rPr>
                <w:rFonts w:asciiTheme="minorHAnsi" w:hAnsiTheme="minorHAnsi" w:cs="Arial"/>
                <w:color w:val="000000"/>
              </w:rPr>
              <w:t>Sulfato de talio</w:t>
            </w:r>
          </w:p>
        </w:tc>
      </w:tr>
      <w:tr w:rsidR="008A62FA" w:rsidRPr="00B603A3" w:rsidTr="00B603A3">
        <w:tc>
          <w:tcPr>
            <w:tcW w:w="3368" w:type="dxa"/>
            <w:tcBorders>
              <w:top w:val="single" w:sz="4" w:space="0" w:color="000000"/>
              <w:bottom w:val="single" w:sz="8" w:space="0" w:color="000000"/>
              <w:right w:val="single" w:sz="4" w:space="0" w:color="auto"/>
            </w:tcBorders>
            <w:shd w:val="clear" w:color="auto" w:fill="auto"/>
          </w:tcPr>
          <w:p w:rsidR="008A62FA" w:rsidRPr="00B603A3" w:rsidRDefault="008A62FA" w:rsidP="00B603A3">
            <w:pPr>
              <w:spacing w:after="0"/>
              <w:jc w:val="center"/>
              <w:rPr>
                <w:rFonts w:asciiTheme="minorHAnsi" w:hAnsiTheme="minorHAnsi" w:cs="Arial"/>
                <w:b/>
                <w:bCs/>
                <w:color w:val="000000"/>
              </w:rPr>
            </w:pPr>
            <w:r w:rsidRPr="00B603A3">
              <w:rPr>
                <w:rFonts w:asciiTheme="minorHAnsi" w:hAnsiTheme="minorHAnsi" w:cs="Arial"/>
                <w:bCs/>
                <w:color w:val="000000"/>
              </w:rPr>
              <w:t>Fluoroacetato de sodio (1080)</w:t>
            </w:r>
          </w:p>
        </w:tc>
        <w:tc>
          <w:tcPr>
            <w:tcW w:w="3402" w:type="dxa"/>
            <w:tcBorders>
              <w:top w:val="single" w:sz="4" w:space="0" w:color="000000"/>
              <w:left w:val="single" w:sz="4" w:space="0" w:color="auto"/>
              <w:bottom w:val="single" w:sz="8" w:space="0" w:color="000000"/>
              <w:right w:val="single" w:sz="4" w:space="0" w:color="000000"/>
            </w:tcBorders>
            <w:shd w:val="clear" w:color="auto" w:fill="auto"/>
          </w:tcPr>
          <w:p w:rsidR="008A62FA" w:rsidRPr="00B603A3" w:rsidRDefault="008A62FA" w:rsidP="00B603A3">
            <w:pPr>
              <w:spacing w:after="0"/>
              <w:jc w:val="center"/>
              <w:rPr>
                <w:rFonts w:asciiTheme="minorHAnsi" w:hAnsiTheme="minorHAnsi" w:cs="Arial"/>
                <w:color w:val="000000"/>
              </w:rPr>
            </w:pPr>
            <w:r w:rsidRPr="00B603A3">
              <w:rPr>
                <w:rFonts w:asciiTheme="minorHAnsi" w:hAnsiTheme="minorHAnsi" w:cs="Arial"/>
                <w:color w:val="000000"/>
              </w:rPr>
              <w:t>Acetato o propionato de fenil</w:t>
            </w:r>
          </w:p>
        </w:tc>
        <w:tc>
          <w:tcPr>
            <w:tcW w:w="2208" w:type="dxa"/>
            <w:tcBorders>
              <w:top w:val="single" w:sz="4" w:space="0" w:color="000000"/>
              <w:left w:val="single" w:sz="4" w:space="0" w:color="000000"/>
              <w:bottom w:val="single" w:sz="8" w:space="0" w:color="000000"/>
              <w:right w:val="single" w:sz="4" w:space="0" w:color="FFFFFF"/>
            </w:tcBorders>
            <w:shd w:val="clear" w:color="auto" w:fill="auto"/>
          </w:tcPr>
          <w:p w:rsidR="008A62FA" w:rsidRPr="00B603A3" w:rsidRDefault="008A62FA" w:rsidP="00B603A3">
            <w:pPr>
              <w:spacing w:after="0"/>
              <w:jc w:val="center"/>
              <w:rPr>
                <w:rFonts w:asciiTheme="minorHAnsi" w:hAnsiTheme="minorHAnsi" w:cs="Arial"/>
                <w:color w:val="000000"/>
              </w:rPr>
            </w:pPr>
          </w:p>
        </w:tc>
      </w:tr>
    </w:tbl>
    <w:p w:rsidR="008A62FA" w:rsidRPr="00B603A3" w:rsidRDefault="008A62FA" w:rsidP="00B603A3">
      <w:pPr>
        <w:jc w:val="both"/>
        <w:rPr>
          <w:rFonts w:asciiTheme="minorHAnsi" w:hAnsiTheme="minorHAnsi" w:cs="Arial"/>
          <w:color w:val="000000"/>
          <w:sz w:val="24"/>
          <w:szCs w:val="24"/>
        </w:rPr>
      </w:pPr>
      <w:r w:rsidRPr="00B603A3">
        <w:rPr>
          <w:rFonts w:asciiTheme="minorHAnsi" w:hAnsiTheme="minorHAnsi" w:cs="Arial"/>
          <w:color w:val="000000"/>
          <w:sz w:val="24"/>
          <w:szCs w:val="24"/>
        </w:rPr>
        <w:br/>
        <w:t>Se sabe que la relación de aplicación de plaguicidas es mayor para las hortalizas que para el cultivo de maíz en razón de 35 kg/ha para hortalizas y 3.5 kg/ha para maíz (Mireles, 2010). En 2006 el consumo de plaguicidas en México fue de 95,025 toneladas (SENER, 2007). A pesar de eso son relativamente escasos los estudios sobre la distribución geográfica de plaguicidas en muestras ambientales y se centran principalmente en plaguicidas organoclorados (Wong et al., 2008).</w:t>
      </w:r>
    </w:p>
    <w:p w:rsidR="008A62FA" w:rsidRPr="00B603A3" w:rsidRDefault="008A62FA" w:rsidP="00B603A3">
      <w:pPr>
        <w:autoSpaceDE w:val="0"/>
        <w:autoSpaceDN w:val="0"/>
        <w:adjustRightInd w:val="0"/>
        <w:jc w:val="both"/>
        <w:rPr>
          <w:rFonts w:asciiTheme="minorHAnsi" w:hAnsiTheme="minorHAnsi" w:cs="Arial"/>
          <w:color w:val="000000"/>
          <w:sz w:val="24"/>
          <w:szCs w:val="24"/>
        </w:rPr>
      </w:pPr>
      <w:r w:rsidRPr="00B603A3">
        <w:rPr>
          <w:rFonts w:asciiTheme="minorHAnsi" w:hAnsiTheme="minorHAnsi" w:cs="Arial"/>
          <w:color w:val="000000"/>
          <w:sz w:val="24"/>
          <w:szCs w:val="24"/>
        </w:rPr>
        <w:t>Entre los municipios del Estado de México más importantes en los que se desarrolla la actividad florícola se encuentran: Villa Guerrero, Coatepec Harinas, Tenancingo, Zumpahuacán, Malinalco e Ixtapan de la Sal. Municipios en los cuales se encuentra concentrado el 90% de la producción estatal y alrededor del 80% de la producción nacional de los principales cultivos de flor. Solamente Villa Guerrero genera el 56% de la producción total estatal.</w:t>
      </w:r>
    </w:p>
    <w:p w:rsidR="008A62FA" w:rsidRPr="00B603A3" w:rsidRDefault="008A62FA" w:rsidP="00B603A3">
      <w:pPr>
        <w:jc w:val="both"/>
        <w:rPr>
          <w:rFonts w:asciiTheme="minorHAnsi" w:hAnsiTheme="minorHAnsi" w:cs="Arial"/>
          <w:color w:val="000000"/>
          <w:sz w:val="24"/>
          <w:szCs w:val="24"/>
        </w:rPr>
      </w:pPr>
      <w:r w:rsidRPr="00B603A3">
        <w:rPr>
          <w:rFonts w:asciiTheme="minorHAnsi" w:hAnsiTheme="minorHAnsi" w:cs="Arial"/>
          <w:color w:val="000000"/>
          <w:sz w:val="24"/>
          <w:szCs w:val="24"/>
        </w:rPr>
        <w:t xml:space="preserve">En los municipios con actividad florícola prevalece un abundante empleo de plaguicidas, tanto a la intemperie (al aire libre) como en invernaderos (sistema cerrado), pero su empleo conlleva diversos riesgos tanto para la salud de la persona expuesta, como para el ambiente y la población en general. Sin embargo, los niños son testigos directos de los riesgos por el uso de plaguicidas al apoyar las actividades florícolas durante fumigación, corte y acarreo de la flor (Oviedo, 2013). </w:t>
      </w:r>
    </w:p>
    <w:p w:rsidR="008A62FA" w:rsidRPr="00B603A3" w:rsidRDefault="008A62FA" w:rsidP="00B603A3">
      <w:pPr>
        <w:autoSpaceDE w:val="0"/>
        <w:autoSpaceDN w:val="0"/>
        <w:adjustRightInd w:val="0"/>
        <w:spacing w:after="240"/>
        <w:jc w:val="both"/>
        <w:rPr>
          <w:rFonts w:asciiTheme="minorHAnsi" w:hAnsiTheme="minorHAnsi" w:cs="Arial"/>
          <w:color w:val="000000"/>
          <w:sz w:val="24"/>
          <w:szCs w:val="24"/>
        </w:rPr>
      </w:pPr>
      <w:r w:rsidRPr="00B603A3">
        <w:rPr>
          <w:rFonts w:asciiTheme="minorHAnsi" w:hAnsiTheme="minorHAnsi" w:cs="Arial"/>
          <w:color w:val="000000"/>
          <w:sz w:val="24"/>
          <w:szCs w:val="24"/>
        </w:rPr>
        <w:t>Entre los plaguicidas más comúnmente utilizados se encuentran los organofosforados, los carbamatos y los organoclorados, Los efectos tóxicos producidos por los plaguicidas  organofosforados y carbamatos se enfocan principalmente en el sistema nervioso, afectando las terminales nerviosas a nivel enzimático (Weiss et al., 2004). Los organofosforados son altamente tóxicos y se absorben  rápidamente por las vías respiratorias y por la piel, así como también por medio de la ingestión (Jeyaratman y Maroni, 1994). Los carbamatos también pueden ser muy tóxicos, y una vez que ingresan al cuerpo se distribuyen rápidamente por el torrente sanguíneo.</w:t>
      </w:r>
    </w:p>
    <w:p w:rsidR="008A62FA" w:rsidRPr="00B603A3" w:rsidRDefault="008A62FA" w:rsidP="00B603A3">
      <w:pPr>
        <w:autoSpaceDE w:val="0"/>
        <w:autoSpaceDN w:val="0"/>
        <w:adjustRightInd w:val="0"/>
        <w:spacing w:after="240"/>
        <w:jc w:val="both"/>
        <w:rPr>
          <w:rFonts w:asciiTheme="minorHAnsi" w:hAnsiTheme="minorHAnsi" w:cs="Arial"/>
          <w:color w:val="000000"/>
          <w:sz w:val="24"/>
          <w:szCs w:val="24"/>
        </w:rPr>
      </w:pPr>
      <w:r w:rsidRPr="00B603A3">
        <w:rPr>
          <w:rFonts w:asciiTheme="minorHAnsi" w:hAnsiTheme="minorHAnsi" w:cs="Arial"/>
          <w:color w:val="000000"/>
          <w:sz w:val="24"/>
          <w:szCs w:val="24"/>
        </w:rPr>
        <w:t>En este sentido, el uso descontrolado de los agroquímicos, especialmente los plaguicidas ponen en riesgo a la población infantil, por tratarse del grupo de edad con mayor vulnerabilidad, razón por la que los programas de salud pública se han enfocado en disminuir las tasas de mortalidad infantil (TMI) en el mundo durante los últimos 50 años, y en efecto lo han conseguido, sin embargo esta disminución no es homogénea; en América Latina y El Caribe por ejemplo, la frecuencia de enfermedades trasmisibles ha ido disminuyendo mientras que las malformaciones congénitas han aumentado hasta consolidarse como la principal causa de muerte entre menores de edad (Ramírez-Espitia et al, 2003).</w:t>
      </w:r>
    </w:p>
    <w:p w:rsidR="008A62FA" w:rsidRPr="00B603A3" w:rsidRDefault="008A62FA" w:rsidP="00B603A3">
      <w:pPr>
        <w:autoSpaceDE w:val="0"/>
        <w:autoSpaceDN w:val="0"/>
        <w:adjustRightInd w:val="0"/>
        <w:spacing w:after="240"/>
        <w:jc w:val="both"/>
        <w:rPr>
          <w:rFonts w:asciiTheme="minorHAnsi" w:hAnsiTheme="minorHAnsi" w:cs="Arial"/>
          <w:color w:val="000000"/>
          <w:sz w:val="24"/>
          <w:szCs w:val="24"/>
        </w:rPr>
      </w:pPr>
      <w:r w:rsidRPr="00B603A3">
        <w:rPr>
          <w:rFonts w:asciiTheme="minorHAnsi" w:hAnsiTheme="minorHAnsi" w:cs="Arial"/>
          <w:color w:val="000000"/>
          <w:sz w:val="24"/>
          <w:szCs w:val="24"/>
        </w:rPr>
        <w:t>México no es la excepción, ya que experimenta una transición epidemiológica en la que hay disminución de mortalidad infantil atribuible a causas infecciosas, pero un aumento por defectos de nacimientos, entre sus principales manifestaciones se consideran los defectos de cierre del tubo neural, en el que se incluyen la anencefalia, espina bífida, labio y paladar hendido. En este contexto, el porcentaje de muertes aumentó de 4.0 en 1979 a 18.3 en 2003 a nivel nacional. Los Estados de la República Mexicana que más número de casos presentan por defectos de nacimiento del año de 1998 al 2003, es el Estado de México, seguido por el Distrito Federal y Puebla (INEGI, 2013, Gómez-Alcalá, 2008; Mancebo-Hernández et al, 2008; Peña-Alonso, 2005).</w:t>
      </w:r>
    </w:p>
    <w:p w:rsidR="008A62FA" w:rsidRPr="00B603A3" w:rsidRDefault="008A62FA" w:rsidP="00B603A3">
      <w:pPr>
        <w:autoSpaceDE w:val="0"/>
        <w:autoSpaceDN w:val="0"/>
        <w:adjustRightInd w:val="0"/>
        <w:spacing w:after="240"/>
        <w:jc w:val="both"/>
        <w:rPr>
          <w:rFonts w:asciiTheme="minorHAnsi" w:hAnsiTheme="minorHAnsi" w:cs="Arial"/>
          <w:color w:val="000000"/>
          <w:sz w:val="24"/>
          <w:szCs w:val="24"/>
        </w:rPr>
      </w:pPr>
      <w:r w:rsidRPr="00B603A3">
        <w:rPr>
          <w:rFonts w:asciiTheme="minorHAnsi" w:hAnsiTheme="minorHAnsi" w:cs="Arial"/>
          <w:color w:val="000000"/>
          <w:sz w:val="24"/>
          <w:szCs w:val="24"/>
        </w:rPr>
        <w:t xml:space="preserve">Un comportamiento similar es descrito por Ramírez-Espitia y colaboradores (2003), en un estudio realizado para el período 1980-1997, donde el Estado de México figura entre los estados cuyas tasas de mortalidad por defectos del tubo neural superan la media nacional, siendo la anencefalia el defecto más frecuente, seguida de la espina bífida. </w:t>
      </w:r>
    </w:p>
    <w:p w:rsidR="008A62FA" w:rsidRPr="00B603A3" w:rsidRDefault="008A62FA" w:rsidP="00B603A3">
      <w:pPr>
        <w:autoSpaceDE w:val="0"/>
        <w:autoSpaceDN w:val="0"/>
        <w:adjustRightInd w:val="0"/>
        <w:spacing w:after="240"/>
        <w:jc w:val="both"/>
        <w:rPr>
          <w:rFonts w:asciiTheme="minorHAnsi" w:hAnsiTheme="minorHAnsi" w:cs="Arial"/>
          <w:color w:val="000000"/>
          <w:sz w:val="24"/>
          <w:szCs w:val="24"/>
        </w:rPr>
      </w:pPr>
      <w:r w:rsidRPr="00B603A3">
        <w:rPr>
          <w:rFonts w:asciiTheme="minorHAnsi" w:hAnsiTheme="minorHAnsi" w:cs="Arial"/>
          <w:color w:val="000000"/>
          <w:sz w:val="24"/>
          <w:szCs w:val="24"/>
        </w:rPr>
        <w:t>Según datos oficiales de los años 2007 y 2010 las malformaciones congénitas, deformidades y anomalías cromosómicas se registraron como la segunda causa de mortalidad infantil en México (INEGI, 2013; Fernández et al, 2012; INEGI, 2010).</w:t>
      </w:r>
    </w:p>
    <w:p w:rsidR="008A62FA" w:rsidRPr="00B603A3" w:rsidRDefault="008A62FA" w:rsidP="00B603A3">
      <w:pPr>
        <w:autoSpaceDE w:val="0"/>
        <w:autoSpaceDN w:val="0"/>
        <w:adjustRightInd w:val="0"/>
        <w:spacing w:after="240"/>
        <w:jc w:val="both"/>
        <w:rPr>
          <w:rFonts w:asciiTheme="minorHAnsi" w:hAnsiTheme="minorHAnsi" w:cs="Arial"/>
          <w:color w:val="000000"/>
          <w:sz w:val="24"/>
          <w:szCs w:val="24"/>
        </w:rPr>
      </w:pPr>
      <w:r w:rsidRPr="00B603A3">
        <w:rPr>
          <w:rFonts w:asciiTheme="minorHAnsi" w:hAnsiTheme="minorHAnsi" w:cs="Arial"/>
          <w:color w:val="000000"/>
          <w:sz w:val="24"/>
          <w:szCs w:val="24"/>
        </w:rPr>
        <w:t>A nivel del Estado de México, en un estudio realizado del 2006 al año 2010 en dos Hospitales de Toluca de 23,926 niños nacidos vivos, 177 fueron diagnosticados con cardiopatías congénitas; de estas la incidencia fue de 7.4 x 1,000 nacidos vivos (Mendieta-Alcántara et al, 2013).</w:t>
      </w:r>
    </w:p>
    <w:p w:rsidR="008A62FA" w:rsidRPr="00B603A3" w:rsidRDefault="008A62FA" w:rsidP="00B603A3">
      <w:pPr>
        <w:autoSpaceDE w:val="0"/>
        <w:autoSpaceDN w:val="0"/>
        <w:adjustRightInd w:val="0"/>
        <w:spacing w:after="240"/>
        <w:jc w:val="both"/>
        <w:rPr>
          <w:rFonts w:asciiTheme="minorHAnsi" w:hAnsiTheme="minorHAnsi" w:cs="Arial"/>
          <w:color w:val="000000"/>
          <w:sz w:val="24"/>
          <w:szCs w:val="24"/>
        </w:rPr>
      </w:pPr>
      <w:r w:rsidRPr="00B603A3">
        <w:rPr>
          <w:rFonts w:asciiTheme="minorHAnsi" w:hAnsiTheme="minorHAnsi" w:cs="Arial"/>
          <w:color w:val="000000"/>
          <w:sz w:val="24"/>
          <w:szCs w:val="24"/>
        </w:rPr>
        <w:t>Con este contexto se hace necesario realizar un estudio epidemiológico que establezca la relación entre la exposición a los plaguicidas y las malformaciones congénitas, tomando en cuenta los datos estadísticos oficiales.</w:t>
      </w:r>
    </w:p>
    <w:p w:rsidR="008A62FA" w:rsidRDefault="008A62FA" w:rsidP="00B603A3">
      <w:pPr>
        <w:autoSpaceDE w:val="0"/>
        <w:autoSpaceDN w:val="0"/>
        <w:adjustRightInd w:val="0"/>
        <w:spacing w:after="240"/>
        <w:jc w:val="both"/>
        <w:rPr>
          <w:rFonts w:asciiTheme="minorHAnsi" w:hAnsiTheme="minorHAnsi" w:cs="Arial"/>
          <w:color w:val="000000"/>
          <w:sz w:val="24"/>
          <w:szCs w:val="24"/>
        </w:rPr>
      </w:pPr>
      <w:r w:rsidRPr="00B603A3">
        <w:rPr>
          <w:rFonts w:asciiTheme="minorHAnsi" w:hAnsiTheme="minorHAnsi" w:cs="Arial"/>
          <w:color w:val="000000"/>
          <w:sz w:val="24"/>
          <w:szCs w:val="24"/>
        </w:rPr>
        <w:t>Por lo tanto, el objetivo de esta investigación es analizar el comportamiento espacio-temporal (1998-2012) en un Sistema de Información Geográfica (SIG), de las TMI por malformaciones congénitas atribuibles al uso y exposición por plaguicidas, en el corredor florícola del Estado de México.</w:t>
      </w:r>
    </w:p>
    <w:p w:rsidR="00A85C1E" w:rsidRDefault="00A85C1E" w:rsidP="00B603A3">
      <w:pPr>
        <w:autoSpaceDE w:val="0"/>
        <w:autoSpaceDN w:val="0"/>
        <w:adjustRightInd w:val="0"/>
        <w:spacing w:after="240"/>
        <w:jc w:val="both"/>
        <w:rPr>
          <w:rFonts w:asciiTheme="minorHAnsi" w:hAnsiTheme="minorHAnsi" w:cs="Arial"/>
          <w:color w:val="000000"/>
          <w:sz w:val="24"/>
          <w:szCs w:val="24"/>
        </w:rPr>
      </w:pPr>
    </w:p>
    <w:p w:rsidR="00A85C1E" w:rsidRPr="00B603A3" w:rsidRDefault="00A85C1E" w:rsidP="00B603A3">
      <w:pPr>
        <w:autoSpaceDE w:val="0"/>
        <w:autoSpaceDN w:val="0"/>
        <w:adjustRightInd w:val="0"/>
        <w:spacing w:after="240"/>
        <w:jc w:val="both"/>
        <w:rPr>
          <w:rFonts w:asciiTheme="minorHAnsi" w:hAnsiTheme="minorHAnsi" w:cs="Arial"/>
          <w:color w:val="000000"/>
          <w:sz w:val="24"/>
          <w:szCs w:val="24"/>
        </w:rPr>
      </w:pPr>
    </w:p>
    <w:p w:rsidR="008A62FA" w:rsidRPr="00243E73" w:rsidRDefault="008A62FA" w:rsidP="00A85C1E">
      <w:pPr>
        <w:pStyle w:val="Sinespaciado"/>
        <w:numPr>
          <w:ilvl w:val="0"/>
          <w:numId w:val="8"/>
        </w:numPr>
        <w:spacing w:line="276" w:lineRule="auto"/>
        <w:ind w:left="426" w:hanging="426"/>
        <w:jc w:val="both"/>
        <w:rPr>
          <w:rFonts w:asciiTheme="minorHAnsi" w:hAnsiTheme="minorHAnsi" w:cs="Arial"/>
          <w:b/>
          <w:color w:val="000000"/>
          <w:sz w:val="28"/>
          <w:szCs w:val="28"/>
        </w:rPr>
      </w:pPr>
      <w:r w:rsidRPr="00243E73">
        <w:rPr>
          <w:rFonts w:asciiTheme="minorHAnsi" w:hAnsiTheme="minorHAnsi" w:cs="Arial"/>
          <w:b/>
          <w:color w:val="000000"/>
          <w:sz w:val="28"/>
          <w:szCs w:val="28"/>
        </w:rPr>
        <w:t>Metodología</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Se trata de un estudio de finalidad analítica de tipo de estudio ecológico, ya que su fin es evaluar una relación causal entre un factor y un efecto para conglomerados de población. Es una investigación longitudinal que considera un lapso de tiempo entre las variables, y por el tipo de unidad de análisis se enmarca en un estudio de tipo ecológico, debido a que la unidad de análisis es el grupo de habitantes del CFEM; en esta población se mide la exposición y se registra la ocurrencia. Además por su finalidad es un trabajo descriptivo (Argimon, 2010; Hernández, 2007; García, 2004). Las fases metodológicas consistieron en:</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8A62FA" w:rsidRDefault="00BE597A" w:rsidP="00B603A3">
      <w:pPr>
        <w:pStyle w:val="Ttulo2"/>
        <w:numPr>
          <w:ilvl w:val="0"/>
          <w:numId w:val="9"/>
        </w:numPr>
        <w:spacing w:before="0" w:line="276" w:lineRule="auto"/>
        <w:ind w:left="426" w:hanging="426"/>
        <w:rPr>
          <w:rFonts w:asciiTheme="minorHAnsi" w:hAnsiTheme="minorHAnsi"/>
          <w:color w:val="000000"/>
          <w:sz w:val="24"/>
          <w:szCs w:val="24"/>
        </w:rPr>
      </w:pPr>
      <w:r>
        <w:rPr>
          <w:rFonts w:asciiTheme="minorHAnsi" w:hAnsiTheme="minorHAnsi"/>
          <w:color w:val="000000"/>
          <w:sz w:val="24"/>
          <w:szCs w:val="24"/>
        </w:rPr>
        <w:t>Z</w:t>
      </w:r>
      <w:r w:rsidR="008A62FA" w:rsidRPr="00B603A3">
        <w:rPr>
          <w:rFonts w:asciiTheme="minorHAnsi" w:hAnsiTheme="minorHAnsi"/>
          <w:color w:val="000000"/>
          <w:sz w:val="24"/>
          <w:szCs w:val="24"/>
        </w:rPr>
        <w:t>ona de estudio</w:t>
      </w:r>
      <w:r>
        <w:rPr>
          <w:rFonts w:asciiTheme="minorHAnsi" w:hAnsiTheme="minorHAnsi"/>
          <w:color w:val="000000"/>
          <w:sz w:val="24"/>
          <w:szCs w:val="24"/>
        </w:rPr>
        <w:t xml:space="preserve">, visitas de campo, </w:t>
      </w:r>
      <w:r w:rsidR="00C93310">
        <w:rPr>
          <w:rFonts w:asciiTheme="minorHAnsi" w:hAnsiTheme="minorHAnsi"/>
          <w:color w:val="000000"/>
          <w:sz w:val="24"/>
          <w:szCs w:val="24"/>
        </w:rPr>
        <w:t>diseño</w:t>
      </w:r>
      <w:r>
        <w:rPr>
          <w:rFonts w:asciiTheme="minorHAnsi" w:hAnsiTheme="minorHAnsi"/>
          <w:color w:val="000000"/>
          <w:sz w:val="24"/>
          <w:szCs w:val="24"/>
        </w:rPr>
        <w:t xml:space="preserve"> y aplicación de encuestas</w:t>
      </w:r>
    </w:p>
    <w:p w:rsidR="00BE597A" w:rsidRDefault="00BE597A" w:rsidP="00BE597A"/>
    <w:p w:rsidR="00BE597A" w:rsidRPr="002B4213" w:rsidRDefault="00BE597A" w:rsidP="00BE597A">
      <w:pPr>
        <w:rPr>
          <w:b/>
          <w:i/>
        </w:rPr>
      </w:pPr>
      <w:r w:rsidRPr="002B4213">
        <w:rPr>
          <w:b/>
          <w:i/>
        </w:rPr>
        <w:t>2.1.1 Caracterización de zona de estudio</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r w:rsidRPr="00B603A3">
        <w:rPr>
          <w:rFonts w:asciiTheme="minorHAnsi" w:hAnsiTheme="minorHAnsi" w:cs="Arial"/>
          <w:color w:val="000000"/>
          <w:sz w:val="24"/>
          <w:szCs w:val="24"/>
        </w:rPr>
        <w:t xml:space="preserve">El Corredor Florícola del Estado de México (CFEM) </w:t>
      </w:r>
      <w:r w:rsidRPr="00B603A3">
        <w:rPr>
          <w:rFonts w:asciiTheme="minorHAnsi" w:hAnsiTheme="minorHAnsi" w:cs="Arial"/>
          <w:noProof/>
          <w:sz w:val="24"/>
          <w:szCs w:val="24"/>
          <w:lang w:eastAsia="es-MX"/>
        </w:rPr>
        <w:t>comprende los municipios de Almoloya de Alquisiras, Coatepec Harinas, Ixtapan de la Sal, Malinalco, Tenancingo, Tonatico, Villa, Guerrero y Zumpahuacán ubicados en la subcuenca hidrográfica del Alto Amacuzac, al sur del Estado de Mexico y norte del Estado de Morelos (ver Figura 1) (INEGI-INE-CONAGUA, 1998).</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La ubicación geográfica del CFEM ha favorecido la producción de flor de corte tanto a cielo abierto como en invernaderos, ya que se se trata de un territorio con un clima que va del templado subhúmedo al semicálido, con temperaturas de los 13 a 24°C y una precipitación media anual de los 501 a 1500 mm (Casas, 1997; WorldClim, 2005).</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jc w:val="both"/>
        <w:rPr>
          <w:rFonts w:asciiTheme="minorHAnsi" w:hAnsiTheme="minorHAnsi" w:cs="Arial"/>
          <w:color w:val="000000"/>
          <w:sz w:val="24"/>
          <w:szCs w:val="24"/>
        </w:rPr>
      </w:pPr>
      <w:r w:rsidRPr="00B603A3">
        <w:rPr>
          <w:rFonts w:asciiTheme="minorHAnsi" w:hAnsiTheme="minorHAnsi" w:cs="Arial"/>
          <w:color w:val="000000"/>
          <w:sz w:val="24"/>
          <w:szCs w:val="24"/>
        </w:rPr>
        <w:t>En términos del relieve, el CFEM se encuentra dentro del parteaguas de la cuenca del Alto Amacuzac, un sistema montañoso que impide que las partículas químicas derivadas de la aplicación de plaguicidas sean liberadas a la atmosfera, situación que aunada a la falta de una cultura de prevención por parte de los habitantes en el manejo de los plaguicidas, propicia elevados riesgos a la salud humana.</w:t>
      </w:r>
    </w:p>
    <w:p w:rsidR="008A62FA" w:rsidRPr="00B603A3" w:rsidRDefault="008A62FA" w:rsidP="00B603A3">
      <w:pPr>
        <w:pStyle w:val="Sinespaciado"/>
        <w:spacing w:line="276" w:lineRule="auto"/>
        <w:jc w:val="both"/>
        <w:rPr>
          <w:rFonts w:asciiTheme="minorHAnsi" w:hAnsiTheme="minorHAnsi" w:cs="Arial"/>
          <w:color w:val="000000"/>
          <w:sz w:val="24"/>
          <w:szCs w:val="24"/>
        </w:rPr>
      </w:pP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La superficie total de los municipios que integran el CFEM es de 1,648 km</w:t>
      </w:r>
      <w:r w:rsidRPr="00B603A3">
        <w:rPr>
          <w:rFonts w:asciiTheme="minorHAnsi" w:hAnsiTheme="minorHAnsi" w:cs="Arial"/>
          <w:noProof/>
          <w:sz w:val="24"/>
          <w:szCs w:val="24"/>
          <w:vertAlign w:val="superscript"/>
          <w:lang w:eastAsia="es-MX"/>
        </w:rPr>
        <w:t>2</w:t>
      </w:r>
      <w:r w:rsidRPr="00B603A3">
        <w:rPr>
          <w:rFonts w:asciiTheme="minorHAnsi" w:hAnsiTheme="minorHAnsi" w:cs="Arial"/>
          <w:noProof/>
          <w:sz w:val="24"/>
          <w:szCs w:val="24"/>
          <w:lang w:eastAsia="es-MX"/>
        </w:rPr>
        <w:t xml:space="preserve">, de los cuales el 41.1% corresponde a un uso de suelo agrícola, en este caso especializado en producción de flor de corte (ver Figura 1) (INEGI, 2011). </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jc w:val="center"/>
        <w:rPr>
          <w:rFonts w:asciiTheme="minorHAnsi" w:hAnsiTheme="minorHAnsi" w:cs="Arial"/>
          <w:noProof/>
          <w:sz w:val="24"/>
          <w:szCs w:val="24"/>
          <w:lang w:eastAsia="es-MX"/>
        </w:rPr>
      </w:pPr>
      <w:r w:rsidRPr="00B603A3">
        <w:rPr>
          <w:rFonts w:asciiTheme="minorHAnsi" w:hAnsiTheme="minorHAnsi"/>
          <w:noProof/>
          <w:lang w:eastAsia="es-MX"/>
        </w:rPr>
        <w:drawing>
          <wp:inline distT="0" distB="0" distL="0" distR="0">
            <wp:extent cx="4569026" cy="4990540"/>
            <wp:effectExtent l="0" t="0" r="3175" b="635"/>
            <wp:docPr id="13" name="Imagen 13" descr="UBICACIÓN_proyect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BICACIÓN_proyecto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578194" cy="5000554"/>
                    </a:xfrm>
                    <a:prstGeom prst="rect">
                      <a:avLst/>
                    </a:prstGeom>
                    <a:noFill/>
                    <a:ln>
                      <a:noFill/>
                    </a:ln>
                  </pic:spPr>
                </pic:pic>
              </a:graphicData>
            </a:graphic>
          </wp:inline>
        </w:drawing>
      </w:r>
    </w:p>
    <w:p w:rsidR="008A62FA" w:rsidRPr="00BE597A" w:rsidRDefault="008A62FA" w:rsidP="00B603A3">
      <w:pPr>
        <w:pStyle w:val="Sinespaciado"/>
        <w:spacing w:line="276" w:lineRule="auto"/>
        <w:jc w:val="center"/>
        <w:rPr>
          <w:rFonts w:asciiTheme="minorHAnsi" w:hAnsiTheme="minorHAnsi" w:cs="Arial"/>
          <w:noProof/>
          <w:sz w:val="24"/>
          <w:szCs w:val="24"/>
          <w:lang w:eastAsia="es-MX"/>
        </w:rPr>
      </w:pPr>
      <w:r w:rsidRPr="00BE597A">
        <w:rPr>
          <w:rFonts w:asciiTheme="minorHAnsi" w:hAnsiTheme="minorHAnsi" w:cs="Arial"/>
          <w:noProof/>
          <w:sz w:val="24"/>
          <w:szCs w:val="24"/>
          <w:lang w:eastAsia="es-MX"/>
        </w:rPr>
        <w:t>Figura 1: Localización del CFEM. Elaboración de los autores, 2014.</w:t>
      </w:r>
    </w:p>
    <w:p w:rsidR="00BE597A" w:rsidRDefault="00BE597A" w:rsidP="00B603A3">
      <w:pPr>
        <w:pStyle w:val="Sinespaciado"/>
        <w:spacing w:line="276" w:lineRule="auto"/>
        <w:jc w:val="both"/>
        <w:rPr>
          <w:rFonts w:asciiTheme="minorHAnsi" w:hAnsiTheme="minorHAnsi" w:cs="Arial"/>
          <w:noProof/>
          <w:sz w:val="24"/>
          <w:szCs w:val="24"/>
          <w:lang w:eastAsia="es-MX"/>
        </w:rPr>
      </w:pPr>
    </w:p>
    <w:p w:rsidR="008A62FA" w:rsidRDefault="00BE597A" w:rsidP="00B603A3">
      <w:pPr>
        <w:pStyle w:val="Sinespaciado"/>
        <w:spacing w:line="276" w:lineRule="auto"/>
        <w:jc w:val="both"/>
        <w:rPr>
          <w:rFonts w:asciiTheme="minorHAnsi" w:hAnsiTheme="minorHAnsi" w:cs="Arial"/>
          <w:noProof/>
          <w:sz w:val="24"/>
          <w:szCs w:val="24"/>
          <w:lang w:eastAsia="es-MX"/>
        </w:rPr>
      </w:pPr>
      <w:r w:rsidRPr="00BE597A">
        <w:rPr>
          <w:rFonts w:asciiTheme="minorHAnsi" w:hAnsiTheme="minorHAnsi" w:cs="Arial"/>
          <w:noProof/>
          <w:sz w:val="24"/>
          <w:szCs w:val="24"/>
          <w:lang w:eastAsia="es-MX"/>
        </w:rPr>
        <w:t>El municipio de Villa Guerrero se localiza en la región sur del Estado de México, México. Se encuentra entre los paralelos 18° 49’ y 19° 03’ de latitud norte; los meridianos 99° 36’ y 99° 45’ de longitud oeste</w:t>
      </w:r>
      <w:r w:rsidR="00CF70C5">
        <w:rPr>
          <w:rFonts w:asciiTheme="minorHAnsi" w:hAnsiTheme="minorHAnsi" w:cs="Arial"/>
          <w:noProof/>
          <w:sz w:val="24"/>
          <w:szCs w:val="24"/>
          <w:lang w:eastAsia="es-MX"/>
        </w:rPr>
        <w:t>,</w:t>
      </w:r>
      <w:r w:rsidRPr="00BE597A">
        <w:rPr>
          <w:rFonts w:asciiTheme="minorHAnsi" w:hAnsiTheme="minorHAnsi" w:cs="Arial"/>
          <w:noProof/>
          <w:sz w:val="24"/>
          <w:szCs w:val="24"/>
          <w:lang w:eastAsia="es-MX"/>
        </w:rPr>
        <w:t xml:space="preserve"> con una altitud de entre 1,400 y 3,800 msnm. Colinda al norte con los municipios de Toluca, Tenango del Valle y Tenancingo, al este con los municipios de Tenancingo y Zumpahuacán, al sur con el municipio de Ixtapan de la Sal, al oeste con los municipios de Coatepec Harinas y Toluca. Ocupa el 0.94% de la superficie del estado. Cuenta con 50 localidades y una población de 59,991 habitantes según el censo de población y vivienda 2010 (INEGI, 2010).</w:t>
      </w:r>
    </w:p>
    <w:p w:rsidR="00243E73" w:rsidRDefault="00243E73" w:rsidP="00B603A3">
      <w:pPr>
        <w:pStyle w:val="Sinespaciado"/>
        <w:spacing w:line="276" w:lineRule="auto"/>
        <w:jc w:val="both"/>
        <w:rPr>
          <w:rFonts w:asciiTheme="minorHAnsi" w:hAnsiTheme="minorHAnsi" w:cs="Arial"/>
          <w:noProof/>
          <w:sz w:val="24"/>
          <w:szCs w:val="24"/>
          <w:lang w:eastAsia="es-MX"/>
        </w:rPr>
      </w:pPr>
    </w:p>
    <w:p w:rsidR="00243E73" w:rsidRPr="00243E73" w:rsidRDefault="00243E73" w:rsidP="00B603A3">
      <w:pPr>
        <w:pStyle w:val="Sinespaciado"/>
        <w:spacing w:line="276" w:lineRule="auto"/>
        <w:jc w:val="both"/>
        <w:rPr>
          <w:rFonts w:asciiTheme="minorHAnsi" w:hAnsiTheme="minorHAnsi" w:cs="Arial"/>
          <w:b/>
          <w:noProof/>
          <w:sz w:val="24"/>
          <w:szCs w:val="24"/>
          <w:lang w:eastAsia="es-MX"/>
        </w:rPr>
      </w:pPr>
      <w:r w:rsidRPr="00243E73">
        <w:rPr>
          <w:rFonts w:asciiTheme="minorHAnsi" w:hAnsiTheme="minorHAnsi" w:cs="Arial"/>
          <w:b/>
          <w:noProof/>
          <w:sz w:val="24"/>
          <w:szCs w:val="24"/>
          <w:lang w:eastAsia="es-MX"/>
        </w:rPr>
        <w:t>Hidrografía</w:t>
      </w:r>
    </w:p>
    <w:p w:rsidR="00243E73" w:rsidRDefault="00243E73" w:rsidP="00243E73">
      <w:pPr>
        <w:pStyle w:val="Sinespaciado"/>
        <w:spacing w:line="276" w:lineRule="auto"/>
        <w:jc w:val="both"/>
        <w:rPr>
          <w:rFonts w:asciiTheme="minorHAnsi" w:hAnsiTheme="minorHAnsi" w:cs="Arial"/>
          <w:noProof/>
          <w:sz w:val="24"/>
          <w:szCs w:val="24"/>
          <w:lang w:eastAsia="es-MX"/>
        </w:rPr>
      </w:pPr>
    </w:p>
    <w:p w:rsidR="00243E73" w:rsidRPr="00243E73" w:rsidRDefault="00243E73" w:rsidP="00243E73">
      <w:pPr>
        <w:pStyle w:val="Sinespaciado"/>
        <w:spacing w:line="276" w:lineRule="auto"/>
        <w:jc w:val="both"/>
        <w:rPr>
          <w:rFonts w:asciiTheme="minorHAnsi" w:hAnsiTheme="minorHAnsi" w:cs="Arial"/>
          <w:noProof/>
          <w:sz w:val="24"/>
          <w:szCs w:val="24"/>
          <w:lang w:eastAsia="es-MX"/>
        </w:rPr>
      </w:pPr>
      <w:r w:rsidRPr="00243E73">
        <w:rPr>
          <w:rFonts w:asciiTheme="minorHAnsi" w:hAnsiTheme="minorHAnsi" w:cs="Arial"/>
          <w:noProof/>
          <w:sz w:val="24"/>
          <w:szCs w:val="24"/>
          <w:lang w:eastAsia="es-MX"/>
        </w:rPr>
        <w:t>Las principales corrientes de agua se describen de oeste a este de la siguiente manera:</w:t>
      </w:r>
    </w:p>
    <w:p w:rsidR="00243E73" w:rsidRPr="00243E73" w:rsidRDefault="00243E73" w:rsidP="00243E73">
      <w:pPr>
        <w:pStyle w:val="Sinespaciado"/>
        <w:spacing w:line="276" w:lineRule="auto"/>
        <w:jc w:val="both"/>
        <w:rPr>
          <w:rFonts w:asciiTheme="minorHAnsi" w:hAnsiTheme="minorHAnsi" w:cs="Arial"/>
          <w:noProof/>
          <w:sz w:val="24"/>
          <w:szCs w:val="24"/>
          <w:lang w:eastAsia="es-MX"/>
        </w:rPr>
      </w:pPr>
    </w:p>
    <w:p w:rsidR="00243E73" w:rsidRPr="00243E73" w:rsidRDefault="00243E73" w:rsidP="00243E73">
      <w:pPr>
        <w:pStyle w:val="Sinespaciado"/>
        <w:spacing w:line="276" w:lineRule="auto"/>
        <w:jc w:val="both"/>
        <w:rPr>
          <w:rFonts w:asciiTheme="minorHAnsi" w:hAnsiTheme="minorHAnsi" w:cs="Arial"/>
          <w:noProof/>
          <w:sz w:val="24"/>
          <w:szCs w:val="24"/>
          <w:lang w:eastAsia="es-MX"/>
        </w:rPr>
      </w:pPr>
      <w:r w:rsidRPr="00243E73">
        <w:rPr>
          <w:rFonts w:asciiTheme="minorHAnsi" w:hAnsiTheme="minorHAnsi" w:cs="Arial"/>
          <w:noProof/>
          <w:sz w:val="24"/>
          <w:szCs w:val="24"/>
          <w:lang w:eastAsia="es-MX"/>
        </w:rPr>
        <w:t>El Río Almoloya en el municipio de Almoloya de Alquisiras, que se bifurca con el Río de las Flores proveniente de Coatepec Harinas, ambos integran el Río Pilcaya, al cual se le une el Río Apletahuaca y aguas abajo el Río San José, finalmente el Río Pilcaya se integra al Chontalcoatlán fuera del corredor florícola.</w:t>
      </w:r>
    </w:p>
    <w:p w:rsidR="00243E73" w:rsidRPr="00243E73" w:rsidRDefault="00243E73" w:rsidP="00243E73">
      <w:pPr>
        <w:pStyle w:val="Sinespaciado"/>
        <w:spacing w:line="276" w:lineRule="auto"/>
        <w:jc w:val="both"/>
        <w:rPr>
          <w:rFonts w:asciiTheme="minorHAnsi" w:hAnsiTheme="minorHAnsi" w:cs="Arial"/>
          <w:noProof/>
          <w:sz w:val="24"/>
          <w:szCs w:val="24"/>
          <w:lang w:eastAsia="es-MX"/>
        </w:rPr>
      </w:pPr>
    </w:p>
    <w:p w:rsidR="00243E73" w:rsidRPr="00243E73" w:rsidRDefault="00243E73" w:rsidP="00243E73">
      <w:pPr>
        <w:pStyle w:val="Sinespaciado"/>
        <w:spacing w:line="276" w:lineRule="auto"/>
        <w:jc w:val="both"/>
        <w:rPr>
          <w:rFonts w:asciiTheme="minorHAnsi" w:hAnsiTheme="minorHAnsi" w:cs="Arial"/>
          <w:noProof/>
          <w:sz w:val="24"/>
          <w:szCs w:val="24"/>
          <w:lang w:eastAsia="es-MX"/>
        </w:rPr>
      </w:pPr>
      <w:r w:rsidRPr="00243E73">
        <w:rPr>
          <w:rFonts w:asciiTheme="minorHAnsi" w:hAnsiTheme="minorHAnsi" w:cs="Arial"/>
          <w:noProof/>
          <w:sz w:val="24"/>
          <w:szCs w:val="24"/>
          <w:lang w:eastAsia="es-MX"/>
        </w:rPr>
        <w:t>Por otra parte el Río Salado se origina el municipio de Coatepec Harinas y pasa por Ixtapan de la Sal y Tonatico hasta bifurcarse con el Chontalcoatlán.</w:t>
      </w:r>
    </w:p>
    <w:p w:rsidR="00243E73" w:rsidRPr="00243E73" w:rsidRDefault="00243E73" w:rsidP="00243E73">
      <w:pPr>
        <w:pStyle w:val="Sinespaciado"/>
        <w:spacing w:line="276" w:lineRule="auto"/>
        <w:jc w:val="both"/>
        <w:rPr>
          <w:rFonts w:asciiTheme="minorHAnsi" w:hAnsiTheme="minorHAnsi" w:cs="Arial"/>
          <w:noProof/>
          <w:sz w:val="24"/>
          <w:szCs w:val="24"/>
          <w:lang w:eastAsia="es-MX"/>
        </w:rPr>
      </w:pPr>
    </w:p>
    <w:p w:rsidR="00243E73" w:rsidRPr="00243E73" w:rsidRDefault="00243E73" w:rsidP="00243E73">
      <w:pPr>
        <w:pStyle w:val="Sinespaciado"/>
        <w:spacing w:line="276" w:lineRule="auto"/>
        <w:jc w:val="both"/>
        <w:rPr>
          <w:rFonts w:asciiTheme="minorHAnsi" w:hAnsiTheme="minorHAnsi" w:cs="Arial"/>
          <w:noProof/>
          <w:sz w:val="24"/>
          <w:szCs w:val="24"/>
          <w:lang w:eastAsia="es-MX"/>
        </w:rPr>
      </w:pPr>
      <w:r w:rsidRPr="00243E73">
        <w:rPr>
          <w:rFonts w:asciiTheme="minorHAnsi" w:hAnsiTheme="minorHAnsi" w:cs="Arial"/>
          <w:noProof/>
          <w:sz w:val="24"/>
          <w:szCs w:val="24"/>
          <w:lang w:eastAsia="es-MX"/>
        </w:rPr>
        <w:t xml:space="preserve">El Río Los Tizantes se origina desde el Nevado de Toluca en Coatepec Harinas, comparte su cauce con Villa Guerrero. Paralelo a este escurrimiento se encuentra el Río San Gaspar y Río Tintojo en el municipio de Villa Guerrero, ambos dan origen al Río Calderón al bifurcarse en los límites con Ixtapan de la Sal. Al Río Calderón se le une el Río Nenetzingo de Ixtapan, y el Río Grande que aguas abajo forma el Río Tenancingo, que a su vez forma el Río San Jerónimo. </w:t>
      </w:r>
    </w:p>
    <w:p w:rsidR="00243E73" w:rsidRPr="00243E73" w:rsidRDefault="00243E73" w:rsidP="00243E73">
      <w:pPr>
        <w:pStyle w:val="Sinespaciado"/>
        <w:spacing w:line="276" w:lineRule="auto"/>
        <w:jc w:val="both"/>
        <w:rPr>
          <w:rFonts w:asciiTheme="minorHAnsi" w:hAnsiTheme="minorHAnsi" w:cs="Arial"/>
          <w:noProof/>
          <w:sz w:val="24"/>
          <w:szCs w:val="24"/>
          <w:lang w:eastAsia="es-MX"/>
        </w:rPr>
      </w:pPr>
    </w:p>
    <w:p w:rsidR="00243E73" w:rsidRPr="00243E73" w:rsidRDefault="00243E73" w:rsidP="00243E73">
      <w:pPr>
        <w:pStyle w:val="Sinespaciado"/>
        <w:spacing w:line="276" w:lineRule="auto"/>
        <w:jc w:val="both"/>
        <w:rPr>
          <w:rFonts w:asciiTheme="minorHAnsi" w:hAnsiTheme="minorHAnsi" w:cs="Arial"/>
          <w:noProof/>
          <w:sz w:val="24"/>
          <w:szCs w:val="24"/>
          <w:lang w:eastAsia="es-MX"/>
        </w:rPr>
      </w:pPr>
      <w:r w:rsidRPr="00243E73">
        <w:rPr>
          <w:rFonts w:asciiTheme="minorHAnsi" w:hAnsiTheme="minorHAnsi" w:cs="Arial"/>
          <w:noProof/>
          <w:sz w:val="24"/>
          <w:szCs w:val="24"/>
          <w:lang w:eastAsia="es-MX"/>
        </w:rPr>
        <w:t>Tanto el Río Chontalcoatlán como el Río San Jerónimo se bifurcan cerca de los límites del Estado de México y Guerrero, donde pasan a ser subterráneos cerca de la zona de grutas de Cacahuamilpa, el río emana nuevamente en la salida de las grutas como el Amacuzac en territorio del Estado de Morelos, donde se integra a la subcuenca del Bajo Amacuzac.</w:t>
      </w:r>
    </w:p>
    <w:p w:rsidR="00243E73" w:rsidRPr="00243E73" w:rsidRDefault="00243E73" w:rsidP="00243E73">
      <w:pPr>
        <w:pStyle w:val="Sinespaciado"/>
        <w:spacing w:line="276" w:lineRule="auto"/>
        <w:jc w:val="both"/>
        <w:rPr>
          <w:rFonts w:asciiTheme="minorHAnsi" w:hAnsiTheme="minorHAnsi" w:cs="Arial"/>
          <w:noProof/>
          <w:sz w:val="24"/>
          <w:szCs w:val="24"/>
          <w:lang w:eastAsia="es-MX"/>
        </w:rPr>
      </w:pPr>
    </w:p>
    <w:p w:rsidR="00243E73" w:rsidRPr="00243E73" w:rsidRDefault="00243E73" w:rsidP="00243E73">
      <w:pPr>
        <w:pStyle w:val="Sinespaciado"/>
        <w:spacing w:line="276" w:lineRule="auto"/>
        <w:jc w:val="both"/>
        <w:rPr>
          <w:rFonts w:asciiTheme="minorHAnsi" w:hAnsiTheme="minorHAnsi" w:cs="Arial"/>
          <w:noProof/>
          <w:sz w:val="24"/>
          <w:szCs w:val="24"/>
          <w:lang w:eastAsia="es-MX"/>
        </w:rPr>
      </w:pPr>
      <w:r w:rsidRPr="00243E73">
        <w:rPr>
          <w:rFonts w:asciiTheme="minorHAnsi" w:hAnsiTheme="minorHAnsi" w:cs="Arial"/>
          <w:noProof/>
          <w:sz w:val="24"/>
          <w:szCs w:val="24"/>
          <w:lang w:eastAsia="es-MX"/>
        </w:rPr>
        <w:t>Por otra parte del municipio de Malinalco escurren las aguas del Río Chalma y se bifurca con el Amacuzac en Morelos, cerca de la cuenca alta del Bajo Amacuzac.</w:t>
      </w:r>
    </w:p>
    <w:p w:rsidR="00243E73" w:rsidRPr="00243E73" w:rsidRDefault="00243E73" w:rsidP="00243E73">
      <w:pPr>
        <w:pStyle w:val="Sinespaciado"/>
        <w:spacing w:line="276" w:lineRule="auto"/>
        <w:jc w:val="both"/>
        <w:rPr>
          <w:rFonts w:asciiTheme="minorHAnsi" w:hAnsiTheme="minorHAnsi" w:cs="Arial"/>
          <w:noProof/>
          <w:sz w:val="24"/>
          <w:szCs w:val="24"/>
          <w:lang w:eastAsia="es-MX"/>
        </w:rPr>
      </w:pPr>
    </w:p>
    <w:p w:rsidR="00243E73" w:rsidRPr="00243E73" w:rsidRDefault="00243E73" w:rsidP="00243E73">
      <w:pPr>
        <w:pStyle w:val="Sinespaciado"/>
        <w:spacing w:line="276" w:lineRule="auto"/>
        <w:jc w:val="both"/>
        <w:rPr>
          <w:rFonts w:asciiTheme="minorHAnsi" w:hAnsiTheme="minorHAnsi" w:cs="Arial"/>
          <w:noProof/>
          <w:sz w:val="24"/>
          <w:szCs w:val="24"/>
          <w:lang w:eastAsia="es-MX"/>
        </w:rPr>
      </w:pPr>
    </w:p>
    <w:p w:rsidR="00243E73" w:rsidRDefault="00243E73" w:rsidP="00243E73">
      <w:pPr>
        <w:pStyle w:val="Sinespaciado"/>
        <w:spacing w:line="276" w:lineRule="auto"/>
        <w:jc w:val="both"/>
        <w:rPr>
          <w:rFonts w:ascii="Arial" w:hAnsi="Arial" w:cs="Arial"/>
        </w:rPr>
      </w:pPr>
    </w:p>
    <w:p w:rsidR="00243E73" w:rsidRDefault="00243E73" w:rsidP="00243E73">
      <w:pPr>
        <w:pStyle w:val="Sinespaciado"/>
        <w:spacing w:line="276" w:lineRule="auto"/>
        <w:jc w:val="both"/>
        <w:rPr>
          <w:rFonts w:ascii="Arial" w:hAnsi="Arial" w:cs="Arial"/>
        </w:rPr>
      </w:pPr>
    </w:p>
    <w:p w:rsidR="00243E73" w:rsidRDefault="00243E73" w:rsidP="00243E73">
      <w:pPr>
        <w:pStyle w:val="Sinespaciado"/>
        <w:spacing w:line="276" w:lineRule="auto"/>
        <w:jc w:val="both"/>
        <w:rPr>
          <w:rFonts w:ascii="Arial" w:hAnsi="Arial" w:cs="Arial"/>
        </w:rPr>
      </w:pPr>
    </w:p>
    <w:p w:rsidR="00243E73" w:rsidRDefault="00243E73" w:rsidP="00243E73">
      <w:pPr>
        <w:pStyle w:val="Sinespaciado"/>
        <w:spacing w:line="276" w:lineRule="auto"/>
        <w:jc w:val="both"/>
        <w:rPr>
          <w:rFonts w:ascii="Arial" w:hAnsi="Arial" w:cs="Arial"/>
        </w:rPr>
        <w:sectPr w:rsidR="00243E73" w:rsidSect="00B23FF4">
          <w:pgSz w:w="12240" w:h="15840" w:code="1"/>
          <w:pgMar w:top="1417" w:right="1701" w:bottom="1417" w:left="1701" w:header="709" w:footer="709" w:gutter="0"/>
          <w:cols w:space="708"/>
          <w:docGrid w:linePitch="360"/>
        </w:sectPr>
      </w:pPr>
    </w:p>
    <w:p w:rsidR="00243E73" w:rsidRPr="00243E73" w:rsidRDefault="00243E73" w:rsidP="00243E73">
      <w:pPr>
        <w:pStyle w:val="Sinespaciado"/>
        <w:spacing w:line="276" w:lineRule="auto"/>
        <w:jc w:val="both"/>
        <w:rPr>
          <w:rFonts w:asciiTheme="minorHAnsi" w:hAnsiTheme="minorHAnsi" w:cs="Arial"/>
          <w:b/>
          <w:noProof/>
          <w:sz w:val="24"/>
          <w:szCs w:val="24"/>
          <w:lang w:eastAsia="es-MX"/>
        </w:rPr>
      </w:pPr>
      <w:r>
        <w:rPr>
          <w:rFonts w:asciiTheme="minorHAnsi" w:hAnsiTheme="minorHAnsi" w:cs="Arial"/>
          <w:b/>
          <w:noProof/>
          <w:sz w:val="24"/>
          <w:szCs w:val="24"/>
          <w:lang w:eastAsia="es-MX"/>
        </w:rPr>
        <w:t>Uso de suelo</w:t>
      </w:r>
    </w:p>
    <w:p w:rsidR="00243E73" w:rsidRPr="00243E73" w:rsidRDefault="00243E73" w:rsidP="00243E73">
      <w:pPr>
        <w:pStyle w:val="Sinespaciado"/>
        <w:spacing w:line="276" w:lineRule="auto"/>
        <w:ind w:left="1800"/>
        <w:outlineLvl w:val="1"/>
        <w:rPr>
          <w:rFonts w:asciiTheme="minorHAnsi" w:hAnsiTheme="minorHAnsi" w:cs="Arial"/>
          <w:noProof/>
          <w:sz w:val="24"/>
          <w:szCs w:val="24"/>
          <w:lang w:eastAsia="es-MX"/>
        </w:rPr>
      </w:pPr>
    </w:p>
    <w:p w:rsidR="00243E73" w:rsidRPr="00243E73" w:rsidRDefault="00243E73" w:rsidP="00243E73">
      <w:pPr>
        <w:pStyle w:val="Sinespaciado"/>
        <w:spacing w:line="276" w:lineRule="auto"/>
        <w:jc w:val="both"/>
        <w:rPr>
          <w:rFonts w:asciiTheme="minorHAnsi" w:hAnsiTheme="minorHAnsi" w:cs="Arial"/>
          <w:noProof/>
          <w:sz w:val="24"/>
          <w:szCs w:val="24"/>
          <w:lang w:eastAsia="es-MX"/>
        </w:rPr>
      </w:pPr>
      <w:r w:rsidRPr="00243E73">
        <w:rPr>
          <w:rFonts w:asciiTheme="minorHAnsi" w:hAnsiTheme="minorHAnsi" w:cs="Arial"/>
          <w:noProof/>
          <w:sz w:val="24"/>
          <w:szCs w:val="24"/>
          <w:lang w:eastAsia="es-MX"/>
        </w:rPr>
        <w:t>El uso de suelo tiene que ver con la forma en cómo se emplea el territorio, es importante porque en función de la ubicación de latitud y altitud, se genera el componente sistémico de litología, hidrología, edafología, y climas; que a su vez permiten el desarrollo de actividades humanas junto con la explotación del suelo en diversas actividades económicas.</w:t>
      </w:r>
    </w:p>
    <w:p w:rsidR="00243E73" w:rsidRPr="00243E73" w:rsidRDefault="00243E73" w:rsidP="00243E73">
      <w:pPr>
        <w:pStyle w:val="Sinespaciado"/>
        <w:spacing w:line="276" w:lineRule="auto"/>
        <w:jc w:val="both"/>
        <w:rPr>
          <w:rFonts w:asciiTheme="minorHAnsi" w:hAnsiTheme="minorHAnsi" w:cs="Arial"/>
          <w:noProof/>
          <w:sz w:val="24"/>
          <w:szCs w:val="24"/>
          <w:lang w:eastAsia="es-MX"/>
        </w:rPr>
      </w:pPr>
    </w:p>
    <w:p w:rsidR="00243E73" w:rsidRPr="00243E73" w:rsidRDefault="00243E73" w:rsidP="00243E73">
      <w:pPr>
        <w:pStyle w:val="Sinespaciado"/>
        <w:spacing w:line="276" w:lineRule="auto"/>
        <w:jc w:val="both"/>
        <w:rPr>
          <w:rFonts w:asciiTheme="minorHAnsi" w:hAnsiTheme="minorHAnsi" w:cs="Arial"/>
          <w:noProof/>
          <w:sz w:val="24"/>
          <w:szCs w:val="24"/>
          <w:lang w:eastAsia="es-MX"/>
        </w:rPr>
      </w:pPr>
      <w:r w:rsidRPr="00243E73">
        <w:rPr>
          <w:rFonts w:asciiTheme="minorHAnsi" w:hAnsiTheme="minorHAnsi" w:cs="Arial"/>
          <w:noProof/>
          <w:sz w:val="24"/>
          <w:szCs w:val="24"/>
          <w:lang w:eastAsia="es-MX"/>
        </w:rPr>
        <w:t>Para la caracterización de uso de suelo se presenta la cobertura de superficie agrícola tomada de la Serie V, editada por el IN</w:t>
      </w:r>
      <w:r w:rsidR="00B23FF4">
        <w:rPr>
          <w:rFonts w:asciiTheme="minorHAnsi" w:hAnsiTheme="minorHAnsi" w:cs="Arial"/>
          <w:noProof/>
          <w:sz w:val="24"/>
          <w:szCs w:val="24"/>
          <w:lang w:eastAsia="es-MX"/>
        </w:rPr>
        <w:t>EGI y publicada en el año 2011.</w:t>
      </w:r>
      <w:r w:rsidRPr="00243E73">
        <w:rPr>
          <w:rFonts w:asciiTheme="minorHAnsi" w:hAnsiTheme="minorHAnsi" w:cs="Arial"/>
          <w:noProof/>
          <w:sz w:val="24"/>
          <w:szCs w:val="24"/>
          <w:lang w:eastAsia="es-MX"/>
        </w:rPr>
        <w:t xml:space="preserve"> </w:t>
      </w:r>
    </w:p>
    <w:p w:rsidR="00243E73" w:rsidRPr="00243E73" w:rsidRDefault="00243E73" w:rsidP="00243E73">
      <w:pPr>
        <w:pStyle w:val="Sinespaciado"/>
        <w:spacing w:line="276" w:lineRule="auto"/>
        <w:jc w:val="both"/>
        <w:rPr>
          <w:rFonts w:asciiTheme="minorHAnsi" w:hAnsiTheme="minorHAnsi" w:cs="Arial"/>
          <w:noProof/>
          <w:sz w:val="24"/>
          <w:szCs w:val="24"/>
          <w:lang w:eastAsia="es-MX"/>
        </w:rPr>
      </w:pPr>
    </w:p>
    <w:p w:rsidR="00243E73" w:rsidRDefault="00243E73" w:rsidP="00B23FF4">
      <w:pPr>
        <w:pStyle w:val="Sinespaciado"/>
        <w:spacing w:line="276" w:lineRule="auto"/>
        <w:jc w:val="both"/>
        <w:rPr>
          <w:rFonts w:asciiTheme="minorHAnsi" w:hAnsiTheme="minorHAnsi" w:cs="Arial"/>
          <w:noProof/>
          <w:sz w:val="24"/>
          <w:szCs w:val="24"/>
          <w:lang w:eastAsia="es-MX"/>
        </w:rPr>
      </w:pPr>
      <w:r w:rsidRPr="00243E73">
        <w:rPr>
          <w:rFonts w:asciiTheme="minorHAnsi" w:hAnsiTheme="minorHAnsi" w:cs="Arial"/>
          <w:noProof/>
          <w:sz w:val="24"/>
          <w:szCs w:val="24"/>
          <w:lang w:eastAsia="es-MX"/>
        </w:rPr>
        <w:t>Se resalta que de la superficie total de la Cuenca del Alto Amacuzac, el 43.3% corresponde a una actividad agrícola, que de acuerdo con la información también incluye la superficie pecuaria y forestal; mientras que el 56.6% corres</w:t>
      </w:r>
      <w:r w:rsidR="00B23FF4">
        <w:rPr>
          <w:rFonts w:asciiTheme="minorHAnsi" w:hAnsiTheme="minorHAnsi" w:cs="Arial"/>
          <w:noProof/>
          <w:sz w:val="24"/>
          <w:szCs w:val="24"/>
          <w:lang w:eastAsia="es-MX"/>
        </w:rPr>
        <w:t xml:space="preserve">ponde a otro tipo de coberturas. </w:t>
      </w:r>
    </w:p>
    <w:p w:rsidR="000A706D" w:rsidRDefault="000A706D" w:rsidP="00B23FF4">
      <w:pPr>
        <w:pStyle w:val="Sinespaciado"/>
        <w:spacing w:line="276" w:lineRule="auto"/>
        <w:jc w:val="both"/>
        <w:rPr>
          <w:rFonts w:ascii="Arial" w:hAnsi="Arial" w:cs="Arial"/>
        </w:rPr>
      </w:pPr>
    </w:p>
    <w:p w:rsidR="000A706D" w:rsidRDefault="00243E73" w:rsidP="000A706D">
      <w:pPr>
        <w:pStyle w:val="Sinespaciado"/>
        <w:spacing w:line="276" w:lineRule="auto"/>
        <w:jc w:val="both"/>
        <w:rPr>
          <w:rFonts w:asciiTheme="minorHAnsi" w:hAnsiTheme="minorHAnsi" w:cs="Arial"/>
          <w:noProof/>
          <w:sz w:val="24"/>
          <w:szCs w:val="24"/>
          <w:lang w:eastAsia="es-MX"/>
        </w:rPr>
      </w:pPr>
      <w:r w:rsidRPr="00243E73">
        <w:rPr>
          <w:rFonts w:asciiTheme="minorHAnsi" w:hAnsiTheme="minorHAnsi" w:cs="Arial"/>
          <w:noProof/>
          <w:sz w:val="24"/>
          <w:szCs w:val="24"/>
          <w:lang w:eastAsia="es-MX"/>
        </w:rPr>
        <w:t>En el 43.3% está incluida la actividad florícola, ya que forma parte de un tipo de agricultura específica, en este caso de producción de flores de corte tanto a cielo abierto como en invernaderos; los municipios del corredor florícola del Estado de México presentan una superficie total de 1468 km2, de los cuales el 41.4% corresponden a la actividad agrícola</w:t>
      </w:r>
      <w:r w:rsidR="009F45EE">
        <w:rPr>
          <w:rFonts w:asciiTheme="minorHAnsi" w:hAnsiTheme="minorHAnsi" w:cs="Arial"/>
          <w:noProof/>
          <w:sz w:val="24"/>
          <w:szCs w:val="24"/>
          <w:lang w:eastAsia="es-MX"/>
        </w:rPr>
        <w:t xml:space="preserve"> y el 58.8% a otras coberturas</w:t>
      </w:r>
      <w:r w:rsidRPr="00243E73">
        <w:rPr>
          <w:rFonts w:asciiTheme="minorHAnsi" w:hAnsiTheme="minorHAnsi" w:cs="Arial"/>
          <w:noProof/>
          <w:sz w:val="24"/>
          <w:szCs w:val="24"/>
          <w:lang w:eastAsia="es-MX"/>
        </w:rPr>
        <w:t>.</w:t>
      </w:r>
    </w:p>
    <w:p w:rsidR="000A706D" w:rsidRDefault="000A706D" w:rsidP="000A706D">
      <w:pPr>
        <w:pStyle w:val="Sinespaciado"/>
        <w:spacing w:line="276" w:lineRule="auto"/>
        <w:jc w:val="both"/>
        <w:rPr>
          <w:rFonts w:asciiTheme="minorHAnsi" w:hAnsiTheme="minorHAnsi" w:cs="Arial"/>
          <w:noProof/>
          <w:sz w:val="24"/>
          <w:szCs w:val="24"/>
          <w:lang w:eastAsia="es-MX"/>
        </w:rPr>
      </w:pPr>
    </w:p>
    <w:p w:rsidR="00243E73" w:rsidRPr="00243E73" w:rsidRDefault="00243E73" w:rsidP="000A706D">
      <w:pPr>
        <w:pStyle w:val="Sinespaciado"/>
        <w:spacing w:line="276" w:lineRule="auto"/>
        <w:jc w:val="both"/>
        <w:rPr>
          <w:rFonts w:asciiTheme="minorHAnsi" w:hAnsiTheme="minorHAnsi" w:cs="Arial"/>
          <w:noProof/>
          <w:sz w:val="24"/>
          <w:szCs w:val="24"/>
          <w:lang w:eastAsia="es-MX"/>
        </w:rPr>
      </w:pPr>
      <w:r w:rsidRPr="00243E73">
        <w:rPr>
          <w:rFonts w:asciiTheme="minorHAnsi" w:hAnsiTheme="minorHAnsi" w:cs="Arial"/>
          <w:noProof/>
          <w:sz w:val="24"/>
          <w:szCs w:val="24"/>
          <w:lang w:eastAsia="es-MX"/>
        </w:rPr>
        <w:t>Para la caracterización de Uso de suelo, también se presentan datos obtenidos del Censo Agropecuario 2007, publicado por el INEGI en el año 2009.  De acuerdo con esta fuente de información estadística, de los ocho municipios que integran el corredor florícola del Estado de México, Villa Guerrero, Tenancingo y Coatepec Harinas son los municipios con un mayor número de unidades de producción, dichas unidades son entendidas como la extensión total de los terrenos, predios o parcelas que forman parte de la unidad (INEGI, 2012).</w:t>
      </w:r>
    </w:p>
    <w:p w:rsidR="00243E73" w:rsidRPr="00321EAF" w:rsidRDefault="00243E73" w:rsidP="00243E73">
      <w:pPr>
        <w:pStyle w:val="Sinespaciado"/>
        <w:spacing w:line="276" w:lineRule="auto"/>
        <w:jc w:val="both"/>
        <w:rPr>
          <w:rFonts w:ascii="Arial" w:hAnsi="Arial" w:cs="Arial"/>
          <w:sz w:val="16"/>
          <w:szCs w:val="16"/>
        </w:rPr>
      </w:pPr>
    </w:p>
    <w:p w:rsidR="00243E73" w:rsidRPr="00321EAF" w:rsidRDefault="00243E73" w:rsidP="00243E73">
      <w:pPr>
        <w:pStyle w:val="Sinespaciado"/>
        <w:spacing w:line="276" w:lineRule="auto"/>
        <w:jc w:val="both"/>
        <w:rPr>
          <w:rFonts w:ascii="Arial" w:hAnsi="Arial" w:cs="Arial"/>
          <w:sz w:val="16"/>
          <w:szCs w:val="16"/>
        </w:rPr>
      </w:pPr>
      <w:r w:rsidRPr="00243E73">
        <w:rPr>
          <w:rFonts w:asciiTheme="minorHAnsi" w:hAnsiTheme="minorHAnsi" w:cs="Arial"/>
          <w:noProof/>
          <w:sz w:val="24"/>
          <w:szCs w:val="24"/>
          <w:lang w:eastAsia="es-MX"/>
        </w:rPr>
        <w:t>Superficie agrícola según la distribución del agua: presenta un total de 19,024 unidades de producción, equivalentes a 24,511 has., de las cuales el 72% son de temporal, el 28% restante corresponde a cultivos de riego, de los cuales Coatepec Harinas y Villa Guerrero representan e</w:t>
      </w:r>
      <w:r w:rsidR="000A706D">
        <w:rPr>
          <w:rFonts w:asciiTheme="minorHAnsi" w:hAnsiTheme="minorHAnsi" w:cs="Arial"/>
          <w:noProof/>
          <w:sz w:val="24"/>
          <w:szCs w:val="24"/>
          <w:lang w:eastAsia="es-MX"/>
        </w:rPr>
        <w:t>l 31.2 y 25.4% respectivamente.</w:t>
      </w:r>
    </w:p>
    <w:p w:rsidR="00243E73" w:rsidRPr="00656F25" w:rsidRDefault="00243E73" w:rsidP="00243E73">
      <w:pPr>
        <w:pStyle w:val="Sinespaciado"/>
        <w:spacing w:line="276" w:lineRule="auto"/>
        <w:jc w:val="both"/>
        <w:rPr>
          <w:rFonts w:ascii="Arial" w:hAnsi="Arial" w:cs="Arial"/>
          <w:sz w:val="6"/>
          <w:szCs w:val="6"/>
        </w:rPr>
      </w:pPr>
    </w:p>
    <w:p w:rsidR="00BE597A" w:rsidRDefault="00BE597A" w:rsidP="00B603A3">
      <w:pPr>
        <w:pStyle w:val="Sinespaciado"/>
        <w:spacing w:line="276" w:lineRule="auto"/>
        <w:jc w:val="both"/>
        <w:rPr>
          <w:rFonts w:asciiTheme="minorHAnsi" w:hAnsiTheme="minorHAnsi" w:cs="Arial"/>
          <w:noProof/>
          <w:sz w:val="24"/>
          <w:szCs w:val="24"/>
          <w:lang w:eastAsia="es-MX"/>
        </w:rPr>
      </w:pPr>
    </w:p>
    <w:p w:rsidR="002B4213" w:rsidRPr="002B4213" w:rsidRDefault="002B4213" w:rsidP="002B4213">
      <w:pPr>
        <w:pStyle w:val="Sinespaciado"/>
        <w:numPr>
          <w:ilvl w:val="2"/>
          <w:numId w:val="8"/>
        </w:numPr>
        <w:spacing w:line="276" w:lineRule="auto"/>
        <w:jc w:val="both"/>
        <w:rPr>
          <w:rFonts w:asciiTheme="minorHAnsi" w:hAnsiTheme="minorHAnsi" w:cs="Arial"/>
          <w:b/>
          <w:noProof/>
          <w:sz w:val="24"/>
          <w:szCs w:val="24"/>
          <w:lang w:eastAsia="es-MX"/>
        </w:rPr>
      </w:pPr>
      <w:r w:rsidRPr="002B4213">
        <w:rPr>
          <w:rFonts w:asciiTheme="minorHAnsi" w:hAnsiTheme="minorHAnsi" w:cs="Arial"/>
          <w:b/>
          <w:noProof/>
          <w:sz w:val="24"/>
          <w:szCs w:val="24"/>
          <w:lang w:eastAsia="es-MX"/>
        </w:rPr>
        <w:t>Diseño y aplicación de encuestas</w:t>
      </w:r>
    </w:p>
    <w:p w:rsidR="002B4213" w:rsidRDefault="002B4213" w:rsidP="002B4213">
      <w:pPr>
        <w:pStyle w:val="Sinespaciado"/>
        <w:spacing w:line="276" w:lineRule="auto"/>
        <w:jc w:val="both"/>
        <w:rPr>
          <w:rFonts w:asciiTheme="minorHAnsi" w:hAnsiTheme="minorHAnsi" w:cs="Arial"/>
          <w:noProof/>
          <w:sz w:val="24"/>
          <w:szCs w:val="24"/>
          <w:lang w:eastAsia="es-MX"/>
        </w:rPr>
      </w:pPr>
    </w:p>
    <w:p w:rsidR="002B4213" w:rsidRPr="002B4213" w:rsidRDefault="002B4213" w:rsidP="002B4213">
      <w:pPr>
        <w:pStyle w:val="Sinespaciado"/>
        <w:spacing w:line="276" w:lineRule="auto"/>
        <w:jc w:val="both"/>
        <w:rPr>
          <w:rFonts w:asciiTheme="minorHAnsi" w:hAnsiTheme="minorHAnsi" w:cs="Arial"/>
          <w:noProof/>
          <w:sz w:val="24"/>
          <w:szCs w:val="24"/>
          <w:lang w:eastAsia="es-MX"/>
        </w:rPr>
      </w:pPr>
      <w:r w:rsidRPr="002B4213">
        <w:rPr>
          <w:rFonts w:asciiTheme="minorHAnsi" w:hAnsiTheme="minorHAnsi" w:cs="Arial"/>
          <w:noProof/>
          <w:sz w:val="24"/>
          <w:szCs w:val="24"/>
          <w:lang w:eastAsia="es-MX"/>
        </w:rPr>
        <w:t xml:space="preserve">La obtención de la información se realizó por dos métodos como muestra la Figura </w:t>
      </w:r>
      <w:r w:rsidR="000A706D">
        <w:rPr>
          <w:rFonts w:asciiTheme="minorHAnsi" w:hAnsiTheme="minorHAnsi" w:cs="Arial"/>
          <w:noProof/>
          <w:sz w:val="24"/>
          <w:szCs w:val="24"/>
          <w:lang w:eastAsia="es-MX"/>
        </w:rPr>
        <w:t>2,</w:t>
      </w:r>
      <w:r w:rsidRPr="002B4213">
        <w:rPr>
          <w:rFonts w:asciiTheme="minorHAnsi" w:hAnsiTheme="minorHAnsi" w:cs="Arial"/>
          <w:noProof/>
          <w:sz w:val="24"/>
          <w:szCs w:val="24"/>
          <w:lang w:eastAsia="es-MX"/>
        </w:rPr>
        <w:t xml:space="preserve"> primero recorridos de campo por los municipios del corredor horti-florícola, los instrumentos de apoyo fueron la cartografía digital y analógica de la zona de estudio que permite identificar tanto productores como zonas agrícolas; una cámara fotográfica de evidencias y un cuaderno para notas de campo (Argimon, 2000; Visauta, 1989; Festinger y Katz, 1979).</w:t>
      </w:r>
    </w:p>
    <w:p w:rsidR="002B4213" w:rsidRDefault="002B4213" w:rsidP="002B4213">
      <w:pPr>
        <w:pStyle w:val="Sinespaciado"/>
        <w:spacing w:line="276" w:lineRule="auto"/>
        <w:jc w:val="both"/>
        <w:rPr>
          <w:rFonts w:ascii="Arial" w:hAnsi="Arial" w:cs="Arial"/>
        </w:rPr>
      </w:pPr>
    </w:p>
    <w:p w:rsidR="002B4213" w:rsidRDefault="002B4213" w:rsidP="002B4213">
      <w:pPr>
        <w:pStyle w:val="Sinespaciado"/>
        <w:spacing w:line="276" w:lineRule="auto"/>
        <w:jc w:val="both"/>
        <w:rPr>
          <w:rFonts w:ascii="Arial" w:hAnsi="Arial" w:cs="Arial"/>
        </w:rPr>
      </w:pPr>
    </w:p>
    <w:p w:rsidR="002B4213" w:rsidRDefault="002B4213" w:rsidP="002B4213">
      <w:pPr>
        <w:pStyle w:val="Sinespaciado"/>
        <w:spacing w:line="276" w:lineRule="auto"/>
        <w:jc w:val="center"/>
        <w:rPr>
          <w:rFonts w:ascii="Arial" w:hAnsi="Arial" w:cs="Arial"/>
        </w:rPr>
      </w:pPr>
      <w:r>
        <w:rPr>
          <w:rFonts w:ascii="Arial" w:hAnsi="Arial" w:cs="Arial"/>
          <w:noProof/>
          <w:lang w:eastAsia="es-MX"/>
        </w:rPr>
        <w:drawing>
          <wp:inline distT="0" distB="0" distL="0" distR="0" wp14:anchorId="101D342D" wp14:editId="4B676C00">
            <wp:extent cx="5871187" cy="3692324"/>
            <wp:effectExtent l="0" t="0" r="0" b="0"/>
            <wp:docPr id="14" name="Imagen 14" descr="metod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todos"/>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78560" cy="3696961"/>
                    </a:xfrm>
                    <a:prstGeom prst="rect">
                      <a:avLst/>
                    </a:prstGeom>
                    <a:noFill/>
                    <a:ln>
                      <a:noFill/>
                    </a:ln>
                  </pic:spPr>
                </pic:pic>
              </a:graphicData>
            </a:graphic>
          </wp:inline>
        </w:drawing>
      </w:r>
    </w:p>
    <w:p w:rsidR="002B4213" w:rsidRPr="002B4213" w:rsidRDefault="002B4213" w:rsidP="002B4213">
      <w:pPr>
        <w:pStyle w:val="Sinespaciado"/>
        <w:jc w:val="center"/>
        <w:rPr>
          <w:rFonts w:asciiTheme="minorHAnsi" w:hAnsiTheme="minorHAnsi" w:cs="Arial"/>
          <w:noProof/>
          <w:sz w:val="24"/>
          <w:szCs w:val="24"/>
          <w:lang w:eastAsia="es-MX"/>
        </w:rPr>
      </w:pPr>
      <w:r w:rsidRPr="002B4213">
        <w:rPr>
          <w:rFonts w:asciiTheme="minorHAnsi" w:hAnsiTheme="minorHAnsi" w:cs="Arial"/>
          <w:noProof/>
          <w:sz w:val="24"/>
          <w:szCs w:val="24"/>
          <w:lang w:eastAsia="es-MX"/>
        </w:rPr>
        <w:t xml:space="preserve">Figura </w:t>
      </w:r>
      <w:r w:rsidR="000A706D">
        <w:rPr>
          <w:rFonts w:asciiTheme="minorHAnsi" w:hAnsiTheme="minorHAnsi" w:cs="Arial"/>
          <w:noProof/>
          <w:sz w:val="24"/>
          <w:szCs w:val="24"/>
          <w:lang w:eastAsia="es-MX"/>
        </w:rPr>
        <w:t>2.</w:t>
      </w:r>
      <w:r w:rsidRPr="002B4213">
        <w:rPr>
          <w:rFonts w:asciiTheme="minorHAnsi" w:hAnsiTheme="minorHAnsi" w:cs="Arial"/>
          <w:noProof/>
          <w:sz w:val="24"/>
          <w:szCs w:val="24"/>
          <w:lang w:eastAsia="es-MX"/>
        </w:rPr>
        <w:t xml:space="preserve"> </w:t>
      </w:r>
      <w:r w:rsidR="00C93310">
        <w:rPr>
          <w:rFonts w:asciiTheme="minorHAnsi" w:hAnsiTheme="minorHAnsi" w:cs="Arial"/>
          <w:noProof/>
          <w:sz w:val="24"/>
          <w:szCs w:val="24"/>
          <w:lang w:eastAsia="es-MX"/>
        </w:rPr>
        <w:t>Esquema explicativo.</w:t>
      </w:r>
    </w:p>
    <w:p w:rsidR="002B4213" w:rsidRDefault="002B4213" w:rsidP="002B4213">
      <w:pPr>
        <w:pStyle w:val="Sinespaciado"/>
        <w:spacing w:line="276" w:lineRule="auto"/>
        <w:jc w:val="both"/>
        <w:rPr>
          <w:rFonts w:ascii="Arial" w:hAnsi="Arial" w:cs="Arial"/>
        </w:rPr>
      </w:pPr>
    </w:p>
    <w:p w:rsidR="002B4213" w:rsidRPr="002B4213" w:rsidRDefault="002B4213" w:rsidP="002B4213">
      <w:pPr>
        <w:pStyle w:val="Sinespaciado"/>
        <w:spacing w:line="276" w:lineRule="auto"/>
        <w:jc w:val="both"/>
        <w:rPr>
          <w:rFonts w:asciiTheme="minorHAnsi" w:hAnsiTheme="minorHAnsi" w:cs="Arial"/>
          <w:noProof/>
          <w:sz w:val="24"/>
          <w:szCs w:val="24"/>
          <w:lang w:eastAsia="es-MX"/>
        </w:rPr>
      </w:pPr>
      <w:r w:rsidRPr="002B4213">
        <w:rPr>
          <w:rFonts w:asciiTheme="minorHAnsi" w:hAnsiTheme="minorHAnsi" w:cs="Arial"/>
          <w:noProof/>
          <w:sz w:val="24"/>
          <w:szCs w:val="24"/>
          <w:lang w:eastAsia="es-MX"/>
        </w:rPr>
        <w:t xml:space="preserve">El segundo consistió en la aplicación de Encuestas transversales, que busca sistemáticamente datos generadores de información, se aplica una sola vez en un período de tiempo y en una población o área geográfica definida. Las encuestas fueron semiestructuradas y semidirigidas, como principal instrumento se utilizaron los Cuestionarios diseñados previamente con los ítems de interés. </w:t>
      </w:r>
    </w:p>
    <w:p w:rsidR="002B4213" w:rsidRDefault="002B4213" w:rsidP="002B4213">
      <w:pPr>
        <w:pStyle w:val="Sinespaciado"/>
        <w:spacing w:line="276" w:lineRule="auto"/>
        <w:jc w:val="both"/>
        <w:rPr>
          <w:rFonts w:ascii="Arial" w:hAnsi="Arial" w:cs="Arial"/>
        </w:rPr>
      </w:pPr>
    </w:p>
    <w:p w:rsidR="002B4213" w:rsidRPr="002B4213" w:rsidRDefault="002B4213" w:rsidP="002B4213">
      <w:pPr>
        <w:pStyle w:val="Sinespaciado"/>
        <w:spacing w:line="276" w:lineRule="auto"/>
        <w:jc w:val="both"/>
        <w:rPr>
          <w:rFonts w:asciiTheme="minorHAnsi" w:hAnsiTheme="minorHAnsi" w:cs="Arial"/>
          <w:noProof/>
          <w:sz w:val="24"/>
          <w:szCs w:val="24"/>
          <w:lang w:eastAsia="es-MX"/>
        </w:rPr>
      </w:pPr>
      <w:r w:rsidRPr="002B4213">
        <w:rPr>
          <w:rFonts w:asciiTheme="minorHAnsi" w:hAnsiTheme="minorHAnsi" w:cs="Arial"/>
          <w:noProof/>
          <w:sz w:val="24"/>
          <w:szCs w:val="24"/>
          <w:lang w:eastAsia="es-MX"/>
        </w:rPr>
        <w:t>La selección de la muestra se llevó a cabo con base en:</w:t>
      </w:r>
    </w:p>
    <w:p w:rsidR="002B4213" w:rsidRPr="002B4213" w:rsidRDefault="002B4213" w:rsidP="002B4213">
      <w:pPr>
        <w:pStyle w:val="Sinespaciado"/>
        <w:spacing w:line="276" w:lineRule="auto"/>
        <w:jc w:val="both"/>
        <w:rPr>
          <w:rFonts w:asciiTheme="minorHAnsi" w:hAnsiTheme="minorHAnsi" w:cs="Arial"/>
          <w:noProof/>
          <w:sz w:val="24"/>
          <w:szCs w:val="24"/>
          <w:lang w:eastAsia="es-MX"/>
        </w:rPr>
      </w:pPr>
    </w:p>
    <w:p w:rsidR="002B4213" w:rsidRPr="002B4213" w:rsidRDefault="002B4213" w:rsidP="002B4213">
      <w:pPr>
        <w:pStyle w:val="Sinespaciado"/>
        <w:numPr>
          <w:ilvl w:val="0"/>
          <w:numId w:val="11"/>
        </w:numPr>
        <w:spacing w:line="276" w:lineRule="auto"/>
        <w:jc w:val="both"/>
        <w:rPr>
          <w:rFonts w:asciiTheme="minorHAnsi" w:hAnsiTheme="minorHAnsi" w:cs="Arial"/>
          <w:noProof/>
          <w:sz w:val="24"/>
          <w:szCs w:val="24"/>
          <w:lang w:eastAsia="es-MX"/>
        </w:rPr>
      </w:pPr>
      <w:r w:rsidRPr="002B4213">
        <w:rPr>
          <w:rFonts w:asciiTheme="minorHAnsi" w:hAnsiTheme="minorHAnsi" w:cs="Arial"/>
          <w:noProof/>
          <w:sz w:val="24"/>
          <w:szCs w:val="24"/>
          <w:lang w:eastAsia="es-MX"/>
        </w:rPr>
        <w:t>El método probabilístico por conglomerados: que permite conocer la probabilidad de selección que tiene cada elemento de la población para ser entrevistado, el muestreo se realizó por conglomerados o clúster de la población, en este caso el grupo seleccionado para entrevistar fueron los productores agrícolas del corredor horti-florícola.</w:t>
      </w:r>
    </w:p>
    <w:p w:rsidR="002B4213" w:rsidRPr="002B4213" w:rsidRDefault="002B4213" w:rsidP="002B4213">
      <w:pPr>
        <w:pStyle w:val="Sinespaciado"/>
        <w:spacing w:line="276" w:lineRule="auto"/>
        <w:ind w:left="720"/>
        <w:jc w:val="both"/>
        <w:rPr>
          <w:rFonts w:asciiTheme="minorHAnsi" w:hAnsiTheme="minorHAnsi" w:cs="Arial"/>
          <w:noProof/>
          <w:sz w:val="24"/>
          <w:szCs w:val="24"/>
          <w:lang w:eastAsia="es-MX"/>
        </w:rPr>
      </w:pPr>
    </w:p>
    <w:p w:rsidR="002B4213" w:rsidRPr="002B4213" w:rsidRDefault="002B4213" w:rsidP="00C93310">
      <w:pPr>
        <w:pStyle w:val="Sinespaciado"/>
        <w:numPr>
          <w:ilvl w:val="0"/>
          <w:numId w:val="13"/>
        </w:numPr>
        <w:spacing w:line="276" w:lineRule="auto"/>
        <w:jc w:val="both"/>
        <w:rPr>
          <w:rFonts w:asciiTheme="minorHAnsi" w:hAnsiTheme="minorHAnsi" w:cs="Arial"/>
          <w:noProof/>
          <w:sz w:val="24"/>
          <w:szCs w:val="24"/>
          <w:lang w:eastAsia="es-MX"/>
        </w:rPr>
      </w:pPr>
      <w:r w:rsidRPr="002B4213">
        <w:rPr>
          <w:rFonts w:asciiTheme="minorHAnsi" w:hAnsiTheme="minorHAnsi" w:cs="Arial"/>
          <w:noProof/>
          <w:sz w:val="24"/>
          <w:szCs w:val="24"/>
          <w:lang w:eastAsia="es-MX"/>
        </w:rPr>
        <w:t>El método antropológico: que sugiere considerar un número de encuestas no paramétricas con la selección de informantes clave, ya que estos permiten recolectar información de mayor calidad y precisión que con informantes al azar. Esto justifica el hecho de aplicar ‘1’ o ‘n’ cantidad de cuestionarios, pues se asume que la información es verídica, por otra parte se evita caer en la saturación, es decir obtención de información repetitiva. En función de esto se realizaron tres encuestas a productores por cada municipio (García, 2013; Reidl y Mas, 2010; Álvarez-Gayou, 2003).</w:t>
      </w:r>
    </w:p>
    <w:p w:rsidR="002B4213" w:rsidRPr="002B4213" w:rsidRDefault="002B4213" w:rsidP="002B4213">
      <w:pPr>
        <w:pStyle w:val="Prrafodelista"/>
        <w:rPr>
          <w:rFonts w:asciiTheme="minorHAnsi" w:hAnsiTheme="minorHAnsi" w:cs="Arial"/>
          <w:noProof/>
          <w:sz w:val="24"/>
          <w:szCs w:val="24"/>
          <w:lang w:eastAsia="es-MX"/>
        </w:rPr>
      </w:pPr>
    </w:p>
    <w:p w:rsidR="002B4213" w:rsidRPr="002B4213" w:rsidRDefault="002B4213" w:rsidP="00C93310">
      <w:pPr>
        <w:pStyle w:val="Sinespaciado"/>
        <w:spacing w:line="276" w:lineRule="auto"/>
        <w:jc w:val="both"/>
        <w:rPr>
          <w:rFonts w:asciiTheme="minorHAnsi" w:hAnsiTheme="minorHAnsi" w:cs="Arial"/>
          <w:noProof/>
          <w:sz w:val="24"/>
          <w:szCs w:val="24"/>
          <w:lang w:eastAsia="es-MX"/>
        </w:rPr>
      </w:pPr>
      <w:r w:rsidRPr="002B4213">
        <w:rPr>
          <w:rFonts w:asciiTheme="minorHAnsi" w:hAnsiTheme="minorHAnsi" w:cs="Arial"/>
          <w:noProof/>
          <w:sz w:val="24"/>
          <w:szCs w:val="24"/>
          <w:lang w:eastAsia="es-MX"/>
        </w:rPr>
        <w:t>Las características de los productores para ser seleccionados a entrevista fueron: tener más de 5 años de experiencia en el cultivo en invernadero o a cielo abierto, ser pequeños o medianos productores.</w:t>
      </w:r>
    </w:p>
    <w:p w:rsidR="002B4213" w:rsidRPr="002B4213" w:rsidRDefault="002B4213" w:rsidP="002B4213">
      <w:pPr>
        <w:pStyle w:val="Sinespaciado"/>
        <w:spacing w:line="276" w:lineRule="auto"/>
        <w:jc w:val="both"/>
        <w:rPr>
          <w:rFonts w:asciiTheme="minorHAnsi" w:hAnsiTheme="minorHAnsi" w:cs="Arial"/>
          <w:noProof/>
          <w:sz w:val="24"/>
          <w:szCs w:val="24"/>
          <w:lang w:eastAsia="es-MX"/>
        </w:rPr>
      </w:pPr>
    </w:p>
    <w:p w:rsidR="002B4213" w:rsidRDefault="002B4213" w:rsidP="002B4213">
      <w:pPr>
        <w:pStyle w:val="Sinespaciado"/>
        <w:spacing w:line="276" w:lineRule="auto"/>
        <w:jc w:val="both"/>
        <w:rPr>
          <w:rFonts w:asciiTheme="minorHAnsi" w:hAnsiTheme="minorHAnsi" w:cs="Arial"/>
          <w:noProof/>
          <w:sz w:val="24"/>
          <w:szCs w:val="24"/>
          <w:lang w:eastAsia="es-MX"/>
        </w:rPr>
      </w:pPr>
      <w:r w:rsidRPr="002B4213">
        <w:rPr>
          <w:rFonts w:asciiTheme="minorHAnsi" w:hAnsiTheme="minorHAnsi" w:cs="Arial"/>
          <w:noProof/>
          <w:sz w:val="24"/>
          <w:szCs w:val="24"/>
          <w:lang w:eastAsia="es-MX"/>
        </w:rPr>
        <w:t xml:space="preserve">El período de obtención de datos fue de noviembre de 2013 a mayo de 2015. Para la selección del lugar en que se aplicarían las encuestas se tomaron cuatro factores: que la localidad representará la mayor superficie de cultivos tanto a cielo abierto como en invernadero, que contarán con la mayor antigüedad en el proceso de producción, que fuera accesible respecto a vías de comunicación y a las sugerencias de la misma población del municipio. Las localidades seleccionadas se muestran en la Figura </w:t>
      </w:r>
      <w:r w:rsidR="000A706D">
        <w:rPr>
          <w:rFonts w:asciiTheme="minorHAnsi" w:hAnsiTheme="minorHAnsi" w:cs="Arial"/>
          <w:noProof/>
          <w:sz w:val="24"/>
          <w:szCs w:val="24"/>
          <w:lang w:eastAsia="es-MX"/>
        </w:rPr>
        <w:t>3</w:t>
      </w:r>
      <w:r w:rsidRPr="002B4213">
        <w:rPr>
          <w:rFonts w:asciiTheme="minorHAnsi" w:hAnsiTheme="minorHAnsi" w:cs="Arial"/>
          <w:noProof/>
          <w:sz w:val="24"/>
          <w:szCs w:val="24"/>
          <w:lang w:eastAsia="es-MX"/>
        </w:rPr>
        <w:t>.</w:t>
      </w:r>
    </w:p>
    <w:p w:rsidR="000A706D" w:rsidRPr="002B4213" w:rsidRDefault="000A706D" w:rsidP="000A706D">
      <w:pPr>
        <w:pStyle w:val="Sinespaciado"/>
        <w:spacing w:line="276" w:lineRule="auto"/>
        <w:jc w:val="both"/>
        <w:rPr>
          <w:rFonts w:asciiTheme="minorHAnsi" w:hAnsiTheme="minorHAnsi" w:cs="Arial"/>
          <w:noProof/>
          <w:sz w:val="24"/>
          <w:szCs w:val="24"/>
          <w:lang w:eastAsia="es-MX"/>
        </w:rPr>
      </w:pPr>
      <w:r>
        <w:rPr>
          <w:noProof/>
          <w:lang w:eastAsia="es-MX"/>
        </w:rPr>
        <w:drawing>
          <wp:inline distT="0" distB="0" distL="0" distR="0" wp14:anchorId="4BCECBD5" wp14:editId="576E7874">
            <wp:extent cx="4924425" cy="5191125"/>
            <wp:effectExtent l="0" t="0" r="9525" b="9525"/>
            <wp:docPr id="15" name="Imagen 15" descr="UBICACIÓN_SIMPOSI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BICACIÓN_SIMPOSIO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24425" cy="5191125"/>
                    </a:xfrm>
                    <a:prstGeom prst="rect">
                      <a:avLst/>
                    </a:prstGeom>
                    <a:noFill/>
                    <a:ln>
                      <a:noFill/>
                    </a:ln>
                  </pic:spPr>
                </pic:pic>
              </a:graphicData>
            </a:graphic>
          </wp:inline>
        </w:drawing>
      </w:r>
    </w:p>
    <w:p w:rsidR="000A706D" w:rsidRPr="002B4213" w:rsidRDefault="000A706D" w:rsidP="000A706D">
      <w:pPr>
        <w:pStyle w:val="Sinespaciado"/>
        <w:jc w:val="center"/>
        <w:rPr>
          <w:rFonts w:asciiTheme="minorHAnsi" w:hAnsiTheme="minorHAnsi" w:cs="Arial"/>
          <w:noProof/>
          <w:sz w:val="24"/>
          <w:szCs w:val="24"/>
          <w:lang w:eastAsia="es-MX"/>
        </w:rPr>
      </w:pPr>
      <w:r w:rsidRPr="002B4213">
        <w:rPr>
          <w:rFonts w:asciiTheme="minorHAnsi" w:hAnsiTheme="minorHAnsi" w:cs="Arial"/>
          <w:noProof/>
          <w:sz w:val="24"/>
          <w:szCs w:val="24"/>
          <w:lang w:eastAsia="es-MX"/>
        </w:rPr>
        <w:t xml:space="preserve">Figura </w:t>
      </w:r>
      <w:r>
        <w:rPr>
          <w:rFonts w:asciiTheme="minorHAnsi" w:hAnsiTheme="minorHAnsi" w:cs="Arial"/>
          <w:noProof/>
          <w:sz w:val="24"/>
          <w:szCs w:val="24"/>
          <w:lang w:eastAsia="es-MX"/>
        </w:rPr>
        <w:t>3.</w:t>
      </w:r>
      <w:r w:rsidRPr="002B4213">
        <w:rPr>
          <w:rFonts w:asciiTheme="minorHAnsi" w:hAnsiTheme="minorHAnsi" w:cs="Arial"/>
          <w:noProof/>
          <w:sz w:val="24"/>
          <w:szCs w:val="24"/>
          <w:lang w:eastAsia="es-MX"/>
        </w:rPr>
        <w:t xml:space="preserve"> Mapa de localización. Elaboración propia, 2015.</w:t>
      </w:r>
    </w:p>
    <w:p w:rsidR="000A706D" w:rsidRDefault="000A706D" w:rsidP="002B4213">
      <w:pPr>
        <w:pStyle w:val="Sinespaciado"/>
        <w:spacing w:line="276" w:lineRule="auto"/>
        <w:jc w:val="both"/>
        <w:rPr>
          <w:rFonts w:asciiTheme="minorHAnsi" w:hAnsiTheme="minorHAnsi" w:cs="Arial"/>
          <w:noProof/>
          <w:sz w:val="24"/>
          <w:szCs w:val="24"/>
          <w:lang w:eastAsia="es-MX"/>
        </w:rPr>
      </w:pPr>
    </w:p>
    <w:p w:rsidR="00C93310" w:rsidRPr="000A706D" w:rsidRDefault="00C93310" w:rsidP="00C93310">
      <w:pPr>
        <w:pStyle w:val="Sinespaciado"/>
        <w:spacing w:line="276" w:lineRule="auto"/>
        <w:jc w:val="both"/>
        <w:rPr>
          <w:rFonts w:asciiTheme="minorHAnsi" w:hAnsiTheme="minorHAnsi" w:cs="Arial"/>
          <w:b/>
          <w:noProof/>
          <w:sz w:val="24"/>
          <w:szCs w:val="24"/>
          <w:lang w:eastAsia="es-MX"/>
        </w:rPr>
      </w:pPr>
      <w:r w:rsidRPr="000A706D">
        <w:rPr>
          <w:rFonts w:asciiTheme="minorHAnsi" w:hAnsiTheme="minorHAnsi" w:cs="Arial"/>
          <w:b/>
          <w:noProof/>
          <w:sz w:val="24"/>
          <w:szCs w:val="24"/>
          <w:lang w:eastAsia="es-MX"/>
        </w:rPr>
        <w:t>Encuestas transversales</w:t>
      </w:r>
    </w:p>
    <w:p w:rsidR="00C93310" w:rsidRPr="00C93310" w:rsidRDefault="00C93310" w:rsidP="00C93310">
      <w:pPr>
        <w:pStyle w:val="Sinespaciado"/>
        <w:spacing w:line="276" w:lineRule="auto"/>
        <w:jc w:val="both"/>
        <w:rPr>
          <w:rFonts w:asciiTheme="minorHAnsi" w:hAnsiTheme="minorHAnsi" w:cs="Arial"/>
          <w:noProof/>
          <w:sz w:val="24"/>
          <w:szCs w:val="24"/>
          <w:lang w:eastAsia="es-MX"/>
        </w:rPr>
      </w:pPr>
    </w:p>
    <w:p w:rsidR="00C93310" w:rsidRPr="00C93310" w:rsidRDefault="00C93310" w:rsidP="00C93310">
      <w:pPr>
        <w:pStyle w:val="Sinespaciado"/>
        <w:spacing w:line="276" w:lineRule="auto"/>
        <w:jc w:val="both"/>
        <w:rPr>
          <w:rFonts w:asciiTheme="minorHAnsi" w:hAnsiTheme="minorHAnsi" w:cs="Arial"/>
          <w:noProof/>
          <w:sz w:val="24"/>
          <w:szCs w:val="24"/>
          <w:lang w:eastAsia="es-MX"/>
        </w:rPr>
      </w:pPr>
      <w:r w:rsidRPr="00C93310">
        <w:rPr>
          <w:rFonts w:asciiTheme="minorHAnsi" w:hAnsiTheme="minorHAnsi" w:cs="Arial"/>
          <w:noProof/>
          <w:sz w:val="24"/>
          <w:szCs w:val="24"/>
          <w:lang w:eastAsia="es-MX"/>
        </w:rPr>
        <w:t>Alineando el método epidemiológico, con la clasificación y el tipo de estudio de esta investigación, se presentan las encuestas transversales como un diseño y técnica de investigación observacional en la que se buscan sistemáticamente datos generadores de información entre las variables que intervienen en la investigación, además de indagar simultáneamente tanto la presencia de exposición y la ocurrencia del evento, una vez conformada la población de estudio (Argimon, 2000; Visauta, 1989).</w:t>
      </w:r>
    </w:p>
    <w:p w:rsidR="00C93310" w:rsidRPr="00C93310" w:rsidRDefault="00C93310" w:rsidP="00C93310">
      <w:pPr>
        <w:pStyle w:val="Sinespaciado"/>
        <w:spacing w:line="276" w:lineRule="auto"/>
        <w:jc w:val="both"/>
        <w:rPr>
          <w:rFonts w:asciiTheme="minorHAnsi" w:hAnsiTheme="minorHAnsi" w:cs="Arial"/>
          <w:noProof/>
          <w:sz w:val="24"/>
          <w:szCs w:val="24"/>
          <w:lang w:eastAsia="es-MX"/>
        </w:rPr>
      </w:pPr>
    </w:p>
    <w:p w:rsidR="00C93310" w:rsidRPr="00C93310" w:rsidRDefault="00C93310" w:rsidP="00C93310">
      <w:pPr>
        <w:pStyle w:val="Sinespaciado"/>
        <w:spacing w:line="276" w:lineRule="auto"/>
        <w:jc w:val="both"/>
        <w:rPr>
          <w:rFonts w:asciiTheme="minorHAnsi" w:hAnsiTheme="minorHAnsi" w:cs="Arial"/>
          <w:noProof/>
          <w:sz w:val="24"/>
          <w:szCs w:val="24"/>
          <w:lang w:eastAsia="es-MX"/>
        </w:rPr>
      </w:pPr>
      <w:r w:rsidRPr="00C93310">
        <w:rPr>
          <w:rFonts w:asciiTheme="minorHAnsi" w:hAnsiTheme="minorHAnsi" w:cs="Arial"/>
          <w:noProof/>
          <w:sz w:val="24"/>
          <w:szCs w:val="24"/>
          <w:lang w:eastAsia="es-MX"/>
        </w:rPr>
        <w:t>Según la clasificación por secuencia temporal, el tipo de encuesta aquí utilizado es la encuesta transversal, lo que significa que se aplica una sola vez en un período de tiempo y la población de un área geográfica definida. Supone una sobreestimación deliberada dentro de la muestra, de algún grupo del universo considerando que tiene importancia particular para los objetivos, pero  que constituye una fracción relativamente reducida de la población total (Festinger &amp; Katz, 1979).</w:t>
      </w:r>
    </w:p>
    <w:p w:rsidR="00C93310" w:rsidRPr="00C93310" w:rsidRDefault="00C93310" w:rsidP="00C93310">
      <w:pPr>
        <w:pStyle w:val="Sinespaciado"/>
        <w:spacing w:line="276" w:lineRule="auto"/>
        <w:jc w:val="both"/>
        <w:rPr>
          <w:rFonts w:asciiTheme="minorHAnsi" w:hAnsiTheme="minorHAnsi" w:cs="Arial"/>
          <w:noProof/>
          <w:sz w:val="24"/>
          <w:szCs w:val="24"/>
          <w:lang w:eastAsia="es-MX"/>
        </w:rPr>
      </w:pPr>
    </w:p>
    <w:p w:rsidR="00C93310" w:rsidRDefault="00C93310" w:rsidP="00C93310">
      <w:pPr>
        <w:pStyle w:val="Sinespaciado"/>
        <w:spacing w:line="276" w:lineRule="auto"/>
        <w:jc w:val="both"/>
        <w:rPr>
          <w:rFonts w:asciiTheme="minorHAnsi" w:hAnsiTheme="minorHAnsi" w:cs="Arial"/>
          <w:noProof/>
          <w:sz w:val="24"/>
          <w:szCs w:val="24"/>
          <w:lang w:eastAsia="es-MX"/>
        </w:rPr>
      </w:pPr>
      <w:r w:rsidRPr="00C93310">
        <w:rPr>
          <w:rFonts w:asciiTheme="minorHAnsi" w:hAnsiTheme="minorHAnsi" w:cs="Arial"/>
          <w:noProof/>
          <w:sz w:val="24"/>
          <w:szCs w:val="24"/>
          <w:lang w:eastAsia="es-MX"/>
        </w:rPr>
        <w:t>Dicha encuesta es oportuna en estudios de enfermedades agudas de alta frecuencia, de larga duración, que se desarrollan lentamente o crónicas; esto es porque a pesar de requerir grandes muestras de datos, los resultados son de gran importancia en temas administrativos de salud pública.</w:t>
      </w:r>
    </w:p>
    <w:p w:rsidR="00C93310" w:rsidRDefault="00C93310" w:rsidP="00C93310">
      <w:pPr>
        <w:pStyle w:val="Sinespaciado"/>
        <w:spacing w:line="276" w:lineRule="auto"/>
        <w:jc w:val="both"/>
        <w:rPr>
          <w:rFonts w:asciiTheme="minorHAnsi" w:hAnsiTheme="minorHAnsi" w:cs="Arial"/>
          <w:noProof/>
          <w:sz w:val="24"/>
          <w:szCs w:val="24"/>
          <w:lang w:eastAsia="es-MX"/>
        </w:rPr>
      </w:pPr>
    </w:p>
    <w:p w:rsidR="00C93310" w:rsidRPr="009F45EE" w:rsidRDefault="00C93310" w:rsidP="00C93310">
      <w:pPr>
        <w:pStyle w:val="Sinespaciado"/>
        <w:spacing w:line="276" w:lineRule="auto"/>
        <w:jc w:val="both"/>
        <w:rPr>
          <w:rFonts w:asciiTheme="minorHAnsi" w:hAnsiTheme="minorHAnsi" w:cs="Arial"/>
          <w:noProof/>
          <w:sz w:val="24"/>
          <w:szCs w:val="24"/>
          <w:lang w:eastAsia="es-MX"/>
        </w:rPr>
      </w:pPr>
      <w:r w:rsidRPr="009F45EE">
        <w:rPr>
          <w:rFonts w:asciiTheme="minorHAnsi" w:hAnsiTheme="minorHAnsi" w:cs="Arial"/>
          <w:noProof/>
          <w:sz w:val="24"/>
          <w:szCs w:val="24"/>
          <w:lang w:eastAsia="es-MX"/>
        </w:rPr>
        <w:t xml:space="preserve">La presente investigación corresponde a un estudio de tipo observacional – analítico, donde se toman en cuenta los objetivos específicos y las variables de resultado, las enfermedades o condiciones de salud; y las variables de la exposición o características de los sujetos de la población. En este caso las variables se describen en la Figura </w:t>
      </w:r>
      <w:r w:rsidR="000A706D">
        <w:rPr>
          <w:rFonts w:asciiTheme="minorHAnsi" w:hAnsiTheme="minorHAnsi" w:cs="Arial"/>
          <w:noProof/>
          <w:sz w:val="24"/>
          <w:szCs w:val="24"/>
          <w:lang w:eastAsia="es-MX"/>
        </w:rPr>
        <w:t>4</w:t>
      </w:r>
      <w:r w:rsidRPr="009F45EE">
        <w:rPr>
          <w:rFonts w:asciiTheme="minorHAnsi" w:hAnsiTheme="minorHAnsi" w:cs="Arial"/>
          <w:noProof/>
          <w:sz w:val="24"/>
          <w:szCs w:val="24"/>
          <w:lang w:eastAsia="es-MX"/>
        </w:rPr>
        <w:t>.</w:t>
      </w:r>
    </w:p>
    <w:p w:rsidR="00C93310" w:rsidRDefault="00C93310" w:rsidP="00C93310">
      <w:pPr>
        <w:pStyle w:val="Sinespaciado"/>
        <w:spacing w:line="276" w:lineRule="auto"/>
        <w:jc w:val="both"/>
        <w:rPr>
          <w:rFonts w:ascii="Arial" w:hAnsi="Arial" w:cs="Arial"/>
        </w:rPr>
      </w:pPr>
    </w:p>
    <w:tbl>
      <w:tblPr>
        <w:tblStyle w:val="Tablaconcuadrcula"/>
        <w:tblW w:w="0" w:type="auto"/>
        <w:jc w:val="cente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8330"/>
      </w:tblGrid>
      <w:tr w:rsidR="00C93310" w:rsidTr="00D30DBE">
        <w:trPr>
          <w:jc w:val="center"/>
        </w:trPr>
        <w:tc>
          <w:tcPr>
            <w:tcW w:w="8330" w:type="dxa"/>
          </w:tcPr>
          <w:p w:rsidR="00C93310" w:rsidRPr="0093671C" w:rsidRDefault="00C93310" w:rsidP="00D30DBE">
            <w:pPr>
              <w:pStyle w:val="Sinespaciado"/>
              <w:spacing w:line="276" w:lineRule="auto"/>
              <w:jc w:val="both"/>
              <w:rPr>
                <w:rFonts w:ascii="Arial" w:hAnsi="Arial" w:cs="Arial"/>
                <w:sz w:val="8"/>
                <w:szCs w:val="8"/>
              </w:rPr>
            </w:pPr>
          </w:p>
          <w:p w:rsidR="00C93310" w:rsidRDefault="00C93310" w:rsidP="00D30DBE">
            <w:pPr>
              <w:pStyle w:val="Sinespaciado"/>
              <w:spacing w:line="276" w:lineRule="auto"/>
              <w:jc w:val="both"/>
              <w:rPr>
                <w:rFonts w:ascii="Arial" w:hAnsi="Arial" w:cs="Arial"/>
              </w:rPr>
            </w:pPr>
            <w:r>
              <w:rPr>
                <w:rFonts w:ascii="Arial" w:hAnsi="Arial" w:cs="Arial"/>
                <w:noProof/>
              </w:rPr>
              <w:drawing>
                <wp:inline distT="0" distB="0" distL="0" distR="0" wp14:anchorId="5D5D5FD7" wp14:editId="6232A8E0">
                  <wp:extent cx="5137290" cy="1762374"/>
                  <wp:effectExtent l="0" t="0" r="6350"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147180" cy="1765767"/>
                          </a:xfrm>
                          <a:prstGeom prst="rect">
                            <a:avLst/>
                          </a:prstGeom>
                          <a:noFill/>
                        </pic:spPr>
                      </pic:pic>
                    </a:graphicData>
                  </a:graphic>
                </wp:inline>
              </w:drawing>
            </w:r>
          </w:p>
        </w:tc>
      </w:tr>
    </w:tbl>
    <w:p w:rsidR="00C93310" w:rsidRPr="000A706D" w:rsidRDefault="00C93310" w:rsidP="00C93310">
      <w:pPr>
        <w:pStyle w:val="Sinespaciado"/>
        <w:jc w:val="center"/>
        <w:rPr>
          <w:rFonts w:asciiTheme="minorHAnsi" w:hAnsiTheme="minorHAnsi" w:cs="Arial"/>
          <w:noProof/>
          <w:sz w:val="24"/>
          <w:szCs w:val="24"/>
          <w:lang w:eastAsia="es-MX"/>
        </w:rPr>
      </w:pPr>
      <w:bookmarkStart w:id="1" w:name="_Toc405997948"/>
      <w:bookmarkStart w:id="2" w:name="_Toc404633893"/>
      <w:r w:rsidRPr="000A706D">
        <w:rPr>
          <w:rFonts w:asciiTheme="minorHAnsi" w:hAnsiTheme="minorHAnsi" w:cs="Arial"/>
          <w:noProof/>
          <w:sz w:val="24"/>
          <w:szCs w:val="24"/>
          <w:lang w:eastAsia="es-MX"/>
        </w:rPr>
        <w:t>Figura</w:t>
      </w:r>
      <w:r w:rsidR="000A706D">
        <w:rPr>
          <w:rFonts w:asciiTheme="minorHAnsi" w:hAnsiTheme="minorHAnsi" w:cs="Arial"/>
          <w:noProof/>
          <w:sz w:val="24"/>
          <w:szCs w:val="24"/>
          <w:lang w:eastAsia="es-MX"/>
        </w:rPr>
        <w:t xml:space="preserve"> 4.</w:t>
      </w:r>
      <w:r w:rsidRPr="000A706D">
        <w:rPr>
          <w:rFonts w:asciiTheme="minorHAnsi" w:hAnsiTheme="minorHAnsi" w:cs="Arial"/>
          <w:noProof/>
          <w:sz w:val="24"/>
          <w:szCs w:val="24"/>
          <w:lang w:eastAsia="es-MX"/>
        </w:rPr>
        <w:t xml:space="preserve"> Variables de exposición y resultado en el CFEM</w:t>
      </w:r>
      <w:bookmarkEnd w:id="1"/>
    </w:p>
    <w:bookmarkEnd w:id="2"/>
    <w:p w:rsidR="00C93310" w:rsidRPr="000A706D" w:rsidRDefault="00C93310" w:rsidP="000A706D">
      <w:pPr>
        <w:pStyle w:val="Sinespaciado"/>
        <w:jc w:val="center"/>
        <w:rPr>
          <w:rFonts w:asciiTheme="minorHAnsi" w:hAnsiTheme="minorHAnsi" w:cs="Arial"/>
          <w:noProof/>
          <w:sz w:val="24"/>
          <w:szCs w:val="24"/>
          <w:lang w:eastAsia="es-MX"/>
        </w:rPr>
      </w:pPr>
      <w:r w:rsidRPr="000A706D">
        <w:rPr>
          <w:rFonts w:asciiTheme="minorHAnsi" w:hAnsiTheme="minorHAnsi" w:cs="Arial"/>
          <w:noProof/>
          <w:sz w:val="24"/>
          <w:szCs w:val="24"/>
          <w:lang w:eastAsia="es-MX"/>
        </w:rPr>
        <w:t>Fuente: Elaboración propia,  2014.</w:t>
      </w:r>
    </w:p>
    <w:p w:rsidR="00C93310" w:rsidRPr="000A706D" w:rsidRDefault="00C93310" w:rsidP="000A706D">
      <w:pPr>
        <w:pStyle w:val="Sinespaciado"/>
        <w:jc w:val="center"/>
        <w:rPr>
          <w:rFonts w:asciiTheme="minorHAnsi" w:hAnsiTheme="minorHAnsi" w:cs="Arial"/>
          <w:noProof/>
          <w:sz w:val="24"/>
          <w:szCs w:val="24"/>
          <w:lang w:eastAsia="es-MX"/>
        </w:rPr>
      </w:pPr>
    </w:p>
    <w:p w:rsidR="00C93310" w:rsidRPr="009F45EE" w:rsidRDefault="00C93310" w:rsidP="00C93310">
      <w:pPr>
        <w:pStyle w:val="Sinespaciado"/>
        <w:spacing w:line="276" w:lineRule="auto"/>
        <w:jc w:val="both"/>
        <w:rPr>
          <w:rFonts w:asciiTheme="minorHAnsi" w:hAnsiTheme="minorHAnsi" w:cs="Arial"/>
          <w:noProof/>
          <w:sz w:val="24"/>
          <w:szCs w:val="24"/>
          <w:lang w:eastAsia="es-MX"/>
        </w:rPr>
      </w:pPr>
      <w:r w:rsidRPr="009F45EE">
        <w:rPr>
          <w:rFonts w:asciiTheme="minorHAnsi" w:hAnsiTheme="minorHAnsi" w:cs="Arial"/>
          <w:noProof/>
          <w:sz w:val="24"/>
          <w:szCs w:val="24"/>
          <w:lang w:eastAsia="es-MX"/>
        </w:rPr>
        <w:t>Por otra parte la encuesta transversal se vale de dos medios para la recolección de datos, uno de ellos es el Cuestionario, este puede ser administrado por un entrevistador, contestados por escrito o por vía electrónica; y las Entrevistas que pueden ser dirigidas por el entrevistador, semidirigidas y no dirigidas, pero además por la forma de aplicación puede ser estructurada y no estructurada. En este caso de estudio lo que se aplicó a la población del CFEM fue entrevistas semidirigidas – estructuradas tomando como base el diseño de un cuestionario administrado por un entrevistador.</w:t>
      </w:r>
    </w:p>
    <w:p w:rsidR="00C93310" w:rsidRPr="009F45EE" w:rsidRDefault="00C93310" w:rsidP="00C93310">
      <w:pPr>
        <w:pStyle w:val="Sinespaciado"/>
        <w:spacing w:line="276" w:lineRule="auto"/>
        <w:jc w:val="both"/>
        <w:rPr>
          <w:rFonts w:asciiTheme="minorHAnsi" w:hAnsiTheme="minorHAnsi" w:cs="Arial"/>
          <w:noProof/>
          <w:sz w:val="24"/>
          <w:szCs w:val="24"/>
          <w:lang w:eastAsia="es-MX"/>
        </w:rPr>
      </w:pPr>
    </w:p>
    <w:p w:rsidR="00C93310" w:rsidRPr="009F45EE" w:rsidRDefault="00C93310" w:rsidP="00C93310">
      <w:pPr>
        <w:pStyle w:val="Sinespaciado"/>
        <w:spacing w:line="276" w:lineRule="auto"/>
        <w:jc w:val="both"/>
        <w:rPr>
          <w:rFonts w:asciiTheme="minorHAnsi" w:hAnsiTheme="minorHAnsi" w:cs="Arial"/>
          <w:noProof/>
          <w:sz w:val="24"/>
          <w:szCs w:val="24"/>
          <w:lang w:eastAsia="es-MX"/>
        </w:rPr>
      </w:pPr>
      <w:r w:rsidRPr="009F45EE">
        <w:rPr>
          <w:rFonts w:asciiTheme="minorHAnsi" w:hAnsiTheme="minorHAnsi" w:cs="Arial"/>
          <w:noProof/>
          <w:sz w:val="24"/>
          <w:szCs w:val="24"/>
          <w:lang w:eastAsia="es-MX"/>
        </w:rPr>
        <w:t xml:space="preserve">Tomando en cuenta las desventajas que presentan las encuestas transversales y para minimizar el error de sesgo o falta de controles se utilizan las estrategias de validación externa, esto se logra aplicando correctamente los métodos de muestreo. Para el caso del CFEM se ha seleccionado el Método probabilístico, ya que este permite conocer la probabilidad de selección que tiene cada elemento de la población para ser entrevistado. </w:t>
      </w:r>
    </w:p>
    <w:p w:rsidR="00C93310" w:rsidRPr="009F45EE" w:rsidRDefault="00C93310" w:rsidP="00C93310">
      <w:pPr>
        <w:pStyle w:val="Sinespaciado"/>
        <w:spacing w:line="276" w:lineRule="auto"/>
        <w:jc w:val="both"/>
        <w:rPr>
          <w:rFonts w:asciiTheme="minorHAnsi" w:hAnsiTheme="minorHAnsi" w:cs="Arial"/>
          <w:noProof/>
          <w:sz w:val="24"/>
          <w:szCs w:val="24"/>
          <w:lang w:eastAsia="es-MX"/>
        </w:rPr>
      </w:pPr>
    </w:p>
    <w:p w:rsidR="00C93310" w:rsidRPr="000A706D" w:rsidRDefault="00C93310" w:rsidP="000A706D">
      <w:pPr>
        <w:pStyle w:val="Sinespaciado"/>
        <w:spacing w:line="276" w:lineRule="auto"/>
        <w:jc w:val="both"/>
        <w:rPr>
          <w:rFonts w:asciiTheme="minorHAnsi" w:hAnsiTheme="minorHAnsi" w:cs="Arial"/>
          <w:noProof/>
          <w:sz w:val="24"/>
          <w:szCs w:val="24"/>
          <w:lang w:eastAsia="es-MX"/>
        </w:rPr>
      </w:pPr>
      <w:r w:rsidRPr="009F45EE">
        <w:rPr>
          <w:rFonts w:asciiTheme="minorHAnsi" w:hAnsiTheme="minorHAnsi" w:cs="Arial"/>
          <w:noProof/>
          <w:sz w:val="24"/>
          <w:szCs w:val="24"/>
          <w:lang w:eastAsia="es-MX"/>
        </w:rPr>
        <w:t xml:space="preserve">Ahora bien, este método tiene tres procedimientos de muestreo de la población, el aleatorio simple, estratificado y por conglomerados, este último utilizado en la presente investigación, debido a que implica dividir a la población en conglomerados o clusters compuestos por unidades heterogéneas, del interior de los cuales se seleccionan las unidades de muestreo. </w:t>
      </w:r>
    </w:p>
    <w:p w:rsidR="00C93310" w:rsidRDefault="00C93310" w:rsidP="00C93310">
      <w:pPr>
        <w:pStyle w:val="Sinespaciado"/>
        <w:spacing w:line="276" w:lineRule="auto"/>
        <w:jc w:val="both"/>
        <w:rPr>
          <w:rFonts w:ascii="Arial" w:hAnsi="Arial" w:cs="Arial"/>
        </w:rPr>
      </w:pPr>
    </w:p>
    <w:p w:rsidR="00C93310" w:rsidRPr="009F45EE" w:rsidRDefault="00C93310" w:rsidP="00C93310">
      <w:pPr>
        <w:pStyle w:val="Sinespaciado"/>
        <w:spacing w:line="276" w:lineRule="auto"/>
        <w:jc w:val="both"/>
        <w:rPr>
          <w:rFonts w:asciiTheme="minorHAnsi" w:hAnsiTheme="minorHAnsi" w:cs="Arial"/>
          <w:noProof/>
          <w:sz w:val="24"/>
          <w:szCs w:val="24"/>
          <w:lang w:eastAsia="es-MX"/>
        </w:rPr>
      </w:pPr>
      <w:r w:rsidRPr="009F45EE">
        <w:rPr>
          <w:rFonts w:asciiTheme="minorHAnsi" w:hAnsiTheme="minorHAnsi" w:cs="Arial"/>
          <w:noProof/>
          <w:sz w:val="24"/>
          <w:szCs w:val="24"/>
          <w:lang w:eastAsia="es-MX"/>
        </w:rPr>
        <w:t xml:space="preserve">La selección de la población de estudio por el procedimiento de conglomerados, cumple además con el requisito de que el tamaño de la muestra sea representativo, lo que a su vez aumenta la validez y confiabilidad del estudio, en conjunto con un estudio piloto que equivale a realizar encuestas en una pequeña muestra de una población diferente o igual a la de estudio, lo que permite corregir errores y problemas en el cuestionario y su procedimiento (Hernández et al, 2007). </w:t>
      </w:r>
    </w:p>
    <w:p w:rsidR="00C93310" w:rsidRPr="009F45EE" w:rsidRDefault="00C93310" w:rsidP="00C93310">
      <w:pPr>
        <w:pStyle w:val="Sinespaciado"/>
        <w:spacing w:line="276" w:lineRule="auto"/>
        <w:jc w:val="both"/>
        <w:rPr>
          <w:rFonts w:asciiTheme="minorHAnsi" w:hAnsiTheme="minorHAnsi" w:cs="Arial"/>
          <w:noProof/>
          <w:sz w:val="24"/>
          <w:szCs w:val="24"/>
          <w:lang w:eastAsia="es-MX"/>
        </w:rPr>
      </w:pPr>
    </w:p>
    <w:p w:rsidR="00C93310" w:rsidRPr="000A706D" w:rsidRDefault="00C93310" w:rsidP="00C93310">
      <w:pPr>
        <w:pStyle w:val="Sinespaciado"/>
        <w:spacing w:line="276" w:lineRule="auto"/>
        <w:rPr>
          <w:rFonts w:asciiTheme="minorHAnsi" w:hAnsiTheme="minorHAnsi" w:cs="Arial"/>
          <w:b/>
          <w:noProof/>
          <w:sz w:val="24"/>
          <w:szCs w:val="24"/>
          <w:lang w:eastAsia="es-MX"/>
        </w:rPr>
      </w:pPr>
      <w:bookmarkStart w:id="3" w:name="_Toc404634029"/>
      <w:bookmarkStart w:id="4" w:name="_Toc405991072"/>
      <w:r w:rsidRPr="000A706D">
        <w:rPr>
          <w:rFonts w:asciiTheme="minorHAnsi" w:hAnsiTheme="minorHAnsi" w:cs="Arial"/>
          <w:b/>
          <w:noProof/>
          <w:sz w:val="24"/>
          <w:szCs w:val="24"/>
          <w:lang w:eastAsia="es-MX"/>
        </w:rPr>
        <w:t>Diseño de los cuestionarios</w:t>
      </w:r>
      <w:bookmarkEnd w:id="3"/>
      <w:bookmarkEnd w:id="4"/>
    </w:p>
    <w:p w:rsidR="00C93310" w:rsidRPr="009F45EE" w:rsidRDefault="00C93310" w:rsidP="00C93310">
      <w:pPr>
        <w:pStyle w:val="Sinespaciado"/>
        <w:spacing w:line="276" w:lineRule="auto"/>
        <w:jc w:val="both"/>
        <w:rPr>
          <w:rFonts w:asciiTheme="minorHAnsi" w:hAnsiTheme="minorHAnsi" w:cs="Arial"/>
          <w:noProof/>
          <w:sz w:val="24"/>
          <w:szCs w:val="24"/>
          <w:lang w:eastAsia="es-MX"/>
        </w:rPr>
      </w:pPr>
    </w:p>
    <w:p w:rsidR="00C93310" w:rsidRPr="009F45EE" w:rsidRDefault="00C93310" w:rsidP="00C93310">
      <w:pPr>
        <w:pStyle w:val="Sinespaciado"/>
        <w:spacing w:line="276" w:lineRule="auto"/>
        <w:jc w:val="both"/>
        <w:rPr>
          <w:rFonts w:asciiTheme="minorHAnsi" w:hAnsiTheme="minorHAnsi" w:cs="Arial"/>
          <w:noProof/>
          <w:sz w:val="24"/>
          <w:szCs w:val="24"/>
          <w:lang w:eastAsia="es-MX"/>
        </w:rPr>
      </w:pPr>
      <w:r w:rsidRPr="009F45EE">
        <w:rPr>
          <w:rFonts w:asciiTheme="minorHAnsi" w:hAnsiTheme="minorHAnsi" w:cs="Arial"/>
          <w:noProof/>
          <w:sz w:val="24"/>
          <w:szCs w:val="24"/>
          <w:lang w:eastAsia="es-MX"/>
        </w:rPr>
        <w:t>Un cuestionario es un proceso estructurado de recogida de información a través de la complementación de una serie predeterminada de preguntas (Hernández, 2009). En función de los objetivos en esta investigación, permiten obtener información sobre exposiciones pasadas y actuales, las fases que se han tomado en cuentas son las siguientes:</w:t>
      </w:r>
    </w:p>
    <w:p w:rsidR="00C93310" w:rsidRPr="009F45EE" w:rsidRDefault="00C93310" w:rsidP="00C93310">
      <w:pPr>
        <w:pStyle w:val="Sinespaciado"/>
        <w:spacing w:line="276" w:lineRule="auto"/>
        <w:jc w:val="both"/>
        <w:rPr>
          <w:rFonts w:asciiTheme="minorHAnsi" w:hAnsiTheme="minorHAnsi" w:cs="Arial"/>
          <w:noProof/>
          <w:sz w:val="24"/>
          <w:szCs w:val="24"/>
          <w:lang w:eastAsia="es-MX"/>
        </w:rPr>
      </w:pPr>
    </w:p>
    <w:p w:rsidR="00C93310" w:rsidRPr="009F45EE" w:rsidRDefault="00C93310" w:rsidP="00C93310">
      <w:pPr>
        <w:pStyle w:val="Sinespaciado"/>
        <w:spacing w:line="276" w:lineRule="auto"/>
        <w:jc w:val="both"/>
        <w:rPr>
          <w:rFonts w:asciiTheme="minorHAnsi" w:hAnsiTheme="minorHAnsi" w:cs="Arial"/>
          <w:noProof/>
          <w:sz w:val="24"/>
          <w:szCs w:val="24"/>
          <w:lang w:eastAsia="es-MX"/>
        </w:rPr>
      </w:pPr>
      <w:r w:rsidRPr="009F45EE">
        <w:rPr>
          <w:rFonts w:asciiTheme="minorHAnsi" w:hAnsiTheme="minorHAnsi" w:cs="Arial"/>
          <w:noProof/>
          <w:sz w:val="24"/>
          <w:szCs w:val="24"/>
          <w:lang w:eastAsia="es-MX"/>
        </w:rPr>
        <w:t xml:space="preserve">Tipo de cuestionario </w:t>
      </w:r>
      <w:r w:rsidRPr="009F45EE">
        <w:rPr>
          <w:rFonts w:asciiTheme="minorHAnsi" w:hAnsiTheme="minorHAnsi" w:cs="Arial"/>
          <w:noProof/>
          <w:sz w:val="24"/>
          <w:szCs w:val="24"/>
          <w:lang w:eastAsia="es-MX"/>
        </w:rPr>
        <w:sym w:font="Wingdings" w:char="F0E0"/>
      </w:r>
      <w:r w:rsidRPr="009F45EE">
        <w:rPr>
          <w:rFonts w:asciiTheme="minorHAnsi" w:hAnsiTheme="minorHAnsi" w:cs="Arial"/>
          <w:noProof/>
          <w:sz w:val="24"/>
          <w:szCs w:val="24"/>
          <w:lang w:eastAsia="es-MX"/>
        </w:rPr>
        <w:t xml:space="preserve"> administrado personalmente por un entrevistador, ya que la presencia del encuestador facilita la respuesta de las personas.</w:t>
      </w:r>
    </w:p>
    <w:p w:rsidR="00C93310" w:rsidRPr="009F45EE" w:rsidRDefault="00C93310" w:rsidP="00C93310">
      <w:pPr>
        <w:pStyle w:val="Sinespaciado"/>
        <w:spacing w:line="276" w:lineRule="auto"/>
        <w:jc w:val="both"/>
        <w:rPr>
          <w:rFonts w:asciiTheme="minorHAnsi" w:hAnsiTheme="minorHAnsi" w:cs="Arial"/>
          <w:noProof/>
          <w:sz w:val="24"/>
          <w:szCs w:val="24"/>
          <w:lang w:eastAsia="es-MX"/>
        </w:rPr>
      </w:pPr>
    </w:p>
    <w:p w:rsidR="00C93310" w:rsidRPr="009F45EE" w:rsidRDefault="00C93310" w:rsidP="00C93310">
      <w:pPr>
        <w:pStyle w:val="Sinespaciado"/>
        <w:spacing w:line="276" w:lineRule="auto"/>
        <w:jc w:val="both"/>
        <w:rPr>
          <w:rFonts w:asciiTheme="minorHAnsi" w:hAnsiTheme="minorHAnsi" w:cs="Arial"/>
          <w:noProof/>
          <w:sz w:val="24"/>
          <w:szCs w:val="24"/>
          <w:lang w:eastAsia="es-MX"/>
        </w:rPr>
      </w:pPr>
      <w:r w:rsidRPr="009F45EE">
        <w:rPr>
          <w:rFonts w:asciiTheme="minorHAnsi" w:hAnsiTheme="minorHAnsi" w:cs="Arial"/>
          <w:noProof/>
          <w:sz w:val="24"/>
          <w:szCs w:val="24"/>
          <w:lang w:eastAsia="es-MX"/>
        </w:rPr>
        <w:t xml:space="preserve">Tipo de preguntas </w:t>
      </w:r>
      <w:r w:rsidRPr="009F45EE">
        <w:rPr>
          <w:rFonts w:asciiTheme="minorHAnsi" w:hAnsiTheme="minorHAnsi" w:cs="Arial"/>
          <w:noProof/>
          <w:sz w:val="24"/>
          <w:szCs w:val="24"/>
          <w:lang w:eastAsia="es-MX"/>
        </w:rPr>
        <w:sym w:font="Wingdings" w:char="F0E0"/>
      </w:r>
      <w:r w:rsidRPr="009F45EE">
        <w:rPr>
          <w:rFonts w:asciiTheme="minorHAnsi" w:hAnsiTheme="minorHAnsi" w:cs="Arial"/>
          <w:noProof/>
          <w:sz w:val="24"/>
          <w:szCs w:val="24"/>
          <w:lang w:eastAsia="es-MX"/>
        </w:rPr>
        <w:t xml:space="preserve"> en los cinco formatos de cuestionario para cada conglomerado o sector de la población muestra, se están incluyendo ítems de opción múltiple que facilitan al entrevistado señalar la situación más cercana a la realidad sin exponerlos a una situación incómoda; una sección de preguntas cerradas y una de preguntas abiertas que permiten expresar la opinión de los entrevistados.</w:t>
      </w:r>
    </w:p>
    <w:p w:rsidR="00C93310" w:rsidRPr="009F45EE" w:rsidRDefault="00C93310" w:rsidP="00C93310">
      <w:pPr>
        <w:pStyle w:val="Sinespaciado"/>
        <w:spacing w:line="276" w:lineRule="auto"/>
        <w:jc w:val="both"/>
        <w:rPr>
          <w:rFonts w:asciiTheme="minorHAnsi" w:hAnsiTheme="minorHAnsi" w:cs="Arial"/>
          <w:noProof/>
          <w:sz w:val="24"/>
          <w:szCs w:val="24"/>
          <w:lang w:eastAsia="es-MX"/>
        </w:rPr>
      </w:pPr>
    </w:p>
    <w:p w:rsidR="00C93310" w:rsidRPr="009F45EE" w:rsidRDefault="00C93310" w:rsidP="00C93310">
      <w:pPr>
        <w:pStyle w:val="Sinespaciado"/>
        <w:spacing w:line="276" w:lineRule="auto"/>
        <w:jc w:val="both"/>
        <w:rPr>
          <w:rFonts w:asciiTheme="minorHAnsi" w:hAnsiTheme="minorHAnsi" w:cs="Arial"/>
          <w:noProof/>
          <w:sz w:val="24"/>
          <w:szCs w:val="24"/>
          <w:lang w:eastAsia="es-MX"/>
        </w:rPr>
      </w:pPr>
      <w:r w:rsidRPr="009F45EE">
        <w:rPr>
          <w:rFonts w:asciiTheme="minorHAnsi" w:hAnsiTheme="minorHAnsi" w:cs="Arial"/>
          <w:noProof/>
          <w:sz w:val="24"/>
          <w:szCs w:val="24"/>
          <w:lang w:eastAsia="es-MX"/>
        </w:rPr>
        <w:t>La estructura de los ítems por preguntas abiertas obedece a que la información que se desea obtener es más compleja. Mientras que para las preguntas de opción múltiple y preguntas cerradas facilitan la aplicación del cuestionario, pero a la misma vez el análisis pues las respuestas son más fáciles de tabular.</w:t>
      </w:r>
    </w:p>
    <w:p w:rsidR="00C93310" w:rsidRPr="009F45EE" w:rsidRDefault="00C93310" w:rsidP="00C93310">
      <w:pPr>
        <w:pStyle w:val="Sinespaciado"/>
        <w:spacing w:line="276" w:lineRule="auto"/>
        <w:jc w:val="both"/>
        <w:rPr>
          <w:rFonts w:asciiTheme="minorHAnsi" w:hAnsiTheme="minorHAnsi" w:cs="Arial"/>
          <w:noProof/>
          <w:sz w:val="24"/>
          <w:szCs w:val="24"/>
          <w:lang w:eastAsia="es-MX"/>
        </w:rPr>
      </w:pPr>
    </w:p>
    <w:p w:rsidR="00C93310" w:rsidRPr="009F45EE" w:rsidRDefault="00C93310" w:rsidP="00C93310">
      <w:pPr>
        <w:pStyle w:val="Sinespaciado"/>
        <w:spacing w:line="276" w:lineRule="auto"/>
        <w:jc w:val="both"/>
        <w:rPr>
          <w:rFonts w:asciiTheme="minorHAnsi" w:hAnsiTheme="minorHAnsi" w:cs="Arial"/>
          <w:noProof/>
          <w:sz w:val="24"/>
          <w:szCs w:val="24"/>
          <w:lang w:eastAsia="es-MX"/>
        </w:rPr>
      </w:pPr>
      <w:r w:rsidRPr="009F45EE">
        <w:rPr>
          <w:rFonts w:asciiTheme="minorHAnsi" w:hAnsiTheme="minorHAnsi" w:cs="Arial"/>
          <w:noProof/>
          <w:sz w:val="24"/>
          <w:szCs w:val="24"/>
          <w:lang w:eastAsia="es-MX"/>
        </w:rPr>
        <w:sym w:font="Wingdings" w:char="F0C4"/>
      </w:r>
      <w:r w:rsidRPr="009F45EE">
        <w:rPr>
          <w:rFonts w:asciiTheme="minorHAnsi" w:hAnsiTheme="minorHAnsi" w:cs="Arial"/>
          <w:noProof/>
          <w:sz w:val="24"/>
          <w:szCs w:val="24"/>
          <w:lang w:eastAsia="es-MX"/>
        </w:rPr>
        <w:t xml:space="preserve"> Tipos de escalas utilizadas </w:t>
      </w:r>
      <w:r w:rsidRPr="009F45EE">
        <w:rPr>
          <w:rFonts w:asciiTheme="minorHAnsi" w:hAnsiTheme="minorHAnsi" w:cs="Arial"/>
          <w:noProof/>
          <w:sz w:val="24"/>
          <w:szCs w:val="24"/>
          <w:lang w:eastAsia="es-MX"/>
        </w:rPr>
        <w:sym w:font="Wingdings" w:char="F0E0"/>
      </w:r>
      <w:r w:rsidRPr="009F45EE">
        <w:rPr>
          <w:rFonts w:asciiTheme="minorHAnsi" w:hAnsiTheme="minorHAnsi" w:cs="Arial"/>
          <w:noProof/>
          <w:sz w:val="24"/>
          <w:szCs w:val="24"/>
          <w:lang w:eastAsia="es-MX"/>
        </w:rPr>
        <w:t xml:space="preserve"> de acuerdo con los ítems y la metodología de la SSWM son las siguientes:</w:t>
      </w:r>
    </w:p>
    <w:p w:rsidR="00C93310" w:rsidRPr="009F45EE" w:rsidRDefault="00C93310" w:rsidP="00C93310">
      <w:pPr>
        <w:pStyle w:val="Sinespaciado"/>
        <w:spacing w:line="276" w:lineRule="auto"/>
        <w:jc w:val="both"/>
        <w:rPr>
          <w:rFonts w:asciiTheme="minorHAnsi" w:hAnsiTheme="minorHAnsi" w:cs="Arial"/>
          <w:noProof/>
          <w:sz w:val="24"/>
          <w:szCs w:val="24"/>
          <w:lang w:eastAsia="es-MX"/>
        </w:rPr>
      </w:pPr>
    </w:p>
    <w:p w:rsidR="00C93310" w:rsidRPr="009F45EE" w:rsidRDefault="00C93310" w:rsidP="00C93310">
      <w:pPr>
        <w:pStyle w:val="Sinespaciado"/>
        <w:numPr>
          <w:ilvl w:val="0"/>
          <w:numId w:val="14"/>
        </w:numPr>
        <w:spacing w:line="276" w:lineRule="auto"/>
        <w:ind w:left="709"/>
        <w:jc w:val="both"/>
        <w:rPr>
          <w:rFonts w:asciiTheme="minorHAnsi" w:hAnsiTheme="minorHAnsi" w:cs="Arial"/>
          <w:noProof/>
          <w:sz w:val="24"/>
          <w:szCs w:val="24"/>
          <w:lang w:eastAsia="es-MX"/>
        </w:rPr>
      </w:pPr>
      <w:r w:rsidRPr="009F45EE">
        <w:rPr>
          <w:rFonts w:asciiTheme="minorHAnsi" w:hAnsiTheme="minorHAnsi" w:cs="Arial"/>
          <w:noProof/>
          <w:sz w:val="24"/>
          <w:szCs w:val="24"/>
          <w:lang w:eastAsia="es-MX"/>
        </w:rPr>
        <w:t xml:space="preserve">Cualitativa Nominal: para registrar el sexo (masculino/femenino), y para los apartados en los que las respuestas son de opción única: si/no. Y Ordinal: para las preguntas cuya respuesta es de opción múltiple, pero pueden seleccionar más de una respuesta a la vez. </w:t>
      </w:r>
    </w:p>
    <w:p w:rsidR="00C93310" w:rsidRPr="009F45EE" w:rsidRDefault="00C93310" w:rsidP="00C93310">
      <w:pPr>
        <w:pStyle w:val="Sinespaciado"/>
        <w:spacing w:line="276" w:lineRule="auto"/>
        <w:ind w:left="709"/>
        <w:jc w:val="both"/>
        <w:rPr>
          <w:rFonts w:asciiTheme="minorHAnsi" w:hAnsiTheme="minorHAnsi" w:cs="Arial"/>
          <w:noProof/>
          <w:sz w:val="24"/>
          <w:szCs w:val="24"/>
          <w:lang w:eastAsia="es-MX"/>
        </w:rPr>
      </w:pPr>
    </w:p>
    <w:p w:rsidR="00C93310" w:rsidRPr="009F45EE" w:rsidRDefault="00C93310" w:rsidP="00C93310">
      <w:pPr>
        <w:pStyle w:val="Sinespaciado"/>
        <w:numPr>
          <w:ilvl w:val="0"/>
          <w:numId w:val="14"/>
        </w:numPr>
        <w:spacing w:line="276" w:lineRule="auto"/>
        <w:jc w:val="both"/>
        <w:rPr>
          <w:rFonts w:asciiTheme="minorHAnsi" w:hAnsiTheme="minorHAnsi" w:cs="Arial"/>
          <w:noProof/>
          <w:sz w:val="24"/>
          <w:szCs w:val="24"/>
          <w:lang w:eastAsia="es-MX"/>
        </w:rPr>
      </w:pPr>
      <w:r w:rsidRPr="009F45EE">
        <w:rPr>
          <w:rFonts w:asciiTheme="minorHAnsi" w:hAnsiTheme="minorHAnsi" w:cs="Arial"/>
          <w:noProof/>
          <w:sz w:val="24"/>
          <w:szCs w:val="24"/>
          <w:lang w:eastAsia="es-MX"/>
        </w:rPr>
        <w:t>Cuantitativa Discreta: para las preguntas abiertas en las que el encuestado responde con un dato cuantitativo.</w:t>
      </w:r>
    </w:p>
    <w:p w:rsidR="000A706D" w:rsidRDefault="000A706D" w:rsidP="00C93310">
      <w:pPr>
        <w:pStyle w:val="Sinespaciado"/>
        <w:spacing w:line="276" w:lineRule="auto"/>
        <w:jc w:val="both"/>
        <w:rPr>
          <w:rFonts w:asciiTheme="minorHAnsi" w:hAnsiTheme="minorHAnsi" w:cs="Arial"/>
          <w:noProof/>
          <w:sz w:val="24"/>
          <w:szCs w:val="24"/>
          <w:lang w:eastAsia="es-MX"/>
        </w:rPr>
      </w:pPr>
    </w:p>
    <w:p w:rsidR="00C93310" w:rsidRPr="009F45EE" w:rsidRDefault="00C93310" w:rsidP="00C93310">
      <w:pPr>
        <w:pStyle w:val="Sinespaciado"/>
        <w:spacing w:line="276" w:lineRule="auto"/>
        <w:jc w:val="both"/>
        <w:rPr>
          <w:rFonts w:asciiTheme="minorHAnsi" w:hAnsiTheme="minorHAnsi" w:cs="Arial"/>
          <w:noProof/>
          <w:sz w:val="24"/>
          <w:szCs w:val="24"/>
          <w:lang w:eastAsia="es-MX"/>
        </w:rPr>
      </w:pPr>
      <w:r w:rsidRPr="009F45EE">
        <w:rPr>
          <w:rFonts w:asciiTheme="minorHAnsi" w:hAnsiTheme="minorHAnsi" w:cs="Arial"/>
          <w:noProof/>
          <w:sz w:val="24"/>
          <w:szCs w:val="24"/>
          <w:lang w:eastAsia="es-MX"/>
        </w:rPr>
        <w:t xml:space="preserve">Selección de los ítems (apartados o preguntas) </w:t>
      </w:r>
      <w:r w:rsidRPr="009F45EE">
        <w:rPr>
          <w:rFonts w:asciiTheme="minorHAnsi" w:hAnsiTheme="minorHAnsi" w:cs="Arial"/>
          <w:noProof/>
          <w:sz w:val="24"/>
          <w:szCs w:val="24"/>
          <w:lang w:eastAsia="es-MX"/>
        </w:rPr>
        <w:sym w:font="Wingdings" w:char="F0E0"/>
      </w:r>
      <w:r w:rsidRPr="009F45EE">
        <w:rPr>
          <w:rFonts w:asciiTheme="minorHAnsi" w:hAnsiTheme="minorHAnsi" w:cs="Arial"/>
          <w:noProof/>
          <w:sz w:val="24"/>
          <w:szCs w:val="24"/>
          <w:lang w:eastAsia="es-MX"/>
        </w:rPr>
        <w:t xml:space="preserve"> es en función de los objetivos de estudio y los conglomerados de la población de estudio; esto facilita tanto la aplicación del cuestionario en un espacio de tiempo máximo de 30 minutos, como el diseño de los ítems para cada uno de los conglomerados de población. En el esquema de la Figura 5 se presentan:</w:t>
      </w:r>
    </w:p>
    <w:p w:rsidR="00C93310" w:rsidRPr="009F45EE" w:rsidRDefault="00C93310" w:rsidP="00C93310">
      <w:pPr>
        <w:pStyle w:val="Sinespaciado"/>
        <w:spacing w:line="276" w:lineRule="auto"/>
        <w:jc w:val="both"/>
        <w:rPr>
          <w:rFonts w:asciiTheme="minorHAnsi" w:hAnsiTheme="minorHAnsi" w:cs="Arial"/>
          <w:noProof/>
          <w:sz w:val="24"/>
          <w:szCs w:val="24"/>
          <w:lang w:eastAsia="es-MX"/>
        </w:rPr>
      </w:pPr>
    </w:p>
    <w:p w:rsidR="00C93310" w:rsidRPr="009F45EE" w:rsidRDefault="00C93310" w:rsidP="00C93310">
      <w:pPr>
        <w:pStyle w:val="Sinespaciado"/>
        <w:numPr>
          <w:ilvl w:val="0"/>
          <w:numId w:val="14"/>
        </w:numPr>
        <w:spacing w:line="276" w:lineRule="auto"/>
        <w:jc w:val="both"/>
        <w:rPr>
          <w:rFonts w:asciiTheme="minorHAnsi" w:hAnsiTheme="minorHAnsi" w:cs="Arial"/>
          <w:noProof/>
          <w:sz w:val="24"/>
          <w:szCs w:val="24"/>
          <w:lang w:eastAsia="es-MX"/>
        </w:rPr>
      </w:pPr>
      <w:r w:rsidRPr="009F45EE">
        <w:rPr>
          <w:rFonts w:asciiTheme="minorHAnsi" w:hAnsiTheme="minorHAnsi" w:cs="Arial"/>
          <w:noProof/>
          <w:sz w:val="24"/>
          <w:szCs w:val="24"/>
          <w:lang w:eastAsia="es-MX"/>
        </w:rPr>
        <w:t>Los principales objetivos: que se persiguen en la aplicación de los cuestionarios y de los cuales se derivan las preguntas principales a responder en la investigación, para cada uno de los conglomerados de población a entrevistar.</w:t>
      </w:r>
    </w:p>
    <w:p w:rsidR="00C93310" w:rsidRPr="009F45EE" w:rsidRDefault="00C93310" w:rsidP="00C93310">
      <w:pPr>
        <w:pStyle w:val="Sinespaciado"/>
        <w:spacing w:line="276" w:lineRule="auto"/>
        <w:ind w:left="720"/>
        <w:jc w:val="both"/>
        <w:rPr>
          <w:rFonts w:asciiTheme="minorHAnsi" w:hAnsiTheme="minorHAnsi" w:cs="Arial"/>
          <w:noProof/>
          <w:sz w:val="24"/>
          <w:szCs w:val="24"/>
          <w:lang w:eastAsia="es-MX"/>
        </w:rPr>
      </w:pPr>
    </w:p>
    <w:p w:rsidR="00C93310" w:rsidRPr="009F45EE" w:rsidRDefault="00C93310" w:rsidP="00C93310">
      <w:pPr>
        <w:pStyle w:val="Sinespaciado"/>
        <w:numPr>
          <w:ilvl w:val="0"/>
          <w:numId w:val="14"/>
        </w:numPr>
        <w:spacing w:line="276" w:lineRule="auto"/>
        <w:jc w:val="both"/>
        <w:rPr>
          <w:rFonts w:asciiTheme="minorHAnsi" w:hAnsiTheme="minorHAnsi" w:cs="Arial"/>
          <w:noProof/>
          <w:sz w:val="24"/>
          <w:szCs w:val="24"/>
          <w:lang w:eastAsia="es-MX"/>
        </w:rPr>
      </w:pPr>
      <w:r w:rsidRPr="009F45EE">
        <w:rPr>
          <w:rFonts w:asciiTheme="minorHAnsi" w:hAnsiTheme="minorHAnsi" w:cs="Arial"/>
          <w:noProof/>
          <w:sz w:val="24"/>
          <w:szCs w:val="24"/>
          <w:lang w:eastAsia="es-MX"/>
        </w:rPr>
        <w:t>El orden de los conglomerados y el orden de aplicación de cuestionarios al realizar las entrevistas, esto en función de la secuencia de información que se pretende obtener.</w:t>
      </w:r>
    </w:p>
    <w:p w:rsidR="00C93310" w:rsidRPr="009F45EE" w:rsidRDefault="00C93310" w:rsidP="00C93310">
      <w:pPr>
        <w:pStyle w:val="Sinespaciado"/>
        <w:spacing w:line="276" w:lineRule="auto"/>
        <w:ind w:left="720"/>
        <w:jc w:val="both"/>
        <w:rPr>
          <w:rFonts w:asciiTheme="minorHAnsi" w:hAnsiTheme="minorHAnsi" w:cs="Arial"/>
          <w:noProof/>
          <w:sz w:val="24"/>
          <w:szCs w:val="24"/>
          <w:lang w:eastAsia="es-MX"/>
        </w:rPr>
      </w:pPr>
    </w:p>
    <w:p w:rsidR="00C93310" w:rsidRPr="009F45EE" w:rsidRDefault="00C93310" w:rsidP="00C93310">
      <w:pPr>
        <w:pStyle w:val="Sinespaciado"/>
        <w:numPr>
          <w:ilvl w:val="0"/>
          <w:numId w:val="14"/>
        </w:numPr>
        <w:spacing w:line="276" w:lineRule="auto"/>
        <w:jc w:val="both"/>
        <w:rPr>
          <w:rFonts w:asciiTheme="minorHAnsi" w:hAnsiTheme="minorHAnsi" w:cs="Arial"/>
          <w:noProof/>
          <w:sz w:val="24"/>
          <w:szCs w:val="24"/>
          <w:lang w:eastAsia="es-MX"/>
        </w:rPr>
      </w:pPr>
      <w:r w:rsidRPr="009F45EE">
        <w:rPr>
          <w:rFonts w:asciiTheme="minorHAnsi" w:hAnsiTheme="minorHAnsi" w:cs="Arial"/>
          <w:noProof/>
          <w:sz w:val="24"/>
          <w:szCs w:val="24"/>
          <w:lang w:eastAsia="es-MX"/>
        </w:rPr>
        <w:t xml:space="preserve">Según el segundo objetivo de esta investigación, los cuestionarios tienen como fin identificar la percepción social, cultural y ambiental de los productores florícolas, población en general, médicos, académicos y el sector gubernamental en relación con la afectación de los plaguicidas a la salud; en este sentido se muestran las características ideales o requisitos que debe cumplir el informante clave para cada uno de los conglomerados de población a entrevistar. </w:t>
      </w:r>
    </w:p>
    <w:tbl>
      <w:tblPr>
        <w:tblStyle w:val="Tablaconcuadrcula"/>
        <w:tblpPr w:leftFromText="141" w:rightFromText="141" w:vertAnchor="text" w:tblpY="174"/>
        <w:tblW w:w="0" w:type="auto"/>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8828"/>
      </w:tblGrid>
      <w:tr w:rsidR="00C93310" w:rsidTr="00D30DBE">
        <w:tc>
          <w:tcPr>
            <w:tcW w:w="9053" w:type="dxa"/>
          </w:tcPr>
          <w:p w:rsidR="00C93310" w:rsidRDefault="00C93310" w:rsidP="00D30DBE">
            <w:pPr>
              <w:pStyle w:val="Sinespaciado"/>
              <w:spacing w:line="276" w:lineRule="auto"/>
              <w:jc w:val="both"/>
              <w:rPr>
                <w:rFonts w:ascii="Arial" w:hAnsi="Arial" w:cs="Arial"/>
              </w:rPr>
            </w:pPr>
            <w:r>
              <w:rPr>
                <w:rFonts w:ascii="Arial" w:hAnsi="Arial" w:cs="Arial"/>
                <w:noProof/>
              </w:rPr>
              <w:drawing>
                <wp:inline distT="0" distB="0" distL="0" distR="0" wp14:anchorId="4E488A43" wp14:editId="4FED0E6C">
                  <wp:extent cx="5632578" cy="4053385"/>
                  <wp:effectExtent l="0" t="0" r="6350" b="4445"/>
                  <wp:docPr id="16" name="Imagen 16" descr="C:\Users\SAMSUNG\Desktop\Imagen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AMSUNG\Desktop\Imagen3.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34925" cy="4055074"/>
                          </a:xfrm>
                          <a:prstGeom prst="rect">
                            <a:avLst/>
                          </a:prstGeom>
                          <a:noFill/>
                          <a:ln>
                            <a:noFill/>
                          </a:ln>
                        </pic:spPr>
                      </pic:pic>
                    </a:graphicData>
                  </a:graphic>
                </wp:inline>
              </w:drawing>
            </w:r>
          </w:p>
        </w:tc>
      </w:tr>
    </w:tbl>
    <w:p w:rsidR="00C93310" w:rsidRPr="000A706D" w:rsidRDefault="00C93310" w:rsidP="00C93310">
      <w:pPr>
        <w:pStyle w:val="Sinespaciado"/>
        <w:jc w:val="center"/>
        <w:rPr>
          <w:rFonts w:asciiTheme="minorHAnsi" w:hAnsiTheme="minorHAnsi" w:cs="Arial"/>
          <w:noProof/>
          <w:sz w:val="24"/>
          <w:szCs w:val="24"/>
          <w:lang w:eastAsia="es-MX"/>
        </w:rPr>
      </w:pPr>
      <w:bookmarkStart w:id="5" w:name="_Toc405997950"/>
      <w:bookmarkStart w:id="6" w:name="_Toc404633895"/>
      <w:r w:rsidRPr="000A706D">
        <w:rPr>
          <w:rFonts w:asciiTheme="minorHAnsi" w:hAnsiTheme="minorHAnsi" w:cs="Arial"/>
          <w:noProof/>
          <w:sz w:val="24"/>
          <w:szCs w:val="24"/>
          <w:lang w:eastAsia="es-MX"/>
        </w:rPr>
        <w:t>Fig</w:t>
      </w:r>
      <w:r w:rsidR="000A706D">
        <w:rPr>
          <w:rFonts w:asciiTheme="minorHAnsi" w:hAnsiTheme="minorHAnsi" w:cs="Arial"/>
          <w:noProof/>
          <w:sz w:val="24"/>
          <w:szCs w:val="24"/>
          <w:lang w:eastAsia="es-MX"/>
        </w:rPr>
        <w:t>ura 5.</w:t>
      </w:r>
      <w:r w:rsidRPr="000A706D">
        <w:rPr>
          <w:rFonts w:asciiTheme="minorHAnsi" w:hAnsiTheme="minorHAnsi" w:cs="Arial"/>
          <w:noProof/>
          <w:sz w:val="24"/>
          <w:szCs w:val="24"/>
          <w:lang w:eastAsia="es-MX"/>
        </w:rPr>
        <w:t xml:space="preserve"> Objetivos  de los cuestionarios por conglomerados</w:t>
      </w:r>
      <w:bookmarkEnd w:id="5"/>
    </w:p>
    <w:bookmarkEnd w:id="6"/>
    <w:p w:rsidR="00C93310" w:rsidRPr="000A706D" w:rsidRDefault="00C93310" w:rsidP="000A706D">
      <w:pPr>
        <w:pStyle w:val="Sinespaciado"/>
        <w:jc w:val="center"/>
        <w:rPr>
          <w:rFonts w:asciiTheme="minorHAnsi" w:hAnsiTheme="minorHAnsi" w:cs="Arial"/>
          <w:noProof/>
          <w:sz w:val="24"/>
          <w:szCs w:val="24"/>
          <w:lang w:eastAsia="es-MX"/>
        </w:rPr>
      </w:pPr>
      <w:r w:rsidRPr="000A706D">
        <w:rPr>
          <w:rFonts w:asciiTheme="minorHAnsi" w:hAnsiTheme="minorHAnsi" w:cs="Arial"/>
          <w:noProof/>
          <w:sz w:val="24"/>
          <w:szCs w:val="24"/>
          <w:lang w:eastAsia="es-MX"/>
        </w:rPr>
        <w:t>Fuente: Elaboración propia, 2015.</w:t>
      </w:r>
    </w:p>
    <w:p w:rsidR="00C93310" w:rsidRPr="009F45EE" w:rsidRDefault="00C93310" w:rsidP="00C93310">
      <w:pPr>
        <w:pStyle w:val="Sinespaciado"/>
        <w:spacing w:line="276" w:lineRule="auto"/>
        <w:jc w:val="both"/>
        <w:rPr>
          <w:rFonts w:asciiTheme="minorHAnsi" w:hAnsiTheme="minorHAnsi" w:cs="Arial"/>
          <w:noProof/>
          <w:sz w:val="24"/>
          <w:szCs w:val="24"/>
          <w:lang w:eastAsia="es-MX"/>
        </w:rPr>
      </w:pPr>
      <w:r w:rsidRPr="009F45EE">
        <w:rPr>
          <w:rFonts w:asciiTheme="minorHAnsi" w:hAnsiTheme="minorHAnsi" w:cs="Arial"/>
          <w:noProof/>
          <w:sz w:val="24"/>
          <w:szCs w:val="24"/>
          <w:lang w:eastAsia="es-MX"/>
        </w:rPr>
        <w:t>Cabe señalar que es posible que no en todos los casos puedan cumplirse los requisitos ideales, pero sí debe ser lo más aproximado posible, para garantizar la calidad de la información obtenida.</w:t>
      </w:r>
    </w:p>
    <w:p w:rsidR="00C93310" w:rsidRDefault="00C93310" w:rsidP="00C93310">
      <w:pPr>
        <w:pStyle w:val="Sinespaciado"/>
        <w:spacing w:line="276" w:lineRule="auto"/>
        <w:jc w:val="both"/>
        <w:rPr>
          <w:rFonts w:asciiTheme="minorHAnsi" w:hAnsiTheme="minorHAnsi" w:cs="Arial"/>
          <w:noProof/>
          <w:sz w:val="24"/>
          <w:szCs w:val="24"/>
          <w:lang w:eastAsia="es-MX"/>
        </w:rPr>
      </w:pPr>
    </w:p>
    <w:p w:rsidR="002B4213" w:rsidRDefault="002B4213" w:rsidP="002B4213">
      <w:pPr>
        <w:pStyle w:val="Sinespaciado"/>
        <w:spacing w:line="276" w:lineRule="auto"/>
        <w:jc w:val="both"/>
        <w:rPr>
          <w:rFonts w:ascii="Arial" w:hAnsi="Arial" w:cs="Arial"/>
        </w:rPr>
      </w:pPr>
    </w:p>
    <w:p w:rsidR="002B4213" w:rsidRPr="00C93310" w:rsidRDefault="002B4213" w:rsidP="002B4213">
      <w:pPr>
        <w:pStyle w:val="Sinespaciado"/>
        <w:spacing w:line="276" w:lineRule="auto"/>
        <w:jc w:val="both"/>
        <w:rPr>
          <w:rFonts w:asciiTheme="minorHAnsi" w:hAnsiTheme="minorHAnsi" w:cs="Arial"/>
          <w:noProof/>
          <w:sz w:val="24"/>
          <w:szCs w:val="24"/>
          <w:lang w:eastAsia="es-MX"/>
        </w:rPr>
      </w:pPr>
      <w:r w:rsidRPr="00C93310">
        <w:rPr>
          <w:rFonts w:asciiTheme="minorHAnsi" w:hAnsiTheme="minorHAnsi" w:cs="Arial"/>
          <w:noProof/>
          <w:sz w:val="24"/>
          <w:szCs w:val="24"/>
          <w:lang w:eastAsia="es-MX"/>
        </w:rPr>
        <w:t>Una vez aplicadas las encuestas, los cuestionarios se analizaron, según metodología la información cualitativa se trasfirió a formato digital, para un proceso de codificación que permitió la generación de información cuantitativa posible de analizar y jerarquizar.</w:t>
      </w:r>
    </w:p>
    <w:p w:rsidR="002B4213" w:rsidRPr="00B603A3" w:rsidRDefault="002B4213"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numPr>
          <w:ilvl w:val="0"/>
          <w:numId w:val="9"/>
        </w:numPr>
        <w:tabs>
          <w:tab w:val="left" w:pos="0"/>
        </w:tabs>
        <w:spacing w:line="276" w:lineRule="auto"/>
        <w:ind w:left="0" w:firstLine="0"/>
        <w:jc w:val="both"/>
        <w:rPr>
          <w:rFonts w:asciiTheme="minorHAnsi" w:eastAsia="Times New Roman" w:hAnsiTheme="minorHAnsi"/>
          <w:b/>
          <w:bCs/>
          <w:noProof/>
          <w:color w:val="000000"/>
          <w:sz w:val="24"/>
          <w:szCs w:val="24"/>
          <w:lang w:eastAsia="es-MX"/>
        </w:rPr>
      </w:pPr>
      <w:r w:rsidRPr="00B603A3">
        <w:rPr>
          <w:rFonts w:asciiTheme="minorHAnsi" w:eastAsia="Times New Roman" w:hAnsiTheme="minorHAnsi"/>
          <w:b/>
          <w:bCs/>
          <w:noProof/>
          <w:color w:val="000000"/>
          <w:sz w:val="24"/>
          <w:szCs w:val="24"/>
          <w:lang w:eastAsia="es-MX"/>
        </w:rPr>
        <w:t xml:space="preserve">Obtención de información y estructuración de bases de datos de mortalidad </w:t>
      </w:r>
    </w:p>
    <w:p w:rsidR="008A62FA" w:rsidRPr="00B603A3" w:rsidRDefault="008A62FA" w:rsidP="00B603A3">
      <w:pPr>
        <w:pStyle w:val="Sinespaciado"/>
        <w:spacing w:line="276" w:lineRule="auto"/>
        <w:jc w:val="both"/>
        <w:rPr>
          <w:rFonts w:asciiTheme="minorHAnsi" w:hAnsiTheme="minorHAnsi" w:cs="Arial"/>
          <w:b/>
          <w:noProof/>
          <w:sz w:val="28"/>
          <w:szCs w:val="28"/>
          <w:lang w:eastAsia="es-MX"/>
        </w:rPr>
      </w:pPr>
    </w:p>
    <w:p w:rsidR="008A62FA" w:rsidRPr="00B603A3" w:rsidRDefault="008A62FA" w:rsidP="00B603A3">
      <w:pPr>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La segunda etapa se refiere a la obtención de la información de mortalidad. Se requirió de tres bases de datos (BD), que son 1) Defunciones Fetales, 2) Defunciones Generales y 3) Nacimientos, todas a nivel nacional. Las BD utilizadas en este trabajo han sido descargadas en formado .dbf del portal en línea del Sistema Nacional de Información en Salud (SINAIS, 2012).</w:t>
      </w:r>
    </w:p>
    <w:p w:rsidR="008A62FA" w:rsidRPr="00B603A3" w:rsidRDefault="008A62FA" w:rsidP="00B603A3">
      <w:pPr>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De acuerdo con la Clasificación internacional de enfermedades  décima versión (CIE-10, en inglés ICD) se identificaron las Q00 correspondiente a la Anencefalia y la Q05 que refiere a todos los casos de Espina bífida que refieren a enfermedades  en relación con la exposición y contacto con los plaguicidas.</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La Anencefalia es definida como un defecto de cierre del tubo neural (TN) debido a una falla del neuroporo cefálico para cerrarse adecuadamente, que se caracteriza por la ausencia de huesos del cráneo, cuero cabelludo y la presencia de un encéfalo rudimentario (DGE, 2012). </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Por otra parte la Espina bífida, es un defecto del TN ocasionado por el cierre inadecuado del neuroporo posterior, que se manifiesta como una falta de fusión de los arcos vertebrales al nivel de la línea media y que habitualmente se limita a una sola vértebra, puede ocurrir a cualquier nivel de la columna vertebral aunque con mayor frecuencia se observa en las regiones lumbar y sacra; se clasifica en Espina Bífida O</w:t>
      </w:r>
      <w:r w:rsidR="000A706D">
        <w:rPr>
          <w:rFonts w:asciiTheme="minorHAnsi" w:hAnsiTheme="minorHAnsi" w:cs="Arial"/>
          <w:noProof/>
          <w:sz w:val="24"/>
          <w:szCs w:val="24"/>
          <w:lang w:eastAsia="es-MX"/>
        </w:rPr>
        <w:t xml:space="preserve">culta y Espina Bífida Quística </w:t>
      </w:r>
      <w:r w:rsidRPr="00B603A3">
        <w:rPr>
          <w:rFonts w:asciiTheme="minorHAnsi" w:hAnsiTheme="minorHAnsi" w:cs="Arial"/>
          <w:noProof/>
          <w:sz w:val="24"/>
          <w:szCs w:val="24"/>
          <w:lang w:eastAsia="es-MX"/>
        </w:rPr>
        <w:t xml:space="preserve">(DGE, 2012). </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Con respecto al procesaminto de las bases de datos, la estructura más apropiada para considerar las series temporales de la información en salud es definiendo una base de datos con tablas por enfermedad (causas Q00 y Q05), los campos siendo los años (de 1998 a 2012), y los renglones vinculados a las unidades geográficas estudiadas (municipios del Estado de México).</w:t>
      </w:r>
    </w:p>
    <w:p w:rsidR="008A62FA" w:rsidRPr="00B603A3" w:rsidRDefault="008A62FA" w:rsidP="0056442E">
      <w:pPr>
        <w:pStyle w:val="Sinespaciado"/>
        <w:numPr>
          <w:ilvl w:val="0"/>
          <w:numId w:val="9"/>
        </w:numPr>
        <w:tabs>
          <w:tab w:val="left" w:pos="0"/>
        </w:tabs>
        <w:spacing w:line="276" w:lineRule="auto"/>
        <w:ind w:left="0" w:firstLine="0"/>
        <w:jc w:val="both"/>
        <w:rPr>
          <w:rFonts w:asciiTheme="minorHAnsi" w:eastAsia="Times New Roman" w:hAnsiTheme="minorHAnsi"/>
          <w:b/>
          <w:bCs/>
          <w:noProof/>
          <w:color w:val="000000"/>
          <w:sz w:val="24"/>
          <w:szCs w:val="24"/>
          <w:lang w:eastAsia="es-MX"/>
        </w:rPr>
      </w:pPr>
      <w:r w:rsidRPr="00B603A3">
        <w:rPr>
          <w:rFonts w:asciiTheme="minorHAnsi" w:eastAsia="Times New Roman" w:hAnsiTheme="minorHAnsi"/>
          <w:b/>
          <w:bCs/>
          <w:noProof/>
          <w:color w:val="000000"/>
          <w:sz w:val="24"/>
          <w:szCs w:val="24"/>
          <w:lang w:eastAsia="es-MX"/>
        </w:rPr>
        <w:t>Calculo de tasas de Mortalidad</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Los estudios epidemiológicos tratan de establecer si la probabilidad de que un evento ocurra se debe precisamente a los factores que se sospecha intervienen en su génesis y no al azar; para lo que se utilizan medidas de: Frecuencia, Asociación o efecto, Impacto potencial, que a su vez se realizan mediante operaciones aritméticas simples y de los instrumentos conocidos como razones, proporciones y tasas.</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Para efectos del presente estudio se calcularon tasas, ya que este instrumento expresa la dinámica de una suceso en una población a lo largo del tiempo; en este caso las tasas calculadas fueron de mortalidad específica (TME), que de acuerdo con los autores son de utilidad cuando se supone que la mortalidad puede variar entre los distintos subgrupos de la población, se denomina específica porque se obtienen por causa específica, o por edad, o sexo, etc. (Moreno-Altamirano, 2000).</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En esta investigación las TME calculadas son para dos tipos: para mortalidad fetal y mortalidad infantil (OMS, 2014; Rojas </w:t>
      </w:r>
      <w:r w:rsidRPr="00B603A3">
        <w:rPr>
          <w:rFonts w:asciiTheme="minorHAnsi" w:hAnsiTheme="minorHAnsi" w:cs="Arial"/>
          <w:i/>
          <w:noProof/>
          <w:sz w:val="24"/>
          <w:szCs w:val="24"/>
          <w:lang w:eastAsia="es-MX"/>
        </w:rPr>
        <w:t>et al</w:t>
      </w:r>
      <w:r w:rsidRPr="00B603A3">
        <w:rPr>
          <w:rFonts w:asciiTheme="minorHAnsi" w:hAnsiTheme="minorHAnsi" w:cs="Arial"/>
          <w:noProof/>
          <w:sz w:val="24"/>
          <w:szCs w:val="24"/>
          <w:lang w:eastAsia="es-MX"/>
        </w:rPr>
        <w:t xml:space="preserve">, 2000). </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jc w:val="both"/>
        <w:rPr>
          <w:rFonts w:asciiTheme="minorHAnsi" w:hAnsiTheme="minorHAnsi" w:cs="Arial"/>
          <w:b/>
          <w:i/>
          <w:noProof/>
          <w:sz w:val="24"/>
          <w:szCs w:val="24"/>
          <w:lang w:eastAsia="es-MX"/>
        </w:rPr>
      </w:pPr>
      <w:r w:rsidRPr="00B603A3">
        <w:rPr>
          <w:rFonts w:asciiTheme="minorHAnsi" w:hAnsiTheme="minorHAnsi" w:cs="Arial"/>
          <w:b/>
          <w:i/>
          <w:noProof/>
          <w:sz w:val="24"/>
          <w:szCs w:val="24"/>
          <w:lang w:eastAsia="es-MX"/>
        </w:rPr>
        <w:t>Tasa de Mortalidad Fetal (TMF)</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Se considera defunción fetal a la muerte de un producto de la concepción, antes de su expulsión o su extracción completa del cuerpo de su madre, independientemente de la duración del embarazo (García et al, 2004). Un indicador importante en el tema de las defunciones fetales es la TMF, que mide la probabilidad de morir antes del nacimiento, independientemente del período de gestación (Moya, 2005). </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La fórmula aplicada  para el calculo de la TMF considera el número total de muertes fetales en un año determinado y en un área geográfica detrrminada entre el denominador del número de nacidos totales, tanto vivos como muertos, en el mismo año y área geográfica, multiplicados por cada 1000 habitantes:</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56442E" w:rsidRPr="00A44757" w:rsidRDefault="0056442E" w:rsidP="0056442E">
      <w:pPr>
        <w:pStyle w:val="Sinespaciado"/>
        <w:spacing w:line="276" w:lineRule="auto"/>
        <w:jc w:val="both"/>
        <w:rPr>
          <w:rFonts w:ascii="Arial" w:hAnsi="Arial" w:cs="Arial"/>
          <w:color w:val="000000"/>
        </w:rPr>
      </w:pPr>
      <m:oMathPara>
        <m:oMath>
          <m:r>
            <w:rPr>
              <w:rFonts w:ascii="Cambria Math" w:hAnsi="Cambria Math" w:cs="Arial"/>
            </w:rPr>
            <m:t xml:space="preserve">TMF = </m:t>
          </m:r>
          <m:f>
            <m:fPr>
              <m:ctrlPr>
                <w:rPr>
                  <w:rFonts w:ascii="Cambria Math" w:hAnsi="Cambria Math" w:cs="Arial"/>
                  <w:i/>
                </w:rPr>
              </m:ctrlPr>
            </m:fPr>
            <m:num>
              <m:r>
                <w:rPr>
                  <w:rFonts w:ascii="Cambria Math" w:hAnsi="Cambria Math" w:cs="Arial"/>
                </w:rPr>
                <m:t>Número de muertes fetales en un año</m:t>
              </m:r>
            </m:num>
            <m:den>
              <m:eqArr>
                <m:eqArrPr>
                  <m:ctrlPr>
                    <w:rPr>
                      <w:rFonts w:ascii="Cambria Math" w:hAnsi="Cambria Math" w:cs="Arial"/>
                      <w:i/>
                    </w:rPr>
                  </m:ctrlPr>
                </m:eqArrPr>
                <m:e>
                  <m:r>
                    <w:rPr>
                      <w:rFonts w:ascii="Cambria Math" w:hAnsi="Cambria Math" w:cs="Arial"/>
                    </w:rPr>
                    <m:t>Número de nacidos totales en ese mismo año</m:t>
                  </m:r>
                </m:e>
                <m:e>
                  <m:r>
                    <w:rPr>
                      <w:rFonts w:ascii="Cambria Math" w:hAnsi="Cambria Math" w:cs="Arial"/>
                    </w:rPr>
                    <m:t>(vivos y muertos)</m:t>
                  </m:r>
                </m:e>
              </m:eqArr>
            </m:den>
          </m:f>
          <m:r>
            <w:rPr>
              <w:rFonts w:ascii="Cambria Math" w:hAnsi="Cambria Math" w:cs="Arial"/>
            </w:rPr>
            <m:t xml:space="preserve"> X 1000</m:t>
          </m:r>
        </m:oMath>
      </m:oMathPara>
    </w:p>
    <w:p w:rsidR="008A62FA" w:rsidRPr="00B603A3" w:rsidRDefault="008A62FA" w:rsidP="00B603A3">
      <w:pPr>
        <w:pStyle w:val="Sinespaciado"/>
        <w:spacing w:line="276" w:lineRule="auto"/>
        <w:jc w:val="center"/>
        <w:rPr>
          <w:rFonts w:asciiTheme="minorHAnsi" w:hAnsiTheme="minorHAnsi" w:cs="Arial"/>
          <w:noProof/>
          <w:sz w:val="24"/>
          <w:szCs w:val="24"/>
          <w:lang w:eastAsia="es-MX"/>
        </w:rPr>
      </w:pPr>
    </w:p>
    <w:p w:rsidR="008A62FA" w:rsidRPr="00B603A3" w:rsidRDefault="008A62FA" w:rsidP="00B603A3">
      <w:pPr>
        <w:pStyle w:val="Sinespaciado"/>
        <w:spacing w:line="276" w:lineRule="auto"/>
        <w:jc w:val="both"/>
        <w:rPr>
          <w:rFonts w:asciiTheme="minorHAnsi" w:hAnsiTheme="minorHAnsi" w:cs="Arial"/>
          <w:b/>
          <w:i/>
          <w:noProof/>
          <w:sz w:val="24"/>
          <w:szCs w:val="24"/>
          <w:lang w:eastAsia="es-MX"/>
        </w:rPr>
      </w:pPr>
      <w:r w:rsidRPr="00B603A3">
        <w:rPr>
          <w:rFonts w:asciiTheme="minorHAnsi" w:hAnsiTheme="minorHAnsi" w:cs="Arial"/>
          <w:b/>
          <w:i/>
          <w:noProof/>
          <w:sz w:val="24"/>
          <w:szCs w:val="24"/>
          <w:lang w:eastAsia="es-MX"/>
        </w:rPr>
        <w:t>Tasa de Mortalidad Infantil (TMI)</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La mortalidad infantil es considerada como uno de los mas importantes indicadores del grado de desarrollo en las condiciones de vida de una población, tanto que en septiembre del año 2000 se estableció como el cuarto de los ocho Objetivos de Desarrollo del Milenio: reducir la mortalidad infantil en dos tercios para el año 2015 con respecto a 1990 (OMS, 2014).</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El indicador de mortalidad infantil es medido mediante la TMI, cuya definición indica que es la frecuencia con que ocurre la muerte infantil en un período de tiempo y un espacio determinado. Mide el riesgo de morir que tiene un nacido vivo antes de cumplir un año de edad (García et al, 2004). La forma de calculo:</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56442E" w:rsidRPr="00A44757" w:rsidRDefault="0056442E" w:rsidP="0056442E">
      <w:pPr>
        <w:pStyle w:val="Sinespaciado"/>
        <w:spacing w:line="276" w:lineRule="auto"/>
        <w:jc w:val="both"/>
        <w:rPr>
          <w:rFonts w:ascii="Arial" w:hAnsi="Arial" w:cs="Arial"/>
          <w:color w:val="000000"/>
        </w:rPr>
      </w:pPr>
      <m:oMathPara>
        <m:oMath>
          <m:r>
            <w:rPr>
              <w:rFonts w:ascii="Cambria Math" w:hAnsi="Cambria Math" w:cs="Arial"/>
            </w:rPr>
            <m:t xml:space="preserve">TME = </m:t>
          </m:r>
          <m:f>
            <m:fPr>
              <m:ctrlPr>
                <w:rPr>
                  <w:rFonts w:ascii="Cambria Math" w:hAnsi="Cambria Math" w:cs="Arial"/>
                  <w:i/>
                </w:rPr>
              </m:ctrlPr>
            </m:fPr>
            <m:num>
              <m:eqArr>
                <m:eqArrPr>
                  <m:ctrlPr>
                    <w:rPr>
                      <w:rFonts w:ascii="Cambria Math" w:hAnsi="Cambria Math" w:cs="Arial"/>
                      <w:i/>
                    </w:rPr>
                  </m:ctrlPr>
                </m:eqArrPr>
                <m:e>
                  <m:r>
                    <w:rPr>
                      <w:rFonts w:ascii="Cambria Math" w:hAnsi="Cambria Math" w:cs="Arial"/>
                    </w:rPr>
                    <m:t xml:space="preserve">Total de muertes en un grupo de edad y sexo específicos </m:t>
                  </m:r>
                </m:e>
                <m:e>
                  <m:r>
                    <w:rPr>
                      <w:rFonts w:ascii="Cambria Math" w:hAnsi="Cambria Math" w:cs="Arial"/>
                    </w:rPr>
                    <m:t>de la población durante un período dado</m:t>
                  </m:r>
                </m:e>
              </m:eqArr>
            </m:num>
            <m:den>
              <m:eqArr>
                <m:eqArrPr>
                  <m:ctrlPr>
                    <w:rPr>
                      <w:rFonts w:ascii="Cambria Math" w:hAnsi="Cambria Math" w:cs="Arial"/>
                      <w:i/>
                    </w:rPr>
                  </m:ctrlPr>
                </m:eqArrPr>
                <m:e>
                  <m:eqArr>
                    <m:eqArrPr>
                      <m:ctrlPr>
                        <w:rPr>
                          <w:rFonts w:ascii="Cambria Math" w:hAnsi="Cambria Math" w:cs="Arial"/>
                          <w:i/>
                        </w:rPr>
                      </m:ctrlPr>
                    </m:eqArrPr>
                    <m:e>
                      <m:r>
                        <w:rPr>
                          <w:rFonts w:ascii="Cambria Math" w:hAnsi="Cambria Math" w:cs="Arial"/>
                        </w:rPr>
                        <m:t>Población total estimada del</m:t>
                      </m:r>
                    </m:e>
                  </m:eqArr>
                  <m:r>
                    <w:rPr>
                      <w:rFonts w:ascii="Cambria Math" w:hAnsi="Cambria Math" w:cs="Arial"/>
                    </w:rPr>
                    <m:t xml:space="preserve"> mismo grupo </m:t>
                  </m:r>
                </m:e>
                <m:e>
                  <m:r>
                    <w:rPr>
                      <w:rFonts w:ascii="Cambria Math" w:hAnsi="Cambria Math" w:cs="Arial"/>
                    </w:rPr>
                    <m:t>de edad y sexo en el mismo período</m:t>
                  </m:r>
                </m:e>
              </m:eqArr>
            </m:den>
          </m:f>
          <m:r>
            <w:rPr>
              <w:rFonts w:ascii="Cambria Math" w:hAnsi="Cambria Math" w:cs="Arial"/>
            </w:rPr>
            <m:t xml:space="preserve"> X 10n</m:t>
          </m:r>
        </m:oMath>
      </m:oMathPara>
    </w:p>
    <w:p w:rsidR="008A62FA" w:rsidRPr="00B603A3" w:rsidRDefault="008A62FA" w:rsidP="00B603A3">
      <w:pPr>
        <w:pStyle w:val="Sinespaciado"/>
        <w:spacing w:line="276" w:lineRule="auto"/>
        <w:jc w:val="center"/>
        <w:rPr>
          <w:rFonts w:asciiTheme="minorHAnsi" w:hAnsiTheme="minorHAnsi"/>
        </w:rPr>
      </w:pPr>
    </w:p>
    <w:p w:rsidR="008A62FA" w:rsidRDefault="008A62FA" w:rsidP="00B603A3">
      <w:pPr>
        <w:pStyle w:val="Sinespaciado"/>
        <w:spacing w:line="276" w:lineRule="auto"/>
        <w:jc w:val="both"/>
        <w:rPr>
          <w:rFonts w:asciiTheme="minorHAnsi" w:hAnsiTheme="minorHAnsi"/>
        </w:rPr>
      </w:pPr>
    </w:p>
    <w:p w:rsidR="000A706D" w:rsidRPr="00B603A3" w:rsidRDefault="000A706D" w:rsidP="00B603A3">
      <w:pPr>
        <w:pStyle w:val="Sinespaciado"/>
        <w:spacing w:line="276" w:lineRule="auto"/>
        <w:jc w:val="both"/>
        <w:rPr>
          <w:rFonts w:asciiTheme="minorHAnsi" w:hAnsiTheme="minorHAnsi"/>
        </w:rPr>
      </w:pPr>
    </w:p>
    <w:p w:rsidR="008A62FA" w:rsidRPr="00B603A3" w:rsidRDefault="008A62FA" w:rsidP="000A706D">
      <w:pPr>
        <w:pStyle w:val="Sinespaciado"/>
        <w:numPr>
          <w:ilvl w:val="0"/>
          <w:numId w:val="9"/>
        </w:numPr>
        <w:spacing w:line="276" w:lineRule="auto"/>
        <w:ind w:left="728" w:hanging="586"/>
        <w:jc w:val="both"/>
        <w:rPr>
          <w:rFonts w:asciiTheme="minorHAnsi" w:eastAsia="Times New Roman" w:hAnsiTheme="minorHAnsi"/>
          <w:b/>
          <w:bCs/>
          <w:noProof/>
          <w:color w:val="000000"/>
          <w:sz w:val="24"/>
          <w:szCs w:val="24"/>
          <w:lang w:eastAsia="es-MX"/>
        </w:rPr>
      </w:pPr>
      <w:r w:rsidRPr="00B603A3">
        <w:rPr>
          <w:rFonts w:asciiTheme="minorHAnsi" w:eastAsia="Times New Roman" w:hAnsiTheme="minorHAnsi"/>
          <w:b/>
          <w:bCs/>
          <w:noProof/>
          <w:color w:val="000000"/>
          <w:sz w:val="24"/>
          <w:szCs w:val="24"/>
          <w:lang w:eastAsia="es-MX"/>
        </w:rPr>
        <w:t>Análisis espacio-temporal y cálculo del riesgo</w:t>
      </w:r>
    </w:p>
    <w:p w:rsidR="008A62FA" w:rsidRPr="00B603A3" w:rsidRDefault="008A62FA" w:rsidP="00B603A3">
      <w:pPr>
        <w:pStyle w:val="Sinespaciado"/>
        <w:spacing w:line="276" w:lineRule="auto"/>
        <w:ind w:left="1429"/>
        <w:jc w:val="both"/>
        <w:rPr>
          <w:rFonts w:asciiTheme="minorHAnsi" w:eastAsia="Times New Roman" w:hAnsiTheme="minorHAnsi"/>
          <w:b/>
          <w:bCs/>
          <w:noProof/>
          <w:color w:val="000000"/>
          <w:sz w:val="28"/>
          <w:szCs w:val="28"/>
          <w:lang w:eastAsia="es-MX"/>
        </w:rPr>
      </w:pPr>
    </w:p>
    <w:p w:rsidR="008A62FA" w:rsidRPr="00B603A3" w:rsidRDefault="008A62FA" w:rsidP="00B603A3">
      <w:pPr>
        <w:jc w:val="both"/>
        <w:rPr>
          <w:rFonts w:asciiTheme="minorHAnsi" w:hAnsiTheme="minorHAnsi" w:cs="Arial"/>
          <w:sz w:val="24"/>
          <w:szCs w:val="24"/>
        </w:rPr>
      </w:pPr>
      <w:r w:rsidRPr="00B603A3">
        <w:rPr>
          <w:rFonts w:asciiTheme="minorHAnsi" w:hAnsiTheme="minorHAnsi" w:cs="Arial"/>
          <w:sz w:val="24"/>
          <w:szCs w:val="24"/>
        </w:rPr>
        <w:t xml:space="preserve">El análisis espacio-temporal se llevó a cabo con el Sistema de información Geográfica Idrisi Selva (Eastman, 2012). Se utilizó el modelador de tendencias de la tierra (Earth Trends Modeler- </w:t>
      </w:r>
      <w:r w:rsidRPr="00B603A3">
        <w:rPr>
          <w:rFonts w:asciiTheme="minorHAnsi" w:hAnsiTheme="minorHAnsi" w:cs="Arial"/>
          <w:i/>
          <w:sz w:val="24"/>
          <w:szCs w:val="24"/>
        </w:rPr>
        <w:t>ETM</w:t>
      </w:r>
      <w:r w:rsidRPr="00B603A3">
        <w:rPr>
          <w:rFonts w:asciiTheme="minorHAnsi" w:hAnsiTheme="minorHAnsi" w:cs="Arial"/>
          <w:sz w:val="24"/>
          <w:szCs w:val="24"/>
        </w:rPr>
        <w:t xml:space="preserve">) o de series temporales, para analizar el comportamiento de las tasas de mortalidad fetal e infantil de ambas causas (Q00 y Q05) durante los 14 años con información, por lo tanto se generaron un total de 56 imágenes raster, repartidas en 4 series de tiempo. </w:t>
      </w:r>
    </w:p>
    <w:p w:rsidR="008A62FA" w:rsidRPr="00B603A3" w:rsidRDefault="008A62FA" w:rsidP="00B603A3">
      <w:pPr>
        <w:jc w:val="both"/>
        <w:rPr>
          <w:rFonts w:asciiTheme="minorHAnsi" w:hAnsiTheme="minorHAnsi" w:cs="Arial"/>
          <w:sz w:val="24"/>
          <w:szCs w:val="24"/>
        </w:rPr>
      </w:pPr>
      <w:r w:rsidRPr="00B603A3">
        <w:rPr>
          <w:rFonts w:asciiTheme="minorHAnsi" w:hAnsiTheme="minorHAnsi" w:cs="Arial"/>
          <w:sz w:val="24"/>
          <w:szCs w:val="24"/>
        </w:rPr>
        <w:t xml:space="preserve">Así mismo el análisis para calcular el riesgo atribuible se facilitó con el módulo ETM, el cual permitió extraer la información a nivel espacial, de las zonas dentro del </w:t>
      </w:r>
      <w:r w:rsidRPr="00B603A3">
        <w:rPr>
          <w:rFonts w:asciiTheme="minorHAnsi" w:hAnsiTheme="minorHAnsi" w:cs="Arial"/>
          <w:color w:val="000000"/>
          <w:sz w:val="24"/>
          <w:szCs w:val="24"/>
        </w:rPr>
        <w:t>CFEM, así como de los municipios de menor actividad agrícola.</w:t>
      </w:r>
    </w:p>
    <w:p w:rsidR="008A62FA" w:rsidRPr="00B603A3" w:rsidRDefault="008A62FA" w:rsidP="00B603A3">
      <w:pPr>
        <w:jc w:val="both"/>
        <w:rPr>
          <w:rFonts w:asciiTheme="minorHAnsi" w:hAnsiTheme="minorHAnsi" w:cs="Arial"/>
          <w:b/>
          <w:i/>
          <w:sz w:val="24"/>
          <w:szCs w:val="24"/>
        </w:rPr>
      </w:pPr>
      <w:r w:rsidRPr="00B603A3">
        <w:rPr>
          <w:rFonts w:asciiTheme="minorHAnsi" w:hAnsiTheme="minorHAnsi" w:cs="Arial"/>
          <w:b/>
          <w:i/>
          <w:sz w:val="24"/>
          <w:szCs w:val="24"/>
        </w:rPr>
        <w:t>Razón de incidencia acumulada o Riesgo Relativo</w:t>
      </w:r>
    </w:p>
    <w:p w:rsidR="008A62FA" w:rsidRPr="00B603A3" w:rsidRDefault="008A62FA" w:rsidP="00B603A3">
      <w:pPr>
        <w:spacing w:after="0"/>
        <w:jc w:val="both"/>
        <w:rPr>
          <w:rFonts w:asciiTheme="minorHAnsi" w:hAnsiTheme="minorHAnsi" w:cs="Arial"/>
          <w:sz w:val="24"/>
          <w:szCs w:val="24"/>
        </w:rPr>
      </w:pPr>
      <w:r w:rsidRPr="00B603A3">
        <w:rPr>
          <w:rFonts w:asciiTheme="minorHAnsi" w:hAnsiTheme="minorHAnsi" w:cs="Arial"/>
          <w:sz w:val="24"/>
          <w:szCs w:val="24"/>
        </w:rPr>
        <w:t xml:space="preserve">Esta medida es útil si se desea conocer la probabilidad de padecer una enfermedad en función de la exposición. </w:t>
      </w:r>
    </w:p>
    <w:p w:rsidR="008A62FA" w:rsidRPr="00B603A3" w:rsidRDefault="008A62FA" w:rsidP="00B603A3">
      <w:pPr>
        <w:spacing w:after="0"/>
        <w:jc w:val="both"/>
        <w:rPr>
          <w:rFonts w:asciiTheme="minorHAnsi" w:hAnsiTheme="minorHAnsi" w:cs="Arial"/>
          <w:sz w:val="24"/>
          <w:szCs w:val="24"/>
        </w:rPr>
      </w:pPr>
    </w:p>
    <w:p w:rsidR="008A62FA" w:rsidRPr="00B603A3" w:rsidRDefault="008A62FA" w:rsidP="00B603A3">
      <w:pPr>
        <w:spacing w:after="0"/>
        <w:jc w:val="both"/>
        <w:rPr>
          <w:rFonts w:asciiTheme="minorHAnsi" w:hAnsiTheme="minorHAnsi" w:cs="Arial"/>
          <w:sz w:val="24"/>
          <w:szCs w:val="24"/>
        </w:rPr>
      </w:pPr>
      <w:r w:rsidRPr="00B603A3">
        <w:rPr>
          <w:rFonts w:asciiTheme="minorHAnsi" w:hAnsiTheme="minorHAnsi" w:cs="Arial"/>
          <w:sz w:val="24"/>
          <w:szCs w:val="24"/>
        </w:rPr>
        <w:t>Es así que, para una causa D asociada con un factor de Exposición E, el cálculo se presenta de la siguiente manera (</w:t>
      </w:r>
      <w:r w:rsidRPr="00B603A3">
        <w:rPr>
          <w:rFonts w:asciiTheme="minorHAnsi" w:hAnsiTheme="minorHAnsi" w:cs="Arial"/>
          <w:noProof/>
          <w:sz w:val="24"/>
          <w:szCs w:val="24"/>
          <w:lang w:eastAsia="es-MX"/>
        </w:rPr>
        <w:t>Moreno-Altamirano, 2000)</w:t>
      </w:r>
      <w:r w:rsidRPr="00B603A3">
        <w:rPr>
          <w:rFonts w:asciiTheme="minorHAnsi" w:hAnsiTheme="minorHAnsi" w:cs="Arial"/>
          <w:sz w:val="24"/>
          <w:szCs w:val="24"/>
        </w:rPr>
        <w:t>:</w:t>
      </w:r>
    </w:p>
    <w:p w:rsidR="008A62FA" w:rsidRPr="00B603A3" w:rsidRDefault="008A62FA" w:rsidP="00B603A3">
      <w:pPr>
        <w:spacing w:after="0"/>
        <w:jc w:val="center"/>
        <w:rPr>
          <w:rFonts w:asciiTheme="minorHAnsi" w:hAnsiTheme="minorHAnsi" w:cs="Arial"/>
          <w:bCs/>
          <w:sz w:val="24"/>
          <w:szCs w:val="24"/>
        </w:rPr>
      </w:pPr>
    </w:p>
    <w:p w:rsidR="008A62FA" w:rsidRPr="00B603A3" w:rsidRDefault="008A62FA" w:rsidP="00B603A3">
      <w:pPr>
        <w:spacing w:after="0"/>
        <w:jc w:val="center"/>
        <w:rPr>
          <w:rFonts w:asciiTheme="minorHAnsi" w:hAnsiTheme="minorHAnsi" w:cs="Arial"/>
          <w:bCs/>
          <w:sz w:val="24"/>
          <w:szCs w:val="24"/>
          <w:lang w:val="en-US"/>
        </w:rPr>
      </w:pPr>
      <w:r w:rsidRPr="00B603A3">
        <w:rPr>
          <w:rFonts w:asciiTheme="minorHAnsi" w:hAnsiTheme="minorHAnsi" w:cs="Arial"/>
          <w:bCs/>
          <w:sz w:val="24"/>
          <w:szCs w:val="24"/>
          <w:lang w:val="en-US"/>
        </w:rPr>
        <w:t xml:space="preserve">RR= </w:t>
      </w:r>
      <w:r w:rsidRPr="00B603A3">
        <w:rPr>
          <w:rFonts w:asciiTheme="minorHAnsi" w:hAnsiTheme="minorHAnsi" w:cs="Arial"/>
          <w:sz w:val="24"/>
          <w:szCs w:val="24"/>
          <w:lang w:val="en-US"/>
        </w:rPr>
        <w:t>P (D</w:t>
      </w:r>
      <w:r w:rsidRPr="00B603A3">
        <w:rPr>
          <w:rFonts w:ascii="Cambria Math" w:hAnsi="Cambria Math" w:cs="Cambria Math"/>
          <w:sz w:val="24"/>
          <w:szCs w:val="24"/>
          <w:lang w:val="en-US"/>
        </w:rPr>
        <w:t>⃓</w:t>
      </w:r>
      <w:r w:rsidRPr="00B603A3">
        <w:rPr>
          <w:rFonts w:asciiTheme="minorHAnsi" w:hAnsiTheme="minorHAnsi" w:cs="Arial"/>
          <w:sz w:val="24"/>
          <w:szCs w:val="24"/>
          <w:lang w:val="en-US"/>
        </w:rPr>
        <w:t xml:space="preserve"> Exp)/ P(D</w:t>
      </w:r>
      <w:r w:rsidRPr="00B603A3">
        <w:rPr>
          <w:rFonts w:ascii="Cambria Math" w:hAnsi="Cambria Math" w:cs="Cambria Math"/>
          <w:sz w:val="24"/>
          <w:szCs w:val="24"/>
          <w:lang w:val="en-US"/>
        </w:rPr>
        <w:t>⃓</w:t>
      </w:r>
      <w:r w:rsidRPr="00B603A3">
        <w:rPr>
          <w:rFonts w:asciiTheme="minorHAnsi" w:hAnsiTheme="minorHAnsi" w:cs="Arial"/>
          <w:sz w:val="24"/>
          <w:szCs w:val="24"/>
          <w:lang w:val="en-US"/>
        </w:rPr>
        <w:t xml:space="preserve"> NExp)</w:t>
      </w:r>
    </w:p>
    <w:p w:rsidR="008A62FA" w:rsidRPr="00B603A3" w:rsidRDefault="008A62FA" w:rsidP="00B603A3">
      <w:pPr>
        <w:spacing w:after="0"/>
        <w:jc w:val="both"/>
        <w:rPr>
          <w:rFonts w:asciiTheme="minorHAnsi" w:hAnsiTheme="minorHAnsi" w:cs="Arial"/>
          <w:lang w:val="en-US"/>
        </w:rPr>
      </w:pPr>
    </w:p>
    <w:p w:rsidR="008A62FA" w:rsidRPr="00B603A3" w:rsidRDefault="008A62FA" w:rsidP="00B603A3">
      <w:pPr>
        <w:spacing w:after="0"/>
        <w:jc w:val="both"/>
        <w:rPr>
          <w:rFonts w:asciiTheme="minorHAnsi" w:hAnsiTheme="minorHAnsi" w:cs="Arial"/>
          <w:sz w:val="24"/>
          <w:szCs w:val="24"/>
        </w:rPr>
      </w:pPr>
      <w:r w:rsidRPr="00B603A3">
        <w:rPr>
          <w:rFonts w:asciiTheme="minorHAnsi" w:hAnsiTheme="minorHAnsi" w:cs="Arial"/>
          <w:sz w:val="24"/>
          <w:szCs w:val="24"/>
        </w:rPr>
        <w:t>Dónde:</w:t>
      </w:r>
    </w:p>
    <w:p w:rsidR="008A62FA" w:rsidRPr="00B603A3" w:rsidRDefault="008A62FA" w:rsidP="00B603A3">
      <w:pPr>
        <w:spacing w:after="0"/>
        <w:jc w:val="both"/>
        <w:rPr>
          <w:rFonts w:asciiTheme="minorHAnsi" w:hAnsiTheme="minorHAnsi" w:cs="Arial"/>
          <w:sz w:val="24"/>
          <w:szCs w:val="24"/>
        </w:rPr>
      </w:pPr>
      <w:r w:rsidRPr="00B603A3">
        <w:rPr>
          <w:rFonts w:asciiTheme="minorHAnsi" w:hAnsiTheme="minorHAnsi" w:cs="Arial"/>
          <w:sz w:val="24"/>
          <w:szCs w:val="24"/>
        </w:rPr>
        <w:t>RR= Riesgo relativo</w:t>
      </w:r>
    </w:p>
    <w:p w:rsidR="008A62FA" w:rsidRPr="00B603A3" w:rsidRDefault="008A62FA" w:rsidP="00B603A3">
      <w:pPr>
        <w:spacing w:after="0"/>
        <w:jc w:val="both"/>
        <w:rPr>
          <w:rFonts w:asciiTheme="minorHAnsi" w:hAnsiTheme="minorHAnsi" w:cs="Arial"/>
          <w:sz w:val="24"/>
          <w:szCs w:val="24"/>
        </w:rPr>
      </w:pPr>
      <w:r w:rsidRPr="00B603A3">
        <w:rPr>
          <w:rFonts w:asciiTheme="minorHAnsi" w:hAnsiTheme="minorHAnsi" w:cs="Arial"/>
          <w:sz w:val="24"/>
          <w:szCs w:val="24"/>
        </w:rPr>
        <w:t>P (D</w:t>
      </w:r>
      <w:r w:rsidRPr="00B603A3">
        <w:rPr>
          <w:rFonts w:ascii="Cambria Math" w:hAnsi="Cambria Math" w:cs="Cambria Math"/>
          <w:sz w:val="24"/>
          <w:szCs w:val="24"/>
        </w:rPr>
        <w:t>⃓</w:t>
      </w:r>
      <w:r w:rsidRPr="00B603A3">
        <w:rPr>
          <w:rFonts w:asciiTheme="minorHAnsi" w:hAnsiTheme="minorHAnsi" w:cs="Arial"/>
          <w:sz w:val="24"/>
          <w:szCs w:val="24"/>
        </w:rPr>
        <w:t xml:space="preserve"> E) = Probabilidad de morir en expuestos</w:t>
      </w:r>
    </w:p>
    <w:p w:rsidR="008A62FA" w:rsidRPr="00B603A3" w:rsidRDefault="008A62FA" w:rsidP="00B603A3">
      <w:pPr>
        <w:spacing w:after="0"/>
        <w:jc w:val="both"/>
        <w:rPr>
          <w:rFonts w:asciiTheme="minorHAnsi" w:hAnsiTheme="minorHAnsi" w:cs="Arial"/>
          <w:sz w:val="24"/>
          <w:szCs w:val="24"/>
        </w:rPr>
      </w:pPr>
      <w:r w:rsidRPr="00B603A3">
        <w:rPr>
          <w:rFonts w:asciiTheme="minorHAnsi" w:hAnsiTheme="minorHAnsi" w:cs="Arial"/>
          <w:sz w:val="24"/>
          <w:szCs w:val="24"/>
        </w:rPr>
        <w:t>P (D</w:t>
      </w:r>
      <w:r w:rsidRPr="00B603A3">
        <w:rPr>
          <w:rFonts w:ascii="Cambria Math" w:hAnsi="Cambria Math" w:cs="Cambria Math"/>
          <w:sz w:val="24"/>
          <w:szCs w:val="24"/>
        </w:rPr>
        <w:t>⃓</w:t>
      </w:r>
      <w:r w:rsidRPr="00B603A3">
        <w:rPr>
          <w:rFonts w:asciiTheme="minorHAnsi" w:hAnsiTheme="minorHAnsi" w:cs="Arial"/>
          <w:sz w:val="24"/>
          <w:szCs w:val="24"/>
        </w:rPr>
        <w:t>notE) = Probabilidad de morir en no expuestos</w:t>
      </w:r>
    </w:p>
    <w:p w:rsidR="008A62FA" w:rsidRPr="00B603A3" w:rsidRDefault="008A62FA" w:rsidP="00B603A3">
      <w:pPr>
        <w:spacing w:after="0"/>
        <w:jc w:val="both"/>
        <w:rPr>
          <w:rFonts w:asciiTheme="minorHAnsi" w:hAnsiTheme="minorHAnsi" w:cs="Arial"/>
          <w:sz w:val="24"/>
          <w:szCs w:val="24"/>
        </w:rPr>
      </w:pPr>
    </w:p>
    <w:p w:rsidR="008A62FA" w:rsidRPr="00B603A3" w:rsidRDefault="008A62FA" w:rsidP="00B603A3">
      <w:pPr>
        <w:jc w:val="both"/>
        <w:rPr>
          <w:rFonts w:asciiTheme="minorHAnsi" w:hAnsiTheme="minorHAnsi" w:cs="Arial"/>
          <w:sz w:val="24"/>
          <w:szCs w:val="24"/>
        </w:rPr>
      </w:pPr>
      <w:r w:rsidRPr="00B603A3">
        <w:rPr>
          <w:rFonts w:asciiTheme="minorHAnsi" w:hAnsiTheme="minorHAnsi" w:cs="Arial"/>
          <w:sz w:val="24"/>
          <w:szCs w:val="24"/>
        </w:rPr>
        <w:t>Cuando RR=1 se dice que la probabilidad de enfermar en expuestos es igual a la probabilidad de enfermar en no expuestos es decir que hay una asociación nula o que son independientes.</w:t>
      </w:r>
    </w:p>
    <w:p w:rsidR="008A62FA" w:rsidRPr="00B603A3" w:rsidRDefault="008A62FA" w:rsidP="00B603A3">
      <w:pPr>
        <w:jc w:val="both"/>
        <w:rPr>
          <w:rFonts w:asciiTheme="minorHAnsi" w:hAnsiTheme="minorHAnsi" w:cs="Arial"/>
          <w:sz w:val="24"/>
          <w:szCs w:val="24"/>
        </w:rPr>
      </w:pPr>
      <w:r w:rsidRPr="00B603A3">
        <w:rPr>
          <w:rFonts w:asciiTheme="minorHAnsi" w:hAnsiTheme="minorHAnsi" w:cs="Arial"/>
          <w:sz w:val="24"/>
          <w:szCs w:val="24"/>
        </w:rPr>
        <w:t>Cuando RR&gt;1 se dice que es riesgo de enfermar es mayor en los expuestos que en los no expuestos y al inverso cuando RR&lt;1.</w:t>
      </w:r>
    </w:p>
    <w:p w:rsidR="008A62FA" w:rsidRPr="00B603A3" w:rsidRDefault="008A62FA" w:rsidP="00B603A3">
      <w:pPr>
        <w:jc w:val="both"/>
        <w:rPr>
          <w:rFonts w:asciiTheme="minorHAnsi" w:hAnsiTheme="minorHAnsi" w:cs="Arial"/>
          <w:sz w:val="24"/>
          <w:szCs w:val="24"/>
        </w:rPr>
      </w:pPr>
      <w:r w:rsidRPr="00B603A3">
        <w:rPr>
          <w:rFonts w:asciiTheme="minorHAnsi" w:hAnsiTheme="minorHAnsi" w:cs="Arial"/>
          <w:sz w:val="24"/>
          <w:szCs w:val="24"/>
        </w:rPr>
        <w:t>El riesgo relativo es la base de un modelo multiplicativo para el riesgo en el sentido que para obtener el riesgo de enfermar en los expuestos se utiliza como línea de base a los no expuestos.</w:t>
      </w:r>
    </w:p>
    <w:p w:rsidR="008A62FA" w:rsidRPr="00B603A3" w:rsidRDefault="008A62FA" w:rsidP="00B603A3">
      <w:pPr>
        <w:spacing w:after="0"/>
        <w:rPr>
          <w:rFonts w:asciiTheme="minorHAnsi" w:hAnsiTheme="minorHAnsi"/>
          <w:i/>
          <w:sz w:val="24"/>
          <w:szCs w:val="24"/>
        </w:rPr>
      </w:pPr>
      <w:r w:rsidRPr="00B603A3">
        <w:rPr>
          <w:rStyle w:val="Textoennegrita"/>
          <w:rFonts w:asciiTheme="minorHAnsi" w:hAnsiTheme="minorHAnsi"/>
          <w:i/>
          <w:sz w:val="24"/>
          <w:szCs w:val="24"/>
        </w:rPr>
        <w:t>Riesgo atribuible poblacional porcentual (RAP%)</w:t>
      </w:r>
      <w:r w:rsidRPr="00B603A3">
        <w:rPr>
          <w:rFonts w:asciiTheme="minorHAnsi" w:hAnsiTheme="minorHAnsi"/>
          <w:i/>
          <w:sz w:val="24"/>
          <w:szCs w:val="24"/>
        </w:rPr>
        <w:br/>
      </w:r>
    </w:p>
    <w:p w:rsidR="008A62FA" w:rsidRPr="00B603A3" w:rsidRDefault="008A62FA" w:rsidP="00B603A3">
      <w:pPr>
        <w:jc w:val="both"/>
        <w:rPr>
          <w:rFonts w:asciiTheme="minorHAnsi" w:hAnsiTheme="minorHAnsi"/>
          <w:sz w:val="24"/>
          <w:szCs w:val="24"/>
        </w:rPr>
      </w:pPr>
      <w:r w:rsidRPr="00B603A3">
        <w:rPr>
          <w:rFonts w:asciiTheme="minorHAnsi" w:hAnsiTheme="minorHAnsi"/>
          <w:sz w:val="24"/>
          <w:szCs w:val="24"/>
        </w:rPr>
        <w:t xml:space="preserve">Esta medida permite estimar la proporción de enfermedad en la población que es explicada por la exposición al factor estudiado. Responde a la pregunta ¿Qué porcentaje de la población enferma es consecuencia de la exposición al factor?. La forma de cálculo es la siguiente </w:t>
      </w:r>
      <w:r w:rsidRPr="00B603A3">
        <w:rPr>
          <w:rFonts w:asciiTheme="minorHAnsi" w:hAnsiTheme="minorHAnsi" w:cs="Arial"/>
          <w:sz w:val="24"/>
          <w:szCs w:val="24"/>
        </w:rPr>
        <w:t>(</w:t>
      </w:r>
      <w:r w:rsidRPr="00B603A3">
        <w:rPr>
          <w:rFonts w:asciiTheme="minorHAnsi" w:hAnsiTheme="minorHAnsi" w:cs="Arial"/>
          <w:noProof/>
          <w:sz w:val="24"/>
          <w:szCs w:val="24"/>
          <w:lang w:eastAsia="es-MX"/>
        </w:rPr>
        <w:t>Moreno-Altamirano, 2000)</w:t>
      </w:r>
      <w:r w:rsidRPr="00B603A3">
        <w:rPr>
          <w:rFonts w:asciiTheme="minorHAnsi" w:hAnsiTheme="minorHAnsi"/>
          <w:sz w:val="24"/>
          <w:szCs w:val="24"/>
        </w:rPr>
        <w:t>:</w:t>
      </w:r>
    </w:p>
    <w:p w:rsidR="008A62FA" w:rsidRPr="00B603A3" w:rsidRDefault="008A62FA" w:rsidP="00B603A3">
      <w:pPr>
        <w:spacing w:after="0"/>
        <w:jc w:val="center"/>
        <w:rPr>
          <w:rFonts w:asciiTheme="minorHAnsi" w:hAnsiTheme="minorHAnsi" w:cs="Arial"/>
          <w:bCs/>
          <w:sz w:val="24"/>
          <w:szCs w:val="24"/>
        </w:rPr>
      </w:pPr>
      <w:r w:rsidRPr="00B603A3">
        <w:rPr>
          <w:rFonts w:asciiTheme="minorHAnsi" w:hAnsiTheme="minorHAnsi" w:cs="Arial"/>
          <w:bCs/>
          <w:sz w:val="24"/>
          <w:szCs w:val="24"/>
        </w:rPr>
        <w:t>RAP%= (</w:t>
      </w:r>
      <w:r w:rsidRPr="00B603A3">
        <w:rPr>
          <w:rFonts w:asciiTheme="minorHAnsi" w:hAnsiTheme="minorHAnsi" w:cs="Arial"/>
          <w:sz w:val="24"/>
          <w:szCs w:val="24"/>
        </w:rPr>
        <w:t>P (D</w:t>
      </w:r>
      <w:r w:rsidRPr="00B603A3">
        <w:rPr>
          <w:rFonts w:ascii="Cambria Math" w:hAnsi="Cambria Math" w:cs="Cambria Math"/>
          <w:sz w:val="24"/>
          <w:szCs w:val="24"/>
        </w:rPr>
        <w:t>⃓</w:t>
      </w:r>
      <w:r w:rsidRPr="00B603A3">
        <w:rPr>
          <w:rFonts w:asciiTheme="minorHAnsi" w:hAnsiTheme="minorHAnsi" w:cs="Arial"/>
          <w:sz w:val="24"/>
          <w:szCs w:val="24"/>
        </w:rPr>
        <w:t xml:space="preserve"> Exp)- P (D</w:t>
      </w:r>
      <w:r w:rsidRPr="00B603A3">
        <w:rPr>
          <w:rFonts w:ascii="Cambria Math" w:hAnsi="Cambria Math" w:cs="Cambria Math"/>
          <w:sz w:val="24"/>
          <w:szCs w:val="24"/>
        </w:rPr>
        <w:t>⃓</w:t>
      </w:r>
      <w:r w:rsidRPr="00B603A3">
        <w:rPr>
          <w:rFonts w:asciiTheme="minorHAnsi" w:hAnsiTheme="minorHAnsi" w:cs="Arial"/>
          <w:sz w:val="24"/>
          <w:szCs w:val="24"/>
        </w:rPr>
        <w:t xml:space="preserve"> NExp))/ P (D</w:t>
      </w:r>
      <w:r w:rsidRPr="00B603A3">
        <w:rPr>
          <w:rFonts w:ascii="Cambria Math" w:hAnsi="Cambria Math" w:cs="Cambria Math"/>
          <w:sz w:val="24"/>
          <w:szCs w:val="24"/>
        </w:rPr>
        <w:t>⃓</w:t>
      </w:r>
      <w:r w:rsidRPr="00B603A3">
        <w:rPr>
          <w:rFonts w:asciiTheme="minorHAnsi" w:hAnsiTheme="minorHAnsi" w:cs="Arial"/>
          <w:sz w:val="24"/>
          <w:szCs w:val="24"/>
        </w:rPr>
        <w:t xml:space="preserve"> Exp)</w:t>
      </w:r>
    </w:p>
    <w:p w:rsidR="008A62FA" w:rsidRPr="00B603A3" w:rsidRDefault="008A62FA" w:rsidP="00B603A3">
      <w:pPr>
        <w:spacing w:after="0"/>
        <w:jc w:val="both"/>
        <w:rPr>
          <w:rFonts w:asciiTheme="minorHAnsi" w:hAnsiTheme="minorHAnsi" w:cs="Arial"/>
          <w:bCs/>
        </w:rPr>
      </w:pPr>
    </w:p>
    <w:p w:rsidR="008A62FA" w:rsidRPr="00B603A3" w:rsidRDefault="008A62FA" w:rsidP="00B603A3">
      <w:pPr>
        <w:spacing w:after="0"/>
        <w:jc w:val="both"/>
        <w:rPr>
          <w:rFonts w:asciiTheme="minorHAnsi" w:hAnsiTheme="minorHAnsi" w:cs="Arial"/>
          <w:bCs/>
          <w:sz w:val="24"/>
          <w:szCs w:val="24"/>
        </w:rPr>
      </w:pPr>
      <w:r w:rsidRPr="00B603A3">
        <w:rPr>
          <w:rFonts w:asciiTheme="minorHAnsi" w:hAnsiTheme="minorHAnsi" w:cs="Arial"/>
          <w:bCs/>
          <w:sz w:val="24"/>
          <w:szCs w:val="24"/>
        </w:rPr>
        <w:t>Donde:</w:t>
      </w:r>
    </w:p>
    <w:p w:rsidR="008A62FA" w:rsidRPr="00B603A3" w:rsidRDefault="008A62FA" w:rsidP="00B603A3">
      <w:pPr>
        <w:spacing w:after="0"/>
        <w:jc w:val="both"/>
        <w:rPr>
          <w:rFonts w:asciiTheme="minorHAnsi" w:hAnsiTheme="minorHAnsi" w:cs="Arial"/>
          <w:bCs/>
          <w:sz w:val="24"/>
          <w:szCs w:val="24"/>
        </w:rPr>
      </w:pPr>
      <w:r w:rsidRPr="00B603A3">
        <w:rPr>
          <w:rFonts w:asciiTheme="minorHAnsi" w:hAnsiTheme="minorHAnsi" w:cs="Arial"/>
          <w:bCs/>
          <w:sz w:val="24"/>
          <w:szCs w:val="24"/>
        </w:rPr>
        <w:t>RAP: Porcentaje del Riesgo atribuible Poblacional</w:t>
      </w:r>
    </w:p>
    <w:p w:rsidR="008A62FA" w:rsidRPr="00B603A3" w:rsidRDefault="008A62FA" w:rsidP="00B603A3">
      <w:pPr>
        <w:spacing w:after="0"/>
        <w:jc w:val="both"/>
        <w:rPr>
          <w:rFonts w:asciiTheme="minorHAnsi" w:hAnsiTheme="minorHAnsi" w:cs="Arial"/>
          <w:bCs/>
          <w:sz w:val="24"/>
          <w:szCs w:val="24"/>
        </w:rPr>
      </w:pPr>
      <w:r w:rsidRPr="00B603A3">
        <w:rPr>
          <w:rFonts w:asciiTheme="minorHAnsi" w:hAnsiTheme="minorHAnsi" w:cs="Arial"/>
          <w:sz w:val="24"/>
          <w:szCs w:val="24"/>
        </w:rPr>
        <w:t>P (D</w:t>
      </w:r>
      <w:r w:rsidRPr="00B603A3">
        <w:rPr>
          <w:rFonts w:ascii="Cambria Math" w:hAnsi="Cambria Math" w:cs="Cambria Math"/>
          <w:sz w:val="24"/>
          <w:szCs w:val="24"/>
        </w:rPr>
        <w:t>⃓</w:t>
      </w:r>
      <w:r w:rsidRPr="00B603A3">
        <w:rPr>
          <w:rFonts w:asciiTheme="minorHAnsi" w:hAnsiTheme="minorHAnsi" w:cs="Arial"/>
          <w:sz w:val="24"/>
          <w:szCs w:val="24"/>
        </w:rPr>
        <w:t xml:space="preserve"> Exp) = Probabilidad de morir en expuestos</w:t>
      </w:r>
    </w:p>
    <w:p w:rsidR="008A62FA" w:rsidRPr="00B603A3" w:rsidRDefault="008A62FA" w:rsidP="00B603A3">
      <w:pPr>
        <w:spacing w:after="0"/>
        <w:jc w:val="both"/>
        <w:rPr>
          <w:rFonts w:asciiTheme="minorHAnsi" w:hAnsiTheme="minorHAnsi" w:cs="Arial"/>
          <w:bCs/>
          <w:sz w:val="24"/>
          <w:szCs w:val="24"/>
        </w:rPr>
      </w:pPr>
      <w:r w:rsidRPr="00B603A3">
        <w:rPr>
          <w:rFonts w:asciiTheme="minorHAnsi" w:hAnsiTheme="minorHAnsi" w:cs="Arial"/>
          <w:sz w:val="24"/>
          <w:szCs w:val="24"/>
        </w:rPr>
        <w:t>P (D</w:t>
      </w:r>
      <w:r w:rsidRPr="00B603A3">
        <w:rPr>
          <w:rFonts w:ascii="Cambria Math" w:hAnsi="Cambria Math" w:cs="Cambria Math"/>
          <w:sz w:val="24"/>
          <w:szCs w:val="24"/>
        </w:rPr>
        <w:t>⃓</w:t>
      </w:r>
      <w:r w:rsidRPr="00B603A3">
        <w:rPr>
          <w:rFonts w:asciiTheme="minorHAnsi" w:hAnsiTheme="minorHAnsi" w:cs="Arial"/>
          <w:sz w:val="24"/>
          <w:szCs w:val="24"/>
        </w:rPr>
        <w:t xml:space="preserve"> NExp)</w:t>
      </w:r>
      <w:r w:rsidRPr="00B603A3">
        <w:rPr>
          <w:rFonts w:asciiTheme="minorHAnsi" w:hAnsiTheme="minorHAnsi" w:cs="Arial"/>
          <w:bCs/>
          <w:sz w:val="24"/>
          <w:szCs w:val="24"/>
        </w:rPr>
        <w:t>: Probabilidad de morir en No expuestos</w:t>
      </w:r>
    </w:p>
    <w:p w:rsidR="008A62FA" w:rsidRDefault="008A62FA" w:rsidP="00B603A3">
      <w:pPr>
        <w:spacing w:after="0"/>
        <w:jc w:val="both"/>
        <w:rPr>
          <w:rFonts w:asciiTheme="minorHAnsi" w:hAnsiTheme="minorHAnsi" w:cs="Arial"/>
          <w:bCs/>
        </w:rPr>
      </w:pPr>
    </w:p>
    <w:p w:rsidR="00D30DBE" w:rsidRDefault="00D30DBE" w:rsidP="00B603A3">
      <w:pPr>
        <w:spacing w:after="0"/>
        <w:jc w:val="both"/>
        <w:rPr>
          <w:rFonts w:asciiTheme="minorHAnsi" w:hAnsiTheme="minorHAnsi" w:cs="Arial"/>
          <w:bCs/>
        </w:rPr>
      </w:pPr>
    </w:p>
    <w:p w:rsidR="008A62FA" w:rsidRPr="00B603A3" w:rsidRDefault="008A62FA" w:rsidP="00B603A3">
      <w:pPr>
        <w:pStyle w:val="Sinespaciado"/>
        <w:numPr>
          <w:ilvl w:val="0"/>
          <w:numId w:val="8"/>
        </w:numPr>
        <w:spacing w:line="276" w:lineRule="auto"/>
        <w:ind w:left="426" w:hanging="426"/>
        <w:jc w:val="both"/>
        <w:rPr>
          <w:rFonts w:asciiTheme="minorHAnsi" w:hAnsiTheme="minorHAnsi" w:cs="Arial"/>
          <w:b/>
          <w:noProof/>
          <w:sz w:val="28"/>
          <w:szCs w:val="28"/>
          <w:lang w:eastAsia="es-MX"/>
        </w:rPr>
      </w:pPr>
      <w:r w:rsidRPr="00B603A3">
        <w:rPr>
          <w:rFonts w:asciiTheme="minorHAnsi" w:hAnsiTheme="minorHAnsi" w:cs="Arial"/>
          <w:b/>
          <w:noProof/>
          <w:sz w:val="28"/>
          <w:szCs w:val="28"/>
          <w:lang w:eastAsia="es-MX"/>
        </w:rPr>
        <w:t xml:space="preserve">Resultados </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886555" w:rsidRPr="00886555" w:rsidRDefault="00886555" w:rsidP="00886555">
      <w:pPr>
        <w:pStyle w:val="Sinespaciado"/>
        <w:spacing w:line="276" w:lineRule="auto"/>
        <w:rPr>
          <w:rFonts w:asciiTheme="minorHAnsi" w:hAnsiTheme="minorHAnsi" w:cs="Arial"/>
          <w:b/>
          <w:noProof/>
          <w:sz w:val="24"/>
          <w:szCs w:val="24"/>
          <w:lang w:eastAsia="es-MX"/>
        </w:rPr>
      </w:pPr>
      <w:r w:rsidRPr="00886555">
        <w:rPr>
          <w:rFonts w:asciiTheme="minorHAnsi" w:hAnsiTheme="minorHAnsi" w:cs="Arial"/>
          <w:b/>
          <w:noProof/>
          <w:sz w:val="24"/>
          <w:szCs w:val="24"/>
          <w:lang w:eastAsia="es-MX"/>
        </w:rPr>
        <w:t>3.1 Visitas de campo</w:t>
      </w:r>
    </w:p>
    <w:p w:rsidR="00886555" w:rsidRDefault="00886555" w:rsidP="00B603A3">
      <w:pPr>
        <w:pStyle w:val="Sinespaciado"/>
        <w:spacing w:line="276" w:lineRule="auto"/>
        <w:jc w:val="center"/>
        <w:rPr>
          <w:rFonts w:asciiTheme="minorHAnsi" w:hAnsiTheme="minorHAnsi" w:cs="Arial"/>
          <w:noProof/>
          <w:sz w:val="24"/>
          <w:szCs w:val="24"/>
          <w:lang w:eastAsia="es-MX"/>
        </w:rPr>
      </w:pPr>
    </w:p>
    <w:p w:rsidR="008A62FA" w:rsidRDefault="008A62FA" w:rsidP="00B603A3">
      <w:pPr>
        <w:pStyle w:val="Sinespaciado"/>
        <w:spacing w:line="276" w:lineRule="auto"/>
        <w:jc w:val="center"/>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De acuerdo con el trabajo de campo se realizaron </w:t>
      </w:r>
      <w:r w:rsidR="006F5A41">
        <w:rPr>
          <w:rFonts w:asciiTheme="minorHAnsi" w:hAnsiTheme="minorHAnsi" w:cs="Arial"/>
          <w:noProof/>
          <w:sz w:val="24"/>
          <w:szCs w:val="24"/>
          <w:lang w:eastAsia="es-MX"/>
        </w:rPr>
        <w:t>cuatro</w:t>
      </w:r>
      <w:r w:rsidRPr="00B603A3">
        <w:rPr>
          <w:rFonts w:asciiTheme="minorHAnsi" w:hAnsiTheme="minorHAnsi" w:cs="Arial"/>
          <w:noProof/>
          <w:sz w:val="24"/>
          <w:szCs w:val="24"/>
          <w:lang w:eastAsia="es-MX"/>
        </w:rPr>
        <w:t xml:space="preserve"> visitas</w:t>
      </w:r>
      <w:r w:rsidR="006F5A41">
        <w:rPr>
          <w:rFonts w:asciiTheme="minorHAnsi" w:hAnsiTheme="minorHAnsi" w:cs="Arial"/>
          <w:noProof/>
          <w:sz w:val="24"/>
          <w:szCs w:val="24"/>
          <w:lang w:eastAsia="es-MX"/>
        </w:rPr>
        <w:t xml:space="preserve"> de campo</w:t>
      </w:r>
      <w:r w:rsidRPr="00B603A3">
        <w:rPr>
          <w:rFonts w:asciiTheme="minorHAnsi" w:hAnsiTheme="minorHAnsi" w:cs="Arial"/>
          <w:noProof/>
          <w:sz w:val="24"/>
          <w:szCs w:val="24"/>
          <w:lang w:eastAsia="es-MX"/>
        </w:rPr>
        <w:t xml:space="preserve">, a invernaderos de la zona de estudio identificando algunos de los principales plaguicidas aplicados en los cultivos. </w:t>
      </w:r>
    </w:p>
    <w:p w:rsidR="006F5A41" w:rsidRDefault="006F5A41" w:rsidP="00B603A3">
      <w:pPr>
        <w:pStyle w:val="Sinespaciado"/>
        <w:spacing w:line="276" w:lineRule="auto"/>
        <w:jc w:val="center"/>
        <w:rPr>
          <w:rFonts w:asciiTheme="minorHAnsi" w:hAnsiTheme="minorHAnsi" w:cs="Arial"/>
          <w:noProof/>
          <w:sz w:val="24"/>
          <w:szCs w:val="24"/>
          <w:lang w:eastAsia="es-MX"/>
        </w:rPr>
      </w:pPr>
    </w:p>
    <w:p w:rsidR="006F5A41" w:rsidRPr="006F5A41" w:rsidRDefault="00886555" w:rsidP="006F5A41">
      <w:pPr>
        <w:pStyle w:val="Sinespaciado"/>
        <w:spacing w:line="276" w:lineRule="auto"/>
        <w:jc w:val="both"/>
        <w:outlineLvl w:val="1"/>
        <w:rPr>
          <w:rFonts w:asciiTheme="minorHAnsi" w:hAnsiTheme="minorHAnsi" w:cs="Arial"/>
          <w:noProof/>
          <w:sz w:val="24"/>
          <w:szCs w:val="24"/>
          <w:lang w:eastAsia="es-MX"/>
        </w:rPr>
      </w:pPr>
      <w:bookmarkStart w:id="7" w:name="_Toc405991117"/>
      <w:bookmarkStart w:id="8" w:name="_Toc421688910"/>
      <w:r>
        <w:rPr>
          <w:rFonts w:asciiTheme="minorHAnsi" w:hAnsiTheme="minorHAnsi" w:cs="Arial"/>
          <w:b/>
          <w:noProof/>
          <w:sz w:val="24"/>
          <w:szCs w:val="24"/>
          <w:lang w:eastAsia="es-MX"/>
        </w:rPr>
        <w:t>3.1.1</w:t>
      </w:r>
      <w:r w:rsidR="006F5A41" w:rsidRPr="00886555">
        <w:rPr>
          <w:rFonts w:asciiTheme="minorHAnsi" w:hAnsiTheme="minorHAnsi" w:cs="Arial"/>
          <w:b/>
          <w:noProof/>
          <w:sz w:val="24"/>
          <w:szCs w:val="24"/>
          <w:lang w:eastAsia="es-MX"/>
        </w:rPr>
        <w:t xml:space="preserve"> PRIMERA VISITA</w:t>
      </w:r>
      <w:bookmarkEnd w:id="7"/>
      <w:bookmarkEnd w:id="8"/>
      <w:r w:rsidR="006F5A41">
        <w:rPr>
          <w:rFonts w:asciiTheme="minorHAnsi" w:hAnsiTheme="minorHAnsi" w:cs="Arial"/>
          <w:noProof/>
          <w:sz w:val="24"/>
          <w:szCs w:val="24"/>
          <w:lang w:eastAsia="es-MX"/>
        </w:rPr>
        <w:t xml:space="preserve">. </w:t>
      </w:r>
      <w:r w:rsidR="006F5A41" w:rsidRPr="006F5A41">
        <w:rPr>
          <w:rFonts w:asciiTheme="minorHAnsi" w:hAnsiTheme="minorHAnsi" w:cs="Arial"/>
          <w:noProof/>
          <w:sz w:val="24"/>
          <w:szCs w:val="24"/>
          <w:lang w:eastAsia="es-MX"/>
        </w:rPr>
        <w:t>Realizada en noviembre del 2013, con los siguientes resultados:</w:t>
      </w:r>
    </w:p>
    <w:p w:rsidR="006F5A41" w:rsidRPr="006F5A41" w:rsidRDefault="006F5A41" w:rsidP="006F5A41">
      <w:pPr>
        <w:pStyle w:val="Sinespaciado"/>
        <w:spacing w:line="276" w:lineRule="auto"/>
        <w:jc w:val="both"/>
        <w:rPr>
          <w:rFonts w:asciiTheme="minorHAnsi" w:hAnsiTheme="minorHAnsi" w:cs="Arial"/>
          <w:noProof/>
          <w:sz w:val="24"/>
          <w:szCs w:val="24"/>
          <w:lang w:eastAsia="es-MX"/>
        </w:rPr>
      </w:pPr>
    </w:p>
    <w:p w:rsidR="006F5A41" w:rsidRPr="006F5A41" w:rsidRDefault="006F5A41" w:rsidP="006F5A41">
      <w:pPr>
        <w:pStyle w:val="Sinespaciado"/>
        <w:spacing w:line="276" w:lineRule="auto"/>
        <w:jc w:val="both"/>
        <w:rPr>
          <w:rFonts w:asciiTheme="minorHAnsi" w:hAnsiTheme="minorHAnsi" w:cs="Arial"/>
          <w:noProof/>
          <w:sz w:val="24"/>
          <w:szCs w:val="24"/>
          <w:lang w:eastAsia="es-MX"/>
        </w:rPr>
      </w:pPr>
      <w:r w:rsidRPr="006F5A41">
        <w:rPr>
          <w:rFonts w:asciiTheme="minorHAnsi" w:hAnsiTheme="minorHAnsi" w:cs="Arial"/>
          <w:noProof/>
          <w:sz w:val="24"/>
          <w:szCs w:val="24"/>
          <w:lang w:eastAsia="es-MX"/>
        </w:rPr>
        <w:t>Se logró conocer físicamente algunos de los municipios del CFEM, principalmente el de Villa Guerrero, por ser el municipio de mayor interés, ya que como se ha mostrado es el de mayor producción, ventas y población dedicada al sector florícola.</w:t>
      </w:r>
    </w:p>
    <w:p w:rsidR="006F5A41" w:rsidRPr="006F5A41" w:rsidRDefault="006F5A41" w:rsidP="006F5A41">
      <w:pPr>
        <w:pStyle w:val="Sinespaciado"/>
        <w:spacing w:line="276" w:lineRule="auto"/>
        <w:ind w:left="284"/>
        <w:jc w:val="both"/>
        <w:rPr>
          <w:rFonts w:asciiTheme="minorHAnsi" w:hAnsiTheme="minorHAnsi" w:cs="Arial"/>
          <w:noProof/>
          <w:sz w:val="24"/>
          <w:szCs w:val="24"/>
          <w:lang w:eastAsia="es-MX"/>
        </w:rPr>
      </w:pPr>
    </w:p>
    <w:p w:rsidR="006F5A41" w:rsidRPr="006F5A41" w:rsidRDefault="006F5A41" w:rsidP="006F5A41">
      <w:pPr>
        <w:pStyle w:val="Sinespaciado"/>
        <w:spacing w:line="276" w:lineRule="auto"/>
        <w:jc w:val="both"/>
        <w:rPr>
          <w:rFonts w:asciiTheme="minorHAnsi" w:hAnsiTheme="minorHAnsi" w:cs="Arial"/>
          <w:noProof/>
          <w:sz w:val="24"/>
          <w:szCs w:val="24"/>
          <w:lang w:eastAsia="es-MX"/>
        </w:rPr>
      </w:pPr>
      <w:r w:rsidRPr="006F5A41">
        <w:rPr>
          <w:rFonts w:asciiTheme="minorHAnsi" w:hAnsiTheme="minorHAnsi" w:cs="Arial"/>
          <w:noProof/>
          <w:sz w:val="24"/>
          <w:szCs w:val="24"/>
          <w:lang w:eastAsia="es-MX"/>
        </w:rPr>
        <w:t>Se consiguió reconocer los invernaderos más grandes de Villa Guerrero, como el:</w:t>
      </w:r>
    </w:p>
    <w:p w:rsidR="006F5A41" w:rsidRPr="006F5A41" w:rsidRDefault="006F5A41" w:rsidP="006F5A41">
      <w:pPr>
        <w:pStyle w:val="Sinespaciado"/>
        <w:spacing w:line="276" w:lineRule="auto"/>
        <w:jc w:val="both"/>
        <w:rPr>
          <w:rFonts w:asciiTheme="minorHAnsi" w:hAnsiTheme="minorHAnsi" w:cs="Arial"/>
          <w:noProof/>
          <w:sz w:val="24"/>
          <w:szCs w:val="24"/>
          <w:lang w:eastAsia="es-MX"/>
        </w:rPr>
      </w:pPr>
    </w:p>
    <w:p w:rsidR="006F5A41" w:rsidRPr="006F5A41" w:rsidRDefault="006F5A41" w:rsidP="006F5A41">
      <w:pPr>
        <w:pStyle w:val="Sinespaciado"/>
        <w:numPr>
          <w:ilvl w:val="0"/>
          <w:numId w:val="13"/>
        </w:numPr>
        <w:spacing w:line="276" w:lineRule="auto"/>
        <w:jc w:val="both"/>
        <w:rPr>
          <w:rFonts w:asciiTheme="minorHAnsi" w:hAnsiTheme="minorHAnsi" w:cs="Arial"/>
          <w:noProof/>
          <w:sz w:val="24"/>
          <w:szCs w:val="24"/>
          <w:lang w:eastAsia="es-MX"/>
        </w:rPr>
      </w:pPr>
      <w:r w:rsidRPr="006F5A41">
        <w:rPr>
          <w:rFonts w:asciiTheme="minorHAnsi" w:hAnsiTheme="minorHAnsi" w:cs="Arial"/>
          <w:noProof/>
          <w:sz w:val="24"/>
          <w:szCs w:val="24"/>
          <w:lang w:eastAsia="es-MX"/>
        </w:rPr>
        <w:t>COLMEX: un invernadero totalmente tecnificado, es el que mayor personal contratado tiene, algunos de los especialistas agrónomos que trabajan en el invernadero son extranjeros, de formación académica especializada en el cultivo de flores. La producción de este invernadero es totalmente para exportación.</w:t>
      </w:r>
    </w:p>
    <w:p w:rsidR="006F5A41" w:rsidRPr="006F5A41" w:rsidRDefault="006F5A41" w:rsidP="006F5A41">
      <w:pPr>
        <w:pStyle w:val="Sinespaciado"/>
        <w:spacing w:line="276" w:lineRule="auto"/>
        <w:jc w:val="both"/>
        <w:rPr>
          <w:rFonts w:asciiTheme="minorHAnsi" w:hAnsiTheme="minorHAnsi" w:cs="Arial"/>
          <w:noProof/>
          <w:sz w:val="24"/>
          <w:szCs w:val="24"/>
          <w:lang w:eastAsia="es-MX"/>
        </w:rPr>
      </w:pPr>
    </w:p>
    <w:p w:rsidR="006F5A41" w:rsidRPr="006F5A41" w:rsidRDefault="006F5A41" w:rsidP="006F5A41">
      <w:pPr>
        <w:pStyle w:val="Sinespaciado"/>
        <w:numPr>
          <w:ilvl w:val="0"/>
          <w:numId w:val="13"/>
        </w:numPr>
        <w:spacing w:line="276" w:lineRule="auto"/>
        <w:jc w:val="both"/>
        <w:rPr>
          <w:rFonts w:asciiTheme="minorHAnsi" w:hAnsiTheme="minorHAnsi" w:cs="Arial"/>
          <w:noProof/>
          <w:sz w:val="24"/>
          <w:szCs w:val="24"/>
          <w:lang w:eastAsia="es-MX"/>
        </w:rPr>
      </w:pPr>
      <w:r w:rsidRPr="006F5A41">
        <w:rPr>
          <w:rFonts w:asciiTheme="minorHAnsi" w:hAnsiTheme="minorHAnsi" w:cs="Arial"/>
          <w:noProof/>
          <w:sz w:val="24"/>
          <w:szCs w:val="24"/>
          <w:lang w:eastAsia="es-MX"/>
        </w:rPr>
        <w:t xml:space="preserve">Rancho San Francisco: donde se cultivan principalmente rosas de diferentes especies, aunque también se cultivan otras especies de flores, cuenta con varios invernaderos. La producción se realiza tanto para exportación como para consumo a nivel nacional, las ventas se realizan directamente con clientes ya establecidos para grandes florerías o centros comerciales. En este rancho se logró hablar con el ingeniero responsable para establecer contactó a fin de aplicar encuestas. </w:t>
      </w:r>
    </w:p>
    <w:p w:rsidR="006F5A41" w:rsidRPr="006F5A41" w:rsidRDefault="006F5A41" w:rsidP="006F5A41">
      <w:pPr>
        <w:pStyle w:val="Sinespaciado"/>
        <w:rPr>
          <w:rFonts w:asciiTheme="minorHAnsi" w:hAnsiTheme="minorHAnsi" w:cs="Arial"/>
          <w:noProof/>
          <w:sz w:val="24"/>
          <w:szCs w:val="24"/>
          <w:lang w:eastAsia="es-MX"/>
        </w:rPr>
      </w:pPr>
    </w:p>
    <w:p w:rsidR="00751BBB" w:rsidRDefault="006F5A41" w:rsidP="00751BBB">
      <w:pPr>
        <w:jc w:val="both"/>
        <w:rPr>
          <w:rFonts w:asciiTheme="minorHAnsi" w:hAnsiTheme="minorHAnsi" w:cs="Arial"/>
          <w:noProof/>
          <w:sz w:val="24"/>
          <w:szCs w:val="24"/>
          <w:lang w:eastAsia="es-MX"/>
        </w:rPr>
      </w:pPr>
      <w:r w:rsidRPr="006F5A41">
        <w:rPr>
          <w:rFonts w:asciiTheme="minorHAnsi" w:hAnsiTheme="minorHAnsi" w:cs="Arial"/>
          <w:noProof/>
          <w:sz w:val="24"/>
          <w:szCs w:val="24"/>
          <w:lang w:eastAsia="es-MX"/>
        </w:rPr>
        <w:t>Como la visita coincidió con la Expo-Flor, se accedió a una parte de las instalaciones y u</w:t>
      </w:r>
      <w:r w:rsidR="00751BBB">
        <w:rPr>
          <w:rFonts w:asciiTheme="minorHAnsi" w:hAnsiTheme="minorHAnsi" w:cs="Arial"/>
          <w:noProof/>
          <w:sz w:val="24"/>
          <w:szCs w:val="24"/>
          <w:lang w:eastAsia="es-MX"/>
        </w:rPr>
        <w:t>no de los invernaderos de rosas.</w:t>
      </w:r>
    </w:p>
    <w:p w:rsidR="006F5A41" w:rsidRPr="0034010B" w:rsidRDefault="006F5A41" w:rsidP="00751BBB">
      <w:pPr>
        <w:jc w:val="both"/>
        <w:rPr>
          <w:rFonts w:asciiTheme="minorHAnsi" w:hAnsiTheme="minorHAnsi" w:cs="Arial"/>
          <w:noProof/>
          <w:sz w:val="24"/>
          <w:szCs w:val="24"/>
          <w:lang w:eastAsia="es-MX"/>
        </w:rPr>
      </w:pPr>
      <w:r w:rsidRPr="0034010B">
        <w:rPr>
          <w:rFonts w:asciiTheme="minorHAnsi" w:hAnsiTheme="minorHAnsi" w:cs="Arial"/>
          <w:noProof/>
          <w:sz w:val="24"/>
          <w:szCs w:val="24"/>
          <w:lang w:eastAsia="es-MX"/>
        </w:rPr>
        <w:t>La explicación proporcionada refirió al proceso de cultivo y cuidado de la flor, una vez alcanzado el tamaño y desarrollo se corta la flor y se pasa a una cámara se refrigeración, donde se les coloca en el agua algunos nutrientes. Después de un día, se sacan de la cámara y se pasan a la siguiente etapa donde al botón se le aplica una sustancia para evitar putrefacción, además se les quita el follaje de la parte baja de los tallos con una máquina; posteriormente se clasifican por calidad y tamaño de los tallos, esto se hace tanto de forma manual como automáticamente.</w:t>
      </w:r>
    </w:p>
    <w:p w:rsidR="006F5A41" w:rsidRPr="0034010B" w:rsidRDefault="006F5A41" w:rsidP="006F5A41">
      <w:pPr>
        <w:pStyle w:val="Sinespaciado"/>
        <w:numPr>
          <w:ilvl w:val="0"/>
          <w:numId w:val="23"/>
        </w:numPr>
        <w:spacing w:line="276" w:lineRule="auto"/>
        <w:jc w:val="both"/>
        <w:rPr>
          <w:rFonts w:asciiTheme="minorHAnsi" w:hAnsiTheme="minorHAnsi" w:cs="Arial"/>
          <w:noProof/>
          <w:sz w:val="24"/>
          <w:szCs w:val="24"/>
          <w:lang w:eastAsia="es-MX"/>
        </w:rPr>
      </w:pPr>
      <w:r w:rsidRPr="0034010B">
        <w:rPr>
          <w:rFonts w:asciiTheme="minorHAnsi" w:hAnsiTheme="minorHAnsi" w:cs="Arial"/>
          <w:noProof/>
          <w:sz w:val="24"/>
          <w:szCs w:val="24"/>
          <w:lang w:eastAsia="es-MX"/>
        </w:rPr>
        <w:t>También se logró con esta visita identificar que las especies cultivadas son flores de corte, no de maceta, y que entre las más cultivadas se encuentran las rosas en diferentes especies, gerberas, crisantemos, clavel, ave del paraíso, pompón, margarita y gladiola, además del cultivo de follaje.</w:t>
      </w:r>
    </w:p>
    <w:p w:rsidR="006F5A41" w:rsidRPr="0034010B" w:rsidRDefault="006F5A41" w:rsidP="006F5A41">
      <w:pPr>
        <w:pStyle w:val="Sinespaciado"/>
        <w:spacing w:line="276" w:lineRule="auto"/>
        <w:jc w:val="both"/>
        <w:rPr>
          <w:rFonts w:asciiTheme="minorHAnsi" w:hAnsiTheme="minorHAnsi" w:cs="Arial"/>
          <w:noProof/>
          <w:sz w:val="24"/>
          <w:szCs w:val="24"/>
          <w:lang w:eastAsia="es-MX"/>
        </w:rPr>
      </w:pPr>
    </w:p>
    <w:p w:rsidR="006F5A41" w:rsidRPr="0034010B" w:rsidRDefault="006F5A41" w:rsidP="006F5A41">
      <w:pPr>
        <w:pStyle w:val="Sinespaciado"/>
        <w:spacing w:line="276" w:lineRule="auto"/>
        <w:jc w:val="both"/>
        <w:rPr>
          <w:rFonts w:asciiTheme="minorHAnsi" w:hAnsiTheme="minorHAnsi" w:cs="Arial"/>
          <w:noProof/>
          <w:sz w:val="24"/>
          <w:szCs w:val="24"/>
          <w:lang w:eastAsia="es-MX"/>
        </w:rPr>
      </w:pPr>
      <w:r w:rsidRPr="0034010B">
        <w:rPr>
          <w:rFonts w:asciiTheme="minorHAnsi" w:hAnsiTheme="minorHAnsi" w:cs="Arial"/>
          <w:noProof/>
          <w:sz w:val="24"/>
          <w:szCs w:val="24"/>
          <w:lang w:eastAsia="es-MX"/>
        </w:rPr>
        <w:t>Según conversaciones con la población, esta región del CFEM anteriormente se dedicó al cultivo de aguacates. La idea de migrar al cultivo de las flores fue impulsada por una familia de origen japonés que se estableció en el municipio de Villa Guerrero y comenzó con el cultivo de flores como parte de su jardín.</w:t>
      </w:r>
    </w:p>
    <w:p w:rsidR="006F5A41" w:rsidRPr="0034010B" w:rsidRDefault="006F5A41" w:rsidP="006F5A41">
      <w:pPr>
        <w:pStyle w:val="Sinespaciado"/>
        <w:spacing w:line="276" w:lineRule="auto"/>
        <w:jc w:val="both"/>
        <w:rPr>
          <w:rFonts w:asciiTheme="minorHAnsi" w:hAnsiTheme="minorHAnsi" w:cs="Arial"/>
          <w:noProof/>
          <w:sz w:val="24"/>
          <w:szCs w:val="24"/>
          <w:lang w:eastAsia="es-MX"/>
        </w:rPr>
      </w:pPr>
    </w:p>
    <w:p w:rsidR="006F5A41" w:rsidRDefault="00886555" w:rsidP="00886555">
      <w:pPr>
        <w:pStyle w:val="Sinespaciado"/>
        <w:spacing w:line="276" w:lineRule="auto"/>
        <w:jc w:val="both"/>
        <w:outlineLvl w:val="1"/>
        <w:rPr>
          <w:rFonts w:asciiTheme="minorHAnsi" w:hAnsiTheme="minorHAnsi" w:cs="Arial"/>
          <w:noProof/>
          <w:sz w:val="24"/>
          <w:szCs w:val="24"/>
          <w:lang w:eastAsia="es-MX"/>
        </w:rPr>
      </w:pPr>
      <w:bookmarkStart w:id="9" w:name="_Toc421688911"/>
      <w:r>
        <w:rPr>
          <w:rFonts w:asciiTheme="minorHAnsi" w:hAnsiTheme="minorHAnsi" w:cs="Arial"/>
          <w:b/>
          <w:noProof/>
          <w:sz w:val="24"/>
          <w:szCs w:val="24"/>
          <w:lang w:eastAsia="es-MX"/>
        </w:rPr>
        <w:t>3.1.2</w:t>
      </w:r>
      <w:r w:rsidR="006F5A41" w:rsidRPr="00886555">
        <w:rPr>
          <w:rFonts w:asciiTheme="minorHAnsi" w:hAnsiTheme="minorHAnsi" w:cs="Arial"/>
          <w:b/>
          <w:noProof/>
          <w:sz w:val="24"/>
          <w:szCs w:val="24"/>
          <w:lang w:eastAsia="es-MX"/>
        </w:rPr>
        <w:t xml:space="preserve"> </w:t>
      </w:r>
      <w:bookmarkStart w:id="10" w:name="_Toc405991118"/>
      <w:r w:rsidR="006F5A41" w:rsidRPr="00886555">
        <w:rPr>
          <w:rFonts w:asciiTheme="minorHAnsi" w:hAnsiTheme="minorHAnsi" w:cs="Arial"/>
          <w:b/>
          <w:noProof/>
          <w:sz w:val="24"/>
          <w:szCs w:val="24"/>
          <w:lang w:eastAsia="es-MX"/>
        </w:rPr>
        <w:t>SEGUNDA VISITA</w:t>
      </w:r>
      <w:bookmarkEnd w:id="9"/>
      <w:bookmarkEnd w:id="10"/>
      <w:r>
        <w:rPr>
          <w:rFonts w:asciiTheme="minorHAnsi" w:hAnsiTheme="minorHAnsi" w:cs="Arial"/>
          <w:b/>
          <w:noProof/>
          <w:sz w:val="24"/>
          <w:szCs w:val="24"/>
          <w:lang w:eastAsia="es-MX"/>
        </w:rPr>
        <w:t xml:space="preserve">. </w:t>
      </w:r>
      <w:r w:rsidR="006F5A41" w:rsidRPr="0034010B">
        <w:rPr>
          <w:rFonts w:asciiTheme="minorHAnsi" w:hAnsiTheme="minorHAnsi" w:cs="Arial"/>
          <w:noProof/>
          <w:sz w:val="24"/>
          <w:szCs w:val="24"/>
          <w:lang w:eastAsia="es-MX"/>
        </w:rPr>
        <w:t>Realizada en abril de 2014, lo que se consiguió en esta visita fue:</w:t>
      </w:r>
    </w:p>
    <w:p w:rsidR="00886555" w:rsidRPr="0034010B" w:rsidRDefault="00886555" w:rsidP="00886555">
      <w:pPr>
        <w:pStyle w:val="Sinespaciado"/>
        <w:spacing w:line="276" w:lineRule="auto"/>
        <w:jc w:val="both"/>
        <w:outlineLvl w:val="1"/>
        <w:rPr>
          <w:rFonts w:asciiTheme="minorHAnsi" w:hAnsiTheme="minorHAnsi" w:cs="Arial"/>
          <w:noProof/>
          <w:sz w:val="24"/>
          <w:szCs w:val="24"/>
          <w:lang w:eastAsia="es-MX"/>
        </w:rPr>
      </w:pPr>
    </w:p>
    <w:p w:rsidR="006F5A41" w:rsidRPr="0034010B" w:rsidRDefault="006F5A41" w:rsidP="006F5A41">
      <w:pPr>
        <w:pStyle w:val="Sinespaciado"/>
        <w:numPr>
          <w:ilvl w:val="0"/>
          <w:numId w:val="23"/>
        </w:numPr>
        <w:spacing w:line="276" w:lineRule="auto"/>
        <w:jc w:val="both"/>
        <w:rPr>
          <w:rFonts w:asciiTheme="minorHAnsi" w:hAnsiTheme="minorHAnsi" w:cs="Arial"/>
          <w:noProof/>
          <w:sz w:val="24"/>
          <w:szCs w:val="24"/>
          <w:lang w:eastAsia="es-MX"/>
        </w:rPr>
      </w:pPr>
      <w:r w:rsidRPr="0034010B">
        <w:rPr>
          <w:rFonts w:asciiTheme="minorHAnsi" w:hAnsiTheme="minorHAnsi" w:cs="Arial"/>
          <w:noProof/>
          <w:sz w:val="24"/>
          <w:szCs w:val="24"/>
          <w:lang w:eastAsia="es-MX"/>
        </w:rPr>
        <w:t xml:space="preserve">Contactar a uno de los productores agrícolas, que nos permitió ingresar y conocer su invernadero. La Figura </w:t>
      </w:r>
      <w:r w:rsidR="00886555">
        <w:rPr>
          <w:rFonts w:asciiTheme="minorHAnsi" w:hAnsiTheme="minorHAnsi" w:cs="Arial"/>
          <w:noProof/>
          <w:sz w:val="24"/>
          <w:szCs w:val="24"/>
          <w:lang w:eastAsia="es-MX"/>
        </w:rPr>
        <w:t>6</w:t>
      </w:r>
      <w:r w:rsidRPr="0034010B">
        <w:rPr>
          <w:rFonts w:asciiTheme="minorHAnsi" w:hAnsiTheme="minorHAnsi" w:cs="Arial"/>
          <w:noProof/>
          <w:sz w:val="24"/>
          <w:szCs w:val="24"/>
          <w:lang w:eastAsia="es-MX"/>
        </w:rPr>
        <w:t xml:space="preserve"> muestra una vista panorámica de este invernadero, cuya infraestructura corresponde a un invernadero tipo batitúnel, por la forma redondeada del techo; y cuya producción corresponde a gerberas.</w:t>
      </w:r>
    </w:p>
    <w:p w:rsidR="006F5A41" w:rsidRPr="0034010B" w:rsidRDefault="006F5A41" w:rsidP="006F5A41">
      <w:pPr>
        <w:pStyle w:val="Sinespaciado"/>
        <w:spacing w:line="276" w:lineRule="auto"/>
        <w:jc w:val="both"/>
        <w:rPr>
          <w:rFonts w:asciiTheme="minorHAnsi" w:hAnsiTheme="minorHAnsi" w:cs="Arial"/>
          <w:noProof/>
          <w:sz w:val="24"/>
          <w:szCs w:val="24"/>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6F5A41" w:rsidRPr="0034010B" w:rsidTr="009F45EE">
        <w:tc>
          <w:tcPr>
            <w:tcW w:w="8977" w:type="dxa"/>
          </w:tcPr>
          <w:p w:rsidR="006F5A41" w:rsidRPr="0034010B" w:rsidRDefault="006F5A41" w:rsidP="009F45EE">
            <w:pPr>
              <w:rPr>
                <w:rFonts w:asciiTheme="minorHAnsi" w:hAnsiTheme="minorHAnsi" w:cs="Arial"/>
                <w:noProof/>
                <w:sz w:val="24"/>
                <w:szCs w:val="24"/>
              </w:rPr>
            </w:pPr>
          </w:p>
          <w:p w:rsidR="006F5A41" w:rsidRPr="0034010B" w:rsidRDefault="006F5A41" w:rsidP="009F45EE">
            <w:pPr>
              <w:jc w:val="center"/>
              <w:rPr>
                <w:rFonts w:asciiTheme="minorHAnsi" w:hAnsiTheme="minorHAnsi" w:cs="Arial"/>
                <w:noProof/>
                <w:sz w:val="24"/>
                <w:szCs w:val="24"/>
              </w:rPr>
            </w:pPr>
            <w:r w:rsidRPr="0034010B">
              <w:rPr>
                <w:rFonts w:asciiTheme="minorHAnsi" w:hAnsiTheme="minorHAnsi" w:cs="Arial"/>
                <w:noProof/>
                <w:sz w:val="24"/>
                <w:szCs w:val="24"/>
              </w:rPr>
              <w:drawing>
                <wp:inline distT="0" distB="0" distL="0" distR="0" wp14:anchorId="7C73C4C5" wp14:editId="0050B5E0">
                  <wp:extent cx="1747656" cy="3109606"/>
                  <wp:effectExtent l="0" t="0" r="5080" b="0"/>
                  <wp:docPr id="39" name="Imagen 39" descr="C:\Users\SAMSUNG\Pictures\FOTOS\invernadero_tesis\14-abril-2014\DSC_01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SAMSUNG\Pictures\FOTOS\invernadero_tesis\14-abril-2014\DSC_0188.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753565" cy="3120121"/>
                          </a:xfrm>
                          <a:prstGeom prst="rect">
                            <a:avLst/>
                          </a:prstGeom>
                          <a:noFill/>
                          <a:ln>
                            <a:noFill/>
                          </a:ln>
                        </pic:spPr>
                      </pic:pic>
                    </a:graphicData>
                  </a:graphic>
                </wp:inline>
              </w:drawing>
            </w:r>
            <w:r w:rsidRPr="0034010B">
              <w:rPr>
                <w:rFonts w:asciiTheme="minorHAnsi" w:hAnsiTheme="minorHAnsi" w:cs="Arial"/>
                <w:noProof/>
                <w:sz w:val="24"/>
                <w:szCs w:val="24"/>
              </w:rPr>
              <w:t xml:space="preserve">  </w:t>
            </w:r>
          </w:p>
        </w:tc>
      </w:tr>
    </w:tbl>
    <w:p w:rsidR="006F5A41" w:rsidRPr="0034010B" w:rsidRDefault="006F5A41" w:rsidP="006F5A41">
      <w:pPr>
        <w:pStyle w:val="Sinespaciado"/>
        <w:jc w:val="center"/>
        <w:rPr>
          <w:rFonts w:asciiTheme="minorHAnsi" w:hAnsiTheme="minorHAnsi" w:cs="Arial"/>
          <w:noProof/>
          <w:sz w:val="24"/>
          <w:szCs w:val="24"/>
          <w:lang w:eastAsia="es-MX"/>
        </w:rPr>
      </w:pPr>
      <w:bookmarkStart w:id="11" w:name="_Toc421689446"/>
      <w:r w:rsidRPr="0034010B">
        <w:rPr>
          <w:rFonts w:asciiTheme="minorHAnsi" w:hAnsiTheme="minorHAnsi" w:cs="Arial"/>
          <w:noProof/>
          <w:sz w:val="24"/>
          <w:szCs w:val="24"/>
          <w:lang w:eastAsia="es-MX"/>
        </w:rPr>
        <w:t>Figura</w:t>
      </w:r>
      <w:r w:rsidR="0034010B">
        <w:rPr>
          <w:rFonts w:asciiTheme="minorHAnsi" w:hAnsiTheme="minorHAnsi" w:cs="Arial"/>
          <w:noProof/>
          <w:sz w:val="24"/>
          <w:szCs w:val="24"/>
          <w:lang w:eastAsia="es-MX"/>
        </w:rPr>
        <w:t xml:space="preserve"> 6</w:t>
      </w:r>
      <w:r w:rsidR="00886555">
        <w:rPr>
          <w:rFonts w:asciiTheme="minorHAnsi" w:hAnsiTheme="minorHAnsi" w:cs="Arial"/>
          <w:noProof/>
          <w:sz w:val="24"/>
          <w:szCs w:val="24"/>
          <w:lang w:eastAsia="es-MX"/>
        </w:rPr>
        <w:t>.</w:t>
      </w:r>
      <w:r w:rsidRPr="0034010B">
        <w:rPr>
          <w:rFonts w:asciiTheme="minorHAnsi" w:hAnsiTheme="minorHAnsi" w:cs="Arial"/>
          <w:noProof/>
          <w:sz w:val="24"/>
          <w:szCs w:val="24"/>
          <w:lang w:eastAsia="es-MX"/>
        </w:rPr>
        <w:t>Cultivo de gerberas, en proceso de flor listas para corte.</w:t>
      </w:r>
      <w:bookmarkEnd w:id="11"/>
    </w:p>
    <w:p w:rsidR="006F5A41" w:rsidRDefault="006F5A41" w:rsidP="006F5A41">
      <w:pPr>
        <w:pStyle w:val="Sinespaciado"/>
        <w:spacing w:line="276" w:lineRule="auto"/>
        <w:jc w:val="both"/>
        <w:rPr>
          <w:rFonts w:ascii="Arial" w:hAnsi="Arial" w:cs="Arial"/>
          <w:color w:val="000000"/>
        </w:rPr>
      </w:pPr>
    </w:p>
    <w:p w:rsidR="006F5A41" w:rsidRPr="0034010B" w:rsidRDefault="006F5A41" w:rsidP="006F5A41">
      <w:pPr>
        <w:pStyle w:val="Sinespaciado"/>
        <w:spacing w:line="276" w:lineRule="auto"/>
        <w:jc w:val="both"/>
        <w:rPr>
          <w:rFonts w:asciiTheme="minorHAnsi" w:hAnsiTheme="minorHAnsi" w:cs="Arial"/>
          <w:noProof/>
          <w:sz w:val="24"/>
          <w:szCs w:val="24"/>
          <w:lang w:eastAsia="es-MX"/>
        </w:rPr>
      </w:pPr>
      <w:r w:rsidRPr="0034010B">
        <w:rPr>
          <w:rFonts w:asciiTheme="minorHAnsi" w:hAnsiTheme="minorHAnsi" w:cs="Arial"/>
          <w:noProof/>
          <w:sz w:val="24"/>
          <w:szCs w:val="24"/>
          <w:lang w:eastAsia="es-MX"/>
        </w:rPr>
        <w:t>Se aprecia una superficie con nuevas plantaciones de gerberas, un sistema de riego, además de maleza creciendo junto a las plantas de flor, situación que</w:t>
      </w:r>
      <w:r w:rsidR="00751BBB" w:rsidRPr="0034010B">
        <w:rPr>
          <w:rFonts w:asciiTheme="minorHAnsi" w:hAnsiTheme="minorHAnsi" w:cs="Arial"/>
          <w:noProof/>
          <w:sz w:val="24"/>
          <w:szCs w:val="24"/>
          <w:lang w:eastAsia="es-MX"/>
        </w:rPr>
        <w:t xml:space="preserve"> demanda el uso de plaguicidas</w:t>
      </w:r>
      <w:r w:rsidRPr="0034010B">
        <w:rPr>
          <w:rFonts w:asciiTheme="minorHAnsi" w:hAnsiTheme="minorHAnsi" w:cs="Arial"/>
          <w:noProof/>
          <w:sz w:val="24"/>
          <w:szCs w:val="24"/>
          <w:lang w:eastAsia="es-MX"/>
        </w:rPr>
        <w:t>.</w:t>
      </w:r>
    </w:p>
    <w:p w:rsidR="006F5A41" w:rsidRPr="0034010B" w:rsidRDefault="006F5A41" w:rsidP="006F5A41">
      <w:pPr>
        <w:pStyle w:val="Sinespaciado"/>
        <w:spacing w:line="276" w:lineRule="auto"/>
        <w:jc w:val="both"/>
        <w:rPr>
          <w:rFonts w:asciiTheme="minorHAnsi" w:hAnsiTheme="minorHAnsi" w:cs="Arial"/>
          <w:noProof/>
          <w:sz w:val="24"/>
          <w:szCs w:val="24"/>
          <w:lang w:eastAsia="es-MX"/>
        </w:rPr>
      </w:pPr>
    </w:p>
    <w:p w:rsidR="006F5A41" w:rsidRPr="0034010B" w:rsidRDefault="006F5A41" w:rsidP="006F5A41">
      <w:pPr>
        <w:pStyle w:val="Sinespaciado"/>
        <w:spacing w:line="276" w:lineRule="auto"/>
        <w:jc w:val="both"/>
        <w:rPr>
          <w:rFonts w:asciiTheme="minorHAnsi" w:hAnsiTheme="minorHAnsi" w:cs="Arial"/>
          <w:noProof/>
          <w:sz w:val="24"/>
          <w:szCs w:val="24"/>
          <w:lang w:eastAsia="es-MX"/>
        </w:rPr>
      </w:pPr>
      <w:r w:rsidRPr="0034010B">
        <w:rPr>
          <w:rFonts w:asciiTheme="minorHAnsi" w:hAnsiTheme="minorHAnsi" w:cs="Arial"/>
          <w:noProof/>
          <w:sz w:val="24"/>
          <w:szCs w:val="24"/>
          <w:lang w:eastAsia="es-MX"/>
        </w:rPr>
        <w:t>En esta visita también se comprobó que el agua de riego es agua blanda, proveniente de manantiales a través de canales, tal como se mostró en los análisis del censo agropecuario, mostrado en el apartado de ‘población dedicada a las actividades agrícolas-florícolas’ en este capítulo de la investigación.</w:t>
      </w:r>
    </w:p>
    <w:p w:rsidR="006F5A41" w:rsidRPr="0034010B" w:rsidRDefault="006F5A41" w:rsidP="006F5A41">
      <w:pPr>
        <w:pStyle w:val="Sinespaciado"/>
        <w:spacing w:line="276" w:lineRule="auto"/>
        <w:jc w:val="both"/>
        <w:rPr>
          <w:rFonts w:asciiTheme="minorHAnsi" w:hAnsiTheme="minorHAnsi" w:cs="Arial"/>
          <w:noProof/>
          <w:sz w:val="24"/>
          <w:szCs w:val="24"/>
          <w:lang w:eastAsia="es-MX"/>
        </w:rPr>
      </w:pPr>
    </w:p>
    <w:p w:rsidR="006F5A41" w:rsidRDefault="006F5A41" w:rsidP="006F5A41">
      <w:pPr>
        <w:pStyle w:val="Sinespaciado"/>
        <w:spacing w:line="276" w:lineRule="auto"/>
        <w:jc w:val="both"/>
        <w:rPr>
          <w:rFonts w:ascii="Arial" w:hAnsi="Arial" w:cs="Arial"/>
          <w:color w:val="000000"/>
        </w:rPr>
      </w:pPr>
    </w:p>
    <w:p w:rsidR="006F5A41" w:rsidRPr="0034010B" w:rsidRDefault="00886555" w:rsidP="006F5A41">
      <w:pPr>
        <w:pStyle w:val="Sinespaciado"/>
        <w:spacing w:line="276" w:lineRule="auto"/>
        <w:jc w:val="both"/>
        <w:rPr>
          <w:rFonts w:asciiTheme="minorHAnsi" w:hAnsiTheme="minorHAnsi" w:cs="Arial"/>
          <w:noProof/>
          <w:sz w:val="24"/>
          <w:szCs w:val="24"/>
          <w:lang w:eastAsia="es-MX"/>
        </w:rPr>
      </w:pPr>
      <w:bookmarkStart w:id="12" w:name="_Toc405991119"/>
      <w:bookmarkStart w:id="13" w:name="_Toc421688912"/>
      <w:r>
        <w:rPr>
          <w:rFonts w:asciiTheme="minorHAnsi" w:hAnsiTheme="minorHAnsi" w:cs="Arial"/>
          <w:b/>
          <w:noProof/>
          <w:sz w:val="24"/>
          <w:szCs w:val="24"/>
          <w:lang w:eastAsia="es-MX"/>
        </w:rPr>
        <w:t xml:space="preserve">3.1.3 </w:t>
      </w:r>
      <w:r w:rsidR="006F5A41" w:rsidRPr="00886555">
        <w:rPr>
          <w:rFonts w:asciiTheme="minorHAnsi" w:hAnsiTheme="minorHAnsi" w:cs="Arial"/>
          <w:b/>
          <w:noProof/>
          <w:sz w:val="24"/>
          <w:szCs w:val="24"/>
          <w:lang w:eastAsia="es-MX"/>
        </w:rPr>
        <w:t>TERCERA VISITA</w:t>
      </w:r>
      <w:bookmarkEnd w:id="12"/>
      <w:bookmarkEnd w:id="13"/>
      <w:r>
        <w:rPr>
          <w:rFonts w:asciiTheme="minorHAnsi" w:hAnsiTheme="minorHAnsi" w:cs="Arial"/>
          <w:b/>
          <w:noProof/>
          <w:sz w:val="24"/>
          <w:szCs w:val="24"/>
          <w:lang w:eastAsia="es-MX"/>
        </w:rPr>
        <w:t xml:space="preserve">. </w:t>
      </w:r>
      <w:r w:rsidR="006F5A41" w:rsidRPr="0034010B">
        <w:rPr>
          <w:rFonts w:asciiTheme="minorHAnsi" w:hAnsiTheme="minorHAnsi" w:cs="Arial"/>
          <w:noProof/>
          <w:sz w:val="24"/>
          <w:szCs w:val="24"/>
          <w:lang w:eastAsia="es-MX"/>
        </w:rPr>
        <w:t>Realizada en julio de 2014, los resultados derivados de esta visita se muestran enseguida:</w:t>
      </w:r>
    </w:p>
    <w:p w:rsidR="006F5A41" w:rsidRPr="0034010B" w:rsidRDefault="006F5A41" w:rsidP="006F5A41">
      <w:pPr>
        <w:pStyle w:val="Sinespaciado"/>
        <w:spacing w:line="276" w:lineRule="auto"/>
        <w:jc w:val="both"/>
        <w:rPr>
          <w:rFonts w:asciiTheme="minorHAnsi" w:hAnsiTheme="minorHAnsi" w:cs="Arial"/>
          <w:noProof/>
          <w:sz w:val="24"/>
          <w:szCs w:val="24"/>
          <w:lang w:eastAsia="es-MX"/>
        </w:rPr>
      </w:pPr>
    </w:p>
    <w:p w:rsidR="006F5A41" w:rsidRPr="0034010B" w:rsidRDefault="006F5A41" w:rsidP="0034010B">
      <w:pPr>
        <w:pStyle w:val="Sinespaciado"/>
        <w:spacing w:line="276" w:lineRule="auto"/>
        <w:jc w:val="both"/>
        <w:rPr>
          <w:rFonts w:asciiTheme="minorHAnsi" w:hAnsiTheme="minorHAnsi" w:cs="Arial"/>
          <w:noProof/>
          <w:sz w:val="24"/>
          <w:szCs w:val="24"/>
          <w:lang w:eastAsia="es-MX"/>
        </w:rPr>
      </w:pPr>
      <w:r w:rsidRPr="0034010B">
        <w:rPr>
          <w:rFonts w:asciiTheme="minorHAnsi" w:hAnsiTheme="minorHAnsi" w:cs="Arial"/>
          <w:noProof/>
          <w:sz w:val="24"/>
          <w:szCs w:val="24"/>
          <w:lang w:eastAsia="es-MX"/>
        </w:rPr>
        <w:t xml:space="preserve">Se ubicó un centro de acopio sobre la carretera que va a San mateo Oxtotitlán, Villa Guerrero, se muestran las condiciones de este centro de acopio. En estos centros de acopio los productores pueden depositar los envases vacíos de todo tipo </w:t>
      </w:r>
      <w:r w:rsidR="00305E9B" w:rsidRPr="0034010B">
        <w:rPr>
          <w:rFonts w:asciiTheme="minorHAnsi" w:hAnsiTheme="minorHAnsi" w:cs="Arial"/>
          <w:noProof/>
          <w:sz w:val="24"/>
          <w:szCs w:val="24"/>
          <w:lang w:eastAsia="es-MX"/>
        </w:rPr>
        <w:t>de plaguicidas y fertilizantes</w:t>
      </w:r>
      <w:r w:rsidRPr="0034010B">
        <w:rPr>
          <w:rFonts w:asciiTheme="minorHAnsi" w:hAnsiTheme="minorHAnsi" w:cs="Arial"/>
          <w:noProof/>
          <w:sz w:val="24"/>
          <w:szCs w:val="24"/>
          <w:lang w:eastAsia="es-MX"/>
        </w:rPr>
        <w:t>.</w:t>
      </w:r>
    </w:p>
    <w:p w:rsidR="006F5A41" w:rsidRPr="0034010B" w:rsidRDefault="006F5A41" w:rsidP="006F5A41">
      <w:pPr>
        <w:pStyle w:val="Sinespaciado"/>
        <w:spacing w:line="276" w:lineRule="auto"/>
        <w:jc w:val="both"/>
        <w:rPr>
          <w:rFonts w:asciiTheme="minorHAnsi" w:hAnsiTheme="minorHAnsi" w:cs="Arial"/>
          <w:noProof/>
          <w:sz w:val="24"/>
          <w:szCs w:val="24"/>
          <w:lang w:eastAsia="es-MX"/>
        </w:rPr>
      </w:pPr>
    </w:p>
    <w:p w:rsidR="006F5A41" w:rsidRPr="0034010B" w:rsidRDefault="006F5A41" w:rsidP="006F5A41">
      <w:pPr>
        <w:pStyle w:val="Sinespaciado"/>
        <w:spacing w:line="276" w:lineRule="auto"/>
        <w:jc w:val="both"/>
        <w:rPr>
          <w:rFonts w:asciiTheme="minorHAnsi" w:hAnsiTheme="minorHAnsi" w:cs="Arial"/>
          <w:noProof/>
          <w:sz w:val="24"/>
          <w:szCs w:val="24"/>
          <w:lang w:eastAsia="es-MX"/>
        </w:rPr>
      </w:pPr>
      <w:r w:rsidRPr="0034010B">
        <w:rPr>
          <w:rFonts w:asciiTheme="minorHAnsi" w:hAnsiTheme="minorHAnsi" w:cs="Arial"/>
          <w:noProof/>
          <w:sz w:val="24"/>
          <w:szCs w:val="24"/>
          <w:lang w:eastAsia="es-MX"/>
        </w:rPr>
        <w:t xml:space="preserve">Entre las principales características de este centro de acopio, se aprecia que no hay quien supervise la recepción de envases, además de que este centro está ubicado en una zona alta, lo que sucede en épocas de lluvia es que hay escurrimientos a las partes bajas de este lomerío, contaminando así el agua del río que se encuentra en el fondo; con consecuencias negativas para el ecosistema y la población de aguas abajo. Algo más que se pudo observar es que este centro de acopio se ha convertido también en basurero comunitario, esto se puede observar en la Figura </w:t>
      </w:r>
      <w:r w:rsidR="00886555">
        <w:rPr>
          <w:rFonts w:asciiTheme="minorHAnsi" w:hAnsiTheme="minorHAnsi" w:cs="Arial"/>
          <w:noProof/>
          <w:sz w:val="24"/>
          <w:szCs w:val="24"/>
          <w:lang w:eastAsia="es-MX"/>
        </w:rPr>
        <w:t>7</w:t>
      </w:r>
      <w:r w:rsidRPr="0034010B">
        <w:rPr>
          <w:rFonts w:asciiTheme="minorHAnsi" w:hAnsiTheme="minorHAnsi" w:cs="Arial"/>
          <w:noProof/>
          <w:sz w:val="24"/>
          <w:szCs w:val="24"/>
          <w:lang w:eastAsia="es-MX"/>
        </w:rPr>
        <w:t>.</w:t>
      </w:r>
    </w:p>
    <w:p w:rsidR="006F5A41" w:rsidRDefault="006F5A41" w:rsidP="006F5A41">
      <w:pPr>
        <w:pStyle w:val="Sinespaciado"/>
        <w:spacing w:line="276" w:lineRule="auto"/>
        <w:jc w:val="both"/>
        <w:rPr>
          <w:rFonts w:ascii="Arial" w:hAnsi="Arial" w:cs="Arial"/>
          <w:color w:val="000000"/>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6F5A41" w:rsidTr="009F45EE">
        <w:tc>
          <w:tcPr>
            <w:tcW w:w="8977" w:type="dxa"/>
          </w:tcPr>
          <w:p w:rsidR="006F5A41" w:rsidRPr="0032019D" w:rsidRDefault="006F5A41" w:rsidP="00886555">
            <w:pPr>
              <w:pStyle w:val="Sinespaciado"/>
              <w:spacing w:line="276" w:lineRule="auto"/>
              <w:jc w:val="center"/>
              <w:rPr>
                <w:rFonts w:ascii="Arial" w:hAnsi="Arial" w:cs="Arial"/>
                <w:color w:val="000000"/>
              </w:rPr>
            </w:pPr>
            <w:r>
              <w:rPr>
                <w:rFonts w:ascii="Arial" w:hAnsi="Arial" w:cs="Arial"/>
                <w:noProof/>
                <w:color w:val="000000"/>
              </w:rPr>
              <w:drawing>
                <wp:inline distT="0" distB="0" distL="0" distR="0" wp14:anchorId="730D2307" wp14:editId="5A05A5FF">
                  <wp:extent cx="3249518" cy="1826289"/>
                  <wp:effectExtent l="6668" t="0" r="0" b="0"/>
                  <wp:docPr id="102" name="Imagen 102" descr="C:\Users\SAMSUNG\Pictures\FOTOS\invernadero_tesis\10-julio-2014\DSC_04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SAMSUNG\Pictures\FOTOS\invernadero_tesis\10-julio-2014\DSC_0459.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rot="5400000">
                            <a:off x="0" y="0"/>
                            <a:ext cx="3253195" cy="1828355"/>
                          </a:xfrm>
                          <a:prstGeom prst="rect">
                            <a:avLst/>
                          </a:prstGeom>
                          <a:noFill/>
                          <a:ln>
                            <a:noFill/>
                          </a:ln>
                        </pic:spPr>
                      </pic:pic>
                    </a:graphicData>
                  </a:graphic>
                </wp:inline>
              </w:drawing>
            </w:r>
          </w:p>
        </w:tc>
      </w:tr>
    </w:tbl>
    <w:p w:rsidR="006F5A41" w:rsidRPr="00886555" w:rsidRDefault="006F5A41" w:rsidP="006F5A41">
      <w:pPr>
        <w:pStyle w:val="Sinespaciado"/>
        <w:jc w:val="center"/>
        <w:rPr>
          <w:rFonts w:asciiTheme="minorHAnsi" w:hAnsiTheme="minorHAnsi" w:cs="Arial"/>
          <w:noProof/>
          <w:sz w:val="24"/>
          <w:szCs w:val="24"/>
          <w:lang w:eastAsia="es-MX"/>
        </w:rPr>
      </w:pPr>
      <w:bookmarkStart w:id="14" w:name="_Toc421689449"/>
      <w:r w:rsidRPr="00886555">
        <w:rPr>
          <w:rFonts w:asciiTheme="minorHAnsi" w:hAnsiTheme="minorHAnsi" w:cs="Arial"/>
          <w:noProof/>
          <w:sz w:val="24"/>
          <w:szCs w:val="24"/>
          <w:lang w:eastAsia="es-MX"/>
        </w:rPr>
        <w:t xml:space="preserve">Figura </w:t>
      </w:r>
      <w:r w:rsidR="00886555" w:rsidRPr="00886555">
        <w:rPr>
          <w:rFonts w:asciiTheme="minorHAnsi" w:hAnsiTheme="minorHAnsi" w:cs="Arial"/>
          <w:noProof/>
          <w:sz w:val="24"/>
          <w:szCs w:val="24"/>
          <w:lang w:eastAsia="es-MX"/>
        </w:rPr>
        <w:t>7.</w:t>
      </w:r>
      <w:r w:rsidRPr="00886555">
        <w:rPr>
          <w:rFonts w:asciiTheme="minorHAnsi" w:hAnsiTheme="minorHAnsi" w:cs="Arial"/>
          <w:noProof/>
          <w:sz w:val="24"/>
          <w:szCs w:val="24"/>
          <w:lang w:eastAsia="es-MX"/>
        </w:rPr>
        <w:t xml:space="preserve"> Características del centro de acopio de San Mateo Oxtotitlán, Villa Guerrero.</w:t>
      </w:r>
      <w:bookmarkEnd w:id="14"/>
    </w:p>
    <w:p w:rsidR="00886555" w:rsidRDefault="00886555" w:rsidP="00886555">
      <w:pPr>
        <w:pStyle w:val="Sinespaciado"/>
        <w:jc w:val="center"/>
        <w:rPr>
          <w:rFonts w:asciiTheme="minorHAnsi" w:hAnsiTheme="minorHAnsi" w:cs="Arial"/>
          <w:noProof/>
          <w:sz w:val="24"/>
          <w:szCs w:val="24"/>
          <w:lang w:eastAsia="es-MX"/>
        </w:rPr>
      </w:pPr>
    </w:p>
    <w:p w:rsidR="006F5A41" w:rsidRPr="00886555" w:rsidRDefault="006F5A41" w:rsidP="00886555">
      <w:pPr>
        <w:pStyle w:val="Sinespaciado"/>
        <w:jc w:val="both"/>
        <w:rPr>
          <w:rFonts w:asciiTheme="minorHAnsi" w:hAnsiTheme="minorHAnsi" w:cs="Arial"/>
          <w:noProof/>
          <w:sz w:val="24"/>
          <w:szCs w:val="24"/>
          <w:lang w:eastAsia="es-MX"/>
        </w:rPr>
      </w:pPr>
      <w:r w:rsidRPr="00886555">
        <w:rPr>
          <w:rFonts w:asciiTheme="minorHAnsi" w:hAnsiTheme="minorHAnsi" w:cs="Arial"/>
          <w:noProof/>
          <w:sz w:val="24"/>
          <w:szCs w:val="24"/>
          <w:lang w:eastAsia="es-MX"/>
        </w:rPr>
        <w:t>Otro objetivo que se cumplió en esta tercera visita a la zona de estudio fue ubicar algunos centros de Salud, tales como un Hospital General, la construcción de un nuevo hospital de ISEMYM, y un centro de salud. la finalidad de conocerlos es para la aplicación de las encuestas.</w:t>
      </w:r>
    </w:p>
    <w:p w:rsidR="006F5A41" w:rsidRPr="00886555" w:rsidRDefault="006F5A41" w:rsidP="00886555">
      <w:pPr>
        <w:pStyle w:val="Sinespaciado"/>
        <w:jc w:val="both"/>
        <w:rPr>
          <w:rFonts w:asciiTheme="minorHAnsi" w:hAnsiTheme="minorHAnsi" w:cs="Arial"/>
          <w:noProof/>
          <w:sz w:val="24"/>
          <w:szCs w:val="24"/>
          <w:lang w:eastAsia="es-MX"/>
        </w:rPr>
      </w:pPr>
    </w:p>
    <w:p w:rsidR="006F5A41" w:rsidRPr="00886555" w:rsidRDefault="006F5A41" w:rsidP="006F5A41">
      <w:pPr>
        <w:pStyle w:val="Sinespaciado"/>
        <w:spacing w:line="276" w:lineRule="auto"/>
        <w:jc w:val="both"/>
        <w:outlineLvl w:val="1"/>
        <w:rPr>
          <w:rFonts w:asciiTheme="minorHAnsi" w:hAnsiTheme="minorHAnsi" w:cs="Arial"/>
          <w:noProof/>
          <w:sz w:val="24"/>
          <w:szCs w:val="24"/>
          <w:lang w:eastAsia="es-MX"/>
        </w:rPr>
      </w:pPr>
      <w:bookmarkStart w:id="15" w:name="_Toc405991120"/>
    </w:p>
    <w:p w:rsidR="006F5A41" w:rsidRPr="00886555" w:rsidRDefault="00886555" w:rsidP="00886555">
      <w:pPr>
        <w:pStyle w:val="Sinespaciado"/>
        <w:spacing w:line="276" w:lineRule="auto"/>
        <w:jc w:val="both"/>
        <w:outlineLvl w:val="1"/>
        <w:rPr>
          <w:rFonts w:asciiTheme="minorHAnsi" w:hAnsiTheme="minorHAnsi" w:cs="Arial"/>
          <w:noProof/>
          <w:sz w:val="24"/>
          <w:szCs w:val="24"/>
          <w:lang w:eastAsia="es-MX"/>
        </w:rPr>
      </w:pPr>
      <w:bookmarkStart w:id="16" w:name="_Toc421688913"/>
      <w:r>
        <w:rPr>
          <w:rFonts w:asciiTheme="minorHAnsi" w:hAnsiTheme="minorHAnsi" w:cs="Arial"/>
          <w:b/>
          <w:noProof/>
          <w:sz w:val="24"/>
          <w:szCs w:val="24"/>
          <w:lang w:eastAsia="es-MX"/>
        </w:rPr>
        <w:t>3.1.4</w:t>
      </w:r>
      <w:r w:rsidR="006F5A41" w:rsidRPr="00886555">
        <w:rPr>
          <w:rFonts w:asciiTheme="minorHAnsi" w:hAnsiTheme="minorHAnsi" w:cs="Arial"/>
          <w:b/>
          <w:noProof/>
          <w:sz w:val="24"/>
          <w:szCs w:val="24"/>
          <w:lang w:eastAsia="es-MX"/>
        </w:rPr>
        <w:t xml:space="preserve"> CUARTA VISITA</w:t>
      </w:r>
      <w:bookmarkEnd w:id="15"/>
      <w:bookmarkEnd w:id="16"/>
      <w:r w:rsidR="006F5A41" w:rsidRPr="00886555">
        <w:rPr>
          <w:rFonts w:asciiTheme="minorHAnsi" w:hAnsiTheme="minorHAnsi" w:cs="Arial"/>
          <w:b/>
          <w:noProof/>
          <w:sz w:val="24"/>
          <w:szCs w:val="24"/>
          <w:lang w:eastAsia="es-MX"/>
        </w:rPr>
        <w:t xml:space="preserve"> </w:t>
      </w:r>
      <w:r>
        <w:rPr>
          <w:rFonts w:asciiTheme="minorHAnsi" w:hAnsiTheme="minorHAnsi" w:cs="Arial"/>
          <w:b/>
          <w:noProof/>
          <w:sz w:val="24"/>
          <w:szCs w:val="24"/>
          <w:lang w:eastAsia="es-MX"/>
        </w:rPr>
        <w:t>(</w:t>
      </w:r>
      <w:r w:rsidR="006F5A41" w:rsidRPr="00886555">
        <w:rPr>
          <w:rFonts w:asciiTheme="minorHAnsi" w:hAnsiTheme="minorHAnsi" w:cs="Arial"/>
          <w:noProof/>
          <w:sz w:val="24"/>
          <w:szCs w:val="24"/>
          <w:lang w:eastAsia="es-MX"/>
        </w:rPr>
        <w:t>Noviembre de 2014</w:t>
      </w:r>
      <w:r>
        <w:rPr>
          <w:rFonts w:asciiTheme="minorHAnsi" w:hAnsiTheme="minorHAnsi" w:cs="Arial"/>
          <w:noProof/>
          <w:sz w:val="24"/>
          <w:szCs w:val="24"/>
          <w:lang w:eastAsia="es-MX"/>
        </w:rPr>
        <w:t>)</w:t>
      </w:r>
    </w:p>
    <w:p w:rsidR="006F5A41" w:rsidRPr="00886555" w:rsidRDefault="006F5A41" w:rsidP="006F5A41">
      <w:pPr>
        <w:pStyle w:val="Sinespaciado"/>
        <w:spacing w:line="276" w:lineRule="auto"/>
        <w:jc w:val="both"/>
        <w:rPr>
          <w:rFonts w:asciiTheme="minorHAnsi" w:hAnsiTheme="minorHAnsi" w:cs="Arial"/>
          <w:noProof/>
          <w:sz w:val="24"/>
          <w:szCs w:val="24"/>
          <w:lang w:eastAsia="es-MX"/>
        </w:rPr>
      </w:pPr>
    </w:p>
    <w:p w:rsidR="006F5A41" w:rsidRPr="00886555" w:rsidRDefault="006F5A41" w:rsidP="006F5A41">
      <w:pPr>
        <w:pStyle w:val="Sinespaciado"/>
        <w:spacing w:line="276" w:lineRule="auto"/>
        <w:jc w:val="both"/>
        <w:rPr>
          <w:rFonts w:asciiTheme="minorHAnsi" w:hAnsiTheme="minorHAnsi" w:cs="Arial"/>
          <w:noProof/>
          <w:sz w:val="24"/>
          <w:szCs w:val="24"/>
          <w:lang w:eastAsia="es-MX"/>
        </w:rPr>
      </w:pPr>
      <w:r w:rsidRPr="00886555">
        <w:rPr>
          <w:rFonts w:asciiTheme="minorHAnsi" w:hAnsiTheme="minorHAnsi" w:cs="Arial"/>
          <w:noProof/>
          <w:sz w:val="24"/>
          <w:szCs w:val="24"/>
          <w:lang w:eastAsia="es-MX"/>
        </w:rPr>
        <w:t>En esta visita, nuevamente se visitó el municipio de Villa Guerrero: los objetivos cumplidos en esta visita fueron:</w:t>
      </w:r>
    </w:p>
    <w:p w:rsidR="006F5A41" w:rsidRPr="00886555" w:rsidRDefault="006F5A41" w:rsidP="006F5A41">
      <w:pPr>
        <w:pStyle w:val="Sinespaciado"/>
        <w:spacing w:line="276" w:lineRule="auto"/>
        <w:jc w:val="both"/>
        <w:rPr>
          <w:rFonts w:asciiTheme="minorHAnsi" w:hAnsiTheme="minorHAnsi" w:cs="Arial"/>
          <w:noProof/>
          <w:sz w:val="24"/>
          <w:szCs w:val="24"/>
          <w:lang w:eastAsia="es-MX"/>
        </w:rPr>
      </w:pPr>
    </w:p>
    <w:p w:rsidR="006F5A41" w:rsidRPr="00886555" w:rsidRDefault="006F5A41" w:rsidP="00886555">
      <w:pPr>
        <w:pStyle w:val="Sinespaciado"/>
        <w:numPr>
          <w:ilvl w:val="0"/>
          <w:numId w:val="23"/>
        </w:numPr>
        <w:spacing w:line="276" w:lineRule="auto"/>
        <w:jc w:val="both"/>
        <w:rPr>
          <w:rFonts w:asciiTheme="minorHAnsi" w:hAnsiTheme="minorHAnsi" w:cs="Arial"/>
          <w:noProof/>
          <w:sz w:val="24"/>
          <w:szCs w:val="24"/>
          <w:lang w:eastAsia="es-MX"/>
        </w:rPr>
      </w:pPr>
      <w:r w:rsidRPr="00886555">
        <w:rPr>
          <w:rFonts w:asciiTheme="minorHAnsi" w:hAnsiTheme="minorHAnsi" w:cs="Arial"/>
          <w:noProof/>
          <w:sz w:val="24"/>
          <w:szCs w:val="24"/>
          <w:lang w:eastAsia="es-MX"/>
        </w:rPr>
        <w:t xml:space="preserve">Visitar nuevamente el Rancho de San Francisco, pero ahora en otro de los invernaderos en que cultivan rosa. La extensión de este invernadero es de aproximadamente 600 mil m2. </w:t>
      </w:r>
    </w:p>
    <w:p w:rsidR="006F5A41" w:rsidRPr="00886555" w:rsidRDefault="006F5A41" w:rsidP="006F5A41">
      <w:pPr>
        <w:pStyle w:val="Sinespaciado"/>
        <w:spacing w:line="276" w:lineRule="auto"/>
        <w:jc w:val="both"/>
        <w:rPr>
          <w:rFonts w:asciiTheme="minorHAnsi" w:hAnsiTheme="minorHAnsi" w:cs="Arial"/>
          <w:noProof/>
          <w:sz w:val="24"/>
          <w:szCs w:val="24"/>
          <w:lang w:eastAsia="es-MX"/>
        </w:rPr>
      </w:pPr>
    </w:p>
    <w:p w:rsidR="006F5A41" w:rsidRPr="00886555" w:rsidRDefault="006F5A41" w:rsidP="006F5A41">
      <w:pPr>
        <w:pStyle w:val="Sinespaciado"/>
        <w:spacing w:line="276" w:lineRule="auto"/>
        <w:jc w:val="both"/>
        <w:rPr>
          <w:rFonts w:asciiTheme="minorHAnsi" w:hAnsiTheme="minorHAnsi" w:cs="Arial"/>
          <w:noProof/>
          <w:sz w:val="24"/>
          <w:szCs w:val="24"/>
          <w:lang w:eastAsia="es-MX"/>
        </w:rPr>
      </w:pPr>
      <w:r w:rsidRPr="00886555">
        <w:rPr>
          <w:rFonts w:asciiTheme="minorHAnsi" w:hAnsiTheme="minorHAnsi" w:cs="Arial"/>
          <w:noProof/>
          <w:sz w:val="24"/>
          <w:szCs w:val="24"/>
          <w:lang w:eastAsia="es-MX"/>
        </w:rPr>
        <w:t>Lo que se observó en el invernadero fue que tienen carteles de la forma correcta de aplicar el plaguicida y el manejo de envases vacíos.</w:t>
      </w:r>
    </w:p>
    <w:p w:rsidR="006F5A41" w:rsidRPr="00886555" w:rsidRDefault="006F5A41" w:rsidP="006F5A41">
      <w:pPr>
        <w:pStyle w:val="Sinespaciado"/>
        <w:spacing w:line="276" w:lineRule="auto"/>
        <w:jc w:val="both"/>
        <w:rPr>
          <w:rFonts w:asciiTheme="minorHAnsi" w:hAnsiTheme="minorHAnsi" w:cs="Arial"/>
          <w:noProof/>
          <w:sz w:val="24"/>
          <w:szCs w:val="24"/>
          <w:lang w:eastAsia="es-MX"/>
        </w:rPr>
      </w:pPr>
    </w:p>
    <w:p w:rsidR="006F5A41" w:rsidRPr="00886555" w:rsidRDefault="006F5A41" w:rsidP="006F5A41">
      <w:pPr>
        <w:pStyle w:val="Sinespaciado"/>
        <w:spacing w:line="276" w:lineRule="auto"/>
        <w:jc w:val="both"/>
        <w:rPr>
          <w:rFonts w:asciiTheme="minorHAnsi" w:hAnsiTheme="minorHAnsi" w:cs="Arial"/>
          <w:noProof/>
          <w:sz w:val="24"/>
          <w:szCs w:val="24"/>
          <w:lang w:eastAsia="es-MX"/>
        </w:rPr>
      </w:pPr>
      <w:r w:rsidRPr="00886555">
        <w:rPr>
          <w:rFonts w:asciiTheme="minorHAnsi" w:hAnsiTheme="minorHAnsi" w:cs="Arial"/>
          <w:noProof/>
          <w:sz w:val="24"/>
          <w:szCs w:val="24"/>
          <w:lang w:eastAsia="es-MX"/>
        </w:rPr>
        <w:t>En la sala de empaque el personal es en su mayoría del sexo femenino, ya que por su naturaleza hay más delicadeza en el proceso de empaque. Son pocos los hombres en este proceso, al igual que en el área de cultivo.</w:t>
      </w:r>
    </w:p>
    <w:p w:rsidR="006F5A41" w:rsidRPr="00886555" w:rsidRDefault="006F5A41" w:rsidP="006F5A41">
      <w:pPr>
        <w:pStyle w:val="Sinespaciado"/>
        <w:spacing w:line="276" w:lineRule="auto"/>
        <w:jc w:val="both"/>
        <w:rPr>
          <w:rFonts w:asciiTheme="minorHAnsi" w:hAnsiTheme="minorHAnsi" w:cs="Arial"/>
          <w:noProof/>
          <w:sz w:val="24"/>
          <w:szCs w:val="24"/>
          <w:lang w:eastAsia="es-MX"/>
        </w:rPr>
      </w:pPr>
      <w:r w:rsidRPr="00886555">
        <w:rPr>
          <w:rFonts w:asciiTheme="minorHAnsi" w:hAnsiTheme="minorHAnsi" w:cs="Arial"/>
          <w:noProof/>
          <w:sz w:val="24"/>
          <w:szCs w:val="24"/>
          <w:lang w:eastAsia="es-MX"/>
        </w:rPr>
        <w:t xml:space="preserve"> </w:t>
      </w:r>
    </w:p>
    <w:p w:rsidR="006F5A41" w:rsidRPr="00886555" w:rsidRDefault="00886555" w:rsidP="00886555">
      <w:pPr>
        <w:pStyle w:val="Sinespaciado"/>
        <w:numPr>
          <w:ilvl w:val="0"/>
          <w:numId w:val="23"/>
        </w:numPr>
        <w:spacing w:line="276" w:lineRule="auto"/>
        <w:jc w:val="both"/>
        <w:rPr>
          <w:rFonts w:asciiTheme="minorHAnsi" w:hAnsiTheme="minorHAnsi" w:cs="Arial"/>
          <w:noProof/>
          <w:sz w:val="24"/>
          <w:szCs w:val="24"/>
          <w:lang w:eastAsia="es-MX"/>
        </w:rPr>
      </w:pPr>
      <w:r>
        <w:rPr>
          <w:rFonts w:asciiTheme="minorHAnsi" w:hAnsiTheme="minorHAnsi" w:cs="Arial"/>
          <w:noProof/>
          <w:sz w:val="24"/>
          <w:szCs w:val="24"/>
          <w:lang w:eastAsia="es-MX"/>
        </w:rPr>
        <w:t>S</w:t>
      </w:r>
      <w:r w:rsidR="006F5A41" w:rsidRPr="00886555">
        <w:rPr>
          <w:rFonts w:asciiTheme="minorHAnsi" w:hAnsiTheme="minorHAnsi" w:cs="Arial"/>
          <w:noProof/>
          <w:sz w:val="24"/>
          <w:szCs w:val="24"/>
          <w:lang w:eastAsia="es-MX"/>
        </w:rPr>
        <w:t>e visitó el Rancho de la Cerrada Particular Av. Salvador Silva O., se trata de una superficie de cultivo de follajes, especialmente dólar, ave de paraíso y erika</w:t>
      </w:r>
      <w:r w:rsidR="00305E9B" w:rsidRPr="00886555">
        <w:rPr>
          <w:rFonts w:asciiTheme="minorHAnsi" w:hAnsiTheme="minorHAnsi" w:cs="Arial"/>
          <w:noProof/>
          <w:sz w:val="24"/>
          <w:szCs w:val="24"/>
          <w:lang w:eastAsia="es-MX"/>
        </w:rPr>
        <w:t>, son cultivos a cielo abierto</w:t>
      </w:r>
      <w:r w:rsidR="006F5A41" w:rsidRPr="00886555">
        <w:rPr>
          <w:rFonts w:asciiTheme="minorHAnsi" w:hAnsiTheme="minorHAnsi" w:cs="Arial"/>
          <w:noProof/>
          <w:sz w:val="24"/>
          <w:szCs w:val="24"/>
          <w:lang w:eastAsia="es-MX"/>
        </w:rPr>
        <w:t>.</w:t>
      </w:r>
    </w:p>
    <w:p w:rsidR="006F5A41" w:rsidRPr="00886555" w:rsidRDefault="006F5A41" w:rsidP="006F5A41">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El objetivo del uso de estos tipos de plaguicidas, según indican los productores, es atacar insectos, acáros, minador de hoja, larvas (cogollero), mosquita blanca, plagas de raíz en invernaderos. En cultivos a cielo abierto para combatir los de tipo masticador y chupador como orugas, trips, pulgón, psilas, cochinillas, arañas y acáros; y con esto optimizar la cantidad y calidad de la producción.</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Con estos datos sobre la zona estudio tanto los fisico-geográficos como los socio-económicos, se ha identificado que los municipios de mayor población son en general los de mayor producción, venta y exposición a plaguicidas, por lo tanto se establece la relación entre la población de estos municipios, la exposición a los plaguicidas y la mortalidad por malformaciones congénitas a través de las tasa de mortalidad.</w:t>
      </w:r>
    </w:p>
    <w:p w:rsidR="008A62FA" w:rsidRDefault="008A62FA" w:rsidP="00B603A3">
      <w:pPr>
        <w:pStyle w:val="Sinespaciado"/>
        <w:spacing w:line="276" w:lineRule="auto"/>
        <w:jc w:val="both"/>
        <w:rPr>
          <w:rFonts w:asciiTheme="minorHAnsi" w:hAnsiTheme="minorHAnsi" w:cs="Arial"/>
          <w:noProof/>
          <w:sz w:val="24"/>
          <w:szCs w:val="24"/>
          <w:lang w:eastAsia="es-MX"/>
        </w:rPr>
      </w:pPr>
    </w:p>
    <w:p w:rsidR="00D30DBE" w:rsidRPr="00886555" w:rsidRDefault="00D30DBE" w:rsidP="00D30DBE">
      <w:pPr>
        <w:pStyle w:val="Sinespaciado"/>
        <w:spacing w:line="276" w:lineRule="auto"/>
        <w:jc w:val="both"/>
        <w:rPr>
          <w:rFonts w:asciiTheme="minorHAnsi" w:hAnsiTheme="minorHAnsi" w:cs="Arial"/>
          <w:noProof/>
          <w:sz w:val="24"/>
          <w:szCs w:val="24"/>
          <w:lang w:eastAsia="es-MX"/>
        </w:rPr>
      </w:pPr>
      <w:r w:rsidRPr="00886555">
        <w:rPr>
          <w:rFonts w:asciiTheme="minorHAnsi" w:hAnsiTheme="minorHAnsi" w:cs="Arial"/>
          <w:noProof/>
          <w:sz w:val="24"/>
          <w:szCs w:val="24"/>
          <w:lang w:eastAsia="es-MX"/>
        </w:rPr>
        <w:t>Una parte esencial de esta investigación es tratar de identificar al personal que se dedica a las actividades agrícolas, específicamente la floricultura, el objetivo es establecer una relación entre la ocupación de la población y la presencia de enfermedades derivadas de la exposición a todo tipo de plaguicidas.</w:t>
      </w:r>
    </w:p>
    <w:p w:rsidR="00D30DBE" w:rsidRPr="00886555" w:rsidRDefault="00D30DBE" w:rsidP="00D30DBE">
      <w:pPr>
        <w:pStyle w:val="Sinespaciado"/>
        <w:spacing w:line="276" w:lineRule="auto"/>
        <w:jc w:val="both"/>
        <w:rPr>
          <w:rFonts w:asciiTheme="minorHAnsi" w:hAnsiTheme="minorHAnsi" w:cs="Arial"/>
          <w:noProof/>
          <w:sz w:val="24"/>
          <w:szCs w:val="24"/>
          <w:lang w:eastAsia="es-MX"/>
        </w:rPr>
      </w:pPr>
    </w:p>
    <w:p w:rsidR="00D30DBE" w:rsidRPr="00886555" w:rsidRDefault="00D30DBE" w:rsidP="00D30DBE">
      <w:pPr>
        <w:pStyle w:val="Sinespaciado"/>
        <w:spacing w:line="276" w:lineRule="auto"/>
        <w:jc w:val="both"/>
        <w:rPr>
          <w:rFonts w:asciiTheme="minorHAnsi" w:hAnsiTheme="minorHAnsi" w:cs="Arial"/>
          <w:noProof/>
          <w:sz w:val="24"/>
          <w:szCs w:val="24"/>
          <w:lang w:eastAsia="es-MX"/>
        </w:rPr>
      </w:pPr>
      <w:r w:rsidRPr="00886555">
        <w:rPr>
          <w:rFonts w:asciiTheme="minorHAnsi" w:hAnsiTheme="minorHAnsi" w:cs="Arial"/>
          <w:noProof/>
          <w:sz w:val="24"/>
          <w:szCs w:val="24"/>
          <w:lang w:eastAsia="es-MX"/>
        </w:rPr>
        <w:t>Para lo cual se requiere identificar tanto la edad, sexo y procedencia del personal que se dedica a las actividades agrícolas, pero también si es personal contratado o de la misma familia del productor quien constituye la fuerza de trabajo y producción. Esto derivado de las teorías que indican que las afectaciones a la salud se manifiestan en primer lugar con el productor y la familia del productor; mujeres y niños específicamente.</w:t>
      </w:r>
    </w:p>
    <w:p w:rsidR="00D30DBE" w:rsidRPr="00886555" w:rsidRDefault="00D30DBE" w:rsidP="00D30DBE">
      <w:pPr>
        <w:pStyle w:val="Sinespaciado"/>
        <w:spacing w:line="276" w:lineRule="auto"/>
        <w:jc w:val="both"/>
        <w:rPr>
          <w:rFonts w:asciiTheme="minorHAnsi" w:hAnsiTheme="minorHAnsi" w:cs="Arial"/>
          <w:noProof/>
          <w:sz w:val="24"/>
          <w:szCs w:val="24"/>
          <w:lang w:eastAsia="es-MX"/>
        </w:rPr>
      </w:pPr>
    </w:p>
    <w:p w:rsidR="00D30DBE" w:rsidRPr="00886555" w:rsidRDefault="00D30DBE" w:rsidP="00D30DBE">
      <w:pPr>
        <w:pStyle w:val="Sinespaciado"/>
        <w:spacing w:line="276" w:lineRule="auto"/>
        <w:jc w:val="both"/>
        <w:rPr>
          <w:rFonts w:asciiTheme="minorHAnsi" w:hAnsiTheme="minorHAnsi" w:cs="Arial"/>
          <w:noProof/>
          <w:sz w:val="24"/>
          <w:szCs w:val="24"/>
          <w:lang w:eastAsia="es-MX"/>
        </w:rPr>
      </w:pPr>
      <w:r w:rsidRPr="00886555">
        <w:rPr>
          <w:rFonts w:asciiTheme="minorHAnsi" w:hAnsiTheme="minorHAnsi" w:cs="Arial"/>
          <w:noProof/>
          <w:sz w:val="24"/>
          <w:szCs w:val="24"/>
          <w:lang w:eastAsia="es-MX"/>
        </w:rPr>
        <w:t xml:space="preserve">En este contexto es que se ha construido la Figura </w:t>
      </w:r>
      <w:r w:rsidR="00886555">
        <w:rPr>
          <w:rFonts w:asciiTheme="minorHAnsi" w:hAnsiTheme="minorHAnsi" w:cs="Arial"/>
          <w:noProof/>
          <w:sz w:val="24"/>
          <w:szCs w:val="24"/>
          <w:lang w:eastAsia="es-MX"/>
        </w:rPr>
        <w:t>8</w:t>
      </w:r>
      <w:r w:rsidRPr="00886555">
        <w:rPr>
          <w:rFonts w:asciiTheme="minorHAnsi" w:hAnsiTheme="minorHAnsi" w:cs="Arial"/>
          <w:noProof/>
          <w:sz w:val="24"/>
          <w:szCs w:val="24"/>
          <w:lang w:eastAsia="es-MX"/>
        </w:rPr>
        <w:t>, para mostrar la cantidad de familiares del productor que participan en las actividades de producción de flores de corte, que es el principal cultivo de la zona de estudio.</w:t>
      </w:r>
    </w:p>
    <w:p w:rsidR="00D30DBE" w:rsidRPr="00886555" w:rsidRDefault="00D30DBE" w:rsidP="00D30DBE">
      <w:pPr>
        <w:pStyle w:val="Sinespaciado"/>
        <w:spacing w:line="276" w:lineRule="auto"/>
        <w:jc w:val="both"/>
        <w:rPr>
          <w:rFonts w:asciiTheme="minorHAnsi" w:hAnsiTheme="minorHAnsi" w:cs="Arial"/>
          <w:noProof/>
          <w:sz w:val="24"/>
          <w:szCs w:val="24"/>
          <w:lang w:eastAsia="es-MX"/>
        </w:rPr>
      </w:pPr>
    </w:p>
    <w:p w:rsidR="00D30DBE" w:rsidRPr="00886555" w:rsidRDefault="00D30DBE" w:rsidP="00D30DBE">
      <w:pPr>
        <w:pStyle w:val="Sinespaciado"/>
        <w:spacing w:line="276" w:lineRule="auto"/>
        <w:jc w:val="both"/>
        <w:rPr>
          <w:rFonts w:asciiTheme="minorHAnsi" w:hAnsiTheme="minorHAnsi" w:cs="Arial"/>
          <w:noProof/>
          <w:sz w:val="24"/>
          <w:szCs w:val="24"/>
          <w:lang w:eastAsia="es-MX"/>
        </w:rPr>
      </w:pPr>
    </w:p>
    <w:p w:rsidR="00D30DBE" w:rsidRPr="00886555" w:rsidRDefault="00D30DBE" w:rsidP="00D30DBE">
      <w:pPr>
        <w:pStyle w:val="Sinespaciado"/>
        <w:spacing w:line="276" w:lineRule="auto"/>
        <w:jc w:val="both"/>
        <w:rPr>
          <w:rFonts w:asciiTheme="minorHAnsi" w:hAnsiTheme="minorHAnsi" w:cs="Arial"/>
          <w:noProof/>
          <w:sz w:val="24"/>
          <w:szCs w:val="24"/>
          <w:lang w:eastAsia="es-MX"/>
        </w:rPr>
      </w:pPr>
    </w:p>
    <w:tbl>
      <w:tblPr>
        <w:tblStyle w:val="Tablaconcuadrcula"/>
        <w:tblW w:w="0" w:type="auto"/>
        <w:jc w:val="center"/>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ook w:val="04A0" w:firstRow="1" w:lastRow="0" w:firstColumn="1" w:lastColumn="0" w:noHBand="0" w:noVBand="1"/>
      </w:tblPr>
      <w:tblGrid>
        <w:gridCol w:w="8808"/>
      </w:tblGrid>
      <w:tr w:rsidR="00D30DBE" w:rsidTr="00D30DBE">
        <w:trPr>
          <w:jc w:val="center"/>
        </w:trPr>
        <w:tc>
          <w:tcPr>
            <w:tcW w:w="0" w:type="auto"/>
          </w:tcPr>
          <w:p w:rsidR="00D30DBE" w:rsidRDefault="00D30DBE" w:rsidP="00D30DBE">
            <w:pPr>
              <w:pStyle w:val="Sinespaciado"/>
              <w:spacing w:line="276" w:lineRule="auto"/>
              <w:jc w:val="both"/>
              <w:rPr>
                <w:rFonts w:ascii="Arial" w:hAnsi="Arial" w:cs="Arial"/>
              </w:rPr>
            </w:pPr>
            <w:r>
              <w:rPr>
                <w:noProof/>
              </w:rPr>
              <w:drawing>
                <wp:inline distT="0" distB="0" distL="0" distR="0" wp14:anchorId="0DFDBE00" wp14:editId="5A6ECB15">
                  <wp:extent cx="5469147" cy="2250373"/>
                  <wp:effectExtent l="0" t="0" r="0" b="0"/>
                  <wp:docPr id="73" name="Imagen 73" descr="C:\Users\SAMSUNG\AppData\Local\Microsoft\Windows\Temporary Internet Files\Content.Word\FAMILIAR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SAMSUNG\AppData\Local\Microsoft\Windows\Temporary Internet Files\Content.Word\FAMILIARES.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61351" cy="2247165"/>
                          </a:xfrm>
                          <a:prstGeom prst="rect">
                            <a:avLst/>
                          </a:prstGeom>
                          <a:noFill/>
                          <a:ln>
                            <a:noFill/>
                          </a:ln>
                        </pic:spPr>
                      </pic:pic>
                    </a:graphicData>
                  </a:graphic>
                </wp:inline>
              </w:drawing>
            </w:r>
          </w:p>
        </w:tc>
      </w:tr>
    </w:tbl>
    <w:p w:rsidR="00D30DBE" w:rsidRPr="00886555" w:rsidRDefault="00D30DBE" w:rsidP="00D30DBE">
      <w:pPr>
        <w:pStyle w:val="Sinespaciado"/>
        <w:jc w:val="center"/>
        <w:rPr>
          <w:rFonts w:asciiTheme="minorHAnsi" w:hAnsiTheme="minorHAnsi" w:cs="Arial"/>
          <w:noProof/>
          <w:sz w:val="24"/>
          <w:szCs w:val="24"/>
          <w:lang w:eastAsia="es-MX"/>
        </w:rPr>
      </w:pPr>
      <w:bookmarkStart w:id="17" w:name="_Toc421689428"/>
      <w:r w:rsidRPr="00886555">
        <w:rPr>
          <w:rFonts w:asciiTheme="minorHAnsi" w:hAnsiTheme="minorHAnsi" w:cs="Arial"/>
          <w:noProof/>
          <w:sz w:val="24"/>
          <w:szCs w:val="24"/>
          <w:lang w:eastAsia="es-MX"/>
        </w:rPr>
        <w:t>Figura</w:t>
      </w:r>
      <w:r w:rsidR="00886555">
        <w:rPr>
          <w:rFonts w:asciiTheme="minorHAnsi" w:hAnsiTheme="minorHAnsi" w:cs="Arial"/>
          <w:noProof/>
          <w:sz w:val="24"/>
          <w:szCs w:val="24"/>
          <w:lang w:eastAsia="es-MX"/>
        </w:rPr>
        <w:t xml:space="preserve"> 8. </w:t>
      </w:r>
      <w:r w:rsidRPr="00886555">
        <w:rPr>
          <w:rFonts w:asciiTheme="minorHAnsi" w:hAnsiTheme="minorHAnsi" w:cs="Arial"/>
          <w:noProof/>
          <w:sz w:val="24"/>
          <w:szCs w:val="24"/>
          <w:lang w:eastAsia="es-MX"/>
        </w:rPr>
        <w:t>Familiares del productor que participan en la actividad agropecuaria o forestal según edad y sexo.</w:t>
      </w:r>
      <w:bookmarkEnd w:id="17"/>
    </w:p>
    <w:p w:rsidR="00D30DBE" w:rsidRPr="00886555" w:rsidRDefault="00D30DBE" w:rsidP="00D30DBE">
      <w:pPr>
        <w:pStyle w:val="Sinespaciado"/>
        <w:jc w:val="center"/>
        <w:rPr>
          <w:rFonts w:asciiTheme="minorHAnsi" w:hAnsiTheme="minorHAnsi" w:cs="Arial"/>
          <w:noProof/>
          <w:sz w:val="24"/>
          <w:szCs w:val="24"/>
          <w:lang w:eastAsia="es-MX"/>
        </w:rPr>
      </w:pPr>
      <w:bookmarkStart w:id="18" w:name="_Toc390962434"/>
      <w:r w:rsidRPr="00886555">
        <w:rPr>
          <w:rFonts w:asciiTheme="minorHAnsi" w:hAnsiTheme="minorHAnsi" w:cs="Arial"/>
          <w:noProof/>
          <w:sz w:val="24"/>
          <w:szCs w:val="24"/>
          <w:lang w:eastAsia="es-MX"/>
        </w:rPr>
        <w:t>Elaboración propia con base en INEGI, 2009.</w:t>
      </w:r>
    </w:p>
    <w:p w:rsidR="00D30DBE" w:rsidRPr="00886555" w:rsidRDefault="00D30DBE" w:rsidP="00D30DBE">
      <w:pPr>
        <w:pStyle w:val="Sinespaciado"/>
        <w:jc w:val="center"/>
        <w:rPr>
          <w:rFonts w:asciiTheme="minorHAnsi" w:hAnsiTheme="minorHAnsi" w:cs="Arial"/>
          <w:noProof/>
          <w:sz w:val="24"/>
          <w:szCs w:val="24"/>
          <w:lang w:eastAsia="es-MX"/>
        </w:rPr>
      </w:pPr>
    </w:p>
    <w:bookmarkEnd w:id="18"/>
    <w:p w:rsidR="00D30DBE" w:rsidRPr="00886555" w:rsidRDefault="00D30DBE" w:rsidP="00D30DBE">
      <w:pPr>
        <w:pStyle w:val="Sinespaciado"/>
        <w:spacing w:line="276" w:lineRule="auto"/>
        <w:jc w:val="both"/>
        <w:rPr>
          <w:rFonts w:asciiTheme="minorHAnsi" w:hAnsiTheme="minorHAnsi" w:cs="Arial"/>
          <w:noProof/>
          <w:sz w:val="24"/>
          <w:szCs w:val="24"/>
          <w:lang w:eastAsia="es-MX"/>
        </w:rPr>
      </w:pPr>
      <w:r w:rsidRPr="00886555">
        <w:rPr>
          <w:rFonts w:asciiTheme="minorHAnsi" w:hAnsiTheme="minorHAnsi" w:cs="Arial"/>
          <w:noProof/>
          <w:sz w:val="24"/>
          <w:szCs w:val="24"/>
          <w:lang w:eastAsia="es-MX"/>
        </w:rPr>
        <w:t xml:space="preserve">El sexo que mayor participación tiene en las actividades del cultivo de flores es el hombre, con excepción en el municipio de Coatepec Harinas, Villa Guerrero y Tenancingo respectivamente, donde la mujer tiene una participación considerable con respecto al resto de municipios (Figura </w:t>
      </w:r>
      <w:r w:rsidR="00CF70C5">
        <w:rPr>
          <w:rFonts w:asciiTheme="minorHAnsi" w:hAnsiTheme="minorHAnsi" w:cs="Arial"/>
          <w:noProof/>
          <w:sz w:val="24"/>
          <w:szCs w:val="24"/>
          <w:lang w:eastAsia="es-MX"/>
        </w:rPr>
        <w:t>9</w:t>
      </w:r>
      <w:r w:rsidRPr="00886555">
        <w:rPr>
          <w:rFonts w:asciiTheme="minorHAnsi" w:hAnsiTheme="minorHAnsi" w:cs="Arial"/>
          <w:noProof/>
          <w:sz w:val="24"/>
          <w:szCs w:val="24"/>
          <w:lang w:eastAsia="es-MX"/>
        </w:rPr>
        <w:t>).</w:t>
      </w:r>
    </w:p>
    <w:p w:rsidR="00D30DBE" w:rsidRPr="00886555" w:rsidRDefault="00D30DBE" w:rsidP="00D30DBE">
      <w:pPr>
        <w:pStyle w:val="Sinespaciado"/>
        <w:spacing w:line="276" w:lineRule="auto"/>
        <w:jc w:val="both"/>
        <w:rPr>
          <w:rFonts w:asciiTheme="minorHAnsi" w:hAnsiTheme="minorHAnsi" w:cs="Arial"/>
          <w:noProof/>
          <w:sz w:val="24"/>
          <w:szCs w:val="24"/>
          <w:lang w:eastAsia="es-MX"/>
        </w:rPr>
      </w:pPr>
    </w:p>
    <w:p w:rsidR="00D30DBE" w:rsidRPr="00886555" w:rsidRDefault="00D30DBE" w:rsidP="00D30DBE">
      <w:pPr>
        <w:pStyle w:val="Sinespaciado"/>
        <w:spacing w:line="276" w:lineRule="auto"/>
        <w:jc w:val="both"/>
        <w:rPr>
          <w:rFonts w:asciiTheme="minorHAnsi" w:hAnsiTheme="minorHAnsi" w:cs="Arial"/>
          <w:noProof/>
          <w:sz w:val="24"/>
          <w:szCs w:val="24"/>
          <w:lang w:eastAsia="es-MX"/>
        </w:rPr>
      </w:pPr>
      <w:r w:rsidRPr="00886555">
        <w:rPr>
          <w:rFonts w:asciiTheme="minorHAnsi" w:hAnsiTheme="minorHAnsi" w:cs="Arial"/>
          <w:noProof/>
          <w:sz w:val="24"/>
          <w:szCs w:val="24"/>
          <w:lang w:eastAsia="es-MX"/>
        </w:rPr>
        <w:t>Las edades que mayor fuerza de trabajo representan se encuentran entre el grupo de entre 18 y 60 años de edad; sin embargo el grupo de edad de los 12 a los 18 años tiene una intervención importante en estas actividades agrícolas; incluso el grupo de edad de menos de 12 años tanto en hombres como en mujeres está participando en las actividades de cultivo de flores; se trata de los hijos pequeños a los que se les asigna actividades agropecuarias de la familia. Solo el grupo de edad de más de 60 años, no tiene participación alguna.</w:t>
      </w:r>
    </w:p>
    <w:p w:rsidR="00D30DBE" w:rsidRPr="00886555" w:rsidRDefault="00D30DBE" w:rsidP="00D30DBE">
      <w:pPr>
        <w:pStyle w:val="Sinespaciado"/>
        <w:spacing w:line="276" w:lineRule="auto"/>
        <w:jc w:val="both"/>
        <w:rPr>
          <w:rFonts w:asciiTheme="minorHAnsi" w:hAnsiTheme="minorHAnsi" w:cs="Arial"/>
          <w:noProof/>
          <w:sz w:val="24"/>
          <w:szCs w:val="24"/>
          <w:lang w:eastAsia="es-MX"/>
        </w:rPr>
      </w:pPr>
    </w:p>
    <w:p w:rsidR="00D30DBE" w:rsidRPr="00886555" w:rsidRDefault="00D30DBE" w:rsidP="00D30DBE">
      <w:pPr>
        <w:pStyle w:val="Sinespaciado"/>
        <w:spacing w:line="276" w:lineRule="auto"/>
        <w:jc w:val="both"/>
        <w:rPr>
          <w:rFonts w:asciiTheme="minorHAnsi" w:hAnsiTheme="minorHAnsi" w:cs="Arial"/>
          <w:noProof/>
          <w:sz w:val="24"/>
          <w:szCs w:val="24"/>
          <w:lang w:eastAsia="es-MX"/>
        </w:rPr>
      </w:pPr>
      <w:r w:rsidRPr="00886555">
        <w:rPr>
          <w:rFonts w:asciiTheme="minorHAnsi" w:hAnsiTheme="minorHAnsi" w:cs="Arial"/>
          <w:noProof/>
          <w:sz w:val="24"/>
          <w:szCs w:val="24"/>
          <w:lang w:eastAsia="es-MX"/>
        </w:rPr>
        <w:t>Con lo anterior queda completamente justificada la investigación en la zona de estudio, ya que si el personal contratado es del mismo corredor florícola, entonces esto quiere decir que es posible relacionar las enfermedades con la exposición a plaguicidas, de lo contrario pudiera pensarse que la población afectada migra llevando consigo las sintomatología</w:t>
      </w:r>
      <w:r w:rsidR="00886555">
        <w:rPr>
          <w:rFonts w:asciiTheme="minorHAnsi" w:hAnsiTheme="minorHAnsi" w:cs="Arial"/>
          <w:noProof/>
          <w:sz w:val="24"/>
          <w:szCs w:val="24"/>
          <w:lang w:eastAsia="es-MX"/>
        </w:rPr>
        <w:t>, sin poder rastrearla</w:t>
      </w:r>
      <w:r w:rsidRPr="00886555">
        <w:rPr>
          <w:rFonts w:asciiTheme="minorHAnsi" w:hAnsiTheme="minorHAnsi" w:cs="Arial"/>
          <w:noProof/>
          <w:sz w:val="24"/>
          <w:szCs w:val="24"/>
          <w:lang w:eastAsia="es-MX"/>
        </w:rPr>
        <w:t>.</w:t>
      </w:r>
    </w:p>
    <w:p w:rsidR="00D30DBE" w:rsidRPr="00886555" w:rsidRDefault="00D30DBE" w:rsidP="00D30DBE">
      <w:pPr>
        <w:pStyle w:val="Sinespaciado"/>
        <w:spacing w:line="276" w:lineRule="auto"/>
        <w:jc w:val="both"/>
        <w:rPr>
          <w:rFonts w:asciiTheme="minorHAnsi" w:hAnsiTheme="minorHAnsi" w:cs="Arial"/>
          <w:noProof/>
          <w:sz w:val="24"/>
          <w:szCs w:val="24"/>
          <w:lang w:eastAsia="es-MX"/>
        </w:rPr>
      </w:pPr>
    </w:p>
    <w:p w:rsidR="00D30DBE" w:rsidRPr="00886555" w:rsidRDefault="00D30DBE" w:rsidP="00D30DBE">
      <w:pPr>
        <w:pStyle w:val="Sinespaciado"/>
        <w:spacing w:line="276" w:lineRule="auto"/>
        <w:jc w:val="both"/>
        <w:rPr>
          <w:rFonts w:asciiTheme="minorHAnsi" w:hAnsiTheme="minorHAnsi" w:cs="Arial"/>
          <w:noProof/>
          <w:sz w:val="24"/>
          <w:szCs w:val="24"/>
          <w:lang w:eastAsia="es-MX"/>
        </w:rPr>
      </w:pPr>
      <w:r w:rsidRPr="00886555">
        <w:rPr>
          <w:rFonts w:asciiTheme="minorHAnsi" w:hAnsiTheme="minorHAnsi" w:cs="Arial"/>
          <w:noProof/>
          <w:sz w:val="24"/>
          <w:szCs w:val="24"/>
          <w:lang w:eastAsia="es-MX"/>
        </w:rPr>
        <w:t>Los resultados sobre el origen de la mano de obra contratada en un período de seis meses o menos se muestra que la mayor parte del personal contratado es del mismo municipio, en un 99.9% es de una zona cercana a las unidades de producción, par</w:t>
      </w:r>
      <w:r w:rsidR="00886555">
        <w:rPr>
          <w:rFonts w:asciiTheme="minorHAnsi" w:hAnsiTheme="minorHAnsi" w:cs="Arial"/>
          <w:noProof/>
          <w:sz w:val="24"/>
          <w:szCs w:val="24"/>
          <w:lang w:eastAsia="es-MX"/>
        </w:rPr>
        <w:t>a un período menor a seis meses.</w:t>
      </w:r>
    </w:p>
    <w:p w:rsidR="00D30DBE" w:rsidRDefault="00D30DBE" w:rsidP="00B603A3">
      <w:pPr>
        <w:pStyle w:val="Sinespaciado"/>
        <w:spacing w:line="276" w:lineRule="auto"/>
        <w:jc w:val="both"/>
        <w:rPr>
          <w:rFonts w:asciiTheme="minorHAnsi" w:hAnsiTheme="minorHAnsi" w:cs="Arial"/>
          <w:noProof/>
          <w:sz w:val="24"/>
          <w:szCs w:val="24"/>
          <w:lang w:eastAsia="es-MX"/>
        </w:rPr>
      </w:pPr>
    </w:p>
    <w:p w:rsidR="00886555" w:rsidRDefault="00886555" w:rsidP="00886555">
      <w:pPr>
        <w:pStyle w:val="Sinespaciado"/>
        <w:spacing w:line="276" w:lineRule="auto"/>
        <w:outlineLvl w:val="1"/>
        <w:rPr>
          <w:rFonts w:asciiTheme="minorHAnsi" w:hAnsiTheme="minorHAnsi" w:cs="Arial"/>
          <w:b/>
          <w:noProof/>
          <w:sz w:val="24"/>
          <w:szCs w:val="24"/>
          <w:lang w:eastAsia="es-MX"/>
        </w:rPr>
      </w:pPr>
      <w:bookmarkStart w:id="19" w:name="_Toc405991121"/>
      <w:bookmarkStart w:id="20" w:name="_Toc421688914"/>
      <w:r w:rsidRPr="00886555">
        <w:rPr>
          <w:rFonts w:asciiTheme="minorHAnsi" w:hAnsiTheme="minorHAnsi" w:cs="Arial"/>
          <w:b/>
          <w:noProof/>
          <w:sz w:val="24"/>
          <w:szCs w:val="24"/>
          <w:lang w:eastAsia="es-MX"/>
        </w:rPr>
        <w:t>3.2</w:t>
      </w:r>
      <w:r w:rsidR="006C7477" w:rsidRPr="00886555">
        <w:rPr>
          <w:rFonts w:asciiTheme="minorHAnsi" w:hAnsiTheme="minorHAnsi" w:cs="Arial"/>
          <w:b/>
          <w:noProof/>
          <w:sz w:val="24"/>
          <w:szCs w:val="24"/>
          <w:lang w:eastAsia="es-MX"/>
        </w:rPr>
        <w:t xml:space="preserve"> </w:t>
      </w:r>
      <w:bookmarkEnd w:id="19"/>
      <w:bookmarkEnd w:id="20"/>
      <w:r w:rsidRPr="00886555">
        <w:rPr>
          <w:rFonts w:asciiTheme="minorHAnsi" w:hAnsiTheme="minorHAnsi" w:cs="Arial"/>
          <w:b/>
          <w:noProof/>
          <w:sz w:val="24"/>
          <w:szCs w:val="24"/>
          <w:lang w:eastAsia="es-MX"/>
        </w:rPr>
        <w:t>Aplicación de encuestas</w:t>
      </w:r>
    </w:p>
    <w:p w:rsidR="00886555" w:rsidRDefault="00886555" w:rsidP="00886555">
      <w:pPr>
        <w:pStyle w:val="Sinespaciado"/>
        <w:spacing w:line="276" w:lineRule="auto"/>
        <w:outlineLvl w:val="1"/>
        <w:rPr>
          <w:rFonts w:asciiTheme="minorHAnsi" w:hAnsiTheme="minorHAnsi" w:cs="Arial"/>
          <w:b/>
          <w:noProof/>
          <w:sz w:val="24"/>
          <w:szCs w:val="24"/>
          <w:lang w:eastAsia="es-MX"/>
        </w:rPr>
      </w:pPr>
    </w:p>
    <w:p w:rsidR="006C7477" w:rsidRPr="00886555" w:rsidRDefault="006C7477" w:rsidP="00886555">
      <w:pPr>
        <w:pStyle w:val="Sinespaciado"/>
        <w:spacing w:line="276" w:lineRule="auto"/>
        <w:jc w:val="both"/>
        <w:outlineLvl w:val="1"/>
        <w:rPr>
          <w:rFonts w:asciiTheme="minorHAnsi" w:hAnsiTheme="minorHAnsi" w:cs="Arial"/>
          <w:noProof/>
          <w:sz w:val="24"/>
          <w:szCs w:val="24"/>
          <w:lang w:eastAsia="es-MX"/>
        </w:rPr>
      </w:pPr>
      <w:r w:rsidRPr="00886555">
        <w:rPr>
          <w:rFonts w:asciiTheme="minorHAnsi" w:hAnsiTheme="minorHAnsi" w:cs="Arial"/>
          <w:noProof/>
          <w:sz w:val="24"/>
          <w:szCs w:val="24"/>
          <w:lang w:eastAsia="es-MX"/>
        </w:rPr>
        <w:t xml:space="preserve">Una vez conocida la zona de estudio se ha realizado una planeación para aplicar la metodología de las encuestas transversales, por medio de cuestionarios aplicados a la población, por conglomerados; el diseño de estos </w:t>
      </w:r>
      <w:r w:rsidR="00886555">
        <w:rPr>
          <w:rFonts w:asciiTheme="minorHAnsi" w:hAnsiTheme="minorHAnsi" w:cs="Arial"/>
          <w:noProof/>
          <w:sz w:val="24"/>
          <w:szCs w:val="24"/>
          <w:lang w:eastAsia="es-MX"/>
        </w:rPr>
        <w:t xml:space="preserve">se hizo por </w:t>
      </w:r>
      <w:r w:rsidRPr="00886555">
        <w:rPr>
          <w:rFonts w:asciiTheme="minorHAnsi" w:hAnsiTheme="minorHAnsi" w:cs="Arial"/>
          <w:noProof/>
          <w:sz w:val="24"/>
          <w:szCs w:val="24"/>
          <w:lang w:eastAsia="es-MX"/>
        </w:rPr>
        <w:t xml:space="preserve">Conglomerado </w:t>
      </w:r>
      <w:r w:rsidR="00886555">
        <w:rPr>
          <w:rFonts w:asciiTheme="minorHAnsi" w:hAnsiTheme="minorHAnsi" w:cs="Arial"/>
          <w:noProof/>
          <w:sz w:val="24"/>
          <w:szCs w:val="24"/>
          <w:lang w:eastAsia="es-MX"/>
        </w:rPr>
        <w:t xml:space="preserve">para </w:t>
      </w:r>
      <w:r w:rsidRPr="00886555">
        <w:rPr>
          <w:rFonts w:asciiTheme="minorHAnsi" w:hAnsiTheme="minorHAnsi" w:cs="Arial"/>
          <w:noProof/>
          <w:sz w:val="24"/>
          <w:szCs w:val="24"/>
          <w:lang w:eastAsia="es-MX"/>
        </w:rPr>
        <w:t xml:space="preserve">los Floricultores, Médicos, Académicos, </w:t>
      </w:r>
      <w:r w:rsidR="00886555">
        <w:rPr>
          <w:rFonts w:asciiTheme="minorHAnsi" w:hAnsiTheme="minorHAnsi" w:cs="Arial"/>
          <w:noProof/>
          <w:sz w:val="24"/>
          <w:szCs w:val="24"/>
          <w:lang w:eastAsia="es-MX"/>
        </w:rPr>
        <w:t xml:space="preserve">la Población en general </w:t>
      </w:r>
      <w:r w:rsidRPr="00886555">
        <w:rPr>
          <w:rFonts w:asciiTheme="minorHAnsi" w:hAnsiTheme="minorHAnsi" w:cs="Arial"/>
          <w:noProof/>
          <w:sz w:val="24"/>
          <w:szCs w:val="24"/>
          <w:lang w:eastAsia="es-MX"/>
        </w:rPr>
        <w:t>.</w:t>
      </w:r>
    </w:p>
    <w:p w:rsidR="006C7477" w:rsidRPr="00886555" w:rsidRDefault="006C7477" w:rsidP="00886555">
      <w:pPr>
        <w:pStyle w:val="Sinespaciado"/>
        <w:spacing w:line="276" w:lineRule="auto"/>
        <w:jc w:val="both"/>
        <w:rPr>
          <w:rFonts w:asciiTheme="minorHAnsi" w:hAnsiTheme="minorHAnsi" w:cs="Arial"/>
          <w:noProof/>
          <w:sz w:val="24"/>
          <w:szCs w:val="24"/>
          <w:lang w:eastAsia="es-MX"/>
        </w:rPr>
      </w:pPr>
    </w:p>
    <w:p w:rsidR="006C7477" w:rsidRDefault="006C7477" w:rsidP="00886555">
      <w:pPr>
        <w:pStyle w:val="Sinespaciado"/>
        <w:spacing w:line="276" w:lineRule="auto"/>
        <w:jc w:val="both"/>
        <w:rPr>
          <w:rFonts w:asciiTheme="minorHAnsi" w:hAnsiTheme="minorHAnsi" w:cs="Arial"/>
          <w:noProof/>
          <w:sz w:val="24"/>
          <w:szCs w:val="24"/>
          <w:lang w:eastAsia="es-MX"/>
        </w:rPr>
      </w:pPr>
      <w:r w:rsidRPr="00886555">
        <w:rPr>
          <w:rFonts w:asciiTheme="minorHAnsi" w:hAnsiTheme="minorHAnsi" w:cs="Arial"/>
          <w:noProof/>
          <w:sz w:val="24"/>
          <w:szCs w:val="24"/>
          <w:lang w:eastAsia="es-MX"/>
        </w:rPr>
        <w:t>Tales diseños se han alineado con el segundo objetivo de la presente investigación, que busca la percepción social, cultural y ambiental de los habitantes respecto al uso de plaguicidas, así como sus efectos en la salud</w:t>
      </w:r>
      <w:r w:rsidR="00886555">
        <w:rPr>
          <w:rFonts w:asciiTheme="minorHAnsi" w:hAnsiTheme="minorHAnsi" w:cs="Arial"/>
          <w:noProof/>
          <w:sz w:val="24"/>
          <w:szCs w:val="24"/>
          <w:lang w:eastAsia="es-MX"/>
        </w:rPr>
        <w:t xml:space="preserve"> humana y afectación ambiental.</w:t>
      </w:r>
    </w:p>
    <w:p w:rsidR="00886555" w:rsidRPr="00886555" w:rsidRDefault="00886555" w:rsidP="00886555">
      <w:pPr>
        <w:pStyle w:val="Sinespaciado"/>
        <w:spacing w:line="276" w:lineRule="auto"/>
        <w:jc w:val="both"/>
        <w:rPr>
          <w:rFonts w:asciiTheme="minorHAnsi" w:hAnsiTheme="minorHAnsi" w:cs="Arial"/>
          <w:noProof/>
          <w:sz w:val="24"/>
          <w:szCs w:val="24"/>
          <w:lang w:eastAsia="es-MX"/>
        </w:rPr>
      </w:pPr>
    </w:p>
    <w:p w:rsidR="006C7477" w:rsidRPr="00886555" w:rsidRDefault="006C7477" w:rsidP="00886555">
      <w:pPr>
        <w:jc w:val="both"/>
        <w:rPr>
          <w:rFonts w:asciiTheme="minorHAnsi" w:hAnsiTheme="minorHAnsi" w:cs="Arial"/>
          <w:noProof/>
          <w:sz w:val="24"/>
          <w:szCs w:val="24"/>
          <w:lang w:eastAsia="es-MX"/>
        </w:rPr>
      </w:pPr>
      <w:r w:rsidRPr="00886555">
        <w:rPr>
          <w:rFonts w:asciiTheme="minorHAnsi" w:hAnsiTheme="minorHAnsi" w:cs="Arial"/>
          <w:noProof/>
          <w:sz w:val="24"/>
          <w:szCs w:val="24"/>
          <w:lang w:eastAsia="es-MX"/>
        </w:rPr>
        <w:t>Dichos cuestionarios fueron construidos y desarrollados bajo la dirección de los doctores Tonatiuh Romero y Miguel Ángel Albores (CIRA), y aplicados en trabajo de campo por la alumna Mtra. Rosa Estela Hernández, entre febrero del 2014 a abril del 2015.</w:t>
      </w:r>
      <w:r w:rsidR="00886555">
        <w:rPr>
          <w:rFonts w:asciiTheme="minorHAnsi" w:hAnsiTheme="minorHAnsi" w:cs="Arial"/>
          <w:noProof/>
          <w:sz w:val="24"/>
          <w:szCs w:val="24"/>
          <w:lang w:eastAsia="es-MX"/>
        </w:rPr>
        <w:t xml:space="preserve"> </w:t>
      </w:r>
      <w:r w:rsidRPr="00886555">
        <w:rPr>
          <w:rFonts w:asciiTheme="minorHAnsi" w:hAnsiTheme="minorHAnsi" w:cs="Arial"/>
          <w:noProof/>
          <w:sz w:val="24"/>
          <w:szCs w:val="24"/>
          <w:lang w:eastAsia="es-MX"/>
        </w:rPr>
        <w:t>Dicho periodo de tiempo correspondió desde el pilotaje hasta la corrección y   aplicación definitiva.</w:t>
      </w:r>
    </w:p>
    <w:p w:rsidR="006C7477" w:rsidRPr="00886555" w:rsidRDefault="006C7477" w:rsidP="00886555">
      <w:pPr>
        <w:jc w:val="both"/>
        <w:rPr>
          <w:rFonts w:asciiTheme="minorHAnsi" w:hAnsiTheme="minorHAnsi" w:cs="Arial"/>
          <w:noProof/>
          <w:sz w:val="24"/>
          <w:szCs w:val="24"/>
          <w:lang w:eastAsia="es-MX"/>
        </w:rPr>
      </w:pPr>
      <w:r w:rsidRPr="00886555">
        <w:rPr>
          <w:rFonts w:asciiTheme="minorHAnsi" w:hAnsiTheme="minorHAnsi" w:cs="Arial"/>
          <w:noProof/>
          <w:sz w:val="24"/>
          <w:szCs w:val="24"/>
          <w:lang w:eastAsia="es-MX"/>
        </w:rPr>
        <w:t>Los instrumentos fueron divididos por aglomerados sociales o grupo de actores (4), que fueron: académicos, floricultores, médicos y población.</w:t>
      </w:r>
    </w:p>
    <w:p w:rsidR="006C7477" w:rsidRPr="00886555" w:rsidRDefault="006C7477" w:rsidP="00886555">
      <w:pPr>
        <w:jc w:val="both"/>
        <w:rPr>
          <w:rFonts w:asciiTheme="minorHAnsi" w:hAnsiTheme="minorHAnsi" w:cs="Arial"/>
          <w:noProof/>
          <w:sz w:val="24"/>
          <w:szCs w:val="24"/>
          <w:lang w:eastAsia="es-MX"/>
        </w:rPr>
      </w:pPr>
      <w:r w:rsidRPr="00886555">
        <w:rPr>
          <w:rFonts w:asciiTheme="minorHAnsi" w:hAnsiTheme="minorHAnsi" w:cs="Arial"/>
          <w:noProof/>
          <w:sz w:val="24"/>
          <w:szCs w:val="24"/>
          <w:lang w:eastAsia="es-MX"/>
        </w:rPr>
        <w:t>En total se aplicaron aproximadamente 50 cuestionarios, divididos entre los cuatro tipos de actores.</w:t>
      </w:r>
      <w:r w:rsidR="00886555">
        <w:rPr>
          <w:rFonts w:asciiTheme="minorHAnsi" w:hAnsiTheme="minorHAnsi" w:cs="Arial"/>
          <w:noProof/>
          <w:sz w:val="24"/>
          <w:szCs w:val="24"/>
          <w:lang w:eastAsia="es-MX"/>
        </w:rPr>
        <w:t xml:space="preserve"> </w:t>
      </w:r>
      <w:r w:rsidRPr="00886555">
        <w:rPr>
          <w:rFonts w:asciiTheme="minorHAnsi" w:hAnsiTheme="minorHAnsi" w:cs="Arial"/>
          <w:noProof/>
          <w:sz w:val="24"/>
          <w:szCs w:val="24"/>
          <w:lang w:eastAsia="es-MX"/>
        </w:rPr>
        <w:t>Cada uno de ellos midió la percepción atribuible de enfermedad por plaguicidas.</w:t>
      </w:r>
    </w:p>
    <w:p w:rsidR="006C7477" w:rsidRDefault="006C7477" w:rsidP="006C7477">
      <w:pPr>
        <w:pStyle w:val="Sinespaciado"/>
        <w:spacing w:line="276" w:lineRule="auto"/>
        <w:jc w:val="both"/>
        <w:rPr>
          <w:rFonts w:ascii="Arial" w:hAnsi="Arial" w:cs="Arial"/>
        </w:rPr>
      </w:pPr>
    </w:p>
    <w:p w:rsidR="006C7477" w:rsidRPr="00B91B45" w:rsidRDefault="00886555" w:rsidP="00B91B45">
      <w:pPr>
        <w:jc w:val="both"/>
        <w:rPr>
          <w:rFonts w:asciiTheme="minorHAnsi" w:hAnsiTheme="minorHAnsi" w:cs="Arial"/>
          <w:color w:val="000000"/>
          <w:sz w:val="24"/>
          <w:szCs w:val="24"/>
        </w:rPr>
      </w:pPr>
      <w:bookmarkStart w:id="21" w:name="_Toc418693520"/>
      <w:r w:rsidRPr="00B91B45">
        <w:rPr>
          <w:rFonts w:asciiTheme="minorHAnsi" w:hAnsiTheme="minorHAnsi" w:cs="Arial"/>
          <w:color w:val="000000"/>
          <w:sz w:val="24"/>
          <w:szCs w:val="24"/>
        </w:rPr>
        <w:t xml:space="preserve">Tabla 2. </w:t>
      </w:r>
      <w:r w:rsidR="006C7477" w:rsidRPr="00B91B45">
        <w:rPr>
          <w:rFonts w:asciiTheme="minorHAnsi" w:hAnsiTheme="minorHAnsi" w:cs="Arial"/>
          <w:color w:val="000000"/>
          <w:sz w:val="24"/>
          <w:szCs w:val="24"/>
        </w:rPr>
        <w:t>Tipo de percepción que atiende cada cuestionario</w:t>
      </w:r>
      <w:bookmarkEnd w:id="21"/>
    </w:p>
    <w:p w:rsidR="006C7477" w:rsidRPr="001744AC" w:rsidRDefault="006C7477" w:rsidP="006C7477">
      <w:pPr>
        <w:pStyle w:val="Sinespaciado"/>
        <w:jc w:val="center"/>
        <w:rPr>
          <w:rFonts w:ascii="Arial" w:hAnsi="Arial" w:cs="Arial"/>
          <w:b/>
          <w:color w:val="000000" w:themeColor="text1"/>
        </w:rPr>
      </w:pPr>
    </w:p>
    <w:tbl>
      <w:tblPr>
        <w:tblStyle w:val="Tablaconcuadrcula"/>
        <w:tblW w:w="0" w:type="auto"/>
        <w:jc w:val="center"/>
        <w:tblBorders>
          <w:top w:val="single" w:sz="4" w:space="0" w:color="76923C" w:themeColor="accent3" w:themeShade="BF"/>
          <w:left w:val="single" w:sz="4" w:space="0" w:color="76923C" w:themeColor="accent3" w:themeShade="BF"/>
          <w:bottom w:val="single" w:sz="4" w:space="0" w:color="76923C" w:themeColor="accent3" w:themeShade="BF"/>
          <w:right w:val="single" w:sz="4" w:space="0" w:color="76923C" w:themeColor="accent3" w:themeShade="BF"/>
          <w:insideH w:val="single" w:sz="4" w:space="0" w:color="76923C" w:themeColor="accent3" w:themeShade="BF"/>
          <w:insideV w:val="single" w:sz="4" w:space="0" w:color="76923C" w:themeColor="accent3" w:themeShade="BF"/>
        </w:tblBorders>
        <w:tblLook w:val="04A0" w:firstRow="1" w:lastRow="0" w:firstColumn="1" w:lastColumn="0" w:noHBand="0" w:noVBand="1"/>
      </w:tblPr>
      <w:tblGrid>
        <w:gridCol w:w="2951"/>
        <w:gridCol w:w="3276"/>
      </w:tblGrid>
      <w:tr w:rsidR="006C7477" w:rsidRPr="000C019B" w:rsidTr="009F45EE">
        <w:trPr>
          <w:jc w:val="center"/>
        </w:trPr>
        <w:tc>
          <w:tcPr>
            <w:tcW w:w="2951" w:type="dxa"/>
            <w:shd w:val="clear" w:color="auto" w:fill="EAF1DD" w:themeFill="accent3" w:themeFillTint="33"/>
            <w:vAlign w:val="center"/>
          </w:tcPr>
          <w:p w:rsidR="006C7477" w:rsidRPr="00886555" w:rsidRDefault="006C7477" w:rsidP="009F45EE">
            <w:pPr>
              <w:pStyle w:val="Sinespaciado"/>
              <w:spacing w:line="276" w:lineRule="auto"/>
              <w:jc w:val="center"/>
              <w:rPr>
                <w:rFonts w:asciiTheme="minorHAnsi" w:hAnsiTheme="minorHAnsi" w:cs="Arial"/>
                <w:b/>
                <w:noProof/>
                <w:sz w:val="24"/>
                <w:szCs w:val="24"/>
              </w:rPr>
            </w:pPr>
            <w:r w:rsidRPr="00886555">
              <w:rPr>
                <w:rFonts w:asciiTheme="minorHAnsi" w:hAnsiTheme="minorHAnsi" w:cs="Arial"/>
                <w:b/>
                <w:noProof/>
                <w:sz w:val="24"/>
                <w:szCs w:val="24"/>
              </w:rPr>
              <w:t>CUESTIONARIO APLICADO A:</w:t>
            </w:r>
          </w:p>
        </w:tc>
        <w:tc>
          <w:tcPr>
            <w:tcW w:w="3276" w:type="dxa"/>
            <w:shd w:val="clear" w:color="auto" w:fill="EAF1DD" w:themeFill="accent3" w:themeFillTint="33"/>
            <w:vAlign w:val="center"/>
          </w:tcPr>
          <w:p w:rsidR="006C7477" w:rsidRPr="00886555" w:rsidRDefault="006C7477" w:rsidP="009F45EE">
            <w:pPr>
              <w:pStyle w:val="Sinespaciado"/>
              <w:spacing w:line="276" w:lineRule="auto"/>
              <w:jc w:val="center"/>
              <w:rPr>
                <w:rFonts w:asciiTheme="minorHAnsi" w:hAnsiTheme="minorHAnsi" w:cs="Arial"/>
                <w:b/>
                <w:noProof/>
                <w:sz w:val="24"/>
                <w:szCs w:val="24"/>
              </w:rPr>
            </w:pPr>
            <w:r w:rsidRPr="00886555">
              <w:rPr>
                <w:rFonts w:asciiTheme="minorHAnsi" w:hAnsiTheme="minorHAnsi" w:cs="Arial"/>
                <w:b/>
                <w:noProof/>
                <w:sz w:val="24"/>
                <w:szCs w:val="24"/>
              </w:rPr>
              <w:t>RESPONDE A LA PERCEPCIÓN DE TIPO:</w:t>
            </w:r>
          </w:p>
        </w:tc>
      </w:tr>
      <w:tr w:rsidR="006C7477" w:rsidRPr="000C019B" w:rsidTr="009F45EE">
        <w:trPr>
          <w:jc w:val="center"/>
        </w:trPr>
        <w:tc>
          <w:tcPr>
            <w:tcW w:w="2951" w:type="dxa"/>
            <w:vAlign w:val="center"/>
          </w:tcPr>
          <w:p w:rsidR="006C7477" w:rsidRPr="00886555" w:rsidRDefault="006C7477" w:rsidP="009F45EE">
            <w:pPr>
              <w:pStyle w:val="Sinespaciado"/>
              <w:spacing w:line="276" w:lineRule="auto"/>
              <w:jc w:val="both"/>
              <w:rPr>
                <w:rFonts w:asciiTheme="minorHAnsi" w:hAnsiTheme="minorHAnsi" w:cs="Arial"/>
                <w:noProof/>
                <w:sz w:val="24"/>
                <w:szCs w:val="24"/>
              </w:rPr>
            </w:pPr>
            <w:r w:rsidRPr="00886555">
              <w:rPr>
                <w:rFonts w:asciiTheme="minorHAnsi" w:hAnsiTheme="minorHAnsi" w:cs="Arial"/>
                <w:noProof/>
                <w:sz w:val="24"/>
                <w:szCs w:val="24"/>
              </w:rPr>
              <w:t>Población en general</w:t>
            </w:r>
          </w:p>
        </w:tc>
        <w:tc>
          <w:tcPr>
            <w:tcW w:w="3276" w:type="dxa"/>
            <w:vAlign w:val="center"/>
          </w:tcPr>
          <w:p w:rsidR="006C7477" w:rsidRPr="00886555" w:rsidRDefault="006C7477" w:rsidP="009F45EE">
            <w:pPr>
              <w:pStyle w:val="Sinespaciado"/>
              <w:spacing w:line="276" w:lineRule="auto"/>
              <w:jc w:val="both"/>
              <w:rPr>
                <w:rFonts w:asciiTheme="minorHAnsi" w:hAnsiTheme="minorHAnsi" w:cs="Arial"/>
                <w:noProof/>
                <w:sz w:val="24"/>
                <w:szCs w:val="24"/>
              </w:rPr>
            </w:pPr>
            <w:r w:rsidRPr="00886555">
              <w:rPr>
                <w:rFonts w:asciiTheme="minorHAnsi" w:hAnsiTheme="minorHAnsi" w:cs="Arial"/>
                <w:noProof/>
                <w:sz w:val="24"/>
                <w:szCs w:val="24"/>
              </w:rPr>
              <w:t>Social y cultural</w:t>
            </w:r>
          </w:p>
        </w:tc>
      </w:tr>
      <w:tr w:rsidR="006C7477" w:rsidRPr="000C019B" w:rsidTr="009F45EE">
        <w:trPr>
          <w:jc w:val="center"/>
        </w:trPr>
        <w:tc>
          <w:tcPr>
            <w:tcW w:w="2951" w:type="dxa"/>
            <w:vAlign w:val="center"/>
          </w:tcPr>
          <w:p w:rsidR="006C7477" w:rsidRPr="00886555" w:rsidRDefault="006C7477" w:rsidP="009F45EE">
            <w:pPr>
              <w:pStyle w:val="Sinespaciado"/>
              <w:spacing w:line="276" w:lineRule="auto"/>
              <w:jc w:val="both"/>
              <w:rPr>
                <w:rFonts w:asciiTheme="minorHAnsi" w:hAnsiTheme="minorHAnsi" w:cs="Arial"/>
                <w:noProof/>
                <w:sz w:val="24"/>
                <w:szCs w:val="24"/>
              </w:rPr>
            </w:pPr>
            <w:r w:rsidRPr="00886555">
              <w:rPr>
                <w:rFonts w:asciiTheme="minorHAnsi" w:hAnsiTheme="minorHAnsi" w:cs="Arial"/>
                <w:noProof/>
                <w:sz w:val="24"/>
                <w:szCs w:val="24"/>
              </w:rPr>
              <w:t>Sector gubernamental</w:t>
            </w:r>
          </w:p>
        </w:tc>
        <w:tc>
          <w:tcPr>
            <w:tcW w:w="3276" w:type="dxa"/>
            <w:vAlign w:val="center"/>
          </w:tcPr>
          <w:p w:rsidR="006C7477" w:rsidRPr="00886555" w:rsidRDefault="006C7477" w:rsidP="009F45EE">
            <w:pPr>
              <w:pStyle w:val="Sinespaciado"/>
              <w:spacing w:line="276" w:lineRule="auto"/>
              <w:jc w:val="both"/>
              <w:rPr>
                <w:rFonts w:asciiTheme="minorHAnsi" w:hAnsiTheme="minorHAnsi" w:cs="Arial"/>
                <w:noProof/>
                <w:sz w:val="24"/>
                <w:szCs w:val="24"/>
              </w:rPr>
            </w:pPr>
            <w:r w:rsidRPr="00886555">
              <w:rPr>
                <w:rFonts w:asciiTheme="minorHAnsi" w:hAnsiTheme="minorHAnsi" w:cs="Arial"/>
                <w:noProof/>
                <w:sz w:val="24"/>
                <w:szCs w:val="24"/>
              </w:rPr>
              <w:t xml:space="preserve">Ambiental </w:t>
            </w:r>
          </w:p>
        </w:tc>
      </w:tr>
      <w:tr w:rsidR="006C7477" w:rsidRPr="000C019B" w:rsidTr="009F45EE">
        <w:trPr>
          <w:jc w:val="center"/>
        </w:trPr>
        <w:tc>
          <w:tcPr>
            <w:tcW w:w="2951" w:type="dxa"/>
            <w:vAlign w:val="center"/>
          </w:tcPr>
          <w:p w:rsidR="006C7477" w:rsidRPr="00886555" w:rsidRDefault="006C7477" w:rsidP="009F45EE">
            <w:pPr>
              <w:pStyle w:val="Sinespaciado"/>
              <w:spacing w:line="276" w:lineRule="auto"/>
              <w:jc w:val="both"/>
              <w:rPr>
                <w:rFonts w:asciiTheme="minorHAnsi" w:hAnsiTheme="minorHAnsi" w:cs="Arial"/>
                <w:noProof/>
                <w:sz w:val="24"/>
                <w:szCs w:val="24"/>
              </w:rPr>
            </w:pPr>
            <w:r w:rsidRPr="00886555">
              <w:rPr>
                <w:rFonts w:asciiTheme="minorHAnsi" w:hAnsiTheme="minorHAnsi" w:cs="Arial"/>
                <w:noProof/>
                <w:sz w:val="24"/>
                <w:szCs w:val="24"/>
              </w:rPr>
              <w:t>Académicos</w:t>
            </w:r>
          </w:p>
        </w:tc>
        <w:tc>
          <w:tcPr>
            <w:tcW w:w="3276" w:type="dxa"/>
            <w:vAlign w:val="center"/>
          </w:tcPr>
          <w:p w:rsidR="006C7477" w:rsidRPr="00886555" w:rsidRDefault="006C7477" w:rsidP="009F45EE">
            <w:pPr>
              <w:pStyle w:val="Sinespaciado"/>
              <w:spacing w:line="276" w:lineRule="auto"/>
              <w:jc w:val="both"/>
              <w:rPr>
                <w:rFonts w:asciiTheme="minorHAnsi" w:hAnsiTheme="minorHAnsi" w:cs="Arial"/>
                <w:noProof/>
                <w:sz w:val="24"/>
                <w:szCs w:val="24"/>
              </w:rPr>
            </w:pPr>
            <w:r w:rsidRPr="00886555">
              <w:rPr>
                <w:rFonts w:asciiTheme="minorHAnsi" w:hAnsiTheme="minorHAnsi" w:cs="Arial"/>
                <w:noProof/>
                <w:sz w:val="24"/>
                <w:szCs w:val="24"/>
              </w:rPr>
              <w:t>Cultural</w:t>
            </w:r>
          </w:p>
        </w:tc>
      </w:tr>
      <w:tr w:rsidR="006C7477" w:rsidRPr="000C019B" w:rsidTr="009F45EE">
        <w:trPr>
          <w:jc w:val="center"/>
        </w:trPr>
        <w:tc>
          <w:tcPr>
            <w:tcW w:w="2951" w:type="dxa"/>
            <w:vAlign w:val="center"/>
          </w:tcPr>
          <w:p w:rsidR="006C7477" w:rsidRPr="00886555" w:rsidRDefault="006C7477" w:rsidP="009F45EE">
            <w:pPr>
              <w:pStyle w:val="Sinespaciado"/>
              <w:spacing w:line="276" w:lineRule="auto"/>
              <w:jc w:val="both"/>
              <w:rPr>
                <w:rFonts w:asciiTheme="minorHAnsi" w:hAnsiTheme="minorHAnsi" w:cs="Arial"/>
                <w:noProof/>
                <w:sz w:val="24"/>
                <w:szCs w:val="24"/>
              </w:rPr>
            </w:pPr>
            <w:r w:rsidRPr="00886555">
              <w:rPr>
                <w:rFonts w:asciiTheme="minorHAnsi" w:hAnsiTheme="minorHAnsi" w:cs="Arial"/>
                <w:noProof/>
                <w:sz w:val="24"/>
                <w:szCs w:val="24"/>
              </w:rPr>
              <w:t>Floricultores</w:t>
            </w:r>
          </w:p>
        </w:tc>
        <w:tc>
          <w:tcPr>
            <w:tcW w:w="3276" w:type="dxa"/>
            <w:vAlign w:val="center"/>
          </w:tcPr>
          <w:p w:rsidR="006C7477" w:rsidRPr="00886555" w:rsidRDefault="006C7477" w:rsidP="009F45EE">
            <w:pPr>
              <w:pStyle w:val="Sinespaciado"/>
              <w:spacing w:line="276" w:lineRule="auto"/>
              <w:jc w:val="both"/>
              <w:rPr>
                <w:rFonts w:asciiTheme="minorHAnsi" w:hAnsiTheme="minorHAnsi" w:cs="Arial"/>
                <w:noProof/>
                <w:sz w:val="24"/>
                <w:szCs w:val="24"/>
              </w:rPr>
            </w:pPr>
            <w:r w:rsidRPr="00886555">
              <w:rPr>
                <w:rFonts w:asciiTheme="minorHAnsi" w:hAnsiTheme="minorHAnsi" w:cs="Arial"/>
                <w:noProof/>
                <w:sz w:val="24"/>
                <w:szCs w:val="24"/>
              </w:rPr>
              <w:t>Ambiental, social y cultural</w:t>
            </w:r>
          </w:p>
        </w:tc>
      </w:tr>
      <w:tr w:rsidR="006C7477" w:rsidRPr="000C019B" w:rsidTr="009F45EE">
        <w:trPr>
          <w:jc w:val="center"/>
        </w:trPr>
        <w:tc>
          <w:tcPr>
            <w:tcW w:w="2951" w:type="dxa"/>
            <w:vAlign w:val="center"/>
          </w:tcPr>
          <w:p w:rsidR="006C7477" w:rsidRPr="00886555" w:rsidRDefault="006C7477" w:rsidP="009F45EE">
            <w:pPr>
              <w:pStyle w:val="Sinespaciado"/>
              <w:spacing w:line="276" w:lineRule="auto"/>
              <w:jc w:val="both"/>
              <w:rPr>
                <w:rFonts w:asciiTheme="minorHAnsi" w:hAnsiTheme="minorHAnsi" w:cs="Arial"/>
                <w:noProof/>
                <w:sz w:val="24"/>
                <w:szCs w:val="24"/>
              </w:rPr>
            </w:pPr>
            <w:r w:rsidRPr="00886555">
              <w:rPr>
                <w:rFonts w:asciiTheme="minorHAnsi" w:hAnsiTheme="minorHAnsi" w:cs="Arial"/>
                <w:noProof/>
                <w:sz w:val="24"/>
                <w:szCs w:val="24"/>
              </w:rPr>
              <w:t>Médicos</w:t>
            </w:r>
          </w:p>
        </w:tc>
        <w:tc>
          <w:tcPr>
            <w:tcW w:w="3276" w:type="dxa"/>
            <w:vAlign w:val="center"/>
          </w:tcPr>
          <w:p w:rsidR="006C7477" w:rsidRPr="00886555" w:rsidRDefault="006C7477" w:rsidP="009F45EE">
            <w:pPr>
              <w:pStyle w:val="Sinespaciado"/>
              <w:spacing w:line="276" w:lineRule="auto"/>
              <w:jc w:val="both"/>
              <w:rPr>
                <w:rFonts w:asciiTheme="minorHAnsi" w:hAnsiTheme="minorHAnsi" w:cs="Arial"/>
                <w:noProof/>
                <w:sz w:val="24"/>
                <w:szCs w:val="24"/>
              </w:rPr>
            </w:pPr>
            <w:r w:rsidRPr="00886555">
              <w:rPr>
                <w:rFonts w:asciiTheme="minorHAnsi" w:hAnsiTheme="minorHAnsi" w:cs="Arial"/>
                <w:noProof/>
                <w:sz w:val="24"/>
                <w:szCs w:val="24"/>
              </w:rPr>
              <w:t xml:space="preserve">Social </w:t>
            </w:r>
          </w:p>
        </w:tc>
      </w:tr>
    </w:tbl>
    <w:p w:rsidR="006C7477" w:rsidRPr="00886555" w:rsidRDefault="006C7477" w:rsidP="006C7477">
      <w:pPr>
        <w:pStyle w:val="Sinespaciado"/>
        <w:spacing w:line="276" w:lineRule="auto"/>
        <w:jc w:val="center"/>
        <w:rPr>
          <w:rFonts w:asciiTheme="minorHAnsi" w:hAnsiTheme="minorHAnsi" w:cs="Arial"/>
          <w:noProof/>
          <w:sz w:val="24"/>
          <w:szCs w:val="24"/>
          <w:lang w:eastAsia="es-MX"/>
        </w:rPr>
      </w:pPr>
      <w:r w:rsidRPr="00886555">
        <w:rPr>
          <w:rFonts w:asciiTheme="minorHAnsi" w:hAnsiTheme="minorHAnsi" w:cs="Arial"/>
          <w:noProof/>
          <w:sz w:val="24"/>
          <w:szCs w:val="24"/>
          <w:lang w:eastAsia="es-MX"/>
        </w:rPr>
        <w:t>Fuente: Elaboración propia, 2015.</w:t>
      </w:r>
    </w:p>
    <w:p w:rsidR="00D30DBE" w:rsidRDefault="00D30DBE" w:rsidP="00B603A3">
      <w:pPr>
        <w:pStyle w:val="Sinespaciado"/>
        <w:spacing w:line="276" w:lineRule="auto"/>
        <w:jc w:val="both"/>
        <w:rPr>
          <w:rFonts w:asciiTheme="minorHAnsi" w:hAnsiTheme="minorHAnsi" w:cs="Arial"/>
          <w:noProof/>
          <w:sz w:val="24"/>
          <w:szCs w:val="24"/>
          <w:lang w:eastAsia="es-MX"/>
        </w:rPr>
      </w:pPr>
    </w:p>
    <w:p w:rsidR="00D30DBE" w:rsidRDefault="00D30DBE" w:rsidP="00B603A3">
      <w:pPr>
        <w:pStyle w:val="Sinespaciado"/>
        <w:spacing w:line="276" w:lineRule="auto"/>
        <w:jc w:val="both"/>
        <w:rPr>
          <w:rFonts w:asciiTheme="minorHAnsi" w:hAnsiTheme="minorHAnsi" w:cs="Arial"/>
          <w:noProof/>
          <w:sz w:val="24"/>
          <w:szCs w:val="24"/>
          <w:lang w:eastAsia="es-MX"/>
        </w:rPr>
      </w:pPr>
    </w:p>
    <w:p w:rsidR="006C7477" w:rsidRPr="00145AC5" w:rsidRDefault="006C7477" w:rsidP="006C7477">
      <w:pPr>
        <w:pStyle w:val="Sinespaciado"/>
        <w:spacing w:line="276" w:lineRule="auto"/>
        <w:jc w:val="both"/>
        <w:rPr>
          <w:rFonts w:ascii="Arial" w:hAnsi="Arial" w:cs="Arial"/>
          <w:sz w:val="4"/>
          <w:szCs w:val="4"/>
        </w:rPr>
      </w:pPr>
    </w:p>
    <w:p w:rsidR="00D30DBE" w:rsidRDefault="006C7477" w:rsidP="00A23306">
      <w:pPr>
        <w:pStyle w:val="Sinespaciado"/>
        <w:spacing w:line="276" w:lineRule="auto"/>
        <w:jc w:val="center"/>
        <w:rPr>
          <w:rFonts w:asciiTheme="minorHAnsi" w:hAnsiTheme="minorHAnsi" w:cs="Arial"/>
          <w:noProof/>
          <w:sz w:val="24"/>
          <w:szCs w:val="24"/>
          <w:lang w:eastAsia="es-MX"/>
        </w:rPr>
      </w:pPr>
      <w:r>
        <w:rPr>
          <w:rFonts w:ascii="Arial" w:hAnsi="Arial" w:cs="Arial"/>
          <w:noProof/>
          <w:lang w:eastAsia="es-MX"/>
        </w:rPr>
        <w:drawing>
          <wp:inline distT="0" distB="0" distL="0" distR="0" wp14:anchorId="0CADD360" wp14:editId="0392C6A5">
            <wp:extent cx="2336782" cy="2320505"/>
            <wp:effectExtent l="0" t="0" r="6985" b="3810"/>
            <wp:docPr id="139" name="Imagen 139" descr="C:\Users\SAMSUNG\Pictures\FOTOS\invernadero_tesis\entrevistas\7_villa gro 9abr15\DSC_01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SAMSUNG\Pictures\FOTOS\invernadero_tesis\entrevistas\7_villa gro 9abr15\DSC_0113.JP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24789" r="18616"/>
                    <a:stretch/>
                  </pic:blipFill>
                  <pic:spPr bwMode="auto">
                    <a:xfrm>
                      <a:off x="0" y="0"/>
                      <a:ext cx="2345230" cy="2328894"/>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Arial" w:hAnsi="Arial" w:cs="Arial"/>
          <w:noProof/>
          <w:lang w:eastAsia="es-MX"/>
        </w:rPr>
        <w:drawing>
          <wp:inline distT="0" distB="0" distL="0" distR="0" wp14:anchorId="6E1E1780" wp14:editId="13786CEF">
            <wp:extent cx="2293510" cy="1283583"/>
            <wp:effectExtent l="0" t="9525" r="2540" b="2540"/>
            <wp:docPr id="141" name="Imagen 141" descr="C:\Users\SAMSUNG\Pictures\FOTOS\invernadero_tesis\entrevistas\4_malinalco 16abr15\DSC_0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SAMSUNG\Pictures\FOTOS\invernadero_tesis\entrevistas\4_malinalco 16abr15\DSC_0200.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b="418"/>
                    <a:stretch/>
                  </pic:blipFill>
                  <pic:spPr bwMode="auto">
                    <a:xfrm rot="5400000">
                      <a:off x="0" y="0"/>
                      <a:ext cx="2293510" cy="1283583"/>
                    </a:xfrm>
                    <a:prstGeom prst="rect">
                      <a:avLst/>
                    </a:prstGeom>
                    <a:noFill/>
                    <a:ln>
                      <a:noFill/>
                    </a:ln>
                    <a:extLst>
                      <a:ext uri="{53640926-AAD7-44D8-BBD7-CCE9431645EC}">
                        <a14:shadowObscured xmlns:a14="http://schemas.microsoft.com/office/drawing/2010/main"/>
                      </a:ext>
                    </a:extLst>
                  </pic:spPr>
                </pic:pic>
              </a:graphicData>
            </a:graphic>
          </wp:inline>
        </w:drawing>
      </w:r>
    </w:p>
    <w:p w:rsidR="00D30DBE" w:rsidRDefault="00793382" w:rsidP="00793382">
      <w:pPr>
        <w:pStyle w:val="Sinespaciado"/>
        <w:spacing w:line="276" w:lineRule="auto"/>
        <w:jc w:val="center"/>
        <w:rPr>
          <w:rFonts w:asciiTheme="minorHAnsi" w:hAnsiTheme="minorHAnsi" w:cs="Arial"/>
          <w:noProof/>
          <w:sz w:val="24"/>
          <w:szCs w:val="24"/>
          <w:lang w:eastAsia="es-MX"/>
        </w:rPr>
      </w:pPr>
      <w:r>
        <w:rPr>
          <w:rFonts w:asciiTheme="minorHAnsi" w:hAnsiTheme="minorHAnsi" w:cs="Arial"/>
          <w:noProof/>
          <w:sz w:val="24"/>
          <w:szCs w:val="24"/>
          <w:lang w:eastAsia="es-MX"/>
        </w:rPr>
        <w:t>Figura 9. Fotografías de la p</w:t>
      </w:r>
      <w:r w:rsidR="006C7477" w:rsidRPr="00886555">
        <w:rPr>
          <w:rFonts w:asciiTheme="minorHAnsi" w:hAnsiTheme="minorHAnsi" w:cs="Arial"/>
          <w:noProof/>
          <w:sz w:val="24"/>
          <w:szCs w:val="24"/>
          <w:lang w:eastAsia="es-MX"/>
        </w:rPr>
        <w:t>resencia de niños cerca del área de cultivos</w:t>
      </w:r>
    </w:p>
    <w:p w:rsidR="00D30DBE" w:rsidRDefault="00D30DBE" w:rsidP="00B603A3">
      <w:pPr>
        <w:pStyle w:val="Sinespaciado"/>
        <w:spacing w:line="276" w:lineRule="auto"/>
        <w:jc w:val="both"/>
        <w:rPr>
          <w:rFonts w:asciiTheme="minorHAnsi" w:hAnsiTheme="minorHAnsi" w:cs="Arial"/>
          <w:noProof/>
          <w:sz w:val="24"/>
          <w:szCs w:val="24"/>
          <w:lang w:eastAsia="es-MX"/>
        </w:rPr>
      </w:pPr>
    </w:p>
    <w:p w:rsidR="00D30DBE" w:rsidRDefault="006C7477" w:rsidP="00B603A3">
      <w:pPr>
        <w:pStyle w:val="Sinespaciado"/>
        <w:spacing w:line="276" w:lineRule="auto"/>
        <w:jc w:val="both"/>
        <w:rPr>
          <w:rFonts w:asciiTheme="minorHAnsi" w:hAnsiTheme="minorHAnsi" w:cs="Arial"/>
          <w:noProof/>
          <w:sz w:val="24"/>
          <w:szCs w:val="24"/>
          <w:lang w:eastAsia="es-MX"/>
        </w:rPr>
      </w:pPr>
      <w:r>
        <w:rPr>
          <w:rFonts w:asciiTheme="minorHAnsi" w:hAnsiTheme="minorHAnsi" w:cs="Arial"/>
          <w:noProof/>
          <w:sz w:val="24"/>
          <w:szCs w:val="24"/>
          <w:lang w:eastAsia="es-MX"/>
        </w:rPr>
        <w:t>Entre los resultados más sobresalientes</w:t>
      </w:r>
      <w:r w:rsidR="00886555">
        <w:rPr>
          <w:rFonts w:asciiTheme="minorHAnsi" w:hAnsiTheme="minorHAnsi" w:cs="Arial"/>
          <w:noProof/>
          <w:sz w:val="24"/>
          <w:szCs w:val="24"/>
          <w:lang w:eastAsia="es-MX"/>
        </w:rPr>
        <w:t xml:space="preserve"> se encuentran:</w:t>
      </w:r>
    </w:p>
    <w:p w:rsidR="00886555" w:rsidRDefault="00886555" w:rsidP="006C7477">
      <w:pPr>
        <w:pStyle w:val="Sinespaciado"/>
        <w:spacing w:line="276" w:lineRule="auto"/>
        <w:jc w:val="both"/>
        <w:rPr>
          <w:rFonts w:asciiTheme="minorHAnsi" w:hAnsiTheme="minorHAnsi" w:cs="Arial"/>
          <w:noProof/>
          <w:sz w:val="24"/>
          <w:szCs w:val="24"/>
          <w:lang w:eastAsia="es-MX"/>
        </w:rPr>
      </w:pPr>
    </w:p>
    <w:p w:rsidR="006C7477" w:rsidRPr="00886555" w:rsidRDefault="006C7477" w:rsidP="006C7477">
      <w:pPr>
        <w:pStyle w:val="Sinespaciado"/>
        <w:spacing w:line="276" w:lineRule="auto"/>
        <w:jc w:val="both"/>
        <w:rPr>
          <w:rFonts w:asciiTheme="minorHAnsi" w:hAnsiTheme="minorHAnsi" w:cs="Arial"/>
          <w:noProof/>
          <w:sz w:val="24"/>
          <w:szCs w:val="24"/>
          <w:lang w:eastAsia="es-MX"/>
        </w:rPr>
      </w:pPr>
      <w:r w:rsidRPr="00886555">
        <w:rPr>
          <w:rFonts w:asciiTheme="minorHAnsi" w:hAnsiTheme="minorHAnsi" w:cs="Arial"/>
          <w:noProof/>
          <w:sz w:val="24"/>
          <w:szCs w:val="24"/>
          <w:lang w:eastAsia="es-MX"/>
        </w:rPr>
        <w:t>PARTICIPACIÓN DE LOS NIÑOS EN LA AGRICULTURA: al preguntar a las mujeres si a los niños se les incluye en la actividad agrícola, el 58.8% contestó que los niños antes de cumplir 10 años, ya se les han enseñado algunos procesos del cultivo, les compran su herramienta, por ejemplo una palita. El 23.5% afirmó que se incluye a los niños hasta después de los 10 años, para que ayuden a la familia a trabajar en sus ratos libres después</w:t>
      </w:r>
      <w:r w:rsidR="00793382">
        <w:rPr>
          <w:rFonts w:asciiTheme="minorHAnsi" w:hAnsiTheme="minorHAnsi" w:cs="Arial"/>
          <w:noProof/>
          <w:sz w:val="24"/>
          <w:szCs w:val="24"/>
          <w:lang w:eastAsia="es-MX"/>
        </w:rPr>
        <w:t xml:space="preserve"> de sus actividades académicas.</w:t>
      </w:r>
    </w:p>
    <w:p w:rsidR="006C7477" w:rsidRDefault="006C7477" w:rsidP="006C7477">
      <w:pPr>
        <w:pStyle w:val="Sinespaciado"/>
        <w:spacing w:line="276" w:lineRule="auto"/>
        <w:jc w:val="both"/>
        <w:rPr>
          <w:rFonts w:ascii="Arial" w:hAnsi="Arial" w:cs="Arial"/>
        </w:rPr>
      </w:pPr>
    </w:p>
    <w:tbl>
      <w:tblPr>
        <w:tblStyle w:val="Tablaconcuadrcula"/>
        <w:tblW w:w="0" w:type="auto"/>
        <w:tblBorders>
          <w:insideH w:val="none" w:sz="0" w:space="0" w:color="auto"/>
          <w:insideV w:val="none" w:sz="0" w:space="0" w:color="auto"/>
        </w:tblBorders>
        <w:tblLook w:val="04A0" w:firstRow="1" w:lastRow="0" w:firstColumn="1" w:lastColumn="0" w:noHBand="0" w:noVBand="1"/>
      </w:tblPr>
      <w:tblGrid>
        <w:gridCol w:w="3576"/>
        <w:gridCol w:w="5252"/>
      </w:tblGrid>
      <w:tr w:rsidR="006C7477" w:rsidTr="009F45EE">
        <w:tc>
          <w:tcPr>
            <w:tcW w:w="3698" w:type="dxa"/>
          </w:tcPr>
          <w:p w:rsidR="006C7477" w:rsidRDefault="006C7477" w:rsidP="009F45EE">
            <w:pPr>
              <w:pStyle w:val="Sinespaciado"/>
              <w:spacing w:line="276" w:lineRule="auto"/>
              <w:jc w:val="both"/>
              <w:rPr>
                <w:rFonts w:ascii="Arial" w:hAnsi="Arial" w:cs="Arial"/>
              </w:rPr>
            </w:pPr>
          </w:p>
          <w:tbl>
            <w:tblPr>
              <w:tblW w:w="3417" w:type="dxa"/>
              <w:tblInd w:w="55" w:type="dxa"/>
              <w:tblBorders>
                <w:top w:val="single" w:sz="4" w:space="0" w:color="76923C" w:themeColor="accent3" w:themeShade="BF"/>
                <w:left w:val="single" w:sz="4" w:space="0" w:color="76923C" w:themeColor="accent3" w:themeShade="BF"/>
                <w:bottom w:val="single" w:sz="4" w:space="0" w:color="76923C" w:themeColor="accent3" w:themeShade="BF"/>
                <w:right w:val="single" w:sz="4" w:space="0" w:color="76923C" w:themeColor="accent3" w:themeShade="BF"/>
                <w:insideH w:val="single" w:sz="4" w:space="0" w:color="76923C" w:themeColor="accent3" w:themeShade="BF"/>
                <w:insideV w:val="single" w:sz="4" w:space="0" w:color="76923C" w:themeColor="accent3" w:themeShade="BF"/>
              </w:tblBorders>
              <w:tblCellMar>
                <w:left w:w="70" w:type="dxa"/>
                <w:right w:w="70" w:type="dxa"/>
              </w:tblCellMar>
              <w:tblLook w:val="04A0" w:firstRow="1" w:lastRow="0" w:firstColumn="1" w:lastColumn="0" w:noHBand="0" w:noVBand="1"/>
            </w:tblPr>
            <w:tblGrid>
              <w:gridCol w:w="700"/>
              <w:gridCol w:w="550"/>
              <w:gridCol w:w="2045"/>
            </w:tblGrid>
            <w:tr w:rsidR="006C7477" w:rsidRPr="00167475" w:rsidTr="009F45EE">
              <w:trPr>
                <w:trHeight w:val="255"/>
              </w:trPr>
              <w:tc>
                <w:tcPr>
                  <w:tcW w:w="724" w:type="dxa"/>
                  <w:shd w:val="clear" w:color="auto" w:fill="EAF1DD" w:themeFill="accent3" w:themeFillTint="33"/>
                  <w:noWrap/>
                  <w:vAlign w:val="center"/>
                  <w:hideMark/>
                </w:tcPr>
                <w:p w:rsidR="006C7477" w:rsidRPr="00167475" w:rsidRDefault="006C7477" w:rsidP="009F45EE">
                  <w:pPr>
                    <w:pStyle w:val="Sinespaciado"/>
                    <w:jc w:val="center"/>
                    <w:rPr>
                      <w:rFonts w:ascii="Arial" w:hAnsi="Arial" w:cs="Arial"/>
                      <w:b/>
                      <w:sz w:val="16"/>
                      <w:szCs w:val="16"/>
                      <w:lang w:eastAsia="es-MX"/>
                    </w:rPr>
                  </w:pPr>
                  <w:r w:rsidRPr="00167475">
                    <w:rPr>
                      <w:rFonts w:ascii="Arial" w:hAnsi="Arial" w:cs="Arial"/>
                      <w:b/>
                      <w:sz w:val="16"/>
                      <w:szCs w:val="16"/>
                      <w:lang w:eastAsia="es-MX"/>
                    </w:rPr>
                    <w:t>N° ENTRV</w:t>
                  </w:r>
                </w:p>
              </w:tc>
              <w:tc>
                <w:tcPr>
                  <w:tcW w:w="567" w:type="dxa"/>
                  <w:shd w:val="clear" w:color="auto" w:fill="EAF1DD" w:themeFill="accent3" w:themeFillTint="33"/>
                  <w:noWrap/>
                  <w:vAlign w:val="center"/>
                  <w:hideMark/>
                </w:tcPr>
                <w:p w:rsidR="006C7477" w:rsidRPr="00167475" w:rsidRDefault="006C7477" w:rsidP="009F45EE">
                  <w:pPr>
                    <w:pStyle w:val="Sinespaciado"/>
                    <w:jc w:val="center"/>
                    <w:rPr>
                      <w:rFonts w:ascii="Arial" w:hAnsi="Arial" w:cs="Arial"/>
                      <w:b/>
                      <w:sz w:val="16"/>
                      <w:szCs w:val="16"/>
                      <w:lang w:eastAsia="es-MX"/>
                    </w:rPr>
                  </w:pPr>
                  <w:r w:rsidRPr="00167475">
                    <w:rPr>
                      <w:rFonts w:ascii="Arial" w:hAnsi="Arial" w:cs="Arial"/>
                      <w:b/>
                      <w:sz w:val="16"/>
                      <w:szCs w:val="16"/>
                      <w:lang w:eastAsia="es-MX"/>
                    </w:rPr>
                    <w:t>%</w:t>
                  </w:r>
                </w:p>
              </w:tc>
              <w:tc>
                <w:tcPr>
                  <w:tcW w:w="2126" w:type="dxa"/>
                  <w:shd w:val="clear" w:color="auto" w:fill="EAF1DD" w:themeFill="accent3" w:themeFillTint="33"/>
                  <w:noWrap/>
                  <w:vAlign w:val="center"/>
                  <w:hideMark/>
                </w:tcPr>
                <w:p w:rsidR="006C7477" w:rsidRPr="00167475" w:rsidRDefault="006C7477" w:rsidP="009F45EE">
                  <w:pPr>
                    <w:pStyle w:val="Sinespaciado"/>
                    <w:jc w:val="center"/>
                    <w:rPr>
                      <w:rFonts w:ascii="Arial" w:hAnsi="Arial" w:cs="Arial"/>
                      <w:b/>
                      <w:sz w:val="16"/>
                      <w:szCs w:val="16"/>
                      <w:lang w:eastAsia="es-MX"/>
                    </w:rPr>
                  </w:pPr>
                  <w:r w:rsidRPr="00167475">
                    <w:rPr>
                      <w:rFonts w:ascii="Arial" w:hAnsi="Arial" w:cs="Arial"/>
                      <w:b/>
                      <w:sz w:val="16"/>
                      <w:szCs w:val="16"/>
                      <w:lang w:eastAsia="es-MX"/>
                    </w:rPr>
                    <w:t>DESCRIPCIÓN</w:t>
                  </w:r>
                </w:p>
              </w:tc>
            </w:tr>
            <w:tr w:rsidR="006C7477" w:rsidRPr="00167475" w:rsidTr="009F45EE">
              <w:trPr>
                <w:trHeight w:val="300"/>
              </w:trPr>
              <w:tc>
                <w:tcPr>
                  <w:tcW w:w="724" w:type="dxa"/>
                  <w:shd w:val="clear" w:color="auto" w:fill="auto"/>
                  <w:vAlign w:val="center"/>
                  <w:hideMark/>
                </w:tcPr>
                <w:p w:rsidR="006C7477" w:rsidRPr="00167475" w:rsidRDefault="006C7477" w:rsidP="009F45EE">
                  <w:pPr>
                    <w:pStyle w:val="Sinespaciado"/>
                    <w:rPr>
                      <w:rFonts w:ascii="Arial" w:hAnsi="Arial" w:cs="Arial"/>
                      <w:color w:val="000000"/>
                      <w:sz w:val="16"/>
                      <w:szCs w:val="16"/>
                      <w:lang w:eastAsia="es-MX"/>
                    </w:rPr>
                  </w:pPr>
                  <w:r w:rsidRPr="00167475">
                    <w:rPr>
                      <w:rFonts w:ascii="Arial" w:hAnsi="Arial" w:cs="Arial"/>
                      <w:color w:val="000000"/>
                      <w:sz w:val="16"/>
                      <w:szCs w:val="16"/>
                      <w:lang w:eastAsia="es-MX"/>
                    </w:rPr>
                    <w:t>10</w:t>
                  </w:r>
                </w:p>
              </w:tc>
              <w:tc>
                <w:tcPr>
                  <w:tcW w:w="567" w:type="dxa"/>
                  <w:shd w:val="clear" w:color="auto" w:fill="auto"/>
                  <w:vAlign w:val="center"/>
                  <w:hideMark/>
                </w:tcPr>
                <w:p w:rsidR="006C7477" w:rsidRPr="00167475" w:rsidRDefault="006C7477" w:rsidP="009F45EE">
                  <w:pPr>
                    <w:pStyle w:val="Sinespaciado"/>
                    <w:rPr>
                      <w:rFonts w:ascii="Arial" w:hAnsi="Arial" w:cs="Arial"/>
                      <w:color w:val="000000"/>
                      <w:sz w:val="16"/>
                      <w:szCs w:val="16"/>
                      <w:lang w:eastAsia="es-MX"/>
                    </w:rPr>
                  </w:pPr>
                  <w:r w:rsidRPr="00167475">
                    <w:rPr>
                      <w:rFonts w:ascii="Arial" w:hAnsi="Arial" w:cs="Arial"/>
                      <w:color w:val="000000"/>
                      <w:sz w:val="16"/>
                      <w:szCs w:val="16"/>
                      <w:lang w:eastAsia="es-MX"/>
                    </w:rPr>
                    <w:t>58.8</w:t>
                  </w:r>
                </w:p>
              </w:tc>
              <w:tc>
                <w:tcPr>
                  <w:tcW w:w="2126" w:type="dxa"/>
                  <w:shd w:val="clear" w:color="auto" w:fill="auto"/>
                  <w:vAlign w:val="center"/>
                  <w:hideMark/>
                </w:tcPr>
                <w:p w:rsidR="006C7477" w:rsidRPr="00167475" w:rsidRDefault="006C7477" w:rsidP="009F45EE">
                  <w:pPr>
                    <w:pStyle w:val="Sinespaciado"/>
                    <w:rPr>
                      <w:rFonts w:ascii="Arial" w:hAnsi="Arial" w:cs="Arial"/>
                      <w:color w:val="000000"/>
                      <w:sz w:val="16"/>
                      <w:szCs w:val="16"/>
                      <w:lang w:eastAsia="es-MX"/>
                    </w:rPr>
                  </w:pPr>
                  <w:r w:rsidRPr="00167475">
                    <w:rPr>
                      <w:rFonts w:ascii="Arial" w:hAnsi="Arial" w:cs="Arial"/>
                      <w:color w:val="000000"/>
                      <w:sz w:val="16"/>
                      <w:szCs w:val="16"/>
                      <w:lang w:eastAsia="es-MX"/>
                    </w:rPr>
                    <w:t>niños menores de 10 años</w:t>
                  </w:r>
                </w:p>
              </w:tc>
            </w:tr>
            <w:tr w:rsidR="006C7477" w:rsidRPr="00167475" w:rsidTr="009F45EE">
              <w:trPr>
                <w:trHeight w:val="300"/>
              </w:trPr>
              <w:tc>
                <w:tcPr>
                  <w:tcW w:w="724" w:type="dxa"/>
                  <w:shd w:val="clear" w:color="auto" w:fill="auto"/>
                  <w:vAlign w:val="center"/>
                  <w:hideMark/>
                </w:tcPr>
                <w:p w:rsidR="006C7477" w:rsidRPr="00167475" w:rsidRDefault="006C7477" w:rsidP="009F45EE">
                  <w:pPr>
                    <w:pStyle w:val="Sinespaciado"/>
                    <w:rPr>
                      <w:rFonts w:ascii="Arial" w:hAnsi="Arial" w:cs="Arial"/>
                      <w:color w:val="000000"/>
                      <w:sz w:val="16"/>
                      <w:szCs w:val="16"/>
                      <w:lang w:eastAsia="es-MX"/>
                    </w:rPr>
                  </w:pPr>
                  <w:r w:rsidRPr="00167475">
                    <w:rPr>
                      <w:rFonts w:ascii="Arial" w:hAnsi="Arial" w:cs="Arial"/>
                      <w:color w:val="000000"/>
                      <w:sz w:val="16"/>
                      <w:szCs w:val="16"/>
                      <w:lang w:eastAsia="es-MX"/>
                    </w:rPr>
                    <w:t>4</w:t>
                  </w:r>
                </w:p>
              </w:tc>
              <w:tc>
                <w:tcPr>
                  <w:tcW w:w="567" w:type="dxa"/>
                  <w:shd w:val="clear" w:color="auto" w:fill="auto"/>
                  <w:vAlign w:val="center"/>
                  <w:hideMark/>
                </w:tcPr>
                <w:p w:rsidR="006C7477" w:rsidRPr="00167475" w:rsidRDefault="006C7477" w:rsidP="009F45EE">
                  <w:pPr>
                    <w:pStyle w:val="Sinespaciado"/>
                    <w:rPr>
                      <w:rFonts w:ascii="Arial" w:hAnsi="Arial" w:cs="Arial"/>
                      <w:color w:val="000000"/>
                      <w:sz w:val="16"/>
                      <w:szCs w:val="16"/>
                      <w:lang w:eastAsia="es-MX"/>
                    </w:rPr>
                  </w:pPr>
                  <w:r w:rsidRPr="00167475">
                    <w:rPr>
                      <w:rFonts w:ascii="Arial" w:hAnsi="Arial" w:cs="Arial"/>
                      <w:color w:val="000000"/>
                      <w:sz w:val="16"/>
                      <w:szCs w:val="16"/>
                      <w:lang w:eastAsia="es-MX"/>
                    </w:rPr>
                    <w:t>23.5</w:t>
                  </w:r>
                </w:p>
              </w:tc>
              <w:tc>
                <w:tcPr>
                  <w:tcW w:w="2126" w:type="dxa"/>
                  <w:shd w:val="clear" w:color="auto" w:fill="auto"/>
                  <w:vAlign w:val="center"/>
                  <w:hideMark/>
                </w:tcPr>
                <w:p w:rsidR="006C7477" w:rsidRPr="00167475" w:rsidRDefault="006C7477" w:rsidP="009F45EE">
                  <w:pPr>
                    <w:pStyle w:val="Sinespaciado"/>
                    <w:rPr>
                      <w:rFonts w:ascii="Arial" w:hAnsi="Arial" w:cs="Arial"/>
                      <w:color w:val="000000"/>
                      <w:sz w:val="16"/>
                      <w:szCs w:val="16"/>
                      <w:lang w:eastAsia="es-MX"/>
                    </w:rPr>
                  </w:pPr>
                  <w:r w:rsidRPr="00167475">
                    <w:rPr>
                      <w:rFonts w:ascii="Arial" w:hAnsi="Arial" w:cs="Arial"/>
                      <w:color w:val="000000"/>
                      <w:sz w:val="16"/>
                      <w:szCs w:val="16"/>
                      <w:lang w:eastAsia="es-MX"/>
                    </w:rPr>
                    <w:t>niños mayores de 10 años</w:t>
                  </w:r>
                </w:p>
              </w:tc>
            </w:tr>
            <w:tr w:rsidR="006C7477" w:rsidRPr="00167475" w:rsidTr="009F45EE">
              <w:trPr>
                <w:trHeight w:val="300"/>
              </w:trPr>
              <w:tc>
                <w:tcPr>
                  <w:tcW w:w="724" w:type="dxa"/>
                  <w:shd w:val="clear" w:color="auto" w:fill="auto"/>
                  <w:vAlign w:val="center"/>
                  <w:hideMark/>
                </w:tcPr>
                <w:p w:rsidR="006C7477" w:rsidRPr="00167475" w:rsidRDefault="006C7477" w:rsidP="009F45EE">
                  <w:pPr>
                    <w:pStyle w:val="Sinespaciado"/>
                    <w:rPr>
                      <w:rFonts w:ascii="Arial" w:hAnsi="Arial" w:cs="Arial"/>
                      <w:color w:val="000000"/>
                      <w:sz w:val="16"/>
                      <w:szCs w:val="16"/>
                      <w:lang w:eastAsia="es-MX"/>
                    </w:rPr>
                  </w:pPr>
                  <w:r w:rsidRPr="00167475">
                    <w:rPr>
                      <w:rFonts w:ascii="Arial" w:hAnsi="Arial" w:cs="Arial"/>
                      <w:color w:val="000000"/>
                      <w:sz w:val="16"/>
                      <w:szCs w:val="16"/>
                      <w:lang w:eastAsia="es-MX"/>
                    </w:rPr>
                    <w:t>3</w:t>
                  </w:r>
                </w:p>
              </w:tc>
              <w:tc>
                <w:tcPr>
                  <w:tcW w:w="567" w:type="dxa"/>
                  <w:shd w:val="clear" w:color="auto" w:fill="auto"/>
                  <w:vAlign w:val="center"/>
                  <w:hideMark/>
                </w:tcPr>
                <w:p w:rsidR="006C7477" w:rsidRPr="00167475" w:rsidRDefault="006C7477" w:rsidP="009F45EE">
                  <w:pPr>
                    <w:pStyle w:val="Sinespaciado"/>
                    <w:rPr>
                      <w:rFonts w:ascii="Arial" w:hAnsi="Arial" w:cs="Arial"/>
                      <w:color w:val="000000"/>
                      <w:sz w:val="16"/>
                      <w:szCs w:val="16"/>
                      <w:lang w:eastAsia="es-MX"/>
                    </w:rPr>
                  </w:pPr>
                  <w:r w:rsidRPr="00167475">
                    <w:rPr>
                      <w:rFonts w:ascii="Arial" w:hAnsi="Arial" w:cs="Arial"/>
                      <w:color w:val="000000"/>
                      <w:sz w:val="16"/>
                      <w:szCs w:val="16"/>
                      <w:lang w:eastAsia="es-MX"/>
                    </w:rPr>
                    <w:t>17.6</w:t>
                  </w:r>
                </w:p>
              </w:tc>
              <w:tc>
                <w:tcPr>
                  <w:tcW w:w="2126" w:type="dxa"/>
                  <w:shd w:val="clear" w:color="auto" w:fill="auto"/>
                  <w:vAlign w:val="center"/>
                  <w:hideMark/>
                </w:tcPr>
                <w:p w:rsidR="006C7477" w:rsidRPr="00167475" w:rsidRDefault="006C7477" w:rsidP="009F45EE">
                  <w:pPr>
                    <w:pStyle w:val="Sinespaciado"/>
                    <w:rPr>
                      <w:rFonts w:ascii="Arial" w:hAnsi="Arial" w:cs="Arial"/>
                      <w:color w:val="000000"/>
                      <w:sz w:val="16"/>
                      <w:szCs w:val="16"/>
                      <w:lang w:eastAsia="es-MX"/>
                    </w:rPr>
                  </w:pPr>
                  <w:r w:rsidRPr="00167475">
                    <w:rPr>
                      <w:rFonts w:ascii="Arial" w:hAnsi="Arial" w:cs="Arial"/>
                      <w:color w:val="000000"/>
                      <w:sz w:val="16"/>
                      <w:szCs w:val="16"/>
                      <w:lang w:eastAsia="es-MX"/>
                    </w:rPr>
                    <w:t>los niños no trabajan</w:t>
                  </w:r>
                </w:p>
              </w:tc>
            </w:tr>
            <w:tr w:rsidR="006C7477" w:rsidRPr="00167475" w:rsidTr="009F45EE">
              <w:trPr>
                <w:trHeight w:val="300"/>
              </w:trPr>
              <w:tc>
                <w:tcPr>
                  <w:tcW w:w="724" w:type="dxa"/>
                  <w:shd w:val="clear" w:color="auto" w:fill="auto"/>
                  <w:vAlign w:val="center"/>
                </w:tcPr>
                <w:p w:rsidR="006C7477" w:rsidRPr="00167475" w:rsidRDefault="006C7477" w:rsidP="009F45EE">
                  <w:pPr>
                    <w:pStyle w:val="Sinespaciado"/>
                    <w:rPr>
                      <w:rFonts w:ascii="Arial" w:hAnsi="Arial" w:cs="Arial"/>
                      <w:color w:val="000000"/>
                      <w:sz w:val="16"/>
                      <w:szCs w:val="16"/>
                      <w:lang w:eastAsia="es-MX"/>
                    </w:rPr>
                  </w:pPr>
                  <w:r>
                    <w:rPr>
                      <w:rFonts w:ascii="Arial" w:hAnsi="Arial" w:cs="Arial"/>
                      <w:color w:val="000000"/>
                      <w:sz w:val="16"/>
                      <w:szCs w:val="16"/>
                      <w:lang w:eastAsia="es-MX"/>
                    </w:rPr>
                    <w:t>∑=17</w:t>
                  </w:r>
                </w:p>
              </w:tc>
              <w:tc>
                <w:tcPr>
                  <w:tcW w:w="2693" w:type="dxa"/>
                  <w:gridSpan w:val="2"/>
                  <w:tcBorders>
                    <w:bottom w:val="nil"/>
                    <w:right w:val="nil"/>
                  </w:tcBorders>
                  <w:shd w:val="clear" w:color="auto" w:fill="auto"/>
                  <w:vAlign w:val="center"/>
                </w:tcPr>
                <w:p w:rsidR="006C7477" w:rsidRPr="00167475" w:rsidRDefault="006C7477" w:rsidP="009F45EE">
                  <w:pPr>
                    <w:pStyle w:val="Sinespaciado"/>
                    <w:rPr>
                      <w:rFonts w:ascii="Arial" w:hAnsi="Arial" w:cs="Arial"/>
                      <w:color w:val="000000"/>
                      <w:sz w:val="16"/>
                      <w:szCs w:val="16"/>
                      <w:lang w:eastAsia="es-MX"/>
                    </w:rPr>
                  </w:pPr>
                </w:p>
              </w:tc>
            </w:tr>
          </w:tbl>
          <w:p w:rsidR="006C7477" w:rsidRDefault="006C7477" w:rsidP="009F45EE">
            <w:pPr>
              <w:pStyle w:val="Sinespaciado"/>
              <w:spacing w:line="276" w:lineRule="auto"/>
              <w:jc w:val="both"/>
              <w:rPr>
                <w:rFonts w:ascii="Arial" w:hAnsi="Arial" w:cs="Arial"/>
              </w:rPr>
            </w:pPr>
          </w:p>
        </w:tc>
        <w:tc>
          <w:tcPr>
            <w:tcW w:w="5330" w:type="dxa"/>
          </w:tcPr>
          <w:p w:rsidR="006C7477" w:rsidRDefault="006C7477" w:rsidP="009F45EE">
            <w:pPr>
              <w:pStyle w:val="Sinespaciado"/>
              <w:spacing w:line="276" w:lineRule="auto"/>
              <w:jc w:val="both"/>
              <w:rPr>
                <w:rFonts w:ascii="Arial" w:hAnsi="Arial" w:cs="Arial"/>
              </w:rPr>
            </w:pPr>
          </w:p>
          <w:p w:rsidR="006C7477" w:rsidRDefault="006C7477" w:rsidP="009F45EE">
            <w:pPr>
              <w:pStyle w:val="Sinespaciado"/>
              <w:spacing w:line="276" w:lineRule="auto"/>
              <w:jc w:val="both"/>
              <w:rPr>
                <w:rFonts w:ascii="Arial" w:hAnsi="Arial" w:cs="Arial"/>
              </w:rPr>
            </w:pPr>
            <w:r>
              <w:rPr>
                <w:noProof/>
              </w:rPr>
              <w:drawing>
                <wp:inline distT="0" distB="0" distL="0" distR="0" wp14:anchorId="562A04A0" wp14:editId="25004FE9">
                  <wp:extent cx="3329796" cy="1635491"/>
                  <wp:effectExtent l="0" t="0" r="4445" b="3175"/>
                  <wp:docPr id="138" name="Imagen 138" descr="C:\Users\SAMSUNG\AppData\Local\Microsoft\Windows\Temporary Internet Files\Content.Word\5_trabajan niño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SAMSUNG\AppData\Local\Microsoft\Windows\Temporary Internet Files\Content.Word\5_trabajan niños.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344390" cy="1642659"/>
                          </a:xfrm>
                          <a:prstGeom prst="rect">
                            <a:avLst/>
                          </a:prstGeom>
                          <a:noFill/>
                          <a:ln>
                            <a:noFill/>
                          </a:ln>
                        </pic:spPr>
                      </pic:pic>
                    </a:graphicData>
                  </a:graphic>
                </wp:inline>
              </w:drawing>
            </w:r>
          </w:p>
        </w:tc>
      </w:tr>
    </w:tbl>
    <w:p w:rsidR="006C7477" w:rsidRPr="00793382" w:rsidRDefault="006C7477" w:rsidP="006C7477">
      <w:pPr>
        <w:pStyle w:val="Sinespaciado"/>
        <w:jc w:val="center"/>
        <w:rPr>
          <w:rFonts w:asciiTheme="minorHAnsi" w:hAnsiTheme="minorHAnsi" w:cs="Arial"/>
          <w:noProof/>
          <w:sz w:val="24"/>
          <w:szCs w:val="24"/>
          <w:lang w:eastAsia="es-MX"/>
        </w:rPr>
      </w:pPr>
      <w:bookmarkStart w:id="22" w:name="_Toc421689466"/>
      <w:r w:rsidRPr="00793382">
        <w:rPr>
          <w:rFonts w:asciiTheme="minorHAnsi" w:hAnsiTheme="minorHAnsi" w:cs="Arial"/>
          <w:noProof/>
          <w:sz w:val="24"/>
          <w:szCs w:val="24"/>
          <w:lang w:eastAsia="es-MX"/>
        </w:rPr>
        <w:t>Figura</w:t>
      </w:r>
      <w:r w:rsidR="00793382">
        <w:rPr>
          <w:rFonts w:asciiTheme="minorHAnsi" w:hAnsiTheme="minorHAnsi" w:cs="Arial"/>
          <w:noProof/>
          <w:sz w:val="24"/>
          <w:szCs w:val="24"/>
          <w:lang w:eastAsia="es-MX"/>
        </w:rPr>
        <w:t xml:space="preserve"> 10.</w:t>
      </w:r>
      <w:r w:rsidRPr="00793382">
        <w:rPr>
          <w:rFonts w:asciiTheme="minorHAnsi" w:hAnsiTheme="minorHAnsi" w:cs="Arial"/>
          <w:noProof/>
          <w:sz w:val="24"/>
          <w:szCs w:val="24"/>
          <w:lang w:eastAsia="es-MX"/>
        </w:rPr>
        <w:t xml:space="preserve"> Participación d los niños en la agricultura.</w:t>
      </w:r>
      <w:bookmarkEnd w:id="22"/>
    </w:p>
    <w:p w:rsidR="006C7477" w:rsidRDefault="006C7477" w:rsidP="006C7477">
      <w:pPr>
        <w:pStyle w:val="Sinespaciado"/>
        <w:spacing w:line="276" w:lineRule="auto"/>
        <w:jc w:val="both"/>
        <w:rPr>
          <w:rFonts w:ascii="Arial" w:hAnsi="Arial" w:cs="Arial"/>
        </w:rPr>
      </w:pPr>
    </w:p>
    <w:p w:rsidR="006C7477" w:rsidRPr="00793382" w:rsidRDefault="006C7477" w:rsidP="006C7477">
      <w:pPr>
        <w:pStyle w:val="Sinespaciado"/>
        <w:spacing w:line="276" w:lineRule="auto"/>
        <w:jc w:val="both"/>
        <w:rPr>
          <w:rFonts w:asciiTheme="minorHAnsi" w:hAnsiTheme="minorHAnsi" w:cs="Arial"/>
          <w:noProof/>
          <w:sz w:val="24"/>
          <w:szCs w:val="24"/>
          <w:lang w:eastAsia="es-MX"/>
        </w:rPr>
      </w:pPr>
      <w:r w:rsidRPr="00793382">
        <w:rPr>
          <w:rFonts w:asciiTheme="minorHAnsi" w:hAnsiTheme="minorHAnsi" w:cs="Arial"/>
          <w:noProof/>
          <w:sz w:val="24"/>
          <w:szCs w:val="24"/>
          <w:lang w:eastAsia="es-MX"/>
        </w:rPr>
        <w:t>El 17.6% dijo que los niños no trabajan, que en los tiempos actuales a los niños se les deja ir a la escuela y salir a jugar, y que si se les lleva al invernadero o cultivo no trabajan, solo los llevan para no dejarlos solos en casa, algunas trabajadoras cuando no tienen con quien dejar a sus bebés, los cargan y trabajan con ellos en el invernadero.</w:t>
      </w:r>
    </w:p>
    <w:p w:rsidR="006C7477" w:rsidRDefault="006C7477" w:rsidP="006C7477">
      <w:pPr>
        <w:pStyle w:val="Sinespaciado"/>
        <w:spacing w:line="276" w:lineRule="auto"/>
        <w:jc w:val="both"/>
        <w:rPr>
          <w:rFonts w:ascii="Arial" w:hAnsi="Arial" w:cs="Arial"/>
        </w:rPr>
      </w:pPr>
    </w:p>
    <w:p w:rsidR="006C7477" w:rsidRDefault="006C7477" w:rsidP="006C7477">
      <w:pPr>
        <w:pStyle w:val="Sinespaciado"/>
        <w:spacing w:line="276" w:lineRule="auto"/>
        <w:jc w:val="both"/>
        <w:rPr>
          <w:rFonts w:ascii="Arial" w:hAnsi="Arial" w:cs="Arial"/>
        </w:rPr>
      </w:pPr>
    </w:p>
    <w:p w:rsidR="006C7477" w:rsidRPr="00793382" w:rsidRDefault="006C7477" w:rsidP="006C7477">
      <w:pPr>
        <w:pStyle w:val="Sinespaciado"/>
        <w:spacing w:line="276" w:lineRule="auto"/>
        <w:jc w:val="both"/>
        <w:rPr>
          <w:rFonts w:asciiTheme="minorHAnsi" w:hAnsiTheme="minorHAnsi" w:cs="Arial"/>
          <w:noProof/>
          <w:sz w:val="24"/>
          <w:szCs w:val="24"/>
          <w:lang w:eastAsia="es-MX"/>
        </w:rPr>
      </w:pPr>
      <w:r w:rsidRPr="00793382">
        <w:rPr>
          <w:rFonts w:asciiTheme="minorHAnsi" w:hAnsiTheme="minorHAnsi" w:cs="Arial"/>
          <w:noProof/>
          <w:sz w:val="24"/>
          <w:szCs w:val="24"/>
          <w:lang w:eastAsia="es-MX"/>
        </w:rPr>
        <w:t>En la categoría de mortalidad infantil, el 35.3% refiere que si ha habido casos de mortalidad en menores de un año de edad, mientras que el 64.7% indica que no hay en la comunidad este tipo de problema de salud pública.</w:t>
      </w:r>
    </w:p>
    <w:p w:rsidR="006C7477" w:rsidRPr="00793382" w:rsidRDefault="006C7477" w:rsidP="006C7477">
      <w:pPr>
        <w:pStyle w:val="Sinespaciado"/>
        <w:spacing w:line="276" w:lineRule="auto"/>
        <w:jc w:val="both"/>
        <w:rPr>
          <w:rFonts w:asciiTheme="minorHAnsi" w:hAnsiTheme="minorHAnsi" w:cs="Arial"/>
          <w:noProof/>
          <w:sz w:val="24"/>
          <w:szCs w:val="24"/>
          <w:lang w:eastAsia="es-MX"/>
        </w:rPr>
      </w:pPr>
    </w:p>
    <w:p w:rsidR="006C7477" w:rsidRPr="00793382" w:rsidRDefault="006C7477" w:rsidP="006C7477">
      <w:pPr>
        <w:pStyle w:val="Sinespaciado"/>
        <w:spacing w:line="276" w:lineRule="auto"/>
        <w:jc w:val="both"/>
        <w:rPr>
          <w:rFonts w:asciiTheme="minorHAnsi" w:hAnsiTheme="minorHAnsi" w:cs="Arial"/>
          <w:noProof/>
          <w:sz w:val="24"/>
          <w:szCs w:val="24"/>
          <w:lang w:eastAsia="es-MX"/>
        </w:rPr>
      </w:pPr>
      <w:r w:rsidRPr="00793382">
        <w:rPr>
          <w:rFonts w:asciiTheme="minorHAnsi" w:hAnsiTheme="minorHAnsi" w:cs="Arial"/>
          <w:noProof/>
          <w:sz w:val="24"/>
          <w:szCs w:val="24"/>
          <w:lang w:eastAsia="es-MX"/>
        </w:rPr>
        <w:t>Algunos aspectos que no se tenía en cuenta al inició de esta investigación, pero que con el trabajo de campo se identificaron, fueron las enfermedades renales y los suicidios por plaguicidas.</w:t>
      </w:r>
    </w:p>
    <w:p w:rsidR="006C7477" w:rsidRPr="00793382" w:rsidRDefault="006C7477" w:rsidP="006C7477">
      <w:pPr>
        <w:pStyle w:val="Sinespaciado"/>
        <w:spacing w:line="276" w:lineRule="auto"/>
        <w:jc w:val="both"/>
        <w:rPr>
          <w:rFonts w:asciiTheme="minorHAnsi" w:hAnsiTheme="minorHAnsi" w:cs="Arial"/>
          <w:noProof/>
          <w:sz w:val="24"/>
          <w:szCs w:val="24"/>
          <w:lang w:eastAsia="es-MX"/>
        </w:rPr>
      </w:pPr>
    </w:p>
    <w:p w:rsidR="006C7477" w:rsidRPr="00793382" w:rsidRDefault="006C7477" w:rsidP="006C7477">
      <w:pPr>
        <w:pStyle w:val="Sinespaciado"/>
        <w:spacing w:line="276" w:lineRule="auto"/>
        <w:jc w:val="both"/>
        <w:rPr>
          <w:rFonts w:asciiTheme="minorHAnsi" w:hAnsiTheme="minorHAnsi" w:cs="Arial"/>
          <w:noProof/>
          <w:sz w:val="24"/>
          <w:szCs w:val="24"/>
          <w:lang w:eastAsia="es-MX"/>
        </w:rPr>
      </w:pPr>
      <w:r w:rsidRPr="00793382">
        <w:rPr>
          <w:rFonts w:asciiTheme="minorHAnsi" w:hAnsiTheme="minorHAnsi" w:cs="Arial"/>
          <w:noProof/>
          <w:sz w:val="24"/>
          <w:szCs w:val="24"/>
          <w:lang w:eastAsia="es-MX"/>
        </w:rPr>
        <w:t>En el ámbito de los enfermos renales, el 5.9% indico la presencia de esta afectación a la salud, aunque el 94.1% no lo mencionó. Para el caso de los suicidios relacionados a los plaguicidas, un porcentaje de 5.9 hizo referencia a esta situación, comentó que estos se dan por personas que consumen un plaguicida llamado Lannate, el 94.1% no hizo referencia a los suicidios.</w:t>
      </w:r>
    </w:p>
    <w:p w:rsidR="006C7477" w:rsidRPr="00793382" w:rsidRDefault="006C7477" w:rsidP="006C7477">
      <w:pPr>
        <w:pStyle w:val="Sinespaciado"/>
        <w:spacing w:line="276" w:lineRule="auto"/>
        <w:jc w:val="both"/>
        <w:rPr>
          <w:rFonts w:asciiTheme="minorHAnsi" w:hAnsiTheme="minorHAnsi" w:cs="Arial"/>
          <w:noProof/>
          <w:sz w:val="24"/>
          <w:szCs w:val="24"/>
          <w:lang w:eastAsia="es-MX"/>
        </w:rPr>
      </w:pPr>
    </w:p>
    <w:p w:rsidR="006C7477" w:rsidRPr="00793382" w:rsidRDefault="006C7477" w:rsidP="006C7477">
      <w:pPr>
        <w:pStyle w:val="Sinespaciado"/>
        <w:spacing w:line="276" w:lineRule="auto"/>
        <w:jc w:val="both"/>
        <w:rPr>
          <w:rFonts w:asciiTheme="minorHAnsi" w:hAnsiTheme="minorHAnsi" w:cs="Arial"/>
          <w:noProof/>
          <w:sz w:val="24"/>
          <w:szCs w:val="24"/>
          <w:lang w:eastAsia="es-MX"/>
        </w:rPr>
      </w:pPr>
      <w:r w:rsidRPr="00793382">
        <w:rPr>
          <w:rFonts w:asciiTheme="minorHAnsi" w:hAnsiTheme="minorHAnsi" w:cs="Arial"/>
          <w:noProof/>
          <w:sz w:val="24"/>
          <w:szCs w:val="24"/>
          <w:lang w:eastAsia="es-MX"/>
        </w:rPr>
        <w:t xml:space="preserve">En relación con las intoxicaciones, el 58.8% de la población indicó que sabe de casos de intoxicación accidental por plaguicidas, principalmente afirman que los esposos, hijos o hermanos han sufrido algún tipo de intoxicación con los fumigos, como ellos les llaman. Comentan que les dan vómitos, dolor de cabeza, ronchas, fiebres, alergias en la piel y que hasta echan espuma por la boca y la nariz, que antes se daban más estos casos, y que solo que estén ya muy mal los llevan al hospital, si no con un jugo de limón se corta el veneno y se componen. </w:t>
      </w:r>
    </w:p>
    <w:p w:rsidR="006C7477" w:rsidRPr="00793382" w:rsidRDefault="006C7477" w:rsidP="006C7477">
      <w:pPr>
        <w:pStyle w:val="Sinespaciado"/>
        <w:spacing w:line="276" w:lineRule="auto"/>
        <w:jc w:val="both"/>
        <w:rPr>
          <w:rFonts w:asciiTheme="minorHAnsi" w:hAnsiTheme="minorHAnsi" w:cs="Arial"/>
          <w:noProof/>
          <w:sz w:val="24"/>
          <w:szCs w:val="24"/>
          <w:lang w:eastAsia="es-MX"/>
        </w:rPr>
      </w:pPr>
    </w:p>
    <w:p w:rsidR="006C7477" w:rsidRPr="00793382" w:rsidRDefault="006C7477" w:rsidP="006C7477">
      <w:pPr>
        <w:pStyle w:val="Sinespaciado"/>
        <w:spacing w:line="276" w:lineRule="auto"/>
        <w:jc w:val="both"/>
        <w:rPr>
          <w:rFonts w:asciiTheme="minorHAnsi" w:hAnsiTheme="minorHAnsi" w:cs="Arial"/>
          <w:noProof/>
          <w:sz w:val="24"/>
          <w:szCs w:val="24"/>
          <w:lang w:eastAsia="es-MX"/>
        </w:rPr>
      </w:pPr>
      <w:r w:rsidRPr="00793382">
        <w:rPr>
          <w:rFonts w:asciiTheme="minorHAnsi" w:hAnsiTheme="minorHAnsi" w:cs="Arial"/>
          <w:noProof/>
          <w:sz w:val="24"/>
          <w:szCs w:val="24"/>
          <w:lang w:eastAsia="es-MX"/>
        </w:rPr>
        <w:t>También dicen que es porque cuando fumigan se les va para dentro al respirar, que además cuando fumigan todo el ambiente huele a plaguicidas. Pero que en general no es grave, que depende del ingeniero que les asesore. Un dato interesante es que también se han intoxicado hasta niños por comer frutas o verduras fumigadas, y que los que han tenido afectaciones en la piel se han cambiado de trabajo para ya no fumigar, solo realizar otro tipo de actividades agrícolas.</w:t>
      </w:r>
    </w:p>
    <w:p w:rsidR="00D30DBE" w:rsidRDefault="00D30DBE" w:rsidP="00B603A3">
      <w:pPr>
        <w:pStyle w:val="Sinespaciado"/>
        <w:spacing w:line="276" w:lineRule="auto"/>
        <w:jc w:val="both"/>
        <w:rPr>
          <w:rFonts w:asciiTheme="minorHAnsi" w:hAnsiTheme="minorHAnsi" w:cs="Arial"/>
          <w:noProof/>
          <w:sz w:val="24"/>
          <w:szCs w:val="24"/>
          <w:lang w:eastAsia="es-MX"/>
        </w:rPr>
      </w:pPr>
    </w:p>
    <w:p w:rsidR="00684A71" w:rsidRPr="00793382" w:rsidRDefault="00684A71" w:rsidP="00684A71">
      <w:pPr>
        <w:pStyle w:val="Sinespaciado"/>
        <w:spacing w:line="276" w:lineRule="auto"/>
        <w:jc w:val="both"/>
        <w:rPr>
          <w:rFonts w:asciiTheme="minorHAnsi" w:hAnsiTheme="minorHAnsi" w:cs="Arial"/>
          <w:noProof/>
          <w:sz w:val="24"/>
          <w:szCs w:val="24"/>
          <w:lang w:eastAsia="es-MX"/>
        </w:rPr>
      </w:pPr>
      <w:r w:rsidRPr="00793382">
        <w:rPr>
          <w:rFonts w:asciiTheme="minorHAnsi" w:hAnsiTheme="minorHAnsi" w:cs="Arial"/>
          <w:noProof/>
          <w:sz w:val="24"/>
          <w:szCs w:val="24"/>
          <w:lang w:eastAsia="es-MX"/>
        </w:rPr>
        <w:t xml:space="preserve">El 47.1% piensa que los plaguicidas orgánicos también son dañinos a la salud, afirman que no importa de qué tipo sean, todos son plaguicidas y son dañinos. Un 35.3% explicó que los plaguicidas de tipo orgánico, no producen daños a la salud, pues están preparados a base de </w:t>
      </w:r>
      <w:r w:rsidR="00793382">
        <w:rPr>
          <w:rFonts w:asciiTheme="minorHAnsi" w:hAnsiTheme="minorHAnsi" w:cs="Arial"/>
          <w:noProof/>
          <w:sz w:val="24"/>
          <w:szCs w:val="24"/>
          <w:lang w:eastAsia="es-MX"/>
        </w:rPr>
        <w:t>productos naturales no tóxicos</w:t>
      </w:r>
      <w:r w:rsidRPr="00793382">
        <w:rPr>
          <w:rFonts w:asciiTheme="minorHAnsi" w:hAnsiTheme="minorHAnsi" w:cs="Arial"/>
          <w:noProof/>
          <w:sz w:val="24"/>
          <w:szCs w:val="24"/>
          <w:lang w:eastAsia="es-MX"/>
        </w:rPr>
        <w:t>.</w:t>
      </w:r>
    </w:p>
    <w:p w:rsidR="00684A71" w:rsidRPr="00793382" w:rsidRDefault="00684A71" w:rsidP="00684A71">
      <w:pPr>
        <w:pStyle w:val="Sinespaciado"/>
        <w:spacing w:line="276" w:lineRule="auto"/>
        <w:jc w:val="both"/>
        <w:rPr>
          <w:rFonts w:asciiTheme="minorHAnsi" w:hAnsiTheme="minorHAnsi" w:cs="Arial"/>
          <w:noProof/>
          <w:sz w:val="24"/>
          <w:szCs w:val="24"/>
          <w:lang w:eastAsia="es-MX"/>
        </w:rPr>
      </w:pPr>
    </w:p>
    <w:p w:rsidR="00684A71" w:rsidRPr="00793382" w:rsidRDefault="00684A71" w:rsidP="00684A71">
      <w:pPr>
        <w:pStyle w:val="Sinespaciado"/>
        <w:spacing w:line="276" w:lineRule="auto"/>
        <w:jc w:val="both"/>
        <w:rPr>
          <w:rFonts w:asciiTheme="minorHAnsi" w:hAnsiTheme="minorHAnsi" w:cs="Arial"/>
          <w:noProof/>
          <w:sz w:val="24"/>
          <w:szCs w:val="24"/>
          <w:lang w:eastAsia="es-MX"/>
        </w:rPr>
      </w:pPr>
    </w:p>
    <w:p w:rsidR="00684A71" w:rsidRPr="00793382" w:rsidRDefault="00684A71" w:rsidP="00684A71">
      <w:pPr>
        <w:pStyle w:val="Sinespaciado"/>
        <w:spacing w:line="276" w:lineRule="auto"/>
        <w:jc w:val="both"/>
        <w:rPr>
          <w:rFonts w:asciiTheme="minorHAnsi" w:hAnsiTheme="minorHAnsi" w:cs="Arial"/>
          <w:noProof/>
          <w:sz w:val="24"/>
          <w:szCs w:val="24"/>
          <w:lang w:eastAsia="es-MX"/>
        </w:rPr>
      </w:pPr>
      <w:r w:rsidRPr="00793382">
        <w:rPr>
          <w:rFonts w:asciiTheme="minorHAnsi" w:hAnsiTheme="minorHAnsi" w:cs="Arial"/>
          <w:noProof/>
          <w:sz w:val="24"/>
          <w:szCs w:val="24"/>
          <w:lang w:eastAsia="es-MX"/>
        </w:rPr>
        <w:t>RELACIÓN ENTRE LA EXPOSICIÓN A PLAGUICIDAS Y ENFERMEDADES: en un 52.9%, es decir casi la mitad de la población entrevistada, piensa que si hay una relación entre el estar en contacto con los plaguicidas de forma directa o indirecta, con las enfermedades, pues dicen los fumigos son fuertes y hacen daño, aunada al humo por quema de envases, o terrenos sobre las vías de comunicación en tiempos de secas.</w:t>
      </w:r>
    </w:p>
    <w:p w:rsidR="00684A71" w:rsidRPr="00793382" w:rsidRDefault="00684A71" w:rsidP="00684A71">
      <w:pPr>
        <w:pStyle w:val="Sinespaciado"/>
        <w:spacing w:line="276" w:lineRule="auto"/>
        <w:jc w:val="both"/>
        <w:rPr>
          <w:rFonts w:asciiTheme="minorHAnsi" w:hAnsiTheme="minorHAnsi" w:cs="Arial"/>
          <w:noProof/>
          <w:sz w:val="24"/>
          <w:szCs w:val="24"/>
          <w:lang w:eastAsia="es-MX"/>
        </w:rPr>
      </w:pPr>
    </w:p>
    <w:p w:rsidR="00684A71" w:rsidRPr="00793382" w:rsidRDefault="00684A71" w:rsidP="00684A71">
      <w:pPr>
        <w:pStyle w:val="Sinespaciado"/>
        <w:spacing w:line="276" w:lineRule="auto"/>
        <w:jc w:val="both"/>
        <w:rPr>
          <w:rFonts w:asciiTheme="minorHAnsi" w:hAnsiTheme="minorHAnsi" w:cs="Arial"/>
          <w:noProof/>
          <w:sz w:val="24"/>
          <w:szCs w:val="24"/>
          <w:lang w:eastAsia="es-MX"/>
        </w:rPr>
      </w:pPr>
      <w:r w:rsidRPr="00793382">
        <w:rPr>
          <w:rFonts w:asciiTheme="minorHAnsi" w:hAnsiTheme="minorHAnsi" w:cs="Arial"/>
          <w:noProof/>
          <w:sz w:val="24"/>
          <w:szCs w:val="24"/>
          <w:lang w:eastAsia="es-MX"/>
        </w:rPr>
        <w:t>El 47.1% expresó que no hay relación entre enfermedades y plaguicidas, pues los síntomas de mayor frecuencia entre los habitantes de la zona son del sistema respiratorio y las gastrointestinales, y estos se dan por cambios estacionales y en el tiempo atmosférico. En el caso de las malformaciones congénitas, cáncer, cardiopatías y mortalidad infantil, entre otras no son por el uso de plaguicidas, sino que hay otras causas, por ejemplo los factores genético, pero no es por lo fumi</w:t>
      </w:r>
      <w:r w:rsidR="00793382">
        <w:rPr>
          <w:rFonts w:asciiTheme="minorHAnsi" w:hAnsiTheme="minorHAnsi" w:cs="Arial"/>
          <w:noProof/>
          <w:sz w:val="24"/>
          <w:szCs w:val="24"/>
          <w:lang w:eastAsia="es-MX"/>
        </w:rPr>
        <w:t>gos (</w:t>
      </w:r>
      <w:r w:rsidRPr="00793382">
        <w:rPr>
          <w:rFonts w:asciiTheme="minorHAnsi" w:hAnsiTheme="minorHAnsi" w:cs="Arial"/>
          <w:noProof/>
          <w:sz w:val="24"/>
          <w:szCs w:val="24"/>
          <w:lang w:eastAsia="es-MX"/>
        </w:rPr>
        <w:t xml:space="preserve">Figura </w:t>
      </w:r>
      <w:r w:rsidR="00793382">
        <w:rPr>
          <w:rFonts w:asciiTheme="minorHAnsi" w:hAnsiTheme="minorHAnsi" w:cs="Arial"/>
          <w:noProof/>
          <w:sz w:val="24"/>
          <w:szCs w:val="24"/>
          <w:lang w:eastAsia="es-MX"/>
        </w:rPr>
        <w:t>11)</w:t>
      </w:r>
    </w:p>
    <w:p w:rsidR="00684A71" w:rsidRDefault="00684A71" w:rsidP="00684A71">
      <w:pPr>
        <w:pStyle w:val="Sinespaciado"/>
        <w:spacing w:line="276" w:lineRule="auto"/>
        <w:jc w:val="both"/>
        <w:rPr>
          <w:rFonts w:ascii="Arial" w:hAnsi="Arial" w:cs="Arial"/>
        </w:rPr>
      </w:pPr>
    </w:p>
    <w:tbl>
      <w:tblPr>
        <w:tblStyle w:val="Tablaconcuadrcula"/>
        <w:tblW w:w="0" w:type="auto"/>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none" w:sz="0" w:space="0" w:color="auto"/>
        </w:tblBorders>
        <w:tblLook w:val="04A0" w:firstRow="1" w:lastRow="0" w:firstColumn="1" w:lastColumn="0" w:noHBand="0" w:noVBand="1"/>
      </w:tblPr>
      <w:tblGrid>
        <w:gridCol w:w="3662"/>
        <w:gridCol w:w="5166"/>
      </w:tblGrid>
      <w:tr w:rsidR="00684A71" w:rsidTr="009F45EE">
        <w:tc>
          <w:tcPr>
            <w:tcW w:w="3698" w:type="dxa"/>
          </w:tcPr>
          <w:p w:rsidR="00684A71" w:rsidRDefault="00684A71" w:rsidP="009F45EE">
            <w:pPr>
              <w:pStyle w:val="Sinespaciado"/>
              <w:spacing w:line="276" w:lineRule="auto"/>
              <w:jc w:val="both"/>
              <w:rPr>
                <w:rFonts w:ascii="Arial" w:hAnsi="Arial" w:cs="Arial"/>
              </w:rPr>
            </w:pPr>
          </w:p>
          <w:tbl>
            <w:tblPr>
              <w:tblW w:w="3417" w:type="dxa"/>
              <w:tblInd w:w="55" w:type="dxa"/>
              <w:tblBorders>
                <w:top w:val="single" w:sz="4" w:space="0" w:color="76923C" w:themeColor="accent3" w:themeShade="BF"/>
                <w:left w:val="single" w:sz="4" w:space="0" w:color="76923C" w:themeColor="accent3" w:themeShade="BF"/>
                <w:bottom w:val="single" w:sz="4" w:space="0" w:color="76923C" w:themeColor="accent3" w:themeShade="BF"/>
                <w:right w:val="single" w:sz="4" w:space="0" w:color="76923C" w:themeColor="accent3" w:themeShade="BF"/>
                <w:insideH w:val="single" w:sz="4" w:space="0" w:color="76923C" w:themeColor="accent3" w:themeShade="BF"/>
                <w:insideV w:val="single" w:sz="4" w:space="0" w:color="76923C" w:themeColor="accent3" w:themeShade="BF"/>
              </w:tblBorders>
              <w:tblCellMar>
                <w:left w:w="70" w:type="dxa"/>
                <w:right w:w="70" w:type="dxa"/>
              </w:tblCellMar>
              <w:tblLook w:val="04A0" w:firstRow="1" w:lastRow="0" w:firstColumn="1" w:lastColumn="0" w:noHBand="0" w:noVBand="1"/>
            </w:tblPr>
            <w:tblGrid>
              <w:gridCol w:w="717"/>
              <w:gridCol w:w="562"/>
              <w:gridCol w:w="2102"/>
            </w:tblGrid>
            <w:tr w:rsidR="00684A71" w:rsidRPr="00167475" w:rsidTr="009F45EE">
              <w:trPr>
                <w:trHeight w:val="255"/>
              </w:trPr>
              <w:tc>
                <w:tcPr>
                  <w:tcW w:w="724" w:type="dxa"/>
                  <w:shd w:val="clear" w:color="auto" w:fill="EAF1DD" w:themeFill="accent3" w:themeFillTint="33"/>
                  <w:noWrap/>
                  <w:vAlign w:val="center"/>
                  <w:hideMark/>
                </w:tcPr>
                <w:p w:rsidR="00684A71" w:rsidRPr="00167475" w:rsidRDefault="00684A71" w:rsidP="009F45EE">
                  <w:pPr>
                    <w:pStyle w:val="Sinespaciado"/>
                    <w:jc w:val="center"/>
                    <w:rPr>
                      <w:rFonts w:ascii="Arial" w:hAnsi="Arial" w:cs="Arial"/>
                      <w:b/>
                      <w:sz w:val="16"/>
                      <w:szCs w:val="16"/>
                      <w:lang w:eastAsia="es-MX"/>
                    </w:rPr>
                  </w:pPr>
                  <w:r w:rsidRPr="00167475">
                    <w:rPr>
                      <w:rFonts w:ascii="Arial" w:hAnsi="Arial" w:cs="Arial"/>
                      <w:b/>
                      <w:sz w:val="16"/>
                      <w:szCs w:val="16"/>
                      <w:lang w:eastAsia="es-MX"/>
                    </w:rPr>
                    <w:t>N° ENTRV</w:t>
                  </w:r>
                </w:p>
              </w:tc>
              <w:tc>
                <w:tcPr>
                  <w:tcW w:w="567" w:type="dxa"/>
                  <w:shd w:val="clear" w:color="auto" w:fill="EAF1DD" w:themeFill="accent3" w:themeFillTint="33"/>
                  <w:noWrap/>
                  <w:vAlign w:val="center"/>
                  <w:hideMark/>
                </w:tcPr>
                <w:p w:rsidR="00684A71" w:rsidRPr="00167475" w:rsidRDefault="00684A71" w:rsidP="009F45EE">
                  <w:pPr>
                    <w:pStyle w:val="Sinespaciado"/>
                    <w:jc w:val="center"/>
                    <w:rPr>
                      <w:rFonts w:ascii="Arial" w:hAnsi="Arial" w:cs="Arial"/>
                      <w:b/>
                      <w:sz w:val="16"/>
                      <w:szCs w:val="16"/>
                      <w:lang w:eastAsia="es-MX"/>
                    </w:rPr>
                  </w:pPr>
                  <w:r w:rsidRPr="00167475">
                    <w:rPr>
                      <w:rFonts w:ascii="Arial" w:hAnsi="Arial" w:cs="Arial"/>
                      <w:b/>
                      <w:sz w:val="16"/>
                      <w:szCs w:val="16"/>
                      <w:lang w:eastAsia="es-MX"/>
                    </w:rPr>
                    <w:t>%</w:t>
                  </w:r>
                </w:p>
              </w:tc>
              <w:tc>
                <w:tcPr>
                  <w:tcW w:w="2126" w:type="dxa"/>
                  <w:shd w:val="clear" w:color="auto" w:fill="EAF1DD" w:themeFill="accent3" w:themeFillTint="33"/>
                  <w:noWrap/>
                  <w:vAlign w:val="center"/>
                  <w:hideMark/>
                </w:tcPr>
                <w:p w:rsidR="00684A71" w:rsidRPr="00167475" w:rsidRDefault="00684A71" w:rsidP="009F45EE">
                  <w:pPr>
                    <w:pStyle w:val="Sinespaciado"/>
                    <w:jc w:val="center"/>
                    <w:rPr>
                      <w:rFonts w:ascii="Arial" w:hAnsi="Arial" w:cs="Arial"/>
                      <w:b/>
                      <w:sz w:val="16"/>
                      <w:szCs w:val="16"/>
                      <w:lang w:eastAsia="es-MX"/>
                    </w:rPr>
                  </w:pPr>
                  <w:r w:rsidRPr="00167475">
                    <w:rPr>
                      <w:rFonts w:ascii="Arial" w:hAnsi="Arial" w:cs="Arial"/>
                      <w:b/>
                      <w:sz w:val="16"/>
                      <w:szCs w:val="16"/>
                      <w:lang w:eastAsia="es-MX"/>
                    </w:rPr>
                    <w:t>DESCRIPCIÓN</w:t>
                  </w:r>
                </w:p>
              </w:tc>
            </w:tr>
            <w:tr w:rsidR="00684A71" w:rsidRPr="00167475" w:rsidTr="009F45EE">
              <w:trPr>
                <w:trHeight w:val="300"/>
              </w:trPr>
              <w:tc>
                <w:tcPr>
                  <w:tcW w:w="724" w:type="dxa"/>
                  <w:shd w:val="clear" w:color="auto" w:fill="auto"/>
                  <w:vAlign w:val="center"/>
                </w:tcPr>
                <w:p w:rsidR="00684A71" w:rsidRPr="00167475" w:rsidRDefault="00684A71" w:rsidP="009F45EE">
                  <w:pPr>
                    <w:pStyle w:val="Sinespaciado"/>
                    <w:jc w:val="center"/>
                    <w:rPr>
                      <w:rFonts w:ascii="Arial" w:hAnsi="Arial" w:cs="Arial"/>
                      <w:color w:val="000000"/>
                      <w:sz w:val="16"/>
                      <w:szCs w:val="16"/>
                      <w:lang w:eastAsia="es-MX"/>
                    </w:rPr>
                  </w:pPr>
                  <w:r>
                    <w:rPr>
                      <w:rFonts w:ascii="Arial" w:hAnsi="Arial" w:cs="Arial"/>
                      <w:color w:val="000000"/>
                      <w:sz w:val="16"/>
                      <w:szCs w:val="16"/>
                      <w:lang w:eastAsia="es-MX"/>
                    </w:rPr>
                    <w:t>9</w:t>
                  </w:r>
                </w:p>
              </w:tc>
              <w:tc>
                <w:tcPr>
                  <w:tcW w:w="567" w:type="dxa"/>
                  <w:shd w:val="clear" w:color="auto" w:fill="auto"/>
                  <w:vAlign w:val="center"/>
                </w:tcPr>
                <w:p w:rsidR="00684A71" w:rsidRPr="00167475" w:rsidRDefault="00684A71" w:rsidP="009F45EE">
                  <w:pPr>
                    <w:pStyle w:val="Sinespaciado"/>
                    <w:rPr>
                      <w:rFonts w:ascii="Arial" w:hAnsi="Arial" w:cs="Arial"/>
                      <w:color w:val="000000"/>
                      <w:sz w:val="16"/>
                      <w:szCs w:val="16"/>
                      <w:lang w:eastAsia="es-MX"/>
                    </w:rPr>
                  </w:pPr>
                  <w:r>
                    <w:rPr>
                      <w:rFonts w:ascii="Arial" w:hAnsi="Arial" w:cs="Arial"/>
                      <w:color w:val="000000"/>
                      <w:sz w:val="16"/>
                      <w:szCs w:val="16"/>
                      <w:lang w:eastAsia="es-MX"/>
                    </w:rPr>
                    <w:t>52.9</w:t>
                  </w:r>
                </w:p>
              </w:tc>
              <w:tc>
                <w:tcPr>
                  <w:tcW w:w="2126" w:type="dxa"/>
                  <w:shd w:val="clear" w:color="auto" w:fill="auto"/>
                  <w:vAlign w:val="bottom"/>
                </w:tcPr>
                <w:p w:rsidR="00684A71" w:rsidRPr="003D51DF" w:rsidRDefault="00684A71" w:rsidP="009F45EE">
                  <w:pPr>
                    <w:pStyle w:val="Sinespaciado"/>
                    <w:rPr>
                      <w:rFonts w:ascii="Arial" w:hAnsi="Arial" w:cs="Arial"/>
                      <w:sz w:val="16"/>
                      <w:szCs w:val="16"/>
                      <w:lang w:eastAsia="es-MX"/>
                    </w:rPr>
                  </w:pPr>
                  <w:r>
                    <w:rPr>
                      <w:rFonts w:ascii="Arial" w:hAnsi="Arial" w:cs="Arial"/>
                      <w:sz w:val="16"/>
                      <w:szCs w:val="16"/>
                      <w:lang w:eastAsia="es-MX"/>
                    </w:rPr>
                    <w:t>L</w:t>
                  </w:r>
                  <w:r w:rsidRPr="001C0442">
                    <w:rPr>
                      <w:rFonts w:ascii="Arial" w:hAnsi="Arial" w:cs="Arial"/>
                      <w:sz w:val="16"/>
                      <w:szCs w:val="16"/>
                      <w:lang w:eastAsia="es-MX"/>
                    </w:rPr>
                    <w:t xml:space="preserve">os plaguicidas </w:t>
                  </w:r>
                  <w:r>
                    <w:rPr>
                      <w:rFonts w:ascii="Arial" w:hAnsi="Arial" w:cs="Arial"/>
                      <w:sz w:val="16"/>
                      <w:szCs w:val="16"/>
                      <w:lang w:eastAsia="es-MX"/>
                    </w:rPr>
                    <w:t xml:space="preserve">si </w:t>
                  </w:r>
                  <w:r w:rsidRPr="001C0442">
                    <w:rPr>
                      <w:rFonts w:ascii="Arial" w:hAnsi="Arial" w:cs="Arial"/>
                      <w:sz w:val="16"/>
                      <w:szCs w:val="16"/>
                      <w:lang w:eastAsia="es-MX"/>
                    </w:rPr>
                    <w:t>son dañinos a la salud humana</w:t>
                  </w:r>
                </w:p>
              </w:tc>
            </w:tr>
            <w:tr w:rsidR="00684A71" w:rsidRPr="00167475" w:rsidTr="009F45EE">
              <w:trPr>
                <w:trHeight w:val="300"/>
              </w:trPr>
              <w:tc>
                <w:tcPr>
                  <w:tcW w:w="724" w:type="dxa"/>
                  <w:shd w:val="clear" w:color="auto" w:fill="auto"/>
                  <w:vAlign w:val="center"/>
                </w:tcPr>
                <w:p w:rsidR="00684A71" w:rsidRPr="00167475" w:rsidRDefault="00684A71" w:rsidP="009F45EE">
                  <w:pPr>
                    <w:pStyle w:val="Sinespaciado"/>
                    <w:jc w:val="center"/>
                    <w:rPr>
                      <w:rFonts w:ascii="Arial" w:hAnsi="Arial" w:cs="Arial"/>
                      <w:color w:val="000000"/>
                      <w:sz w:val="16"/>
                      <w:szCs w:val="16"/>
                      <w:lang w:eastAsia="es-MX"/>
                    </w:rPr>
                  </w:pPr>
                  <w:r>
                    <w:rPr>
                      <w:rFonts w:ascii="Arial" w:hAnsi="Arial" w:cs="Arial"/>
                      <w:color w:val="000000"/>
                      <w:sz w:val="16"/>
                      <w:szCs w:val="16"/>
                      <w:lang w:eastAsia="es-MX"/>
                    </w:rPr>
                    <w:t>8</w:t>
                  </w:r>
                </w:p>
              </w:tc>
              <w:tc>
                <w:tcPr>
                  <w:tcW w:w="567" w:type="dxa"/>
                  <w:shd w:val="clear" w:color="auto" w:fill="auto"/>
                  <w:vAlign w:val="center"/>
                </w:tcPr>
                <w:p w:rsidR="00684A71" w:rsidRPr="00167475" w:rsidRDefault="00684A71" w:rsidP="009F45EE">
                  <w:pPr>
                    <w:pStyle w:val="Sinespaciado"/>
                    <w:rPr>
                      <w:rFonts w:ascii="Arial" w:hAnsi="Arial" w:cs="Arial"/>
                      <w:color w:val="000000"/>
                      <w:sz w:val="16"/>
                      <w:szCs w:val="16"/>
                      <w:lang w:eastAsia="es-MX"/>
                    </w:rPr>
                  </w:pPr>
                  <w:r>
                    <w:rPr>
                      <w:rFonts w:ascii="Arial" w:hAnsi="Arial" w:cs="Arial"/>
                      <w:color w:val="000000"/>
                      <w:sz w:val="16"/>
                      <w:szCs w:val="16"/>
                      <w:lang w:eastAsia="es-MX"/>
                    </w:rPr>
                    <w:t>47.1</w:t>
                  </w:r>
                </w:p>
              </w:tc>
              <w:tc>
                <w:tcPr>
                  <w:tcW w:w="2126" w:type="dxa"/>
                  <w:shd w:val="clear" w:color="auto" w:fill="auto"/>
                  <w:vAlign w:val="bottom"/>
                </w:tcPr>
                <w:p w:rsidR="00684A71" w:rsidRPr="003D51DF" w:rsidRDefault="00684A71" w:rsidP="009F45EE">
                  <w:pPr>
                    <w:pStyle w:val="Sinespaciado"/>
                    <w:rPr>
                      <w:rFonts w:ascii="Arial" w:hAnsi="Arial" w:cs="Arial"/>
                      <w:sz w:val="16"/>
                      <w:szCs w:val="16"/>
                      <w:lang w:eastAsia="es-MX"/>
                    </w:rPr>
                  </w:pPr>
                  <w:r>
                    <w:rPr>
                      <w:rFonts w:ascii="Arial" w:hAnsi="Arial" w:cs="Arial"/>
                      <w:sz w:val="16"/>
                      <w:szCs w:val="16"/>
                      <w:lang w:eastAsia="es-MX"/>
                    </w:rPr>
                    <w:t>Los orgánicos hacen daño</w:t>
                  </w:r>
                </w:p>
              </w:tc>
            </w:tr>
            <w:tr w:rsidR="00684A71" w:rsidRPr="00167475" w:rsidTr="009F45EE">
              <w:trPr>
                <w:trHeight w:val="300"/>
              </w:trPr>
              <w:tc>
                <w:tcPr>
                  <w:tcW w:w="724" w:type="dxa"/>
                  <w:shd w:val="clear" w:color="auto" w:fill="auto"/>
                  <w:vAlign w:val="center"/>
                </w:tcPr>
                <w:p w:rsidR="00684A71" w:rsidRPr="00167475" w:rsidRDefault="00684A71" w:rsidP="009F45EE">
                  <w:pPr>
                    <w:pStyle w:val="Sinespaciado"/>
                    <w:rPr>
                      <w:rFonts w:ascii="Arial" w:hAnsi="Arial" w:cs="Arial"/>
                      <w:color w:val="000000"/>
                      <w:sz w:val="16"/>
                      <w:szCs w:val="16"/>
                      <w:lang w:eastAsia="es-MX"/>
                    </w:rPr>
                  </w:pPr>
                  <w:r>
                    <w:rPr>
                      <w:rFonts w:ascii="Arial" w:hAnsi="Arial" w:cs="Arial"/>
                      <w:color w:val="000000"/>
                      <w:sz w:val="16"/>
                      <w:szCs w:val="16"/>
                      <w:lang w:eastAsia="es-MX"/>
                    </w:rPr>
                    <w:t>∑=17</w:t>
                  </w:r>
                </w:p>
              </w:tc>
              <w:tc>
                <w:tcPr>
                  <w:tcW w:w="2693" w:type="dxa"/>
                  <w:gridSpan w:val="2"/>
                  <w:tcBorders>
                    <w:bottom w:val="nil"/>
                    <w:right w:val="nil"/>
                  </w:tcBorders>
                  <w:shd w:val="clear" w:color="auto" w:fill="auto"/>
                  <w:vAlign w:val="center"/>
                </w:tcPr>
                <w:p w:rsidR="00684A71" w:rsidRPr="00167475" w:rsidRDefault="00684A71" w:rsidP="009F45EE">
                  <w:pPr>
                    <w:pStyle w:val="Sinespaciado"/>
                    <w:rPr>
                      <w:rFonts w:ascii="Arial" w:hAnsi="Arial" w:cs="Arial"/>
                      <w:color w:val="000000"/>
                      <w:sz w:val="16"/>
                      <w:szCs w:val="16"/>
                      <w:lang w:eastAsia="es-MX"/>
                    </w:rPr>
                  </w:pPr>
                </w:p>
              </w:tc>
            </w:tr>
          </w:tbl>
          <w:p w:rsidR="00684A71" w:rsidRDefault="00684A71" w:rsidP="009F45EE">
            <w:pPr>
              <w:pStyle w:val="Sinespaciado"/>
              <w:spacing w:line="276" w:lineRule="auto"/>
              <w:jc w:val="both"/>
              <w:rPr>
                <w:rFonts w:ascii="Arial" w:hAnsi="Arial" w:cs="Arial"/>
              </w:rPr>
            </w:pPr>
          </w:p>
        </w:tc>
        <w:tc>
          <w:tcPr>
            <w:tcW w:w="5279" w:type="dxa"/>
          </w:tcPr>
          <w:p w:rsidR="00684A71" w:rsidRDefault="00684A71" w:rsidP="009F45EE">
            <w:pPr>
              <w:pStyle w:val="Sinespaciado"/>
              <w:spacing w:line="276" w:lineRule="auto"/>
              <w:jc w:val="both"/>
              <w:rPr>
                <w:rFonts w:ascii="Arial" w:hAnsi="Arial" w:cs="Arial"/>
              </w:rPr>
            </w:pPr>
            <w:r>
              <w:rPr>
                <w:noProof/>
              </w:rPr>
              <w:drawing>
                <wp:inline distT="0" distB="0" distL="0" distR="0" wp14:anchorId="1CB9EC92" wp14:editId="23B55B62">
                  <wp:extent cx="3174520" cy="1785174"/>
                  <wp:effectExtent l="0" t="0" r="6985" b="5715"/>
                  <wp:docPr id="23" name="Imagen 23" descr="C:\Users\SAMSUNG\AppData\Local\Microsoft\Windows\Temporary Internet Files\Content.Word\9_rel plag-enfermedad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MSUNG\AppData\Local\Microsoft\Windows\Temporary Internet Files\Content.Word\9_rel plag-enfermedades.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186481" cy="1791900"/>
                          </a:xfrm>
                          <a:prstGeom prst="rect">
                            <a:avLst/>
                          </a:prstGeom>
                          <a:noFill/>
                          <a:ln>
                            <a:noFill/>
                          </a:ln>
                        </pic:spPr>
                      </pic:pic>
                    </a:graphicData>
                  </a:graphic>
                </wp:inline>
              </w:drawing>
            </w:r>
          </w:p>
        </w:tc>
      </w:tr>
    </w:tbl>
    <w:p w:rsidR="00684A71" w:rsidRPr="00793382" w:rsidRDefault="00684A71" w:rsidP="00684A71">
      <w:pPr>
        <w:pStyle w:val="Sinespaciado"/>
        <w:jc w:val="center"/>
        <w:rPr>
          <w:rFonts w:asciiTheme="minorHAnsi" w:hAnsiTheme="minorHAnsi" w:cs="Arial"/>
          <w:noProof/>
          <w:sz w:val="24"/>
          <w:szCs w:val="24"/>
          <w:lang w:eastAsia="es-MX"/>
        </w:rPr>
      </w:pPr>
      <w:bookmarkStart w:id="23" w:name="_Toc421689471"/>
      <w:r w:rsidRPr="00793382">
        <w:rPr>
          <w:rFonts w:asciiTheme="minorHAnsi" w:hAnsiTheme="minorHAnsi" w:cs="Arial"/>
          <w:noProof/>
          <w:sz w:val="24"/>
          <w:szCs w:val="24"/>
          <w:lang w:eastAsia="es-MX"/>
        </w:rPr>
        <w:t>Figura</w:t>
      </w:r>
      <w:r w:rsidR="00793382">
        <w:rPr>
          <w:rFonts w:asciiTheme="minorHAnsi" w:hAnsiTheme="minorHAnsi" w:cs="Arial"/>
          <w:noProof/>
          <w:sz w:val="24"/>
          <w:szCs w:val="24"/>
          <w:lang w:eastAsia="es-MX"/>
        </w:rPr>
        <w:t xml:space="preserve"> 11.</w:t>
      </w:r>
      <w:r w:rsidRPr="00793382">
        <w:rPr>
          <w:rFonts w:asciiTheme="minorHAnsi" w:hAnsiTheme="minorHAnsi" w:cs="Arial"/>
          <w:noProof/>
          <w:sz w:val="24"/>
          <w:szCs w:val="24"/>
          <w:lang w:eastAsia="es-MX"/>
        </w:rPr>
        <w:t xml:space="preserve"> Relación entre enfermedades y el uso de plaguicidas</w:t>
      </w:r>
      <w:bookmarkEnd w:id="23"/>
    </w:p>
    <w:p w:rsidR="00684A71" w:rsidRPr="00793382" w:rsidRDefault="00684A71" w:rsidP="00684A71">
      <w:pPr>
        <w:pStyle w:val="Sinespaciado"/>
        <w:spacing w:line="276" w:lineRule="auto"/>
        <w:jc w:val="center"/>
        <w:rPr>
          <w:rFonts w:asciiTheme="minorHAnsi" w:hAnsiTheme="minorHAnsi" w:cs="Arial"/>
          <w:noProof/>
          <w:sz w:val="24"/>
          <w:szCs w:val="24"/>
          <w:lang w:eastAsia="es-MX"/>
        </w:rPr>
      </w:pPr>
      <w:r w:rsidRPr="00793382">
        <w:rPr>
          <w:rFonts w:asciiTheme="minorHAnsi" w:hAnsiTheme="minorHAnsi" w:cs="Arial"/>
          <w:noProof/>
          <w:sz w:val="24"/>
          <w:szCs w:val="24"/>
          <w:lang w:eastAsia="es-MX"/>
        </w:rPr>
        <w:t>Fuente: Trabajo de campo, 2015.</w:t>
      </w:r>
    </w:p>
    <w:p w:rsidR="00684A71" w:rsidRDefault="00684A71" w:rsidP="00684A71">
      <w:pPr>
        <w:pStyle w:val="Sinespaciado"/>
        <w:spacing w:line="276" w:lineRule="auto"/>
        <w:jc w:val="both"/>
        <w:rPr>
          <w:rFonts w:ascii="Arial" w:hAnsi="Arial" w:cs="Arial"/>
        </w:rPr>
      </w:pPr>
    </w:p>
    <w:p w:rsidR="00684A71" w:rsidRPr="00793382" w:rsidRDefault="00684A71" w:rsidP="00684A71">
      <w:pPr>
        <w:pStyle w:val="Sinespaciado"/>
        <w:spacing w:line="276" w:lineRule="auto"/>
        <w:jc w:val="both"/>
        <w:rPr>
          <w:rFonts w:asciiTheme="minorHAnsi" w:hAnsiTheme="minorHAnsi" w:cs="Arial"/>
          <w:noProof/>
          <w:sz w:val="24"/>
          <w:szCs w:val="24"/>
          <w:lang w:eastAsia="es-MX"/>
        </w:rPr>
      </w:pPr>
      <w:r w:rsidRPr="00793382">
        <w:rPr>
          <w:rFonts w:asciiTheme="minorHAnsi" w:hAnsiTheme="minorHAnsi" w:cs="Arial"/>
          <w:noProof/>
          <w:sz w:val="24"/>
          <w:szCs w:val="24"/>
          <w:lang w:eastAsia="es-MX"/>
        </w:rPr>
        <w:t>PERCEPCIÓN DEL RIESGO POR EXPOSICIÓN A PLAGUICIDAS: generalizando esta categoría por el conglomerado de población se aprecia que el 70.6%  está consciente de que toda la población está en riesgo de enfermar por exposición a los plaguicidas, aunque  no participen en ninguna faceta de la producción; esto es porque al aplicar plaguicidas estos se integran en el aire, y ese aire es el mismo para todos, por eso toda la población está en riesgo, solo que algunos son más resistente que otros y p</w:t>
      </w:r>
      <w:r w:rsidR="00793382">
        <w:rPr>
          <w:rFonts w:asciiTheme="minorHAnsi" w:hAnsiTheme="minorHAnsi" w:cs="Arial"/>
          <w:noProof/>
          <w:sz w:val="24"/>
          <w:szCs w:val="24"/>
          <w:lang w:eastAsia="es-MX"/>
        </w:rPr>
        <w:t>or eso no se enferman</w:t>
      </w:r>
      <w:r w:rsidRPr="00793382">
        <w:rPr>
          <w:rFonts w:asciiTheme="minorHAnsi" w:hAnsiTheme="minorHAnsi" w:cs="Arial"/>
          <w:noProof/>
          <w:sz w:val="24"/>
          <w:szCs w:val="24"/>
          <w:lang w:eastAsia="es-MX"/>
        </w:rPr>
        <w:t>.</w:t>
      </w:r>
    </w:p>
    <w:p w:rsidR="00684A71" w:rsidRPr="00793382" w:rsidRDefault="00684A71" w:rsidP="00684A71">
      <w:pPr>
        <w:pStyle w:val="Sinespaciado"/>
        <w:spacing w:line="276" w:lineRule="auto"/>
        <w:jc w:val="both"/>
        <w:rPr>
          <w:rFonts w:asciiTheme="minorHAnsi" w:hAnsiTheme="minorHAnsi" w:cs="Arial"/>
          <w:noProof/>
          <w:sz w:val="24"/>
          <w:szCs w:val="24"/>
          <w:lang w:eastAsia="es-MX"/>
        </w:rPr>
      </w:pPr>
    </w:p>
    <w:p w:rsidR="00684A71" w:rsidRPr="00793382" w:rsidRDefault="00684A71" w:rsidP="00684A71">
      <w:pPr>
        <w:pStyle w:val="Sinespaciado"/>
        <w:spacing w:line="276" w:lineRule="auto"/>
        <w:jc w:val="both"/>
        <w:rPr>
          <w:rFonts w:asciiTheme="minorHAnsi" w:hAnsiTheme="minorHAnsi" w:cs="Arial"/>
          <w:noProof/>
          <w:sz w:val="24"/>
          <w:szCs w:val="24"/>
          <w:lang w:eastAsia="es-MX"/>
        </w:rPr>
      </w:pPr>
      <w:r w:rsidRPr="00793382">
        <w:rPr>
          <w:rFonts w:asciiTheme="minorHAnsi" w:hAnsiTheme="minorHAnsi" w:cs="Arial"/>
          <w:noProof/>
          <w:sz w:val="24"/>
          <w:szCs w:val="24"/>
          <w:lang w:eastAsia="es-MX"/>
        </w:rPr>
        <w:t>El 29.4% expresa que solo los que fumigan están en riesgo, así como el que va cerca del que fumiga, porque son ellos los que presentan malestares, el resto de la población se encuentra libre de riesgo porque los fumigos están dentro de los invernaderos y las plantas los absorben.</w:t>
      </w:r>
    </w:p>
    <w:p w:rsidR="006C7477" w:rsidRDefault="006C7477" w:rsidP="00B603A3">
      <w:pPr>
        <w:pStyle w:val="Sinespaciado"/>
        <w:spacing w:line="276" w:lineRule="auto"/>
        <w:jc w:val="both"/>
        <w:rPr>
          <w:rFonts w:asciiTheme="minorHAnsi" w:hAnsiTheme="minorHAnsi" w:cs="Arial"/>
          <w:noProof/>
          <w:sz w:val="24"/>
          <w:szCs w:val="24"/>
          <w:lang w:eastAsia="es-MX"/>
        </w:rPr>
      </w:pPr>
    </w:p>
    <w:p w:rsidR="006C7477" w:rsidRDefault="00684A71" w:rsidP="00B603A3">
      <w:pPr>
        <w:pStyle w:val="Sinespaciado"/>
        <w:spacing w:line="276" w:lineRule="auto"/>
        <w:jc w:val="both"/>
        <w:rPr>
          <w:rFonts w:asciiTheme="minorHAnsi" w:hAnsiTheme="minorHAnsi" w:cs="Arial"/>
          <w:noProof/>
          <w:sz w:val="24"/>
          <w:szCs w:val="24"/>
          <w:lang w:eastAsia="es-MX"/>
        </w:rPr>
      </w:pPr>
      <w:r>
        <w:rPr>
          <w:rFonts w:asciiTheme="minorHAnsi" w:hAnsiTheme="minorHAnsi" w:cs="Arial"/>
          <w:noProof/>
          <w:sz w:val="24"/>
          <w:szCs w:val="24"/>
          <w:lang w:eastAsia="es-MX"/>
        </w:rPr>
        <w:t>Por otro lado</w:t>
      </w:r>
      <w:r w:rsidR="00793382">
        <w:rPr>
          <w:rFonts w:asciiTheme="minorHAnsi" w:hAnsiTheme="minorHAnsi" w:cs="Arial"/>
          <w:noProof/>
          <w:sz w:val="24"/>
          <w:szCs w:val="24"/>
          <w:lang w:eastAsia="es-MX"/>
        </w:rPr>
        <w:t xml:space="preserve"> con el euipo adquirido a través del proyecto y en colaboración con la facultad de Química de la Universidad Autónoma del Estado de México se llevo a cabo el análisis de 2 de los plaguicidas más utilizadas en el cultiovo de Gerbera. Los cúales se presentan a continuación.</w:t>
      </w:r>
    </w:p>
    <w:p w:rsidR="00684A71" w:rsidRDefault="00684A71" w:rsidP="00B603A3">
      <w:pPr>
        <w:pStyle w:val="Sinespaciado"/>
        <w:spacing w:line="276" w:lineRule="auto"/>
        <w:jc w:val="both"/>
        <w:rPr>
          <w:rFonts w:asciiTheme="minorHAnsi" w:hAnsiTheme="minorHAnsi" w:cs="Arial"/>
          <w:noProof/>
          <w:sz w:val="24"/>
          <w:szCs w:val="24"/>
          <w:lang w:eastAsia="es-MX"/>
        </w:rPr>
      </w:pPr>
    </w:p>
    <w:p w:rsidR="00684A71" w:rsidRPr="00793382" w:rsidRDefault="00684A71" w:rsidP="00793382">
      <w:pPr>
        <w:pStyle w:val="Ttulo1"/>
        <w:keepLines w:val="0"/>
        <w:numPr>
          <w:ilvl w:val="1"/>
          <w:numId w:val="25"/>
        </w:numPr>
        <w:spacing w:before="0" w:line="360" w:lineRule="auto"/>
        <w:jc w:val="both"/>
        <w:rPr>
          <w:rFonts w:asciiTheme="minorHAnsi" w:eastAsia="Calibri" w:hAnsiTheme="minorHAnsi" w:cs="Arial"/>
          <w:b/>
          <w:noProof/>
          <w:color w:val="auto"/>
          <w:sz w:val="24"/>
          <w:szCs w:val="24"/>
          <w:lang w:eastAsia="es-MX"/>
        </w:rPr>
      </w:pPr>
      <w:bookmarkStart w:id="24" w:name="_Toc405131008"/>
      <w:r w:rsidRPr="00793382">
        <w:rPr>
          <w:rFonts w:asciiTheme="minorHAnsi" w:eastAsia="Calibri" w:hAnsiTheme="minorHAnsi" w:cs="Arial"/>
          <w:b/>
          <w:noProof/>
          <w:color w:val="auto"/>
          <w:sz w:val="24"/>
          <w:szCs w:val="24"/>
          <w:lang w:eastAsia="es-MX"/>
        </w:rPr>
        <w:t>Características fisicoquímicas del Metomilo y el Endosulfán</w:t>
      </w:r>
      <w:bookmarkEnd w:id="24"/>
    </w:p>
    <w:p w:rsidR="00684A71" w:rsidRPr="00CF70C5" w:rsidRDefault="00B91B45" w:rsidP="00684A71">
      <w:pPr>
        <w:spacing w:line="360" w:lineRule="auto"/>
        <w:jc w:val="both"/>
        <w:rPr>
          <w:rFonts w:asciiTheme="minorHAnsi" w:hAnsiTheme="minorHAnsi" w:cs="Arial"/>
          <w:noProof/>
          <w:sz w:val="24"/>
          <w:szCs w:val="24"/>
          <w:lang w:eastAsia="es-MX"/>
        </w:rPr>
      </w:pPr>
      <w:r w:rsidRPr="00CF70C5">
        <w:rPr>
          <w:rFonts w:asciiTheme="minorHAnsi" w:hAnsiTheme="minorHAnsi" w:cs="Arial"/>
          <w:noProof/>
          <w:sz w:val="24"/>
          <w:szCs w:val="24"/>
          <w:lang w:eastAsia="es-MX"/>
        </w:rPr>
        <w:t>La siguiente tabla 3</w:t>
      </w:r>
      <w:r w:rsidR="00684A71" w:rsidRPr="00CF70C5">
        <w:rPr>
          <w:rFonts w:asciiTheme="minorHAnsi" w:hAnsiTheme="minorHAnsi" w:cs="Arial"/>
          <w:noProof/>
          <w:sz w:val="24"/>
          <w:szCs w:val="24"/>
          <w:lang w:eastAsia="es-MX"/>
        </w:rPr>
        <w:t xml:space="preserve"> describe las principales características fisicoquímicas de los plaguicidas contemplados para analizar en el estudio.</w:t>
      </w:r>
    </w:p>
    <w:p w:rsidR="00684A71" w:rsidRPr="00B91B45" w:rsidRDefault="00684A71" w:rsidP="00B91B45">
      <w:pPr>
        <w:jc w:val="both"/>
        <w:rPr>
          <w:rFonts w:asciiTheme="minorHAnsi" w:hAnsiTheme="minorHAnsi" w:cs="Arial"/>
          <w:color w:val="000000"/>
          <w:sz w:val="24"/>
          <w:szCs w:val="24"/>
        </w:rPr>
      </w:pPr>
      <w:r w:rsidRPr="00B91B45">
        <w:rPr>
          <w:rFonts w:asciiTheme="minorHAnsi" w:hAnsiTheme="minorHAnsi" w:cs="Arial"/>
          <w:color w:val="000000"/>
          <w:sz w:val="24"/>
          <w:szCs w:val="24"/>
        </w:rPr>
        <w:t xml:space="preserve">Tabla </w:t>
      </w:r>
      <w:r w:rsidR="00B91B45" w:rsidRPr="00B91B45">
        <w:rPr>
          <w:rFonts w:asciiTheme="minorHAnsi" w:hAnsiTheme="minorHAnsi" w:cs="Arial"/>
          <w:color w:val="000000"/>
          <w:sz w:val="24"/>
          <w:szCs w:val="24"/>
        </w:rPr>
        <w:t>3.</w:t>
      </w:r>
      <w:r w:rsidRPr="00B91B45">
        <w:rPr>
          <w:rFonts w:asciiTheme="minorHAnsi" w:hAnsiTheme="minorHAnsi" w:cs="Arial"/>
          <w:color w:val="000000"/>
          <w:sz w:val="24"/>
          <w:szCs w:val="24"/>
        </w:rPr>
        <w:t xml:space="preserve"> Propiedades fisicoquímicas del Endosulfán y el Metomilo</w:t>
      </w:r>
    </w:p>
    <w:tbl>
      <w:tblPr>
        <w:tblStyle w:val="Tablaconcuadrcula"/>
        <w:tblW w:w="9039" w:type="dxa"/>
        <w:tblLook w:val="04A0" w:firstRow="1" w:lastRow="0" w:firstColumn="1" w:lastColumn="0" w:noHBand="0" w:noVBand="1"/>
      </w:tblPr>
      <w:tblGrid>
        <w:gridCol w:w="4106"/>
        <w:gridCol w:w="2410"/>
        <w:gridCol w:w="2523"/>
      </w:tblGrid>
      <w:tr w:rsidR="00684A71" w:rsidRPr="00064579" w:rsidTr="009F45EE">
        <w:trPr>
          <w:trHeight w:val="231"/>
        </w:trPr>
        <w:tc>
          <w:tcPr>
            <w:tcW w:w="4106" w:type="dxa"/>
            <w:hideMark/>
          </w:tcPr>
          <w:p w:rsidR="00684A71" w:rsidRPr="00BD59FE" w:rsidRDefault="00684A71" w:rsidP="009F45EE">
            <w:pPr>
              <w:spacing w:after="200" w:line="360" w:lineRule="auto"/>
              <w:jc w:val="center"/>
              <w:rPr>
                <w:rFonts w:ascii="Arial" w:hAnsi="Arial" w:cs="Arial"/>
              </w:rPr>
            </w:pPr>
            <w:r w:rsidRPr="00BD59FE">
              <w:rPr>
                <w:rFonts w:ascii="Arial" w:hAnsi="Arial" w:cs="Arial"/>
                <w:b/>
                <w:bCs/>
                <w:lang w:val="es-ES"/>
              </w:rPr>
              <w:t>C</w:t>
            </w:r>
            <w:r>
              <w:rPr>
                <w:rFonts w:ascii="Arial" w:hAnsi="Arial" w:cs="Arial"/>
                <w:b/>
                <w:bCs/>
                <w:lang w:val="es-ES"/>
              </w:rPr>
              <w:t>aracterística</w:t>
            </w:r>
          </w:p>
        </w:tc>
        <w:tc>
          <w:tcPr>
            <w:tcW w:w="2410" w:type="dxa"/>
            <w:hideMark/>
          </w:tcPr>
          <w:p w:rsidR="00684A71" w:rsidRPr="00BD59FE" w:rsidRDefault="00684A71" w:rsidP="009F45EE">
            <w:pPr>
              <w:spacing w:line="360" w:lineRule="auto"/>
              <w:jc w:val="center"/>
              <w:rPr>
                <w:rFonts w:ascii="Arial" w:hAnsi="Arial" w:cs="Arial"/>
                <w:b/>
              </w:rPr>
            </w:pPr>
            <w:r w:rsidRPr="00BD59FE">
              <w:rPr>
                <w:rFonts w:ascii="Arial" w:hAnsi="Arial" w:cs="Arial"/>
                <w:b/>
              </w:rPr>
              <w:t>Thiodan</w:t>
            </w:r>
          </w:p>
        </w:tc>
        <w:tc>
          <w:tcPr>
            <w:tcW w:w="2523" w:type="dxa"/>
            <w:hideMark/>
          </w:tcPr>
          <w:p w:rsidR="00684A71" w:rsidRPr="00BD59FE" w:rsidRDefault="00684A71" w:rsidP="009F45EE">
            <w:pPr>
              <w:spacing w:after="200" w:line="360" w:lineRule="auto"/>
              <w:jc w:val="center"/>
              <w:rPr>
                <w:rFonts w:ascii="Arial" w:hAnsi="Arial" w:cs="Arial"/>
              </w:rPr>
            </w:pPr>
            <w:r w:rsidRPr="00BD59FE">
              <w:rPr>
                <w:rFonts w:ascii="Arial" w:hAnsi="Arial" w:cs="Arial"/>
                <w:b/>
                <w:bCs/>
                <w:lang w:val="es-ES"/>
              </w:rPr>
              <w:t>Lannate</w:t>
            </w:r>
          </w:p>
        </w:tc>
      </w:tr>
      <w:tr w:rsidR="00684A71" w:rsidRPr="00064579" w:rsidTr="009F45EE">
        <w:trPr>
          <w:trHeight w:val="239"/>
        </w:trPr>
        <w:tc>
          <w:tcPr>
            <w:tcW w:w="4106" w:type="dxa"/>
            <w:hideMark/>
          </w:tcPr>
          <w:p w:rsidR="00684A71" w:rsidRPr="00BD59FE" w:rsidRDefault="00684A71" w:rsidP="009F45EE">
            <w:pPr>
              <w:spacing w:after="200" w:line="360" w:lineRule="auto"/>
              <w:rPr>
                <w:rFonts w:ascii="Arial" w:hAnsi="Arial" w:cs="Arial"/>
              </w:rPr>
            </w:pPr>
            <w:r w:rsidRPr="00BD59FE">
              <w:rPr>
                <w:rFonts w:ascii="Arial" w:hAnsi="Arial" w:cs="Arial"/>
                <w:b/>
                <w:bCs/>
                <w:lang w:val="es-ES"/>
              </w:rPr>
              <w:t>Ingrediente activo</w:t>
            </w:r>
          </w:p>
        </w:tc>
        <w:tc>
          <w:tcPr>
            <w:tcW w:w="2410" w:type="dxa"/>
            <w:hideMark/>
          </w:tcPr>
          <w:p w:rsidR="00684A71" w:rsidRPr="00BD59FE" w:rsidRDefault="00684A71" w:rsidP="009F45EE">
            <w:pPr>
              <w:spacing w:after="200" w:line="360" w:lineRule="auto"/>
              <w:rPr>
                <w:rFonts w:ascii="Arial" w:hAnsi="Arial" w:cs="Arial"/>
              </w:rPr>
            </w:pPr>
            <w:r w:rsidRPr="00BD59FE">
              <w:rPr>
                <w:rFonts w:ascii="Arial" w:hAnsi="Arial" w:cs="Arial"/>
                <w:lang w:val="es-ES"/>
              </w:rPr>
              <w:t>Endosulfán</w:t>
            </w:r>
          </w:p>
        </w:tc>
        <w:tc>
          <w:tcPr>
            <w:tcW w:w="2523" w:type="dxa"/>
            <w:hideMark/>
          </w:tcPr>
          <w:p w:rsidR="00684A71" w:rsidRPr="00BD59FE" w:rsidRDefault="00684A71" w:rsidP="009F45EE">
            <w:pPr>
              <w:spacing w:after="200" w:line="360" w:lineRule="auto"/>
              <w:rPr>
                <w:rFonts w:ascii="Arial" w:hAnsi="Arial" w:cs="Arial"/>
              </w:rPr>
            </w:pPr>
            <w:r w:rsidRPr="00BD59FE">
              <w:rPr>
                <w:rFonts w:ascii="Arial" w:hAnsi="Arial" w:cs="Arial"/>
                <w:lang w:val="es-ES"/>
              </w:rPr>
              <w:t>Metomilo</w:t>
            </w:r>
          </w:p>
        </w:tc>
      </w:tr>
      <w:tr w:rsidR="00684A71" w:rsidRPr="00064579" w:rsidTr="009F45EE">
        <w:trPr>
          <w:trHeight w:val="389"/>
        </w:trPr>
        <w:tc>
          <w:tcPr>
            <w:tcW w:w="4106" w:type="dxa"/>
            <w:hideMark/>
          </w:tcPr>
          <w:p w:rsidR="00684A71" w:rsidRPr="00BD59FE" w:rsidRDefault="00684A71" w:rsidP="009F45EE">
            <w:pPr>
              <w:spacing w:after="200" w:line="360" w:lineRule="auto"/>
              <w:rPr>
                <w:rFonts w:ascii="Arial" w:hAnsi="Arial" w:cs="Arial"/>
              </w:rPr>
            </w:pPr>
            <w:r w:rsidRPr="00BD59FE">
              <w:rPr>
                <w:rFonts w:ascii="Arial" w:hAnsi="Arial" w:cs="Arial"/>
                <w:b/>
                <w:bCs/>
                <w:lang w:val="es-ES"/>
              </w:rPr>
              <w:t>Tipo (familia)</w:t>
            </w:r>
          </w:p>
        </w:tc>
        <w:tc>
          <w:tcPr>
            <w:tcW w:w="2410" w:type="dxa"/>
            <w:hideMark/>
          </w:tcPr>
          <w:p w:rsidR="00684A71" w:rsidRPr="00BD59FE" w:rsidRDefault="00684A71" w:rsidP="009F45EE">
            <w:pPr>
              <w:spacing w:after="200" w:line="360" w:lineRule="auto"/>
              <w:rPr>
                <w:rFonts w:ascii="Arial" w:hAnsi="Arial" w:cs="Arial"/>
              </w:rPr>
            </w:pPr>
            <w:r w:rsidRPr="00BD59FE">
              <w:rPr>
                <w:rFonts w:ascii="Arial" w:hAnsi="Arial" w:cs="Arial"/>
                <w:lang w:val="es-ES"/>
              </w:rPr>
              <w:t>organoclorado</w:t>
            </w:r>
          </w:p>
        </w:tc>
        <w:tc>
          <w:tcPr>
            <w:tcW w:w="2523" w:type="dxa"/>
            <w:hideMark/>
          </w:tcPr>
          <w:p w:rsidR="00684A71" w:rsidRPr="00BD59FE" w:rsidRDefault="00684A71" w:rsidP="009F45EE">
            <w:pPr>
              <w:spacing w:after="200" w:line="360" w:lineRule="auto"/>
              <w:rPr>
                <w:rFonts w:ascii="Arial" w:hAnsi="Arial" w:cs="Arial"/>
              </w:rPr>
            </w:pPr>
            <w:r w:rsidRPr="00BD59FE">
              <w:rPr>
                <w:rFonts w:ascii="Arial" w:hAnsi="Arial" w:cs="Arial"/>
                <w:lang w:val="es-ES"/>
              </w:rPr>
              <w:t>carbamatos</w:t>
            </w:r>
          </w:p>
        </w:tc>
      </w:tr>
      <w:tr w:rsidR="00684A71" w:rsidRPr="00064579" w:rsidTr="009F45EE">
        <w:trPr>
          <w:trHeight w:val="411"/>
        </w:trPr>
        <w:tc>
          <w:tcPr>
            <w:tcW w:w="4106" w:type="dxa"/>
            <w:hideMark/>
          </w:tcPr>
          <w:p w:rsidR="00684A71" w:rsidRPr="00BD59FE" w:rsidRDefault="00684A71" w:rsidP="009F45EE">
            <w:pPr>
              <w:spacing w:after="200" w:line="360" w:lineRule="auto"/>
              <w:rPr>
                <w:rFonts w:ascii="Arial" w:hAnsi="Arial" w:cs="Arial"/>
              </w:rPr>
            </w:pPr>
            <w:r w:rsidRPr="00BD59FE">
              <w:rPr>
                <w:rFonts w:ascii="Arial" w:hAnsi="Arial" w:cs="Arial"/>
                <w:b/>
                <w:bCs/>
                <w:lang w:val="es-ES"/>
              </w:rPr>
              <w:t>Solubilidad en el agua</w:t>
            </w:r>
          </w:p>
        </w:tc>
        <w:tc>
          <w:tcPr>
            <w:tcW w:w="2410" w:type="dxa"/>
            <w:hideMark/>
          </w:tcPr>
          <w:p w:rsidR="00684A71" w:rsidRPr="00BD59FE" w:rsidRDefault="00684A71" w:rsidP="009F45EE">
            <w:pPr>
              <w:spacing w:after="200" w:line="360" w:lineRule="auto"/>
              <w:rPr>
                <w:rFonts w:ascii="Arial" w:hAnsi="Arial" w:cs="Arial"/>
              </w:rPr>
            </w:pPr>
            <w:r w:rsidRPr="00BD59FE">
              <w:rPr>
                <w:rFonts w:ascii="Arial" w:hAnsi="Arial" w:cs="Arial"/>
                <w:lang w:val="es-ES"/>
              </w:rPr>
              <w:t xml:space="preserve">0.53 mg/L </w:t>
            </w:r>
          </w:p>
        </w:tc>
        <w:tc>
          <w:tcPr>
            <w:tcW w:w="2523" w:type="dxa"/>
            <w:hideMark/>
          </w:tcPr>
          <w:p w:rsidR="00684A71" w:rsidRPr="00BD59FE" w:rsidRDefault="00684A71" w:rsidP="009F45EE">
            <w:pPr>
              <w:spacing w:after="200" w:line="360" w:lineRule="auto"/>
              <w:rPr>
                <w:rFonts w:ascii="Arial" w:hAnsi="Arial" w:cs="Arial"/>
              </w:rPr>
            </w:pPr>
            <w:r w:rsidRPr="00BD59FE">
              <w:rPr>
                <w:rFonts w:ascii="Arial" w:hAnsi="Arial" w:cs="Arial"/>
                <w:u w:val="single"/>
                <w:lang w:val="es-ES"/>
              </w:rPr>
              <w:t>54700 mg/l</w:t>
            </w:r>
          </w:p>
        </w:tc>
      </w:tr>
      <w:tr w:rsidR="00684A71" w:rsidRPr="00064579" w:rsidTr="009F45EE">
        <w:trPr>
          <w:trHeight w:val="537"/>
        </w:trPr>
        <w:tc>
          <w:tcPr>
            <w:tcW w:w="4106" w:type="dxa"/>
            <w:hideMark/>
          </w:tcPr>
          <w:p w:rsidR="00684A71" w:rsidRPr="00BD59FE" w:rsidRDefault="00684A71" w:rsidP="009F45EE">
            <w:pPr>
              <w:spacing w:after="200" w:line="360" w:lineRule="auto"/>
              <w:rPr>
                <w:rFonts w:ascii="Arial" w:hAnsi="Arial" w:cs="Arial"/>
              </w:rPr>
            </w:pPr>
            <w:r w:rsidRPr="00BD59FE">
              <w:rPr>
                <w:rFonts w:ascii="Arial" w:hAnsi="Arial" w:cs="Arial"/>
                <w:b/>
                <w:bCs/>
                <w:lang w:val="es-ES"/>
              </w:rPr>
              <w:t>Log Kow</w:t>
            </w:r>
          </w:p>
        </w:tc>
        <w:tc>
          <w:tcPr>
            <w:tcW w:w="2410" w:type="dxa"/>
            <w:hideMark/>
          </w:tcPr>
          <w:p w:rsidR="00684A71" w:rsidRPr="00BD59FE" w:rsidRDefault="00684A71" w:rsidP="009F45EE">
            <w:pPr>
              <w:spacing w:after="200" w:line="360" w:lineRule="auto"/>
              <w:rPr>
                <w:rFonts w:ascii="Arial" w:hAnsi="Arial" w:cs="Arial"/>
              </w:rPr>
            </w:pPr>
            <w:r w:rsidRPr="00BD59FE">
              <w:rPr>
                <w:rFonts w:ascii="Arial" w:hAnsi="Arial" w:cs="Arial"/>
                <w:lang w:val="es-ES"/>
              </w:rPr>
              <w:t>3.83 (alfa), 3.62(beta)</w:t>
            </w:r>
          </w:p>
        </w:tc>
        <w:tc>
          <w:tcPr>
            <w:tcW w:w="2523" w:type="dxa"/>
            <w:hideMark/>
          </w:tcPr>
          <w:p w:rsidR="00684A71" w:rsidRPr="00BD59FE" w:rsidRDefault="00684A71" w:rsidP="009F45EE">
            <w:pPr>
              <w:spacing w:after="200" w:line="360" w:lineRule="auto"/>
              <w:rPr>
                <w:rFonts w:ascii="Arial" w:hAnsi="Arial" w:cs="Arial"/>
              </w:rPr>
            </w:pPr>
            <w:r w:rsidRPr="00BD59FE">
              <w:rPr>
                <w:rFonts w:ascii="Arial" w:hAnsi="Arial" w:cs="Arial"/>
                <w:lang w:val="es-ES"/>
              </w:rPr>
              <w:t>0.093 (*) (FAO)</w:t>
            </w:r>
          </w:p>
        </w:tc>
      </w:tr>
      <w:tr w:rsidR="00684A71" w:rsidRPr="00064579" w:rsidTr="009F45EE">
        <w:trPr>
          <w:trHeight w:val="426"/>
        </w:trPr>
        <w:tc>
          <w:tcPr>
            <w:tcW w:w="4106" w:type="dxa"/>
            <w:hideMark/>
          </w:tcPr>
          <w:p w:rsidR="00684A71" w:rsidRPr="00BD59FE" w:rsidRDefault="00684A71" w:rsidP="009F45EE">
            <w:pPr>
              <w:spacing w:after="200" w:line="360" w:lineRule="auto"/>
              <w:rPr>
                <w:rFonts w:ascii="Arial" w:hAnsi="Arial" w:cs="Arial"/>
              </w:rPr>
            </w:pPr>
            <w:r w:rsidRPr="00BD59FE">
              <w:rPr>
                <w:rFonts w:ascii="Arial" w:hAnsi="Arial" w:cs="Arial"/>
                <w:b/>
                <w:bCs/>
                <w:lang w:val="es-ES"/>
              </w:rPr>
              <w:t>Koc</w:t>
            </w:r>
          </w:p>
        </w:tc>
        <w:tc>
          <w:tcPr>
            <w:tcW w:w="2410" w:type="dxa"/>
            <w:hideMark/>
          </w:tcPr>
          <w:p w:rsidR="00684A71" w:rsidRPr="00BD59FE" w:rsidRDefault="00684A71" w:rsidP="009F45EE">
            <w:pPr>
              <w:spacing w:after="200" w:line="360" w:lineRule="auto"/>
              <w:rPr>
                <w:rFonts w:ascii="Arial" w:hAnsi="Arial" w:cs="Arial"/>
              </w:rPr>
            </w:pPr>
            <w:r w:rsidRPr="00BD59FE">
              <w:rPr>
                <w:rFonts w:ascii="Arial" w:hAnsi="Arial" w:cs="Arial"/>
                <w:lang w:val="es-ES"/>
              </w:rPr>
              <w:t>50</w:t>
            </w:r>
          </w:p>
        </w:tc>
        <w:tc>
          <w:tcPr>
            <w:tcW w:w="2523" w:type="dxa"/>
            <w:hideMark/>
          </w:tcPr>
          <w:p w:rsidR="00684A71" w:rsidRPr="00BD59FE" w:rsidRDefault="00684A71" w:rsidP="009F45EE">
            <w:pPr>
              <w:spacing w:after="200" w:line="360" w:lineRule="auto"/>
              <w:rPr>
                <w:rFonts w:ascii="Arial" w:hAnsi="Arial" w:cs="Arial"/>
              </w:rPr>
            </w:pPr>
            <w:r w:rsidRPr="00BD59FE">
              <w:rPr>
                <w:rFonts w:ascii="Arial" w:hAnsi="Arial" w:cs="Arial"/>
                <w:lang w:val="es-ES"/>
              </w:rPr>
              <w:t>43 (1)  72 (4)</w:t>
            </w:r>
          </w:p>
        </w:tc>
      </w:tr>
      <w:tr w:rsidR="00684A71" w:rsidRPr="00064579" w:rsidTr="009F45EE">
        <w:trPr>
          <w:trHeight w:val="448"/>
        </w:trPr>
        <w:tc>
          <w:tcPr>
            <w:tcW w:w="4106" w:type="dxa"/>
            <w:hideMark/>
          </w:tcPr>
          <w:p w:rsidR="00684A71" w:rsidRPr="00BD59FE" w:rsidRDefault="00684A71" w:rsidP="009F45EE">
            <w:pPr>
              <w:spacing w:after="200" w:line="360" w:lineRule="auto"/>
              <w:rPr>
                <w:rFonts w:ascii="Arial" w:hAnsi="Arial" w:cs="Arial"/>
              </w:rPr>
            </w:pPr>
            <w:r w:rsidRPr="00BD59FE">
              <w:rPr>
                <w:rFonts w:ascii="Arial" w:hAnsi="Arial" w:cs="Arial"/>
                <w:b/>
                <w:bCs/>
                <w:lang w:val="es-ES"/>
              </w:rPr>
              <w:t>Constante de la Ley de Henry</w:t>
            </w:r>
          </w:p>
        </w:tc>
        <w:tc>
          <w:tcPr>
            <w:tcW w:w="2410" w:type="dxa"/>
            <w:hideMark/>
          </w:tcPr>
          <w:p w:rsidR="00684A71" w:rsidRPr="00BD59FE" w:rsidRDefault="00684A71" w:rsidP="009F45EE">
            <w:pPr>
              <w:spacing w:after="200" w:line="360" w:lineRule="auto"/>
              <w:rPr>
                <w:rFonts w:ascii="Arial" w:hAnsi="Arial" w:cs="Arial"/>
              </w:rPr>
            </w:pPr>
            <w:r w:rsidRPr="00BD59FE">
              <w:rPr>
                <w:rFonts w:ascii="Arial" w:hAnsi="Arial" w:cs="Arial"/>
                <w:lang w:val="es-ES"/>
              </w:rPr>
              <w:t xml:space="preserve">6.5x 10-5 atm m3/mol </w:t>
            </w:r>
          </w:p>
        </w:tc>
        <w:tc>
          <w:tcPr>
            <w:tcW w:w="2523" w:type="dxa"/>
            <w:hideMark/>
          </w:tcPr>
          <w:p w:rsidR="00684A71" w:rsidRPr="00BD59FE" w:rsidRDefault="00684A71" w:rsidP="009F45EE">
            <w:pPr>
              <w:spacing w:after="200" w:line="360" w:lineRule="auto"/>
              <w:rPr>
                <w:rFonts w:ascii="Arial" w:hAnsi="Arial" w:cs="Arial"/>
              </w:rPr>
            </w:pPr>
            <w:r w:rsidRPr="00BD59FE">
              <w:rPr>
                <w:rFonts w:ascii="Arial" w:hAnsi="Arial" w:cs="Arial"/>
                <w:lang w:val="es-ES"/>
              </w:rPr>
              <w:t>6.48 X 10</w:t>
            </w:r>
            <w:r w:rsidRPr="00145BA2">
              <w:rPr>
                <w:rFonts w:ascii="Arial" w:hAnsi="Arial" w:cs="Arial"/>
                <w:vertAlign w:val="superscript"/>
                <w:lang w:val="es-ES"/>
              </w:rPr>
              <w:t>-5</w:t>
            </w:r>
            <w:r w:rsidRPr="00BD59FE">
              <w:rPr>
                <w:rFonts w:ascii="Arial" w:hAnsi="Arial" w:cs="Arial"/>
                <w:lang w:val="es-ES"/>
              </w:rPr>
              <w:t xml:space="preserve"> Pa atm</w:t>
            </w:r>
            <w:r w:rsidRPr="00145BA2">
              <w:rPr>
                <w:rFonts w:ascii="Arial" w:hAnsi="Arial" w:cs="Arial"/>
                <w:vertAlign w:val="superscript"/>
                <w:lang w:val="es-ES"/>
              </w:rPr>
              <w:t>3</w:t>
            </w:r>
            <w:r w:rsidRPr="00BD59FE">
              <w:rPr>
                <w:rFonts w:ascii="Arial" w:hAnsi="Arial" w:cs="Arial"/>
                <w:lang w:val="es-ES"/>
              </w:rPr>
              <w:t xml:space="preserve">/mol </w:t>
            </w:r>
          </w:p>
        </w:tc>
      </w:tr>
      <w:tr w:rsidR="00684A71" w:rsidRPr="00064579" w:rsidTr="009F45EE">
        <w:trPr>
          <w:trHeight w:val="456"/>
        </w:trPr>
        <w:tc>
          <w:tcPr>
            <w:tcW w:w="4106" w:type="dxa"/>
            <w:hideMark/>
          </w:tcPr>
          <w:p w:rsidR="00684A71" w:rsidRPr="00BD59FE" w:rsidRDefault="00684A71" w:rsidP="009F45EE">
            <w:pPr>
              <w:spacing w:after="200" w:line="360" w:lineRule="auto"/>
              <w:rPr>
                <w:rFonts w:ascii="Arial" w:hAnsi="Arial" w:cs="Arial"/>
              </w:rPr>
            </w:pPr>
            <w:r w:rsidRPr="00BD59FE">
              <w:rPr>
                <w:rFonts w:ascii="Arial" w:hAnsi="Arial" w:cs="Arial"/>
                <w:b/>
                <w:bCs/>
                <w:lang w:val="es-ES"/>
              </w:rPr>
              <w:t>Vida media en el suelo</w:t>
            </w:r>
          </w:p>
        </w:tc>
        <w:tc>
          <w:tcPr>
            <w:tcW w:w="2410" w:type="dxa"/>
            <w:hideMark/>
          </w:tcPr>
          <w:p w:rsidR="00684A71" w:rsidRPr="00BD59FE" w:rsidRDefault="00684A71" w:rsidP="009F45EE">
            <w:pPr>
              <w:spacing w:after="200" w:line="360" w:lineRule="auto"/>
              <w:rPr>
                <w:rFonts w:ascii="Arial" w:hAnsi="Arial" w:cs="Arial"/>
              </w:rPr>
            </w:pPr>
            <w:r w:rsidRPr="00BD59FE">
              <w:rPr>
                <w:rFonts w:ascii="Arial" w:hAnsi="Arial" w:cs="Arial"/>
                <w:lang w:val="es-ES"/>
              </w:rPr>
              <w:t>50 (4)</w:t>
            </w:r>
          </w:p>
        </w:tc>
        <w:tc>
          <w:tcPr>
            <w:tcW w:w="2523" w:type="dxa"/>
            <w:hideMark/>
          </w:tcPr>
          <w:p w:rsidR="00684A71" w:rsidRPr="00BD59FE" w:rsidRDefault="00684A71" w:rsidP="009F45EE">
            <w:pPr>
              <w:spacing w:after="200" w:line="360" w:lineRule="auto"/>
              <w:rPr>
                <w:rFonts w:ascii="Arial" w:hAnsi="Arial" w:cs="Arial"/>
              </w:rPr>
            </w:pPr>
            <w:r w:rsidRPr="00BD59FE">
              <w:rPr>
                <w:rFonts w:ascii="Arial" w:hAnsi="Arial" w:cs="Arial"/>
                <w:lang w:val="es-ES"/>
              </w:rPr>
              <w:t>30 (4)</w:t>
            </w:r>
          </w:p>
        </w:tc>
      </w:tr>
      <w:tr w:rsidR="00684A71" w:rsidRPr="00064579" w:rsidTr="009F45EE">
        <w:trPr>
          <w:trHeight w:val="425"/>
        </w:trPr>
        <w:tc>
          <w:tcPr>
            <w:tcW w:w="4106" w:type="dxa"/>
            <w:hideMark/>
          </w:tcPr>
          <w:p w:rsidR="00684A71" w:rsidRPr="00BD59FE" w:rsidRDefault="00684A71" w:rsidP="009F45EE">
            <w:pPr>
              <w:spacing w:after="200" w:line="360" w:lineRule="auto"/>
              <w:rPr>
                <w:rFonts w:ascii="Arial" w:hAnsi="Arial" w:cs="Arial"/>
              </w:rPr>
            </w:pPr>
            <w:r w:rsidRPr="00BD59FE">
              <w:rPr>
                <w:rFonts w:ascii="Arial" w:hAnsi="Arial" w:cs="Arial"/>
                <w:b/>
                <w:bCs/>
                <w:lang w:val="es-ES"/>
              </w:rPr>
              <w:t>Vida media en hidrólisis (días)</w:t>
            </w:r>
          </w:p>
        </w:tc>
        <w:tc>
          <w:tcPr>
            <w:tcW w:w="2410" w:type="dxa"/>
            <w:hideMark/>
          </w:tcPr>
          <w:p w:rsidR="00684A71" w:rsidRPr="00BD59FE" w:rsidRDefault="00684A71" w:rsidP="009F45EE">
            <w:pPr>
              <w:spacing w:after="200" w:line="360" w:lineRule="auto"/>
              <w:rPr>
                <w:rFonts w:ascii="Arial" w:hAnsi="Arial" w:cs="Arial"/>
              </w:rPr>
            </w:pPr>
            <w:r w:rsidRPr="00BD59FE">
              <w:rPr>
                <w:rFonts w:ascii="Arial" w:hAnsi="Arial" w:cs="Arial"/>
                <w:lang w:val="es-ES"/>
              </w:rPr>
              <w:t> </w:t>
            </w:r>
          </w:p>
        </w:tc>
        <w:tc>
          <w:tcPr>
            <w:tcW w:w="2523" w:type="dxa"/>
            <w:hideMark/>
          </w:tcPr>
          <w:p w:rsidR="00684A71" w:rsidRPr="00BD59FE" w:rsidRDefault="00684A71" w:rsidP="009F45EE">
            <w:pPr>
              <w:spacing w:after="200" w:line="360" w:lineRule="auto"/>
              <w:rPr>
                <w:rFonts w:ascii="Arial" w:hAnsi="Arial" w:cs="Arial"/>
              </w:rPr>
            </w:pPr>
            <w:r w:rsidRPr="00BD59FE">
              <w:rPr>
                <w:rFonts w:ascii="Arial" w:hAnsi="Arial" w:cs="Arial"/>
                <w:lang w:val="es-ES"/>
              </w:rPr>
              <w:t>30 (1)</w:t>
            </w:r>
          </w:p>
        </w:tc>
      </w:tr>
      <w:tr w:rsidR="00684A71" w:rsidRPr="00064579" w:rsidTr="009F45EE">
        <w:trPr>
          <w:trHeight w:val="330"/>
        </w:trPr>
        <w:tc>
          <w:tcPr>
            <w:tcW w:w="4106" w:type="dxa"/>
            <w:hideMark/>
          </w:tcPr>
          <w:p w:rsidR="00684A71" w:rsidRPr="00BD59FE" w:rsidRDefault="00684A71" w:rsidP="009F45EE">
            <w:pPr>
              <w:spacing w:after="200" w:line="360" w:lineRule="auto"/>
              <w:rPr>
                <w:rFonts w:ascii="Arial" w:hAnsi="Arial" w:cs="Arial"/>
              </w:rPr>
            </w:pPr>
            <w:r w:rsidRPr="00BD59FE">
              <w:rPr>
                <w:rFonts w:ascii="Arial" w:hAnsi="Arial" w:cs="Arial"/>
                <w:b/>
                <w:bCs/>
                <w:lang w:val="es-ES"/>
              </w:rPr>
              <w:t>Vida media en suelo aeróbico (días)</w:t>
            </w:r>
          </w:p>
        </w:tc>
        <w:tc>
          <w:tcPr>
            <w:tcW w:w="2410" w:type="dxa"/>
            <w:hideMark/>
          </w:tcPr>
          <w:p w:rsidR="00684A71" w:rsidRPr="00BD59FE" w:rsidRDefault="00684A71" w:rsidP="009F45EE">
            <w:pPr>
              <w:spacing w:after="200" w:line="360" w:lineRule="auto"/>
              <w:rPr>
                <w:rFonts w:ascii="Arial" w:hAnsi="Arial" w:cs="Arial"/>
              </w:rPr>
            </w:pPr>
            <w:r w:rsidRPr="00BD59FE">
              <w:rPr>
                <w:rFonts w:ascii="Arial" w:hAnsi="Arial" w:cs="Arial"/>
                <w:lang w:val="es-ES"/>
              </w:rPr>
              <w:t>27 (1)</w:t>
            </w:r>
          </w:p>
        </w:tc>
        <w:tc>
          <w:tcPr>
            <w:tcW w:w="2523" w:type="dxa"/>
            <w:hideMark/>
          </w:tcPr>
          <w:p w:rsidR="00684A71" w:rsidRPr="00BD59FE" w:rsidRDefault="00684A71" w:rsidP="009F45EE">
            <w:pPr>
              <w:spacing w:after="200" w:line="360" w:lineRule="auto"/>
              <w:rPr>
                <w:rFonts w:ascii="Arial" w:hAnsi="Arial" w:cs="Arial"/>
              </w:rPr>
            </w:pPr>
            <w:r w:rsidRPr="00BD59FE">
              <w:rPr>
                <w:rFonts w:ascii="Arial" w:hAnsi="Arial" w:cs="Arial"/>
                <w:lang w:val="es-ES"/>
              </w:rPr>
              <w:t>46 (1)</w:t>
            </w:r>
          </w:p>
        </w:tc>
      </w:tr>
      <w:tr w:rsidR="00684A71" w:rsidRPr="00064579" w:rsidTr="009F45EE">
        <w:trPr>
          <w:trHeight w:val="357"/>
        </w:trPr>
        <w:tc>
          <w:tcPr>
            <w:tcW w:w="4106" w:type="dxa"/>
            <w:hideMark/>
          </w:tcPr>
          <w:p w:rsidR="00684A71" w:rsidRPr="00BD59FE" w:rsidRDefault="00684A71" w:rsidP="009F45EE">
            <w:pPr>
              <w:spacing w:after="200" w:line="360" w:lineRule="auto"/>
              <w:rPr>
                <w:rFonts w:ascii="Arial" w:hAnsi="Arial" w:cs="Arial"/>
              </w:rPr>
            </w:pPr>
            <w:r w:rsidRPr="00BD59FE">
              <w:rPr>
                <w:rFonts w:ascii="Arial" w:hAnsi="Arial" w:cs="Arial"/>
                <w:b/>
                <w:bCs/>
                <w:lang w:val="es-ES"/>
              </w:rPr>
              <w:t>vida media en suelo anaeróbico (días)</w:t>
            </w:r>
          </w:p>
        </w:tc>
        <w:tc>
          <w:tcPr>
            <w:tcW w:w="2410" w:type="dxa"/>
            <w:hideMark/>
          </w:tcPr>
          <w:p w:rsidR="00684A71" w:rsidRPr="00BD59FE" w:rsidRDefault="00684A71" w:rsidP="009F45EE">
            <w:pPr>
              <w:spacing w:after="200" w:line="360" w:lineRule="auto"/>
              <w:rPr>
                <w:rFonts w:ascii="Arial" w:hAnsi="Arial" w:cs="Arial"/>
              </w:rPr>
            </w:pPr>
            <w:r w:rsidRPr="00BD59FE">
              <w:rPr>
                <w:rFonts w:ascii="Arial" w:hAnsi="Arial" w:cs="Arial"/>
                <w:lang w:val="es-ES"/>
              </w:rPr>
              <w:t> </w:t>
            </w:r>
          </w:p>
        </w:tc>
        <w:tc>
          <w:tcPr>
            <w:tcW w:w="2523" w:type="dxa"/>
            <w:hideMark/>
          </w:tcPr>
          <w:p w:rsidR="00684A71" w:rsidRPr="00BD59FE" w:rsidRDefault="00684A71" w:rsidP="009F45EE">
            <w:pPr>
              <w:spacing w:after="200" w:line="360" w:lineRule="auto"/>
              <w:rPr>
                <w:rFonts w:ascii="Arial" w:hAnsi="Arial" w:cs="Arial"/>
              </w:rPr>
            </w:pPr>
            <w:r w:rsidRPr="00BD59FE">
              <w:rPr>
                <w:rFonts w:ascii="Arial" w:hAnsi="Arial" w:cs="Arial"/>
                <w:lang w:val="es-ES"/>
              </w:rPr>
              <w:t>1 (1)</w:t>
            </w:r>
          </w:p>
        </w:tc>
      </w:tr>
      <w:tr w:rsidR="00684A71" w:rsidRPr="00064579" w:rsidTr="009F45EE">
        <w:trPr>
          <w:trHeight w:val="361"/>
        </w:trPr>
        <w:tc>
          <w:tcPr>
            <w:tcW w:w="4106" w:type="dxa"/>
            <w:hideMark/>
          </w:tcPr>
          <w:p w:rsidR="00684A71" w:rsidRPr="00BD59FE" w:rsidRDefault="00684A71" w:rsidP="009F45EE">
            <w:pPr>
              <w:spacing w:after="200" w:line="360" w:lineRule="auto"/>
              <w:rPr>
                <w:rFonts w:ascii="Arial" w:hAnsi="Arial" w:cs="Arial"/>
              </w:rPr>
            </w:pPr>
            <w:r w:rsidRPr="00BD59FE">
              <w:rPr>
                <w:rFonts w:ascii="Arial" w:hAnsi="Arial" w:cs="Arial"/>
                <w:b/>
                <w:bCs/>
                <w:lang w:val="es-ES"/>
              </w:rPr>
              <w:t>Tipo de aplicación</w:t>
            </w:r>
          </w:p>
        </w:tc>
        <w:tc>
          <w:tcPr>
            <w:tcW w:w="2410" w:type="dxa"/>
            <w:hideMark/>
          </w:tcPr>
          <w:p w:rsidR="00684A71" w:rsidRPr="00BD59FE" w:rsidRDefault="00684A71" w:rsidP="009F45EE">
            <w:pPr>
              <w:spacing w:after="200" w:line="360" w:lineRule="auto"/>
              <w:rPr>
                <w:rFonts w:ascii="Arial" w:hAnsi="Arial" w:cs="Arial"/>
              </w:rPr>
            </w:pPr>
            <w:r w:rsidRPr="00BD59FE">
              <w:rPr>
                <w:rFonts w:ascii="Arial" w:hAnsi="Arial" w:cs="Arial"/>
                <w:lang w:val="es-ES"/>
              </w:rPr>
              <w:t>aspersión</w:t>
            </w:r>
          </w:p>
        </w:tc>
        <w:tc>
          <w:tcPr>
            <w:tcW w:w="2523" w:type="dxa"/>
            <w:hideMark/>
          </w:tcPr>
          <w:p w:rsidR="00684A71" w:rsidRPr="00BD59FE" w:rsidRDefault="00684A71" w:rsidP="009F45EE">
            <w:pPr>
              <w:spacing w:after="200" w:line="360" w:lineRule="auto"/>
              <w:rPr>
                <w:rFonts w:ascii="Arial" w:hAnsi="Arial" w:cs="Arial"/>
              </w:rPr>
            </w:pPr>
            <w:r w:rsidRPr="00BD59FE">
              <w:rPr>
                <w:rFonts w:ascii="Arial" w:hAnsi="Arial" w:cs="Arial"/>
                <w:lang w:val="es-ES"/>
              </w:rPr>
              <w:t>aspersión</w:t>
            </w:r>
          </w:p>
        </w:tc>
      </w:tr>
      <w:tr w:rsidR="00684A71" w:rsidRPr="00064579" w:rsidTr="009F45EE">
        <w:trPr>
          <w:trHeight w:val="317"/>
        </w:trPr>
        <w:tc>
          <w:tcPr>
            <w:tcW w:w="4106" w:type="dxa"/>
            <w:hideMark/>
          </w:tcPr>
          <w:p w:rsidR="00684A71" w:rsidRPr="00BD59FE" w:rsidRDefault="00684A71" w:rsidP="009F45EE">
            <w:pPr>
              <w:spacing w:after="200" w:line="360" w:lineRule="auto"/>
              <w:rPr>
                <w:rFonts w:ascii="Arial" w:hAnsi="Arial" w:cs="Arial"/>
              </w:rPr>
            </w:pPr>
            <w:r w:rsidRPr="00BD59FE">
              <w:rPr>
                <w:rFonts w:ascii="Arial" w:hAnsi="Arial" w:cs="Arial"/>
                <w:b/>
                <w:bCs/>
                <w:lang w:val="es-ES"/>
              </w:rPr>
              <w:t>Toxicidad</w:t>
            </w:r>
          </w:p>
        </w:tc>
        <w:tc>
          <w:tcPr>
            <w:tcW w:w="2410" w:type="dxa"/>
            <w:hideMark/>
          </w:tcPr>
          <w:p w:rsidR="00684A71" w:rsidRPr="00BD59FE" w:rsidRDefault="00684A71" w:rsidP="009F45EE">
            <w:pPr>
              <w:spacing w:after="200" w:line="360" w:lineRule="auto"/>
              <w:rPr>
                <w:rFonts w:ascii="Arial" w:hAnsi="Arial" w:cs="Arial"/>
              </w:rPr>
            </w:pPr>
            <w:r w:rsidRPr="00BD59FE">
              <w:rPr>
                <w:rFonts w:ascii="Arial" w:hAnsi="Arial" w:cs="Arial"/>
                <w:lang w:val="es-ES"/>
              </w:rPr>
              <w:t>II (altamente tóxicos).</w:t>
            </w:r>
          </w:p>
        </w:tc>
        <w:tc>
          <w:tcPr>
            <w:tcW w:w="2523" w:type="dxa"/>
            <w:hideMark/>
          </w:tcPr>
          <w:p w:rsidR="00684A71" w:rsidRPr="00BD59FE" w:rsidRDefault="00684A71" w:rsidP="009F45EE">
            <w:pPr>
              <w:spacing w:after="200" w:line="360" w:lineRule="auto"/>
              <w:rPr>
                <w:rFonts w:ascii="Arial" w:hAnsi="Arial" w:cs="Arial"/>
              </w:rPr>
            </w:pPr>
            <w:r w:rsidRPr="00BD59FE">
              <w:rPr>
                <w:rFonts w:ascii="Arial" w:hAnsi="Arial" w:cs="Arial"/>
                <w:lang w:val="es-ES"/>
              </w:rPr>
              <w:t>II (altamente tóxicos).</w:t>
            </w:r>
          </w:p>
        </w:tc>
      </w:tr>
      <w:tr w:rsidR="00684A71" w:rsidRPr="00064579" w:rsidTr="009F45EE">
        <w:trPr>
          <w:trHeight w:val="391"/>
        </w:trPr>
        <w:tc>
          <w:tcPr>
            <w:tcW w:w="4106" w:type="dxa"/>
            <w:hideMark/>
          </w:tcPr>
          <w:p w:rsidR="00684A71" w:rsidRPr="00BD59FE" w:rsidRDefault="00684A71" w:rsidP="009F45EE">
            <w:pPr>
              <w:spacing w:after="200" w:line="360" w:lineRule="auto"/>
              <w:rPr>
                <w:rFonts w:ascii="Arial" w:hAnsi="Arial" w:cs="Arial"/>
              </w:rPr>
            </w:pPr>
            <w:r w:rsidRPr="00BD59FE">
              <w:rPr>
                <w:rFonts w:ascii="Arial" w:hAnsi="Arial" w:cs="Arial"/>
                <w:b/>
                <w:bCs/>
                <w:lang w:val="es-ES"/>
              </w:rPr>
              <w:t>Presión de vapor</w:t>
            </w:r>
          </w:p>
        </w:tc>
        <w:tc>
          <w:tcPr>
            <w:tcW w:w="2410" w:type="dxa"/>
            <w:hideMark/>
          </w:tcPr>
          <w:p w:rsidR="00684A71" w:rsidRPr="00BD59FE" w:rsidRDefault="00684A71" w:rsidP="009F45EE">
            <w:pPr>
              <w:spacing w:after="200" w:line="360" w:lineRule="auto"/>
              <w:rPr>
                <w:rFonts w:ascii="Arial" w:hAnsi="Arial" w:cs="Arial"/>
              </w:rPr>
            </w:pPr>
            <w:r w:rsidRPr="00BD59FE">
              <w:rPr>
                <w:rFonts w:ascii="Arial" w:hAnsi="Arial" w:cs="Arial"/>
                <w:lang w:val="es-ES"/>
              </w:rPr>
              <w:t>1x10-5 mmHg (*)</w:t>
            </w:r>
          </w:p>
        </w:tc>
        <w:tc>
          <w:tcPr>
            <w:tcW w:w="2523" w:type="dxa"/>
            <w:hideMark/>
          </w:tcPr>
          <w:p w:rsidR="00684A71" w:rsidRPr="00BD59FE" w:rsidRDefault="00684A71" w:rsidP="009F45EE">
            <w:pPr>
              <w:spacing w:after="200" w:line="360" w:lineRule="auto"/>
              <w:rPr>
                <w:rFonts w:ascii="Arial" w:hAnsi="Arial" w:cs="Arial"/>
              </w:rPr>
            </w:pPr>
            <w:r w:rsidRPr="00BD59FE">
              <w:rPr>
                <w:rFonts w:ascii="Arial" w:hAnsi="Arial" w:cs="Arial"/>
                <w:lang w:val="es-ES"/>
              </w:rPr>
              <w:t>5.4 X 10-6 mmHg</w:t>
            </w:r>
          </w:p>
        </w:tc>
      </w:tr>
      <w:tr w:rsidR="00684A71" w:rsidRPr="00064579" w:rsidTr="009F45EE">
        <w:trPr>
          <w:trHeight w:val="359"/>
        </w:trPr>
        <w:tc>
          <w:tcPr>
            <w:tcW w:w="4106" w:type="dxa"/>
            <w:hideMark/>
          </w:tcPr>
          <w:p w:rsidR="00684A71" w:rsidRPr="00BD59FE" w:rsidRDefault="00684A71" w:rsidP="009F45EE">
            <w:pPr>
              <w:spacing w:after="200" w:line="360" w:lineRule="auto"/>
              <w:rPr>
                <w:rFonts w:ascii="Arial" w:hAnsi="Arial" w:cs="Arial"/>
              </w:rPr>
            </w:pPr>
            <w:r w:rsidRPr="00BD59FE">
              <w:rPr>
                <w:rFonts w:ascii="Arial" w:hAnsi="Arial" w:cs="Arial"/>
                <w:b/>
                <w:bCs/>
                <w:lang w:val="es-ES"/>
              </w:rPr>
              <w:t>Peso molecular</w:t>
            </w:r>
          </w:p>
        </w:tc>
        <w:tc>
          <w:tcPr>
            <w:tcW w:w="2410" w:type="dxa"/>
            <w:hideMark/>
          </w:tcPr>
          <w:p w:rsidR="00684A71" w:rsidRPr="00BD59FE" w:rsidRDefault="00684A71" w:rsidP="009F45EE">
            <w:pPr>
              <w:spacing w:after="200" w:line="360" w:lineRule="auto"/>
              <w:rPr>
                <w:rFonts w:ascii="Arial" w:hAnsi="Arial" w:cs="Arial"/>
              </w:rPr>
            </w:pPr>
            <w:r w:rsidRPr="00BD59FE">
              <w:rPr>
                <w:rFonts w:ascii="Arial" w:hAnsi="Arial" w:cs="Arial"/>
                <w:lang w:val="es-ES"/>
              </w:rPr>
              <w:t>406.93</w:t>
            </w:r>
          </w:p>
        </w:tc>
        <w:tc>
          <w:tcPr>
            <w:tcW w:w="2523" w:type="dxa"/>
            <w:hideMark/>
          </w:tcPr>
          <w:p w:rsidR="00684A71" w:rsidRPr="00BD59FE" w:rsidRDefault="00684A71" w:rsidP="009F45EE">
            <w:pPr>
              <w:spacing w:after="200" w:line="360" w:lineRule="auto"/>
              <w:rPr>
                <w:rFonts w:ascii="Arial" w:hAnsi="Arial" w:cs="Arial"/>
              </w:rPr>
            </w:pPr>
            <w:r w:rsidRPr="00BD59FE">
              <w:rPr>
                <w:rFonts w:ascii="Arial" w:hAnsi="Arial" w:cs="Arial"/>
                <w:lang w:val="es-ES"/>
              </w:rPr>
              <w:t>162.2 (1)</w:t>
            </w:r>
          </w:p>
        </w:tc>
      </w:tr>
      <w:tr w:rsidR="00684A71" w:rsidRPr="00064579" w:rsidTr="009F45EE">
        <w:trPr>
          <w:trHeight w:val="265"/>
        </w:trPr>
        <w:tc>
          <w:tcPr>
            <w:tcW w:w="4106" w:type="dxa"/>
            <w:hideMark/>
          </w:tcPr>
          <w:p w:rsidR="00684A71" w:rsidRPr="00BD59FE" w:rsidRDefault="00684A71" w:rsidP="009F45EE">
            <w:pPr>
              <w:spacing w:after="200" w:line="360" w:lineRule="auto"/>
              <w:rPr>
                <w:rFonts w:ascii="Arial" w:hAnsi="Arial" w:cs="Arial"/>
              </w:rPr>
            </w:pPr>
            <w:r w:rsidRPr="00BD59FE">
              <w:rPr>
                <w:rFonts w:ascii="Arial" w:hAnsi="Arial" w:cs="Arial"/>
                <w:b/>
                <w:bCs/>
                <w:lang w:val="es-ES"/>
              </w:rPr>
              <w:t>CIA de tablas</w:t>
            </w:r>
          </w:p>
        </w:tc>
        <w:tc>
          <w:tcPr>
            <w:tcW w:w="2410" w:type="dxa"/>
            <w:hideMark/>
          </w:tcPr>
          <w:p w:rsidR="00684A71" w:rsidRPr="00BD59FE" w:rsidRDefault="00684A71" w:rsidP="009F45EE">
            <w:pPr>
              <w:spacing w:after="200" w:line="360" w:lineRule="auto"/>
              <w:rPr>
                <w:rFonts w:ascii="Arial" w:hAnsi="Arial" w:cs="Arial"/>
              </w:rPr>
            </w:pPr>
            <w:r w:rsidRPr="00BD59FE">
              <w:rPr>
                <w:rFonts w:ascii="Arial" w:hAnsi="Arial" w:cs="Arial"/>
                <w:lang w:val="es-ES"/>
              </w:rPr>
              <w:t>38.55</w:t>
            </w:r>
          </w:p>
        </w:tc>
        <w:tc>
          <w:tcPr>
            <w:tcW w:w="2523" w:type="dxa"/>
            <w:hideMark/>
          </w:tcPr>
          <w:p w:rsidR="00684A71" w:rsidRPr="00BD59FE" w:rsidRDefault="00684A71" w:rsidP="009F45EE">
            <w:pPr>
              <w:spacing w:after="200" w:line="360" w:lineRule="auto"/>
              <w:rPr>
                <w:rFonts w:ascii="Arial" w:hAnsi="Arial" w:cs="Arial"/>
              </w:rPr>
            </w:pPr>
            <w:r w:rsidRPr="00BD59FE">
              <w:rPr>
                <w:rFonts w:ascii="Arial" w:hAnsi="Arial" w:cs="Arial"/>
                <w:lang w:val="es-ES"/>
              </w:rPr>
              <w:t>22</w:t>
            </w:r>
          </w:p>
        </w:tc>
      </w:tr>
    </w:tbl>
    <w:p w:rsidR="00684A71" w:rsidRDefault="00684A71" w:rsidP="00684A71">
      <w:pPr>
        <w:spacing w:line="360" w:lineRule="auto"/>
        <w:jc w:val="both"/>
        <w:rPr>
          <w:rFonts w:ascii="Arial" w:hAnsi="Arial" w:cs="Arial"/>
          <w:b/>
        </w:rPr>
      </w:pPr>
    </w:p>
    <w:p w:rsidR="00684A71" w:rsidRPr="00B91B45" w:rsidRDefault="00684A71" w:rsidP="00684A71">
      <w:pPr>
        <w:rPr>
          <w:rFonts w:asciiTheme="minorHAnsi" w:hAnsiTheme="minorHAnsi" w:cs="Arial"/>
          <w:noProof/>
          <w:sz w:val="24"/>
          <w:szCs w:val="24"/>
          <w:lang w:eastAsia="es-MX"/>
        </w:rPr>
      </w:pPr>
      <w:r w:rsidRPr="00B91B45">
        <w:rPr>
          <w:rFonts w:asciiTheme="minorHAnsi" w:hAnsiTheme="minorHAnsi" w:cs="Arial"/>
          <w:noProof/>
          <w:sz w:val="24"/>
          <w:szCs w:val="24"/>
          <w:lang w:eastAsia="es-MX"/>
        </w:rPr>
        <w:t>Temperatura y humedad ambiental dentro del invernadero</w:t>
      </w:r>
    </w:p>
    <w:p w:rsidR="00684A71" w:rsidRPr="00B91B45" w:rsidRDefault="00684A71" w:rsidP="00684A71">
      <w:pPr>
        <w:spacing w:line="360" w:lineRule="auto"/>
        <w:jc w:val="both"/>
        <w:rPr>
          <w:rFonts w:asciiTheme="minorHAnsi" w:hAnsiTheme="minorHAnsi" w:cs="Arial"/>
          <w:noProof/>
          <w:sz w:val="24"/>
          <w:szCs w:val="24"/>
          <w:lang w:eastAsia="es-MX"/>
        </w:rPr>
      </w:pPr>
      <w:r w:rsidRPr="00B91B45">
        <w:rPr>
          <w:rFonts w:asciiTheme="minorHAnsi" w:hAnsiTheme="minorHAnsi" w:cs="Arial"/>
          <w:noProof/>
          <w:sz w:val="24"/>
          <w:szCs w:val="24"/>
          <w:lang w:eastAsia="es-MX"/>
        </w:rPr>
        <w:t xml:space="preserve">Como se mencionó en la metodología, para la determinación de la humedad ambiental dentro del invernadero se utilizó el equipo Data Logger HOBO u23 Pro v2. La figura </w:t>
      </w:r>
      <w:r w:rsidR="00B91B45">
        <w:rPr>
          <w:rFonts w:asciiTheme="minorHAnsi" w:hAnsiTheme="minorHAnsi" w:cs="Arial"/>
          <w:noProof/>
          <w:sz w:val="24"/>
          <w:szCs w:val="24"/>
          <w:lang w:eastAsia="es-MX"/>
        </w:rPr>
        <w:t xml:space="preserve">12 </w:t>
      </w:r>
      <w:r w:rsidRPr="00B91B45">
        <w:rPr>
          <w:rFonts w:asciiTheme="minorHAnsi" w:hAnsiTheme="minorHAnsi" w:cs="Arial"/>
          <w:noProof/>
          <w:sz w:val="24"/>
          <w:szCs w:val="24"/>
          <w:lang w:eastAsia="es-MX"/>
        </w:rPr>
        <w:t>muestra la variabilidad de la temperatura y humedad relativa ambiental registrada para los meses de julio a noviembre del presente año, en la que, la humedad aumenta de las 2:20 a la 8:34 de la mañana y disminuye de la 8:41 a la 19:31 horas y vuelve aumentar de las 19:39 a las 23:47 .Los puntos que se intersectan la humedad con la temperatura es a las 8.41 y 19:31 horas, para la temperatura los rangos en que aumenta y disminuye son contrarios a la humedad, es decir, cuando aumenta la humedad disminuye la temperatura y cuando aumenta la temperatura la humedad disminuye, esto solo se presentó del 1 de a</w:t>
      </w:r>
      <w:r w:rsidR="00B91B45">
        <w:rPr>
          <w:rFonts w:asciiTheme="minorHAnsi" w:hAnsiTheme="minorHAnsi" w:cs="Arial"/>
          <w:noProof/>
          <w:sz w:val="24"/>
          <w:szCs w:val="24"/>
          <w:lang w:eastAsia="es-MX"/>
        </w:rPr>
        <w:t>gosto al 2 de agosto (Figura 13</w:t>
      </w:r>
      <w:r w:rsidRPr="00B91B45">
        <w:rPr>
          <w:rFonts w:asciiTheme="minorHAnsi" w:hAnsiTheme="minorHAnsi" w:cs="Arial"/>
          <w:noProof/>
          <w:sz w:val="24"/>
          <w:szCs w:val="24"/>
          <w:lang w:eastAsia="es-MX"/>
        </w:rPr>
        <w:t>).</w:t>
      </w:r>
    </w:p>
    <w:p w:rsidR="00684A71" w:rsidRDefault="00082A33" w:rsidP="00684A71">
      <w:pPr>
        <w:spacing w:line="360" w:lineRule="auto"/>
        <w:jc w:val="center"/>
      </w:pPr>
      <w:r>
        <w:rPr>
          <w:noProof/>
          <w:lang w:eastAsia="es-MX"/>
        </w:rPr>
        <w:drawing>
          <wp:inline distT="0" distB="0" distL="0" distR="0">
            <wp:extent cx="3518704" cy="3087324"/>
            <wp:effectExtent l="0" t="0" r="571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13.png"/>
                    <pic:cNvPicPr/>
                  </pic:nvPicPr>
                  <pic:blipFill>
                    <a:blip r:embed="rId20">
                      <a:extLst>
                        <a:ext uri="{28A0092B-C50C-407E-A947-70E740481C1C}">
                          <a14:useLocalDpi xmlns:a14="http://schemas.microsoft.com/office/drawing/2010/main" val="0"/>
                        </a:ext>
                      </a:extLst>
                    </a:blip>
                    <a:stretch>
                      <a:fillRect/>
                    </a:stretch>
                  </pic:blipFill>
                  <pic:spPr>
                    <a:xfrm>
                      <a:off x="0" y="0"/>
                      <a:ext cx="3534115" cy="3100846"/>
                    </a:xfrm>
                    <a:prstGeom prst="rect">
                      <a:avLst/>
                    </a:prstGeom>
                  </pic:spPr>
                </pic:pic>
              </a:graphicData>
            </a:graphic>
          </wp:inline>
        </w:drawing>
      </w:r>
    </w:p>
    <w:p w:rsidR="00684A71" w:rsidRPr="00B91B45" w:rsidRDefault="00684A71" w:rsidP="00B91B45">
      <w:pPr>
        <w:pStyle w:val="Sinespaciado"/>
        <w:jc w:val="center"/>
        <w:rPr>
          <w:rFonts w:asciiTheme="minorHAnsi" w:hAnsiTheme="minorHAnsi" w:cs="Arial"/>
          <w:noProof/>
          <w:sz w:val="24"/>
          <w:szCs w:val="24"/>
          <w:lang w:eastAsia="es-MX"/>
        </w:rPr>
      </w:pPr>
      <w:r w:rsidRPr="00B91B45">
        <w:rPr>
          <w:rFonts w:asciiTheme="minorHAnsi" w:hAnsiTheme="minorHAnsi" w:cs="Arial"/>
          <w:noProof/>
          <w:sz w:val="24"/>
          <w:szCs w:val="24"/>
          <w:lang w:eastAsia="es-MX"/>
        </w:rPr>
        <w:t xml:space="preserve">Figura </w:t>
      </w:r>
      <w:r w:rsidR="00B91B45" w:rsidRPr="00B91B45">
        <w:rPr>
          <w:rFonts w:asciiTheme="minorHAnsi" w:hAnsiTheme="minorHAnsi" w:cs="Arial"/>
          <w:noProof/>
          <w:sz w:val="24"/>
          <w:szCs w:val="24"/>
          <w:lang w:eastAsia="es-MX"/>
        </w:rPr>
        <w:t>12</w:t>
      </w:r>
      <w:r w:rsidRPr="00B91B45">
        <w:rPr>
          <w:rFonts w:asciiTheme="minorHAnsi" w:hAnsiTheme="minorHAnsi" w:cs="Arial"/>
          <w:noProof/>
          <w:sz w:val="24"/>
          <w:szCs w:val="24"/>
          <w:lang w:eastAsia="es-MX"/>
        </w:rPr>
        <w:t>. Comportamiento de temperatura y humedad de julio a noviembre del 2014.</w:t>
      </w:r>
    </w:p>
    <w:p w:rsidR="00684A71" w:rsidRDefault="00082A33" w:rsidP="00684A71">
      <w:pPr>
        <w:spacing w:line="360" w:lineRule="auto"/>
        <w:jc w:val="center"/>
      </w:pPr>
      <w:r>
        <w:rPr>
          <w:noProof/>
          <w:lang w:eastAsia="es-MX"/>
        </w:rPr>
        <w:drawing>
          <wp:inline distT="0" distB="0" distL="0" distR="0">
            <wp:extent cx="3286334" cy="2852971"/>
            <wp:effectExtent l="0" t="0" r="0" b="508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14.png"/>
                    <pic:cNvPicPr/>
                  </pic:nvPicPr>
                  <pic:blipFill>
                    <a:blip r:embed="rId21">
                      <a:extLst>
                        <a:ext uri="{28A0092B-C50C-407E-A947-70E740481C1C}">
                          <a14:useLocalDpi xmlns:a14="http://schemas.microsoft.com/office/drawing/2010/main" val="0"/>
                        </a:ext>
                      </a:extLst>
                    </a:blip>
                    <a:stretch>
                      <a:fillRect/>
                    </a:stretch>
                  </pic:blipFill>
                  <pic:spPr>
                    <a:xfrm>
                      <a:off x="0" y="0"/>
                      <a:ext cx="3288953" cy="2855244"/>
                    </a:xfrm>
                    <a:prstGeom prst="rect">
                      <a:avLst/>
                    </a:prstGeom>
                  </pic:spPr>
                </pic:pic>
              </a:graphicData>
            </a:graphic>
          </wp:inline>
        </w:drawing>
      </w:r>
    </w:p>
    <w:p w:rsidR="00684A71" w:rsidRPr="00B91B45" w:rsidRDefault="00684A71" w:rsidP="00B91B45">
      <w:pPr>
        <w:pStyle w:val="Sinespaciado"/>
        <w:jc w:val="center"/>
        <w:rPr>
          <w:rFonts w:asciiTheme="minorHAnsi" w:hAnsiTheme="minorHAnsi" w:cs="Arial"/>
          <w:noProof/>
          <w:sz w:val="24"/>
          <w:szCs w:val="24"/>
          <w:lang w:eastAsia="es-MX"/>
        </w:rPr>
      </w:pPr>
      <w:r w:rsidRPr="00B91B45">
        <w:rPr>
          <w:rFonts w:asciiTheme="minorHAnsi" w:hAnsiTheme="minorHAnsi" w:cs="Arial"/>
          <w:noProof/>
          <w:sz w:val="24"/>
          <w:szCs w:val="24"/>
          <w:lang w:eastAsia="es-MX"/>
        </w:rPr>
        <w:t xml:space="preserve">Figura </w:t>
      </w:r>
      <w:r w:rsidR="00B91B45" w:rsidRPr="00B91B45">
        <w:rPr>
          <w:rFonts w:asciiTheme="minorHAnsi" w:hAnsiTheme="minorHAnsi" w:cs="Arial"/>
          <w:noProof/>
          <w:sz w:val="24"/>
          <w:szCs w:val="24"/>
          <w:lang w:eastAsia="es-MX"/>
        </w:rPr>
        <w:t>13</w:t>
      </w:r>
      <w:r w:rsidRPr="00B91B45">
        <w:rPr>
          <w:rFonts w:asciiTheme="minorHAnsi" w:hAnsiTheme="minorHAnsi" w:cs="Arial"/>
          <w:noProof/>
          <w:sz w:val="24"/>
          <w:szCs w:val="24"/>
          <w:lang w:eastAsia="es-MX"/>
        </w:rPr>
        <w:t xml:space="preserve">. Comportamiento de temperatura y humedad del 1 de agosto del 2014. </w:t>
      </w:r>
    </w:p>
    <w:p w:rsidR="00082A33" w:rsidRDefault="00082A33" w:rsidP="00684A71">
      <w:pPr>
        <w:rPr>
          <w:rFonts w:ascii="Arial" w:hAnsi="Arial" w:cs="Arial"/>
          <w:b/>
        </w:rPr>
      </w:pPr>
    </w:p>
    <w:p w:rsidR="00684A71" w:rsidRPr="00082A33" w:rsidRDefault="00684A71" w:rsidP="00684A71">
      <w:pPr>
        <w:rPr>
          <w:rFonts w:asciiTheme="minorHAnsi" w:hAnsiTheme="minorHAnsi" w:cs="Arial"/>
          <w:b/>
          <w:noProof/>
          <w:sz w:val="24"/>
          <w:szCs w:val="24"/>
          <w:lang w:eastAsia="es-MX"/>
        </w:rPr>
      </w:pPr>
      <w:r w:rsidRPr="00082A33">
        <w:rPr>
          <w:rFonts w:asciiTheme="minorHAnsi" w:hAnsiTheme="minorHAnsi" w:cs="Arial"/>
          <w:b/>
          <w:noProof/>
          <w:sz w:val="24"/>
          <w:szCs w:val="24"/>
          <w:lang w:eastAsia="es-MX"/>
        </w:rPr>
        <w:t>Estimación de la evapotranspiración en el invernadero</w:t>
      </w:r>
    </w:p>
    <w:p w:rsidR="00684A71" w:rsidRPr="00082A33" w:rsidRDefault="00684A71" w:rsidP="00684A71">
      <w:pPr>
        <w:spacing w:line="360" w:lineRule="auto"/>
        <w:jc w:val="both"/>
        <w:rPr>
          <w:rFonts w:asciiTheme="minorHAnsi" w:hAnsiTheme="minorHAnsi" w:cs="Arial"/>
          <w:noProof/>
          <w:sz w:val="24"/>
          <w:szCs w:val="24"/>
          <w:lang w:eastAsia="es-MX"/>
        </w:rPr>
      </w:pPr>
      <w:r w:rsidRPr="00082A33">
        <w:rPr>
          <w:rFonts w:asciiTheme="minorHAnsi" w:hAnsiTheme="minorHAnsi" w:cs="Arial"/>
          <w:noProof/>
          <w:sz w:val="24"/>
          <w:szCs w:val="24"/>
          <w:lang w:eastAsia="es-MX"/>
        </w:rPr>
        <w:t xml:space="preserve">Los resultados de la evaporación del agua del suelo del invernadero en estudio y estimados con el equipo ETgage, se muestran en la siguiente gráfica de la figura </w:t>
      </w:r>
      <w:r w:rsidR="00CF70C5">
        <w:rPr>
          <w:rFonts w:asciiTheme="minorHAnsi" w:hAnsiTheme="minorHAnsi" w:cs="Arial"/>
          <w:noProof/>
          <w:sz w:val="24"/>
          <w:szCs w:val="24"/>
          <w:lang w:eastAsia="es-MX"/>
        </w:rPr>
        <w:t>14</w:t>
      </w:r>
      <w:r w:rsidRPr="00082A33">
        <w:rPr>
          <w:rFonts w:asciiTheme="minorHAnsi" w:hAnsiTheme="minorHAnsi" w:cs="Arial"/>
          <w:noProof/>
          <w:sz w:val="24"/>
          <w:szCs w:val="24"/>
          <w:lang w:eastAsia="es-MX"/>
        </w:rPr>
        <w:t>. En la gráfica se observa que, para el día 15 de julio de 2014 la menor evaporación de 13.71 mm a las 11:22 y la mayor de 16:00 se presenta a las 21: 40 horas.</w:t>
      </w:r>
    </w:p>
    <w:p w:rsidR="00684A71" w:rsidRPr="00082A33" w:rsidRDefault="00082A33" w:rsidP="00082A33">
      <w:pPr>
        <w:pStyle w:val="Sinespaciado"/>
        <w:jc w:val="center"/>
        <w:rPr>
          <w:rFonts w:asciiTheme="minorHAnsi" w:hAnsiTheme="minorHAnsi" w:cs="Arial"/>
          <w:noProof/>
          <w:sz w:val="24"/>
          <w:szCs w:val="24"/>
          <w:lang w:eastAsia="es-MX"/>
        </w:rPr>
      </w:pPr>
      <w:r w:rsidRPr="00082A33">
        <w:rPr>
          <w:rFonts w:asciiTheme="minorHAnsi" w:hAnsiTheme="minorHAnsi" w:cs="Arial"/>
          <w:noProof/>
          <w:sz w:val="24"/>
          <w:szCs w:val="24"/>
          <w:lang w:eastAsia="es-MX"/>
        </w:rPr>
        <w:drawing>
          <wp:inline distT="0" distB="0" distL="0" distR="0">
            <wp:extent cx="4027990" cy="3411768"/>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15.png"/>
                    <pic:cNvPicPr/>
                  </pic:nvPicPr>
                  <pic:blipFill>
                    <a:blip r:embed="rId22">
                      <a:extLst>
                        <a:ext uri="{28A0092B-C50C-407E-A947-70E740481C1C}">
                          <a14:useLocalDpi xmlns:a14="http://schemas.microsoft.com/office/drawing/2010/main" val="0"/>
                        </a:ext>
                      </a:extLst>
                    </a:blip>
                    <a:stretch>
                      <a:fillRect/>
                    </a:stretch>
                  </pic:blipFill>
                  <pic:spPr>
                    <a:xfrm>
                      <a:off x="0" y="0"/>
                      <a:ext cx="4036250" cy="3418764"/>
                    </a:xfrm>
                    <a:prstGeom prst="rect">
                      <a:avLst/>
                    </a:prstGeom>
                  </pic:spPr>
                </pic:pic>
              </a:graphicData>
            </a:graphic>
          </wp:inline>
        </w:drawing>
      </w:r>
    </w:p>
    <w:p w:rsidR="00684A71" w:rsidRPr="00082A33" w:rsidRDefault="00684A71" w:rsidP="00082A33">
      <w:pPr>
        <w:pStyle w:val="Sinespaciado"/>
        <w:jc w:val="center"/>
        <w:rPr>
          <w:rFonts w:asciiTheme="minorHAnsi" w:hAnsiTheme="minorHAnsi" w:cs="Arial"/>
          <w:noProof/>
          <w:sz w:val="24"/>
          <w:szCs w:val="24"/>
          <w:lang w:eastAsia="es-MX"/>
        </w:rPr>
      </w:pPr>
      <w:r w:rsidRPr="00082A33">
        <w:rPr>
          <w:rFonts w:asciiTheme="minorHAnsi" w:hAnsiTheme="minorHAnsi" w:cs="Arial"/>
          <w:noProof/>
          <w:sz w:val="24"/>
          <w:szCs w:val="24"/>
          <w:lang w:eastAsia="es-MX"/>
        </w:rPr>
        <w:t xml:space="preserve">Figura </w:t>
      </w:r>
      <w:r w:rsidR="00082A33">
        <w:rPr>
          <w:rFonts w:asciiTheme="minorHAnsi" w:hAnsiTheme="minorHAnsi" w:cs="Arial"/>
          <w:noProof/>
          <w:sz w:val="24"/>
          <w:szCs w:val="24"/>
          <w:lang w:eastAsia="es-MX"/>
        </w:rPr>
        <w:t>14</w:t>
      </w:r>
      <w:r w:rsidRPr="00082A33">
        <w:rPr>
          <w:rFonts w:asciiTheme="minorHAnsi" w:hAnsiTheme="minorHAnsi" w:cs="Arial"/>
          <w:noProof/>
          <w:sz w:val="24"/>
          <w:szCs w:val="24"/>
          <w:lang w:eastAsia="es-MX"/>
        </w:rPr>
        <w:t xml:space="preserve">. Comportamiento de la evaporación de agua dentro del invernadero. </w:t>
      </w:r>
    </w:p>
    <w:p w:rsidR="00684A71" w:rsidRDefault="00684A71" w:rsidP="00082A33">
      <w:pPr>
        <w:pStyle w:val="Sinespaciado"/>
        <w:jc w:val="center"/>
        <w:rPr>
          <w:rFonts w:asciiTheme="minorHAnsi" w:hAnsiTheme="minorHAnsi" w:cs="Arial"/>
          <w:noProof/>
          <w:sz w:val="24"/>
          <w:szCs w:val="24"/>
          <w:lang w:eastAsia="es-MX"/>
        </w:rPr>
      </w:pPr>
    </w:p>
    <w:p w:rsidR="006C7477" w:rsidRDefault="006C7477" w:rsidP="00B603A3">
      <w:pPr>
        <w:pStyle w:val="Sinespaciado"/>
        <w:spacing w:line="276" w:lineRule="auto"/>
        <w:jc w:val="both"/>
        <w:rPr>
          <w:rFonts w:asciiTheme="minorHAnsi" w:hAnsiTheme="minorHAnsi" w:cs="Arial"/>
          <w:noProof/>
          <w:sz w:val="24"/>
          <w:szCs w:val="24"/>
          <w:lang w:eastAsia="es-MX"/>
        </w:rPr>
      </w:pPr>
    </w:p>
    <w:p w:rsidR="006C7477" w:rsidRDefault="006C7477" w:rsidP="00B603A3">
      <w:pPr>
        <w:pStyle w:val="Sinespaciado"/>
        <w:spacing w:line="276" w:lineRule="auto"/>
        <w:jc w:val="both"/>
        <w:rPr>
          <w:rFonts w:asciiTheme="minorHAnsi" w:hAnsiTheme="minorHAnsi" w:cs="Arial"/>
          <w:noProof/>
          <w:sz w:val="24"/>
          <w:szCs w:val="24"/>
          <w:lang w:eastAsia="es-MX"/>
        </w:rPr>
      </w:pPr>
    </w:p>
    <w:p w:rsidR="006C7477" w:rsidRPr="00082A33" w:rsidRDefault="00082A33" w:rsidP="00B603A3">
      <w:pPr>
        <w:pStyle w:val="Sinespaciado"/>
        <w:spacing w:line="276" w:lineRule="auto"/>
        <w:jc w:val="both"/>
        <w:rPr>
          <w:rFonts w:asciiTheme="minorHAnsi" w:hAnsiTheme="minorHAnsi" w:cs="Arial"/>
          <w:b/>
          <w:noProof/>
          <w:sz w:val="24"/>
          <w:szCs w:val="24"/>
          <w:lang w:eastAsia="es-MX"/>
        </w:rPr>
      </w:pPr>
      <w:r w:rsidRPr="00082A33">
        <w:rPr>
          <w:rFonts w:asciiTheme="minorHAnsi" w:hAnsiTheme="minorHAnsi" w:cs="Arial"/>
          <w:b/>
          <w:noProof/>
          <w:sz w:val="24"/>
          <w:szCs w:val="24"/>
          <w:lang w:eastAsia="es-MX"/>
        </w:rPr>
        <w:t>3.4 Calculo del riesgo atribuible al uso de paguicidas</w:t>
      </w:r>
    </w:p>
    <w:p w:rsidR="006C7477" w:rsidRDefault="006C7477"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Los resultados de estas TMF</w:t>
      </w:r>
      <w:r w:rsidRPr="00B603A3">
        <w:rPr>
          <w:rFonts w:asciiTheme="minorHAnsi" w:hAnsiTheme="minorHAnsi" w:cs="Arial"/>
          <w:noProof/>
          <w:sz w:val="24"/>
          <w:szCs w:val="24"/>
          <w:lang w:eastAsia="es-MX"/>
        </w:rPr>
        <w:fldChar w:fldCharType="begin"/>
      </w:r>
      <w:r w:rsidRPr="00B603A3">
        <w:rPr>
          <w:rFonts w:asciiTheme="minorHAnsi" w:hAnsiTheme="minorHAnsi" w:cs="Arial"/>
          <w:noProof/>
          <w:sz w:val="24"/>
          <w:szCs w:val="24"/>
          <w:lang w:eastAsia="es-MX"/>
        </w:rPr>
        <w:instrText xml:space="preserve"> QUOTE </w:instrText>
      </w:r>
      <m:oMath>
        <m:r>
          <m:rPr>
            <m:sty m:val="p"/>
          </m:rPr>
          <w:rPr>
            <w:rFonts w:ascii="Cambria Math" w:hAnsi="Cambria Math" w:cs="Arial"/>
            <w:sz w:val="36"/>
            <w:szCs w:val="36"/>
          </w:rPr>
          <m:t xml:space="preserve">TMF = </m:t>
        </m:r>
        <m:f>
          <m:fPr>
            <m:ctrlPr>
              <w:rPr>
                <w:rFonts w:ascii="Cambria Math" w:hAnsi="Cambria Math" w:cs="Arial"/>
                <w:i/>
                <w:sz w:val="36"/>
                <w:szCs w:val="36"/>
              </w:rPr>
            </m:ctrlPr>
          </m:fPr>
          <m:num>
            <m:r>
              <m:rPr>
                <m:sty m:val="p"/>
              </m:rPr>
              <w:rPr>
                <w:rFonts w:ascii="Cambria Math" w:hAnsi="Cambria Math" w:cs="Arial"/>
                <w:sz w:val="36"/>
                <w:szCs w:val="36"/>
              </w:rPr>
              <m:t>Número de muertes fetales en un año</m:t>
            </m:r>
          </m:num>
          <m:den>
            <m:eqArr>
              <m:eqArrPr>
                <m:ctrlPr>
                  <w:rPr>
                    <w:rFonts w:ascii="Cambria Math" w:hAnsi="Cambria Math" w:cs="Arial"/>
                    <w:i/>
                    <w:sz w:val="36"/>
                    <w:szCs w:val="36"/>
                  </w:rPr>
                </m:ctrlPr>
              </m:eqArrPr>
              <m:e>
                <m:r>
                  <m:rPr>
                    <m:sty m:val="p"/>
                  </m:rPr>
                  <w:rPr>
                    <w:rFonts w:ascii="Cambria Math" w:hAnsi="Cambria Math" w:cs="Arial"/>
                    <w:sz w:val="36"/>
                    <w:szCs w:val="36"/>
                  </w:rPr>
                  <m:t>Número de nacidos totales</m:t>
                </m:r>
              </m:e>
              <m:e>
                <m:r>
                  <m:rPr>
                    <m:sty m:val="p"/>
                  </m:rPr>
                  <w:rPr>
                    <w:rFonts w:ascii="Cambria Math" w:hAnsi="Cambria Math" w:cs="Arial"/>
                    <w:sz w:val="36"/>
                    <w:szCs w:val="36"/>
                  </w:rPr>
                  <m:t>(vivos y muertos)</m:t>
                </m:r>
              </m:e>
            </m:eqArr>
          </m:den>
        </m:f>
        <m:r>
          <m:rPr>
            <m:sty m:val="p"/>
          </m:rPr>
          <w:rPr>
            <w:rFonts w:ascii="Cambria Math" w:hAnsi="Cambria Math" w:cs="Arial"/>
            <w:sz w:val="36"/>
            <w:szCs w:val="36"/>
          </w:rPr>
          <m:t>X 1000</m:t>
        </m:r>
      </m:oMath>
      <w:r w:rsidRPr="00B603A3">
        <w:rPr>
          <w:rFonts w:asciiTheme="minorHAnsi" w:hAnsiTheme="minorHAnsi" w:cs="Arial"/>
          <w:noProof/>
          <w:sz w:val="24"/>
          <w:szCs w:val="24"/>
          <w:lang w:eastAsia="es-MX"/>
        </w:rPr>
        <w:instrText xml:space="preserve"> </w:instrText>
      </w:r>
      <w:r w:rsidRPr="00B603A3">
        <w:rPr>
          <w:rFonts w:asciiTheme="minorHAnsi" w:hAnsiTheme="minorHAnsi" w:cs="Arial"/>
          <w:noProof/>
          <w:sz w:val="24"/>
          <w:szCs w:val="24"/>
          <w:lang w:eastAsia="es-MX"/>
        </w:rPr>
        <w:fldChar w:fldCharType="end"/>
      </w:r>
      <w:r w:rsidRPr="00B603A3">
        <w:rPr>
          <w:rFonts w:asciiTheme="minorHAnsi" w:hAnsiTheme="minorHAnsi" w:cs="Arial"/>
          <w:noProof/>
          <w:sz w:val="24"/>
          <w:szCs w:val="24"/>
          <w:lang w:eastAsia="es-MX"/>
        </w:rPr>
        <w:t xml:space="preserve"> aunque han sido calculados para todos los municipios del Estado de México, se presentan solo los datos obtenidos para los ocho municipios que integran el corredor florícola, que es la zona con un mayor porcentaje de trabajadores en actividades agrícolas, en este caso de floricultura. Y se anexan los datos de los ocho municipios con el más mínimo porcentaje de trabajadores en la agricultura.</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La Tabla </w:t>
      </w:r>
      <w:r w:rsidR="00082A33">
        <w:rPr>
          <w:rFonts w:asciiTheme="minorHAnsi" w:hAnsiTheme="minorHAnsi" w:cs="Arial"/>
          <w:noProof/>
          <w:sz w:val="24"/>
          <w:szCs w:val="24"/>
          <w:lang w:eastAsia="es-MX"/>
        </w:rPr>
        <w:t>4</w:t>
      </w:r>
      <w:r w:rsidRPr="00B603A3">
        <w:rPr>
          <w:rFonts w:asciiTheme="minorHAnsi" w:hAnsiTheme="minorHAnsi" w:cs="Arial"/>
          <w:noProof/>
          <w:sz w:val="24"/>
          <w:szCs w:val="24"/>
          <w:lang w:eastAsia="es-MX"/>
        </w:rPr>
        <w:t xml:space="preserve"> muestra las TMF tanto para el corredor florícola donde la participación de los trabajadores en actividades relacionadas con la agrícultura va de un 17 a 55% y las tasas de municipios donde la actividad ocupacional de la población en la agricultura oscila entre menos del 1%.</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jc w:val="center"/>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Tabla </w:t>
      </w:r>
      <w:r w:rsidR="00082A33">
        <w:rPr>
          <w:rFonts w:asciiTheme="minorHAnsi" w:hAnsiTheme="minorHAnsi" w:cs="Arial"/>
          <w:noProof/>
          <w:sz w:val="24"/>
          <w:szCs w:val="24"/>
          <w:lang w:eastAsia="es-MX"/>
        </w:rPr>
        <w:t>4.</w:t>
      </w:r>
      <w:r w:rsidRPr="00B603A3">
        <w:rPr>
          <w:rFonts w:asciiTheme="minorHAnsi" w:hAnsiTheme="minorHAnsi" w:cs="Arial"/>
          <w:noProof/>
          <w:sz w:val="24"/>
          <w:szCs w:val="24"/>
          <w:lang w:eastAsia="es-MX"/>
        </w:rPr>
        <w:t xml:space="preserve"> TMF Q00 para el CFEM y municipios con menor % de trabajadores agrícolas</w:t>
      </w:r>
    </w:p>
    <w:tbl>
      <w:tblPr>
        <w:tblW w:w="8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79"/>
        <w:gridCol w:w="1646"/>
        <w:gridCol w:w="425"/>
        <w:gridCol w:w="426"/>
        <w:gridCol w:w="425"/>
        <w:gridCol w:w="425"/>
        <w:gridCol w:w="425"/>
        <w:gridCol w:w="426"/>
        <w:gridCol w:w="425"/>
        <w:gridCol w:w="425"/>
        <w:gridCol w:w="509"/>
        <w:gridCol w:w="509"/>
        <w:gridCol w:w="509"/>
        <w:gridCol w:w="509"/>
        <w:gridCol w:w="476"/>
        <w:gridCol w:w="476"/>
      </w:tblGrid>
      <w:tr w:rsidR="008A62FA" w:rsidRPr="00B603A3" w:rsidTr="00B603A3">
        <w:trPr>
          <w:trHeight w:val="286"/>
        </w:trPr>
        <w:tc>
          <w:tcPr>
            <w:tcW w:w="779" w:type="dxa"/>
            <w:vMerge w:val="restart"/>
            <w:tcBorders>
              <w:left w:val="nil"/>
            </w:tcBorders>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 Trab. agrícolas</w:t>
            </w:r>
          </w:p>
        </w:tc>
        <w:tc>
          <w:tcPr>
            <w:tcW w:w="1646" w:type="dxa"/>
            <w:vMerge w:val="restart"/>
            <w:shd w:val="clear" w:color="auto" w:fill="D9D9D9"/>
            <w:noWrap/>
            <w:vAlign w:val="center"/>
          </w:tcPr>
          <w:p w:rsidR="008A62FA" w:rsidRPr="00B603A3" w:rsidRDefault="008A62FA" w:rsidP="00B603A3">
            <w:pPr>
              <w:spacing w:after="0"/>
              <w:jc w:val="center"/>
              <w:rPr>
                <w:rFonts w:asciiTheme="minorHAnsi" w:eastAsia="Times New Roman" w:hAnsiTheme="minorHAnsi"/>
                <w:b/>
                <w:color w:val="000000"/>
                <w:sz w:val="12"/>
                <w:szCs w:val="12"/>
                <w:lang w:eastAsia="es-MX"/>
              </w:rPr>
            </w:pPr>
            <w:r w:rsidRPr="00B603A3">
              <w:rPr>
                <w:rFonts w:asciiTheme="minorHAnsi" w:eastAsia="Times New Roman" w:hAnsiTheme="minorHAnsi"/>
                <w:b/>
                <w:color w:val="000000"/>
                <w:sz w:val="12"/>
                <w:szCs w:val="12"/>
                <w:lang w:eastAsia="es-MX"/>
              </w:rPr>
              <w:t>MUNICIPIOS DEL CFEM</w:t>
            </w:r>
          </w:p>
        </w:tc>
        <w:tc>
          <w:tcPr>
            <w:tcW w:w="6390" w:type="dxa"/>
            <w:gridSpan w:val="14"/>
            <w:tcBorders>
              <w:right w:val="nil"/>
            </w:tcBorders>
            <w:shd w:val="clear" w:color="auto" w:fill="D9D9D9"/>
            <w:vAlign w:val="center"/>
          </w:tcPr>
          <w:p w:rsidR="008A62FA" w:rsidRPr="00B603A3" w:rsidRDefault="008A62FA" w:rsidP="00B603A3">
            <w:pPr>
              <w:spacing w:after="0"/>
              <w:jc w:val="center"/>
              <w:rPr>
                <w:rFonts w:asciiTheme="minorHAnsi" w:eastAsia="Times New Roman" w:hAnsiTheme="minorHAnsi"/>
                <w:b/>
                <w:color w:val="000000"/>
                <w:sz w:val="12"/>
                <w:szCs w:val="12"/>
                <w:lang w:eastAsia="es-MX"/>
              </w:rPr>
            </w:pPr>
            <w:r w:rsidRPr="00B603A3">
              <w:rPr>
                <w:rFonts w:asciiTheme="minorHAnsi" w:eastAsia="Times New Roman" w:hAnsiTheme="minorHAnsi"/>
                <w:b/>
                <w:color w:val="000000"/>
                <w:sz w:val="12"/>
                <w:szCs w:val="12"/>
                <w:lang w:eastAsia="es-MX"/>
              </w:rPr>
              <w:t>TMF POR AÑO PARA ANENCEFALIA (Q00-CIE-10)</w:t>
            </w:r>
          </w:p>
        </w:tc>
      </w:tr>
      <w:tr w:rsidR="008A62FA" w:rsidRPr="00B603A3" w:rsidTr="00B603A3">
        <w:trPr>
          <w:trHeight w:val="199"/>
        </w:trPr>
        <w:tc>
          <w:tcPr>
            <w:tcW w:w="779" w:type="dxa"/>
            <w:vMerge/>
            <w:tcBorders>
              <w:left w:val="nil"/>
            </w:tcBorders>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p>
        </w:tc>
        <w:tc>
          <w:tcPr>
            <w:tcW w:w="1646" w:type="dxa"/>
            <w:vMerge/>
            <w:shd w:val="clear" w:color="auto" w:fill="D9D9D9"/>
            <w:noWrap/>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1998</w:t>
            </w:r>
          </w:p>
        </w:tc>
        <w:tc>
          <w:tcPr>
            <w:tcW w:w="426"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1999</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2000</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2001</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2002</w:t>
            </w:r>
          </w:p>
        </w:tc>
        <w:tc>
          <w:tcPr>
            <w:tcW w:w="426"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2003</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2004</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2005</w:t>
            </w:r>
          </w:p>
        </w:tc>
        <w:tc>
          <w:tcPr>
            <w:tcW w:w="509"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2006</w:t>
            </w:r>
          </w:p>
        </w:tc>
        <w:tc>
          <w:tcPr>
            <w:tcW w:w="509"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2007</w:t>
            </w:r>
          </w:p>
        </w:tc>
        <w:tc>
          <w:tcPr>
            <w:tcW w:w="509"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2008</w:t>
            </w:r>
          </w:p>
        </w:tc>
        <w:tc>
          <w:tcPr>
            <w:tcW w:w="509"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2009</w:t>
            </w:r>
          </w:p>
        </w:tc>
        <w:tc>
          <w:tcPr>
            <w:tcW w:w="476"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2010</w:t>
            </w:r>
          </w:p>
        </w:tc>
        <w:tc>
          <w:tcPr>
            <w:tcW w:w="476" w:type="dxa"/>
            <w:tcBorders>
              <w:right w:val="nil"/>
            </w:tcBorders>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2012</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39.34</w:t>
            </w:r>
          </w:p>
        </w:tc>
        <w:tc>
          <w:tcPr>
            <w:tcW w:w="1646" w:type="dxa"/>
            <w:shd w:val="clear" w:color="auto" w:fill="auto"/>
            <w:vAlign w:val="bottom"/>
          </w:tcPr>
          <w:p w:rsidR="008A62FA" w:rsidRPr="00B603A3" w:rsidRDefault="008A62FA" w:rsidP="00B603A3">
            <w:pPr>
              <w:spacing w:after="0"/>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Almoloya de Alquisiras</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6.7</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2</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3.9</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2.5</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2.5</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2.9</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45.43</w:t>
            </w:r>
          </w:p>
        </w:tc>
        <w:tc>
          <w:tcPr>
            <w:tcW w:w="1646" w:type="dxa"/>
            <w:shd w:val="clear" w:color="auto" w:fill="auto"/>
            <w:vAlign w:val="bottom"/>
          </w:tcPr>
          <w:p w:rsidR="008A62FA" w:rsidRPr="00B603A3" w:rsidRDefault="008A62FA" w:rsidP="00B603A3">
            <w:pPr>
              <w:spacing w:after="0"/>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Coatepec Harinas</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1.8</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1</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3.6</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1</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1.1</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1.1</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0.9</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17.79</w:t>
            </w:r>
          </w:p>
        </w:tc>
        <w:tc>
          <w:tcPr>
            <w:tcW w:w="1646" w:type="dxa"/>
            <w:shd w:val="clear" w:color="auto" w:fill="auto"/>
            <w:vAlign w:val="bottom"/>
          </w:tcPr>
          <w:p w:rsidR="008A62FA" w:rsidRPr="00B603A3" w:rsidRDefault="008A62FA" w:rsidP="00B603A3">
            <w:pPr>
              <w:spacing w:after="0"/>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Ixtapan de la Sal</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3.5</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3.5</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2.2</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1.2</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1.2</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1.3</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1.5</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1.2</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1.2</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1.2</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29.62</w:t>
            </w:r>
          </w:p>
        </w:tc>
        <w:tc>
          <w:tcPr>
            <w:tcW w:w="1646" w:type="dxa"/>
            <w:shd w:val="clear" w:color="auto" w:fill="auto"/>
            <w:vAlign w:val="bottom"/>
          </w:tcPr>
          <w:p w:rsidR="008A62FA" w:rsidRPr="00B603A3" w:rsidRDefault="008A62FA" w:rsidP="00B603A3">
            <w:pPr>
              <w:spacing w:after="0"/>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Malinalco</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1.4</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2.9</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2.1</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1.6</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27.02</w:t>
            </w:r>
          </w:p>
        </w:tc>
        <w:tc>
          <w:tcPr>
            <w:tcW w:w="1646" w:type="dxa"/>
            <w:shd w:val="clear" w:color="auto" w:fill="auto"/>
            <w:vAlign w:val="bottom"/>
          </w:tcPr>
          <w:p w:rsidR="008A62FA" w:rsidRPr="00B603A3" w:rsidRDefault="008A62FA" w:rsidP="00B603A3">
            <w:pPr>
              <w:spacing w:after="0"/>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Tenancingo</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1.9</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1.8</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1.3</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0.4</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0.9</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0.5</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1</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0.4</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1.4</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26.50</w:t>
            </w:r>
          </w:p>
        </w:tc>
        <w:tc>
          <w:tcPr>
            <w:tcW w:w="1646" w:type="dxa"/>
            <w:shd w:val="clear" w:color="auto" w:fill="auto"/>
            <w:vAlign w:val="bottom"/>
          </w:tcPr>
          <w:p w:rsidR="008A62FA" w:rsidRPr="00B603A3" w:rsidRDefault="008A62FA" w:rsidP="00B603A3">
            <w:pPr>
              <w:spacing w:after="0"/>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Tonatico</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5</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35.97</w:t>
            </w:r>
          </w:p>
        </w:tc>
        <w:tc>
          <w:tcPr>
            <w:tcW w:w="1646" w:type="dxa"/>
            <w:shd w:val="clear" w:color="auto" w:fill="auto"/>
            <w:vAlign w:val="bottom"/>
          </w:tcPr>
          <w:p w:rsidR="008A62FA" w:rsidRPr="00B603A3" w:rsidRDefault="008A62FA" w:rsidP="00B603A3">
            <w:pPr>
              <w:spacing w:after="0"/>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Villa Guerrero</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3.1</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1.2</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1.2</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1</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0.6</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0.7</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3.2</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1.4</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0.7</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55.79</w:t>
            </w:r>
          </w:p>
        </w:tc>
        <w:tc>
          <w:tcPr>
            <w:tcW w:w="1646" w:type="dxa"/>
            <w:shd w:val="clear" w:color="auto" w:fill="auto"/>
            <w:vAlign w:val="bottom"/>
          </w:tcPr>
          <w:p w:rsidR="008A62FA" w:rsidRPr="00B603A3" w:rsidRDefault="008A62FA" w:rsidP="00B603A3">
            <w:pPr>
              <w:spacing w:after="0"/>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Zumpahuacán</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4.4</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3.9</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2.6</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2.4</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3.8</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10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2.5</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r>
      <w:tr w:rsidR="008A62FA" w:rsidRPr="00B603A3" w:rsidTr="00B603A3">
        <w:trPr>
          <w:trHeight w:val="231"/>
        </w:trPr>
        <w:tc>
          <w:tcPr>
            <w:tcW w:w="779" w:type="dxa"/>
            <w:vMerge w:val="restart"/>
            <w:tcBorders>
              <w:left w:val="nil"/>
            </w:tcBorders>
            <w:shd w:val="clear" w:color="auto" w:fill="D9D9D9"/>
            <w:vAlign w:val="center"/>
          </w:tcPr>
          <w:p w:rsidR="008A62FA" w:rsidRPr="00B603A3" w:rsidRDefault="008A62FA" w:rsidP="00B603A3">
            <w:pPr>
              <w:spacing w:after="0"/>
              <w:jc w:val="center"/>
              <w:rPr>
                <w:rFonts w:asciiTheme="minorHAnsi" w:eastAsia="Times New Roman" w:hAnsiTheme="minorHAnsi" w:cs="Arial"/>
                <w:color w:val="000000"/>
                <w:sz w:val="12"/>
                <w:szCs w:val="12"/>
                <w:lang w:eastAsia="es-MX"/>
              </w:rPr>
            </w:pPr>
            <w:r w:rsidRPr="00B603A3">
              <w:rPr>
                <w:rFonts w:asciiTheme="minorHAnsi" w:eastAsia="Times New Roman" w:hAnsiTheme="minorHAnsi"/>
                <w:color w:val="000000"/>
                <w:sz w:val="12"/>
                <w:szCs w:val="12"/>
                <w:lang w:eastAsia="es-MX"/>
              </w:rPr>
              <w:t>% Trab. agrícolas</w:t>
            </w:r>
          </w:p>
        </w:tc>
        <w:tc>
          <w:tcPr>
            <w:tcW w:w="1646" w:type="dxa"/>
            <w:vMerge w:val="restart"/>
            <w:shd w:val="clear" w:color="auto" w:fill="D9D9D9"/>
            <w:vAlign w:val="center"/>
          </w:tcPr>
          <w:p w:rsidR="008A62FA" w:rsidRPr="00B603A3" w:rsidRDefault="008A62FA" w:rsidP="00B603A3">
            <w:pPr>
              <w:spacing w:after="0"/>
              <w:jc w:val="center"/>
              <w:rPr>
                <w:rFonts w:asciiTheme="minorHAnsi" w:eastAsia="Times New Roman" w:hAnsiTheme="minorHAnsi"/>
                <w:b/>
                <w:color w:val="000000"/>
                <w:sz w:val="12"/>
                <w:szCs w:val="12"/>
                <w:lang w:eastAsia="es-MX"/>
              </w:rPr>
            </w:pPr>
            <w:r w:rsidRPr="00B603A3">
              <w:rPr>
                <w:rFonts w:asciiTheme="minorHAnsi" w:eastAsia="Times New Roman" w:hAnsiTheme="minorHAnsi"/>
                <w:b/>
                <w:color w:val="000000"/>
                <w:sz w:val="12"/>
                <w:szCs w:val="12"/>
                <w:lang w:eastAsia="es-MX"/>
              </w:rPr>
              <w:t>MUNICIPIOS CON MENOR ACTIVIDAD AGRÍCOLA</w:t>
            </w:r>
          </w:p>
        </w:tc>
        <w:tc>
          <w:tcPr>
            <w:tcW w:w="6390" w:type="dxa"/>
            <w:gridSpan w:val="14"/>
            <w:tcBorders>
              <w:right w:val="nil"/>
            </w:tcBorders>
            <w:shd w:val="clear" w:color="auto" w:fill="D9D9D9"/>
            <w:vAlign w:val="center"/>
          </w:tcPr>
          <w:p w:rsidR="008A62FA" w:rsidRPr="00B603A3" w:rsidRDefault="008A62FA" w:rsidP="00B603A3">
            <w:pPr>
              <w:spacing w:after="0"/>
              <w:jc w:val="center"/>
              <w:rPr>
                <w:rFonts w:asciiTheme="minorHAnsi" w:eastAsia="Times New Roman" w:hAnsiTheme="minorHAnsi"/>
                <w:b/>
                <w:color w:val="000000"/>
                <w:sz w:val="12"/>
                <w:szCs w:val="12"/>
                <w:lang w:eastAsia="es-MX"/>
              </w:rPr>
            </w:pPr>
            <w:r w:rsidRPr="00B603A3">
              <w:rPr>
                <w:rFonts w:asciiTheme="minorHAnsi" w:eastAsia="Times New Roman" w:hAnsiTheme="minorHAnsi"/>
                <w:b/>
                <w:color w:val="000000"/>
                <w:sz w:val="12"/>
                <w:szCs w:val="12"/>
                <w:lang w:eastAsia="es-MX"/>
              </w:rPr>
              <w:t>TMF POR AÑO PARA ANENCEFALIA (Q00-CIE-10)</w:t>
            </w:r>
          </w:p>
        </w:tc>
      </w:tr>
      <w:tr w:rsidR="008A62FA" w:rsidRPr="00B603A3" w:rsidTr="00B603A3">
        <w:trPr>
          <w:trHeight w:val="199"/>
        </w:trPr>
        <w:tc>
          <w:tcPr>
            <w:tcW w:w="779" w:type="dxa"/>
            <w:vMerge/>
            <w:tcBorders>
              <w:left w:val="nil"/>
            </w:tcBorders>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p>
        </w:tc>
        <w:tc>
          <w:tcPr>
            <w:tcW w:w="1646" w:type="dxa"/>
            <w:vMerge/>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1998</w:t>
            </w:r>
          </w:p>
        </w:tc>
        <w:tc>
          <w:tcPr>
            <w:tcW w:w="426"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1999</w:t>
            </w:r>
          </w:p>
        </w:tc>
        <w:tc>
          <w:tcPr>
            <w:tcW w:w="425" w:type="dxa"/>
            <w:shd w:val="clear" w:color="auto" w:fill="D9D9D9"/>
            <w:vAlign w:val="center"/>
          </w:tcPr>
          <w:p w:rsidR="008A62FA" w:rsidRPr="00B603A3" w:rsidRDefault="008A62FA" w:rsidP="00B603A3">
            <w:pPr>
              <w:spacing w:after="0"/>
              <w:ind w:right="-29"/>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2000</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2001</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2002</w:t>
            </w:r>
          </w:p>
        </w:tc>
        <w:tc>
          <w:tcPr>
            <w:tcW w:w="426"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2003</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2004</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2005</w:t>
            </w:r>
          </w:p>
        </w:tc>
        <w:tc>
          <w:tcPr>
            <w:tcW w:w="509"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2006</w:t>
            </w:r>
          </w:p>
        </w:tc>
        <w:tc>
          <w:tcPr>
            <w:tcW w:w="509"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2007</w:t>
            </w:r>
          </w:p>
        </w:tc>
        <w:tc>
          <w:tcPr>
            <w:tcW w:w="509"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2008</w:t>
            </w:r>
          </w:p>
        </w:tc>
        <w:tc>
          <w:tcPr>
            <w:tcW w:w="509"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2009</w:t>
            </w:r>
          </w:p>
        </w:tc>
        <w:tc>
          <w:tcPr>
            <w:tcW w:w="476"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2010</w:t>
            </w:r>
          </w:p>
        </w:tc>
        <w:tc>
          <w:tcPr>
            <w:tcW w:w="476" w:type="dxa"/>
            <w:tcBorders>
              <w:right w:val="nil"/>
            </w:tcBorders>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2012</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0.14</w:t>
            </w:r>
          </w:p>
        </w:tc>
        <w:tc>
          <w:tcPr>
            <w:tcW w:w="1646" w:type="dxa"/>
            <w:shd w:val="clear" w:color="auto" w:fill="auto"/>
            <w:vAlign w:val="center"/>
          </w:tcPr>
          <w:p w:rsidR="008A62FA" w:rsidRPr="00B603A3" w:rsidRDefault="008A62FA" w:rsidP="00B603A3">
            <w:pPr>
              <w:spacing w:after="0"/>
              <w:rPr>
                <w:rFonts w:asciiTheme="minorHAnsi" w:eastAsia="Times New Roman" w:hAnsiTheme="minorHAnsi" w:cs="Arial"/>
                <w:color w:val="000000"/>
                <w:sz w:val="12"/>
                <w:szCs w:val="12"/>
                <w:lang w:eastAsia="es-MX"/>
              </w:rPr>
            </w:pPr>
            <w:r w:rsidRPr="00B603A3">
              <w:rPr>
                <w:rFonts w:asciiTheme="minorHAnsi" w:eastAsia="Times New Roman" w:hAnsiTheme="minorHAnsi" w:cs="Arial"/>
                <w:color w:val="000000"/>
                <w:sz w:val="12"/>
                <w:szCs w:val="12"/>
                <w:lang w:eastAsia="es-MX"/>
              </w:rPr>
              <w:t>Atizapán de Zaragoza</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0.5</w:t>
            </w:r>
          </w:p>
        </w:tc>
        <w:tc>
          <w:tcPr>
            <w:tcW w:w="426"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0.7</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0.6</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0.1</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6"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0.2</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0.1</w:t>
            </w:r>
          </w:p>
        </w:tc>
        <w:tc>
          <w:tcPr>
            <w:tcW w:w="509"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0.1</w:t>
            </w:r>
          </w:p>
        </w:tc>
        <w:tc>
          <w:tcPr>
            <w:tcW w:w="509"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509"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0.4</w:t>
            </w:r>
          </w:p>
        </w:tc>
        <w:tc>
          <w:tcPr>
            <w:tcW w:w="509"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0.3</w:t>
            </w:r>
          </w:p>
        </w:tc>
        <w:tc>
          <w:tcPr>
            <w:tcW w:w="476"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0.1</w:t>
            </w:r>
          </w:p>
        </w:tc>
        <w:tc>
          <w:tcPr>
            <w:tcW w:w="476" w:type="dxa"/>
            <w:tcBorders>
              <w:right w:val="nil"/>
            </w:tcBorders>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0.14</w:t>
            </w:r>
          </w:p>
        </w:tc>
        <w:tc>
          <w:tcPr>
            <w:tcW w:w="1646" w:type="dxa"/>
            <w:shd w:val="clear" w:color="auto" w:fill="auto"/>
            <w:vAlign w:val="center"/>
          </w:tcPr>
          <w:p w:rsidR="008A62FA" w:rsidRPr="00B603A3" w:rsidRDefault="008A62FA" w:rsidP="00B603A3">
            <w:pPr>
              <w:spacing w:after="0"/>
              <w:rPr>
                <w:rFonts w:asciiTheme="minorHAnsi" w:eastAsia="Times New Roman" w:hAnsiTheme="minorHAnsi" w:cs="Arial"/>
                <w:color w:val="000000"/>
                <w:sz w:val="12"/>
                <w:szCs w:val="12"/>
                <w:lang w:eastAsia="es-MX"/>
              </w:rPr>
            </w:pPr>
            <w:r w:rsidRPr="00B603A3">
              <w:rPr>
                <w:rFonts w:asciiTheme="minorHAnsi" w:eastAsia="Times New Roman" w:hAnsiTheme="minorHAnsi" w:cs="Arial"/>
                <w:color w:val="000000"/>
                <w:sz w:val="12"/>
                <w:szCs w:val="12"/>
                <w:lang w:eastAsia="es-MX"/>
              </w:rPr>
              <w:t>Coacalco de Berriozábal</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0.5</w:t>
            </w:r>
          </w:p>
        </w:tc>
        <w:tc>
          <w:tcPr>
            <w:tcW w:w="426"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0.4</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0.2</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6"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509"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509"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0.2</w:t>
            </w:r>
          </w:p>
        </w:tc>
        <w:tc>
          <w:tcPr>
            <w:tcW w:w="509"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0.5</w:t>
            </w:r>
          </w:p>
        </w:tc>
        <w:tc>
          <w:tcPr>
            <w:tcW w:w="509"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0.3</w:t>
            </w:r>
          </w:p>
        </w:tc>
        <w:tc>
          <w:tcPr>
            <w:tcW w:w="476"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76" w:type="dxa"/>
            <w:tcBorders>
              <w:right w:val="nil"/>
            </w:tcBorders>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0.9</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0.35</w:t>
            </w:r>
          </w:p>
        </w:tc>
        <w:tc>
          <w:tcPr>
            <w:tcW w:w="1646" w:type="dxa"/>
            <w:shd w:val="clear" w:color="auto" w:fill="auto"/>
            <w:vAlign w:val="center"/>
          </w:tcPr>
          <w:p w:rsidR="008A62FA" w:rsidRPr="00B603A3" w:rsidRDefault="008A62FA" w:rsidP="00B603A3">
            <w:pPr>
              <w:spacing w:after="0"/>
              <w:rPr>
                <w:rFonts w:asciiTheme="minorHAnsi" w:eastAsia="Times New Roman" w:hAnsiTheme="minorHAnsi" w:cs="Arial"/>
                <w:color w:val="000000"/>
                <w:sz w:val="12"/>
                <w:szCs w:val="12"/>
                <w:lang w:eastAsia="es-MX"/>
              </w:rPr>
            </w:pPr>
            <w:r w:rsidRPr="00B603A3">
              <w:rPr>
                <w:rFonts w:asciiTheme="minorHAnsi" w:eastAsia="Times New Roman" w:hAnsiTheme="minorHAnsi" w:cs="Arial"/>
                <w:color w:val="000000"/>
                <w:sz w:val="12"/>
                <w:szCs w:val="12"/>
                <w:lang w:eastAsia="es-MX"/>
              </w:rPr>
              <w:t>Chicoloapan</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6"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0.4</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0.3</w:t>
            </w:r>
          </w:p>
        </w:tc>
        <w:tc>
          <w:tcPr>
            <w:tcW w:w="426"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0.3</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509"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0.3</w:t>
            </w:r>
          </w:p>
        </w:tc>
        <w:tc>
          <w:tcPr>
            <w:tcW w:w="509"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509"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0.3</w:t>
            </w:r>
          </w:p>
        </w:tc>
        <w:tc>
          <w:tcPr>
            <w:tcW w:w="509"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76"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0.4</w:t>
            </w:r>
          </w:p>
        </w:tc>
        <w:tc>
          <w:tcPr>
            <w:tcW w:w="476" w:type="dxa"/>
            <w:tcBorders>
              <w:right w:val="nil"/>
            </w:tcBorders>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0.3</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0.32</w:t>
            </w:r>
          </w:p>
        </w:tc>
        <w:tc>
          <w:tcPr>
            <w:tcW w:w="1646" w:type="dxa"/>
            <w:shd w:val="clear" w:color="auto" w:fill="auto"/>
            <w:vAlign w:val="center"/>
          </w:tcPr>
          <w:p w:rsidR="008A62FA" w:rsidRPr="00B603A3" w:rsidRDefault="008A62FA" w:rsidP="00B603A3">
            <w:pPr>
              <w:spacing w:after="0"/>
              <w:rPr>
                <w:rFonts w:asciiTheme="minorHAnsi" w:eastAsia="Times New Roman" w:hAnsiTheme="minorHAnsi" w:cs="Arial"/>
                <w:color w:val="000000"/>
                <w:sz w:val="12"/>
                <w:szCs w:val="12"/>
                <w:lang w:eastAsia="es-MX"/>
              </w:rPr>
            </w:pPr>
            <w:r w:rsidRPr="00B603A3">
              <w:rPr>
                <w:rFonts w:asciiTheme="minorHAnsi" w:eastAsia="Times New Roman" w:hAnsiTheme="minorHAnsi" w:cs="Arial"/>
                <w:color w:val="000000"/>
                <w:sz w:val="12"/>
                <w:szCs w:val="12"/>
                <w:lang w:eastAsia="es-MX"/>
              </w:rPr>
              <w:t>Chimalhuacán</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0.7</w:t>
            </w:r>
          </w:p>
        </w:tc>
        <w:tc>
          <w:tcPr>
            <w:tcW w:w="426"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0.9</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0.7</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0.6</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0.4</w:t>
            </w:r>
          </w:p>
        </w:tc>
        <w:tc>
          <w:tcPr>
            <w:tcW w:w="426"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0.4</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0.4</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0.2</w:t>
            </w:r>
          </w:p>
        </w:tc>
        <w:tc>
          <w:tcPr>
            <w:tcW w:w="509"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0.3</w:t>
            </w:r>
          </w:p>
        </w:tc>
        <w:tc>
          <w:tcPr>
            <w:tcW w:w="509"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0.1</w:t>
            </w:r>
          </w:p>
        </w:tc>
        <w:tc>
          <w:tcPr>
            <w:tcW w:w="509"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0.1</w:t>
            </w:r>
          </w:p>
        </w:tc>
        <w:tc>
          <w:tcPr>
            <w:tcW w:w="509"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76"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0.2</w:t>
            </w:r>
          </w:p>
        </w:tc>
        <w:tc>
          <w:tcPr>
            <w:tcW w:w="476" w:type="dxa"/>
            <w:tcBorders>
              <w:right w:val="nil"/>
            </w:tcBorders>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0.4</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0.11</w:t>
            </w:r>
          </w:p>
        </w:tc>
        <w:tc>
          <w:tcPr>
            <w:tcW w:w="1646" w:type="dxa"/>
            <w:shd w:val="clear" w:color="auto" w:fill="auto"/>
            <w:vAlign w:val="center"/>
          </w:tcPr>
          <w:p w:rsidR="008A62FA" w:rsidRPr="00B603A3" w:rsidRDefault="008A62FA" w:rsidP="00B603A3">
            <w:pPr>
              <w:spacing w:after="0"/>
              <w:rPr>
                <w:rFonts w:asciiTheme="minorHAnsi" w:eastAsia="Times New Roman" w:hAnsiTheme="minorHAnsi" w:cs="Arial"/>
                <w:color w:val="000000"/>
                <w:sz w:val="12"/>
                <w:szCs w:val="12"/>
                <w:lang w:eastAsia="es-MX"/>
              </w:rPr>
            </w:pPr>
            <w:r w:rsidRPr="00B603A3">
              <w:rPr>
                <w:rFonts w:asciiTheme="minorHAnsi" w:eastAsia="Times New Roman" w:hAnsiTheme="minorHAnsi" w:cs="Arial"/>
                <w:color w:val="000000"/>
                <w:sz w:val="12"/>
                <w:szCs w:val="12"/>
                <w:lang w:eastAsia="es-MX"/>
              </w:rPr>
              <w:t>Ecatepec de Morelos</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0.6</w:t>
            </w:r>
          </w:p>
        </w:tc>
        <w:tc>
          <w:tcPr>
            <w:tcW w:w="426"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0.5</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0.3</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0.4</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0.2</w:t>
            </w:r>
          </w:p>
        </w:tc>
        <w:tc>
          <w:tcPr>
            <w:tcW w:w="426"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0.2</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0.1</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0.1</w:t>
            </w:r>
          </w:p>
        </w:tc>
        <w:tc>
          <w:tcPr>
            <w:tcW w:w="509"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0.2</w:t>
            </w:r>
          </w:p>
        </w:tc>
        <w:tc>
          <w:tcPr>
            <w:tcW w:w="509"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0.2</w:t>
            </w:r>
          </w:p>
        </w:tc>
        <w:tc>
          <w:tcPr>
            <w:tcW w:w="509"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0.2</w:t>
            </w:r>
          </w:p>
        </w:tc>
        <w:tc>
          <w:tcPr>
            <w:tcW w:w="509"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0.1</w:t>
            </w:r>
          </w:p>
        </w:tc>
        <w:tc>
          <w:tcPr>
            <w:tcW w:w="476"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0.3</w:t>
            </w:r>
          </w:p>
        </w:tc>
        <w:tc>
          <w:tcPr>
            <w:tcW w:w="476" w:type="dxa"/>
            <w:tcBorders>
              <w:right w:val="nil"/>
            </w:tcBorders>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0.1</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0.12</w:t>
            </w:r>
          </w:p>
        </w:tc>
        <w:tc>
          <w:tcPr>
            <w:tcW w:w="1646" w:type="dxa"/>
            <w:shd w:val="clear" w:color="auto" w:fill="auto"/>
            <w:vAlign w:val="center"/>
          </w:tcPr>
          <w:p w:rsidR="008A62FA" w:rsidRPr="00B603A3" w:rsidRDefault="008A62FA" w:rsidP="00B603A3">
            <w:pPr>
              <w:spacing w:after="0"/>
              <w:rPr>
                <w:rFonts w:asciiTheme="minorHAnsi" w:eastAsia="Times New Roman" w:hAnsiTheme="minorHAnsi" w:cs="Arial"/>
                <w:color w:val="000000"/>
                <w:sz w:val="12"/>
                <w:szCs w:val="12"/>
                <w:lang w:eastAsia="es-MX"/>
              </w:rPr>
            </w:pPr>
            <w:r w:rsidRPr="00B603A3">
              <w:rPr>
                <w:rFonts w:asciiTheme="minorHAnsi" w:eastAsia="Times New Roman" w:hAnsiTheme="minorHAnsi" w:cs="Arial"/>
                <w:color w:val="000000"/>
                <w:sz w:val="12"/>
                <w:szCs w:val="12"/>
                <w:lang w:eastAsia="es-MX"/>
              </w:rPr>
              <w:t>La Paz</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0.5</w:t>
            </w:r>
          </w:p>
        </w:tc>
        <w:tc>
          <w:tcPr>
            <w:tcW w:w="426"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0.3</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0.3</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0.6</w:t>
            </w:r>
          </w:p>
        </w:tc>
        <w:tc>
          <w:tcPr>
            <w:tcW w:w="426"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0.5</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0.2</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0.4</w:t>
            </w:r>
          </w:p>
        </w:tc>
        <w:tc>
          <w:tcPr>
            <w:tcW w:w="509"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0.4</w:t>
            </w:r>
          </w:p>
        </w:tc>
        <w:tc>
          <w:tcPr>
            <w:tcW w:w="509"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509"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0.6</w:t>
            </w:r>
          </w:p>
        </w:tc>
        <w:tc>
          <w:tcPr>
            <w:tcW w:w="509"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76"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0.2</w:t>
            </w:r>
          </w:p>
        </w:tc>
        <w:tc>
          <w:tcPr>
            <w:tcW w:w="476" w:type="dxa"/>
            <w:tcBorders>
              <w:right w:val="nil"/>
            </w:tcBorders>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0.34</w:t>
            </w:r>
          </w:p>
        </w:tc>
        <w:tc>
          <w:tcPr>
            <w:tcW w:w="1646" w:type="dxa"/>
            <w:shd w:val="clear" w:color="auto" w:fill="auto"/>
            <w:vAlign w:val="center"/>
          </w:tcPr>
          <w:p w:rsidR="008A62FA" w:rsidRPr="00B603A3" w:rsidRDefault="008A62FA" w:rsidP="00B603A3">
            <w:pPr>
              <w:spacing w:after="0"/>
              <w:rPr>
                <w:rFonts w:asciiTheme="minorHAnsi" w:eastAsia="Times New Roman" w:hAnsiTheme="minorHAnsi" w:cs="Arial"/>
                <w:color w:val="000000"/>
                <w:sz w:val="12"/>
                <w:szCs w:val="12"/>
                <w:lang w:eastAsia="es-MX"/>
              </w:rPr>
            </w:pPr>
            <w:r w:rsidRPr="00B603A3">
              <w:rPr>
                <w:rFonts w:asciiTheme="minorHAnsi" w:eastAsia="Times New Roman" w:hAnsiTheme="minorHAnsi" w:cs="Arial"/>
                <w:color w:val="000000"/>
                <w:sz w:val="12"/>
                <w:szCs w:val="12"/>
                <w:lang w:eastAsia="es-MX"/>
              </w:rPr>
              <w:t>Cuautitlán Izcalli</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0.3</w:t>
            </w:r>
          </w:p>
        </w:tc>
        <w:tc>
          <w:tcPr>
            <w:tcW w:w="426"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0.4</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0.2</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1.1</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0.2</w:t>
            </w:r>
          </w:p>
        </w:tc>
        <w:tc>
          <w:tcPr>
            <w:tcW w:w="426"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0.2</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0.1</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509"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0.1</w:t>
            </w:r>
          </w:p>
        </w:tc>
        <w:tc>
          <w:tcPr>
            <w:tcW w:w="509"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0.2</w:t>
            </w:r>
          </w:p>
        </w:tc>
        <w:tc>
          <w:tcPr>
            <w:tcW w:w="509"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509"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76"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76" w:type="dxa"/>
            <w:tcBorders>
              <w:right w:val="nil"/>
            </w:tcBorders>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0.25</w:t>
            </w:r>
          </w:p>
        </w:tc>
        <w:tc>
          <w:tcPr>
            <w:tcW w:w="1646" w:type="dxa"/>
            <w:shd w:val="clear" w:color="auto" w:fill="auto"/>
            <w:vAlign w:val="center"/>
          </w:tcPr>
          <w:p w:rsidR="008A62FA" w:rsidRPr="00B603A3" w:rsidRDefault="008A62FA" w:rsidP="00B603A3">
            <w:pPr>
              <w:spacing w:after="0"/>
              <w:rPr>
                <w:rFonts w:asciiTheme="minorHAnsi" w:eastAsia="Times New Roman" w:hAnsiTheme="minorHAnsi" w:cs="Arial"/>
                <w:color w:val="000000"/>
                <w:sz w:val="12"/>
                <w:szCs w:val="12"/>
                <w:lang w:eastAsia="es-MX"/>
              </w:rPr>
            </w:pPr>
            <w:r w:rsidRPr="00B603A3">
              <w:rPr>
                <w:rFonts w:asciiTheme="minorHAnsi" w:eastAsia="Times New Roman" w:hAnsiTheme="minorHAnsi" w:cs="Arial"/>
                <w:color w:val="000000"/>
                <w:sz w:val="12"/>
                <w:szCs w:val="12"/>
                <w:lang w:eastAsia="es-MX"/>
              </w:rPr>
              <w:t>Valle de Chalco Solidaridad</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0.3</w:t>
            </w:r>
          </w:p>
        </w:tc>
        <w:tc>
          <w:tcPr>
            <w:tcW w:w="426"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1.8</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1</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0.1</w:t>
            </w:r>
          </w:p>
        </w:tc>
        <w:tc>
          <w:tcPr>
            <w:tcW w:w="426"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0.8</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425"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509"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w:t>
            </w:r>
          </w:p>
        </w:tc>
        <w:tc>
          <w:tcPr>
            <w:tcW w:w="509"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0.4</w:t>
            </w:r>
          </w:p>
        </w:tc>
        <w:tc>
          <w:tcPr>
            <w:tcW w:w="509"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0.6</w:t>
            </w:r>
          </w:p>
        </w:tc>
        <w:tc>
          <w:tcPr>
            <w:tcW w:w="509"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0.1</w:t>
            </w:r>
          </w:p>
        </w:tc>
        <w:tc>
          <w:tcPr>
            <w:tcW w:w="476" w:type="dxa"/>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0.2</w:t>
            </w:r>
          </w:p>
        </w:tc>
        <w:tc>
          <w:tcPr>
            <w:tcW w:w="476" w:type="dxa"/>
            <w:tcBorders>
              <w:right w:val="nil"/>
            </w:tcBorders>
            <w:shd w:val="clear" w:color="auto" w:fill="auto"/>
            <w:vAlign w:val="center"/>
          </w:tcPr>
          <w:p w:rsidR="008A62FA" w:rsidRPr="00B603A3" w:rsidRDefault="008A62FA" w:rsidP="00B603A3">
            <w:pPr>
              <w:spacing w:after="0"/>
              <w:jc w:val="right"/>
              <w:rPr>
                <w:rFonts w:asciiTheme="minorHAnsi" w:eastAsia="Times New Roman" w:hAnsiTheme="minorHAnsi"/>
                <w:color w:val="000000"/>
                <w:sz w:val="14"/>
                <w:szCs w:val="14"/>
                <w:lang w:eastAsia="es-MX"/>
              </w:rPr>
            </w:pPr>
            <w:r w:rsidRPr="00B603A3">
              <w:rPr>
                <w:rFonts w:asciiTheme="minorHAnsi" w:eastAsia="Times New Roman" w:hAnsiTheme="minorHAnsi"/>
                <w:color w:val="000000"/>
                <w:sz w:val="14"/>
                <w:szCs w:val="14"/>
                <w:lang w:eastAsia="es-MX"/>
              </w:rPr>
              <w:t>0.1</w:t>
            </w:r>
          </w:p>
        </w:tc>
      </w:tr>
    </w:tbl>
    <w:p w:rsidR="008A62FA" w:rsidRPr="00082A33" w:rsidRDefault="008A62FA" w:rsidP="00B603A3">
      <w:pPr>
        <w:pStyle w:val="Sinespaciado"/>
        <w:spacing w:line="276" w:lineRule="auto"/>
        <w:jc w:val="center"/>
        <w:rPr>
          <w:rFonts w:asciiTheme="minorHAnsi" w:hAnsiTheme="minorHAnsi" w:cs="Arial"/>
          <w:sz w:val="20"/>
          <w:szCs w:val="20"/>
        </w:rPr>
      </w:pPr>
      <w:r w:rsidRPr="00082A33">
        <w:rPr>
          <w:rFonts w:asciiTheme="minorHAnsi" w:hAnsiTheme="minorHAnsi" w:cs="Arial"/>
          <w:sz w:val="20"/>
          <w:szCs w:val="20"/>
        </w:rPr>
        <w:t>Fuente: elaboración propia con datos del SINAIS, 2012; INEGI, 2013</w:t>
      </w:r>
    </w:p>
    <w:p w:rsidR="008A62FA" w:rsidRPr="00082A33" w:rsidRDefault="008A62FA" w:rsidP="00B603A3">
      <w:pPr>
        <w:pStyle w:val="Sinespaciado"/>
        <w:spacing w:line="276" w:lineRule="auto"/>
        <w:jc w:val="center"/>
        <w:rPr>
          <w:rFonts w:asciiTheme="minorHAnsi" w:hAnsiTheme="minorHAnsi" w:cs="Arial"/>
          <w:sz w:val="20"/>
          <w:szCs w:val="20"/>
        </w:rPr>
      </w:pPr>
      <w:r w:rsidRPr="00082A33">
        <w:rPr>
          <w:rFonts w:asciiTheme="minorHAnsi" w:hAnsiTheme="minorHAnsi" w:cs="Arial"/>
          <w:sz w:val="20"/>
          <w:szCs w:val="20"/>
        </w:rPr>
        <w:t xml:space="preserve">No hay TMF para 2011, por falta de datos de Nacimientos. Las TMF calculadas por 1000 habitantes. </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Los resultados indican que los valores mas altos en TMF por Anencefalia y malformaciones congénitas similares se concentran en los municipios del CFEM; y aunque se presenta una disminución en la tendencia temporal de 1998 al año 2012 (ver Figura </w:t>
      </w:r>
      <w:r w:rsidR="00CF70C5">
        <w:rPr>
          <w:rFonts w:asciiTheme="minorHAnsi" w:hAnsiTheme="minorHAnsi" w:cs="Arial"/>
          <w:noProof/>
          <w:sz w:val="24"/>
          <w:szCs w:val="24"/>
          <w:lang w:eastAsia="es-MX"/>
        </w:rPr>
        <w:t>1</w:t>
      </w:r>
      <w:r w:rsidRPr="00B603A3">
        <w:rPr>
          <w:rFonts w:asciiTheme="minorHAnsi" w:hAnsiTheme="minorHAnsi" w:cs="Arial"/>
          <w:noProof/>
          <w:sz w:val="24"/>
          <w:szCs w:val="24"/>
          <w:lang w:eastAsia="es-MX"/>
        </w:rPr>
        <w:t>5), las tasas del CFEM siguen siendo superiores a las tasas presentadas por el resto de los municipios, lo que permite establecer la relación entre la actividad ocupacional agrícola y la presencia de la Anencefalia.</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jc w:val="center"/>
        <w:rPr>
          <w:rFonts w:asciiTheme="minorHAnsi" w:hAnsiTheme="minorHAnsi" w:cs="Arial"/>
          <w:sz w:val="16"/>
          <w:szCs w:val="16"/>
        </w:rPr>
      </w:pPr>
      <w:r w:rsidRPr="00B603A3">
        <w:rPr>
          <w:rFonts w:asciiTheme="minorHAnsi" w:hAnsiTheme="minorHAnsi"/>
          <w:noProof/>
          <w:lang w:eastAsia="es-MX"/>
        </w:rPr>
        <w:drawing>
          <wp:inline distT="0" distB="0" distL="0" distR="0">
            <wp:extent cx="5603240" cy="1860550"/>
            <wp:effectExtent l="0" t="0" r="0" b="635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603240" cy="1860550"/>
                    </a:xfrm>
                    <a:prstGeom prst="rect">
                      <a:avLst/>
                    </a:prstGeom>
                    <a:noFill/>
                    <a:ln>
                      <a:noFill/>
                    </a:ln>
                  </pic:spPr>
                </pic:pic>
              </a:graphicData>
            </a:graphic>
          </wp:inline>
        </w:drawing>
      </w:r>
    </w:p>
    <w:p w:rsidR="008A62FA" w:rsidRPr="00B603A3" w:rsidRDefault="008A62FA" w:rsidP="00B603A3">
      <w:pPr>
        <w:pStyle w:val="Sinespaciado"/>
        <w:spacing w:line="276" w:lineRule="auto"/>
        <w:jc w:val="center"/>
        <w:rPr>
          <w:rFonts w:asciiTheme="minorHAnsi" w:hAnsiTheme="minorHAnsi" w:cs="Arial"/>
          <w:sz w:val="20"/>
          <w:szCs w:val="20"/>
        </w:rPr>
      </w:pPr>
      <w:r w:rsidRPr="00B603A3">
        <w:rPr>
          <w:rFonts w:asciiTheme="minorHAnsi" w:hAnsiTheme="minorHAnsi" w:cs="Arial"/>
          <w:sz w:val="20"/>
          <w:szCs w:val="20"/>
        </w:rPr>
        <w:t xml:space="preserve">Figura </w:t>
      </w:r>
      <w:r w:rsidR="00082A33">
        <w:rPr>
          <w:rFonts w:asciiTheme="minorHAnsi" w:hAnsiTheme="minorHAnsi" w:cs="Arial"/>
          <w:sz w:val="20"/>
          <w:szCs w:val="20"/>
        </w:rPr>
        <w:t>15.</w:t>
      </w:r>
      <w:r w:rsidRPr="00B603A3">
        <w:rPr>
          <w:rFonts w:asciiTheme="minorHAnsi" w:hAnsiTheme="minorHAnsi" w:cs="Arial"/>
          <w:sz w:val="20"/>
          <w:szCs w:val="20"/>
        </w:rPr>
        <w:t xml:space="preserve"> TMF por anencefalia, Elaboración propia con datos del SINAIS, 2014.</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En la Tabla </w:t>
      </w:r>
      <w:r w:rsidR="00082A33">
        <w:rPr>
          <w:rFonts w:asciiTheme="minorHAnsi" w:hAnsiTheme="minorHAnsi" w:cs="Arial"/>
          <w:noProof/>
          <w:sz w:val="24"/>
          <w:szCs w:val="24"/>
          <w:lang w:eastAsia="es-MX"/>
        </w:rPr>
        <w:t>5</w:t>
      </w:r>
      <w:r w:rsidRPr="00B603A3">
        <w:rPr>
          <w:rFonts w:asciiTheme="minorHAnsi" w:hAnsiTheme="minorHAnsi" w:cs="Arial"/>
          <w:noProof/>
          <w:sz w:val="24"/>
          <w:szCs w:val="24"/>
          <w:lang w:eastAsia="es-MX"/>
        </w:rPr>
        <w:t xml:space="preserve"> se expresan los valores de las TMF obtenidos para la Espina bífida, de estos datos se deriva que en la tendencia temporal existen registros anuales para el CFEM que superan el valor de las tasas de aquellos municipios donde la población tiene actividades económicas diferentes a las agrícolas. La figura </w:t>
      </w:r>
      <w:r w:rsidR="00082A33">
        <w:rPr>
          <w:rFonts w:asciiTheme="minorHAnsi" w:hAnsiTheme="minorHAnsi" w:cs="Arial"/>
          <w:noProof/>
          <w:sz w:val="24"/>
          <w:szCs w:val="24"/>
          <w:lang w:eastAsia="es-MX"/>
        </w:rPr>
        <w:t>1</w:t>
      </w:r>
      <w:r w:rsidRPr="00B603A3">
        <w:rPr>
          <w:rFonts w:asciiTheme="minorHAnsi" w:hAnsiTheme="minorHAnsi" w:cs="Arial"/>
          <w:noProof/>
          <w:sz w:val="24"/>
          <w:szCs w:val="24"/>
          <w:lang w:eastAsia="es-MX"/>
        </w:rPr>
        <w:t>6 refleja el comportamiento de estas tasas y los casos reportados por municipio de residencia.</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jc w:val="center"/>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La Tabla </w:t>
      </w:r>
      <w:r w:rsidR="00082A33">
        <w:rPr>
          <w:rFonts w:asciiTheme="minorHAnsi" w:hAnsiTheme="minorHAnsi" w:cs="Arial"/>
          <w:noProof/>
          <w:sz w:val="24"/>
          <w:szCs w:val="24"/>
          <w:lang w:eastAsia="es-MX"/>
        </w:rPr>
        <w:t>5.</w:t>
      </w:r>
      <w:r w:rsidRPr="00B603A3">
        <w:rPr>
          <w:rFonts w:asciiTheme="minorHAnsi" w:hAnsiTheme="minorHAnsi" w:cs="Arial"/>
          <w:noProof/>
          <w:sz w:val="24"/>
          <w:szCs w:val="24"/>
          <w:lang w:eastAsia="es-MX"/>
        </w:rPr>
        <w:t xml:space="preserve"> TMF Q05 para el CFEM y municipios con menor % de trabajadores agrícolas</w:t>
      </w:r>
    </w:p>
    <w:tbl>
      <w:tblPr>
        <w:tblW w:w="8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79"/>
        <w:gridCol w:w="1646"/>
        <w:gridCol w:w="425"/>
        <w:gridCol w:w="426"/>
        <w:gridCol w:w="425"/>
        <w:gridCol w:w="425"/>
        <w:gridCol w:w="425"/>
        <w:gridCol w:w="426"/>
        <w:gridCol w:w="425"/>
        <w:gridCol w:w="425"/>
        <w:gridCol w:w="509"/>
        <w:gridCol w:w="509"/>
        <w:gridCol w:w="509"/>
        <w:gridCol w:w="509"/>
        <w:gridCol w:w="476"/>
        <w:gridCol w:w="476"/>
      </w:tblGrid>
      <w:tr w:rsidR="008A62FA" w:rsidRPr="00B603A3" w:rsidTr="00B603A3">
        <w:trPr>
          <w:trHeight w:val="286"/>
        </w:trPr>
        <w:tc>
          <w:tcPr>
            <w:tcW w:w="779" w:type="dxa"/>
            <w:vMerge w:val="restart"/>
            <w:tcBorders>
              <w:left w:val="nil"/>
            </w:tcBorders>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 Trab. agrícolas</w:t>
            </w:r>
          </w:p>
        </w:tc>
        <w:tc>
          <w:tcPr>
            <w:tcW w:w="1646" w:type="dxa"/>
            <w:vMerge w:val="restart"/>
            <w:shd w:val="clear" w:color="auto" w:fill="D9D9D9"/>
            <w:noWrap/>
            <w:vAlign w:val="center"/>
          </w:tcPr>
          <w:p w:rsidR="008A62FA" w:rsidRPr="00B603A3" w:rsidRDefault="008A62FA" w:rsidP="00B603A3">
            <w:pPr>
              <w:spacing w:after="0"/>
              <w:jc w:val="center"/>
              <w:rPr>
                <w:rFonts w:asciiTheme="minorHAnsi" w:eastAsia="Times New Roman" w:hAnsiTheme="minorHAnsi"/>
                <w:b/>
                <w:color w:val="000000"/>
                <w:sz w:val="12"/>
                <w:szCs w:val="12"/>
                <w:lang w:eastAsia="es-MX"/>
              </w:rPr>
            </w:pPr>
            <w:r w:rsidRPr="00B603A3">
              <w:rPr>
                <w:rFonts w:asciiTheme="minorHAnsi" w:eastAsia="Times New Roman" w:hAnsiTheme="minorHAnsi"/>
                <w:b/>
                <w:color w:val="000000"/>
                <w:sz w:val="12"/>
                <w:szCs w:val="12"/>
                <w:lang w:eastAsia="es-MX"/>
              </w:rPr>
              <w:t>MUNICIPIOS DEL CFEM</w:t>
            </w:r>
          </w:p>
        </w:tc>
        <w:tc>
          <w:tcPr>
            <w:tcW w:w="6390" w:type="dxa"/>
            <w:gridSpan w:val="14"/>
            <w:tcBorders>
              <w:right w:val="nil"/>
            </w:tcBorders>
            <w:shd w:val="clear" w:color="auto" w:fill="D9D9D9"/>
            <w:vAlign w:val="center"/>
          </w:tcPr>
          <w:p w:rsidR="008A62FA" w:rsidRPr="00B603A3" w:rsidRDefault="008A62FA" w:rsidP="00B603A3">
            <w:pPr>
              <w:spacing w:after="0"/>
              <w:jc w:val="center"/>
              <w:rPr>
                <w:rFonts w:asciiTheme="minorHAnsi" w:eastAsia="Times New Roman" w:hAnsiTheme="minorHAnsi"/>
                <w:b/>
                <w:color w:val="000000"/>
                <w:sz w:val="12"/>
                <w:szCs w:val="12"/>
                <w:lang w:eastAsia="es-MX"/>
              </w:rPr>
            </w:pPr>
            <w:r w:rsidRPr="00B603A3">
              <w:rPr>
                <w:rFonts w:asciiTheme="minorHAnsi" w:eastAsia="Times New Roman" w:hAnsiTheme="minorHAnsi"/>
                <w:b/>
                <w:color w:val="000000"/>
                <w:sz w:val="12"/>
                <w:szCs w:val="12"/>
                <w:lang w:eastAsia="es-MX"/>
              </w:rPr>
              <w:t>TMF POR AÑO PARA ESPINA BÍFIDA (Q05-CIE-10)</w:t>
            </w:r>
          </w:p>
        </w:tc>
      </w:tr>
      <w:tr w:rsidR="008A62FA" w:rsidRPr="00B603A3" w:rsidTr="00B603A3">
        <w:trPr>
          <w:trHeight w:val="199"/>
        </w:trPr>
        <w:tc>
          <w:tcPr>
            <w:tcW w:w="779" w:type="dxa"/>
            <w:vMerge/>
            <w:tcBorders>
              <w:left w:val="nil"/>
            </w:tcBorders>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p>
        </w:tc>
        <w:tc>
          <w:tcPr>
            <w:tcW w:w="1646" w:type="dxa"/>
            <w:vMerge/>
            <w:shd w:val="clear" w:color="auto" w:fill="D9D9D9"/>
            <w:noWrap/>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1998</w:t>
            </w:r>
          </w:p>
        </w:tc>
        <w:tc>
          <w:tcPr>
            <w:tcW w:w="426"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1999</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2000</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2001</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2002</w:t>
            </w:r>
          </w:p>
        </w:tc>
        <w:tc>
          <w:tcPr>
            <w:tcW w:w="426"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2003</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2004</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2005</w:t>
            </w:r>
          </w:p>
        </w:tc>
        <w:tc>
          <w:tcPr>
            <w:tcW w:w="509"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2006</w:t>
            </w:r>
          </w:p>
        </w:tc>
        <w:tc>
          <w:tcPr>
            <w:tcW w:w="509"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2007</w:t>
            </w:r>
          </w:p>
        </w:tc>
        <w:tc>
          <w:tcPr>
            <w:tcW w:w="509"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2008</w:t>
            </w:r>
          </w:p>
        </w:tc>
        <w:tc>
          <w:tcPr>
            <w:tcW w:w="509"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2009</w:t>
            </w:r>
          </w:p>
        </w:tc>
        <w:tc>
          <w:tcPr>
            <w:tcW w:w="476"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2010</w:t>
            </w:r>
          </w:p>
        </w:tc>
        <w:tc>
          <w:tcPr>
            <w:tcW w:w="476" w:type="dxa"/>
            <w:tcBorders>
              <w:right w:val="nil"/>
            </w:tcBorders>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2012</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39.34</w:t>
            </w:r>
          </w:p>
        </w:tc>
        <w:tc>
          <w:tcPr>
            <w:tcW w:w="1646" w:type="dxa"/>
            <w:shd w:val="clear" w:color="auto" w:fill="auto"/>
            <w:vAlign w:val="bottom"/>
          </w:tcPr>
          <w:p w:rsidR="008A62FA" w:rsidRPr="00B603A3" w:rsidRDefault="008A62FA" w:rsidP="00B603A3">
            <w:pPr>
              <w:spacing w:after="0"/>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Almoloya de Alquisiras</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45.43</w:t>
            </w:r>
          </w:p>
        </w:tc>
        <w:tc>
          <w:tcPr>
            <w:tcW w:w="1646" w:type="dxa"/>
            <w:shd w:val="clear" w:color="auto" w:fill="auto"/>
            <w:vAlign w:val="bottom"/>
          </w:tcPr>
          <w:p w:rsidR="008A62FA" w:rsidRPr="00B603A3" w:rsidRDefault="008A62FA" w:rsidP="00B603A3">
            <w:pPr>
              <w:spacing w:after="0"/>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Coatepec Harinas</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17.79</w:t>
            </w:r>
          </w:p>
        </w:tc>
        <w:tc>
          <w:tcPr>
            <w:tcW w:w="1646" w:type="dxa"/>
            <w:shd w:val="clear" w:color="auto" w:fill="auto"/>
            <w:vAlign w:val="bottom"/>
          </w:tcPr>
          <w:p w:rsidR="008A62FA" w:rsidRPr="00B603A3" w:rsidRDefault="008A62FA" w:rsidP="00B603A3">
            <w:pPr>
              <w:spacing w:after="0"/>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Ixtapan de la Sal</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1.2</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29.62</w:t>
            </w:r>
          </w:p>
        </w:tc>
        <w:tc>
          <w:tcPr>
            <w:tcW w:w="1646" w:type="dxa"/>
            <w:shd w:val="clear" w:color="auto" w:fill="auto"/>
            <w:vAlign w:val="bottom"/>
          </w:tcPr>
          <w:p w:rsidR="008A62FA" w:rsidRPr="00B603A3" w:rsidRDefault="008A62FA" w:rsidP="00B603A3">
            <w:pPr>
              <w:spacing w:after="0"/>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Malinalco</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1.4</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27.02</w:t>
            </w:r>
          </w:p>
        </w:tc>
        <w:tc>
          <w:tcPr>
            <w:tcW w:w="1646" w:type="dxa"/>
            <w:shd w:val="clear" w:color="auto" w:fill="auto"/>
            <w:vAlign w:val="bottom"/>
          </w:tcPr>
          <w:p w:rsidR="008A62FA" w:rsidRPr="00B603A3" w:rsidRDefault="008A62FA" w:rsidP="00B603A3">
            <w:pPr>
              <w:spacing w:after="0"/>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Tenancingo</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0.5</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26.50</w:t>
            </w:r>
          </w:p>
        </w:tc>
        <w:tc>
          <w:tcPr>
            <w:tcW w:w="1646" w:type="dxa"/>
            <w:shd w:val="clear" w:color="auto" w:fill="auto"/>
            <w:vAlign w:val="bottom"/>
          </w:tcPr>
          <w:p w:rsidR="008A62FA" w:rsidRPr="00B603A3" w:rsidRDefault="008A62FA" w:rsidP="00B603A3">
            <w:pPr>
              <w:spacing w:after="0"/>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Tonatico</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3.8</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35.97</w:t>
            </w:r>
          </w:p>
        </w:tc>
        <w:tc>
          <w:tcPr>
            <w:tcW w:w="1646" w:type="dxa"/>
            <w:shd w:val="clear" w:color="auto" w:fill="auto"/>
            <w:vAlign w:val="bottom"/>
          </w:tcPr>
          <w:p w:rsidR="008A62FA" w:rsidRPr="00B603A3" w:rsidRDefault="008A62FA" w:rsidP="00B603A3">
            <w:pPr>
              <w:spacing w:after="0"/>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Villa Guerrero</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0.6</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55.79</w:t>
            </w:r>
          </w:p>
        </w:tc>
        <w:tc>
          <w:tcPr>
            <w:tcW w:w="1646" w:type="dxa"/>
            <w:shd w:val="clear" w:color="auto" w:fill="auto"/>
            <w:vAlign w:val="bottom"/>
          </w:tcPr>
          <w:p w:rsidR="008A62FA" w:rsidRPr="00B603A3" w:rsidRDefault="008A62FA" w:rsidP="00B603A3">
            <w:pPr>
              <w:spacing w:after="0"/>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Zumpahuacán</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2.2</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231"/>
        </w:trPr>
        <w:tc>
          <w:tcPr>
            <w:tcW w:w="779" w:type="dxa"/>
            <w:vMerge w:val="restart"/>
            <w:tcBorders>
              <w:left w:val="nil"/>
            </w:tcBorders>
            <w:shd w:val="clear" w:color="auto" w:fill="D9D9D9"/>
            <w:vAlign w:val="center"/>
          </w:tcPr>
          <w:p w:rsidR="008A62FA" w:rsidRPr="00B603A3" w:rsidRDefault="008A62FA" w:rsidP="00B603A3">
            <w:pPr>
              <w:spacing w:after="0"/>
              <w:jc w:val="center"/>
              <w:rPr>
                <w:rFonts w:asciiTheme="minorHAnsi" w:eastAsia="Times New Roman" w:hAnsiTheme="minorHAnsi" w:cs="Arial"/>
                <w:color w:val="000000"/>
                <w:sz w:val="12"/>
                <w:szCs w:val="12"/>
                <w:lang w:eastAsia="es-MX"/>
              </w:rPr>
            </w:pPr>
            <w:r w:rsidRPr="00B603A3">
              <w:rPr>
                <w:rFonts w:asciiTheme="minorHAnsi" w:eastAsia="Times New Roman" w:hAnsiTheme="minorHAnsi"/>
                <w:color w:val="000000"/>
                <w:sz w:val="12"/>
                <w:szCs w:val="12"/>
                <w:lang w:eastAsia="es-MX"/>
              </w:rPr>
              <w:t>% Trab. agrícolas</w:t>
            </w:r>
          </w:p>
        </w:tc>
        <w:tc>
          <w:tcPr>
            <w:tcW w:w="1646" w:type="dxa"/>
            <w:vMerge w:val="restart"/>
            <w:shd w:val="clear" w:color="auto" w:fill="D9D9D9"/>
            <w:vAlign w:val="center"/>
          </w:tcPr>
          <w:p w:rsidR="008A62FA" w:rsidRPr="00B603A3" w:rsidRDefault="008A62FA" w:rsidP="00B603A3">
            <w:pPr>
              <w:spacing w:after="0"/>
              <w:jc w:val="center"/>
              <w:rPr>
                <w:rFonts w:asciiTheme="minorHAnsi" w:eastAsia="Times New Roman" w:hAnsiTheme="minorHAnsi"/>
                <w:b/>
                <w:color w:val="000000"/>
                <w:sz w:val="12"/>
                <w:szCs w:val="12"/>
                <w:lang w:eastAsia="es-MX"/>
              </w:rPr>
            </w:pPr>
            <w:r w:rsidRPr="00B603A3">
              <w:rPr>
                <w:rFonts w:asciiTheme="minorHAnsi" w:eastAsia="Times New Roman" w:hAnsiTheme="minorHAnsi"/>
                <w:b/>
                <w:color w:val="000000"/>
                <w:sz w:val="12"/>
                <w:szCs w:val="12"/>
                <w:lang w:eastAsia="es-MX"/>
              </w:rPr>
              <w:t>MUNICIPIOS CON MENOR ACTIVIDAD AGRÍCOLA</w:t>
            </w:r>
          </w:p>
        </w:tc>
        <w:tc>
          <w:tcPr>
            <w:tcW w:w="6390" w:type="dxa"/>
            <w:gridSpan w:val="14"/>
            <w:tcBorders>
              <w:right w:val="nil"/>
            </w:tcBorders>
            <w:shd w:val="clear" w:color="auto" w:fill="D9D9D9"/>
            <w:vAlign w:val="center"/>
          </w:tcPr>
          <w:p w:rsidR="008A62FA" w:rsidRPr="00B603A3" w:rsidRDefault="008A62FA" w:rsidP="00B603A3">
            <w:pPr>
              <w:spacing w:after="0"/>
              <w:jc w:val="center"/>
              <w:rPr>
                <w:rFonts w:asciiTheme="minorHAnsi" w:eastAsia="Times New Roman" w:hAnsiTheme="minorHAnsi"/>
                <w:b/>
                <w:color w:val="000000"/>
                <w:sz w:val="12"/>
                <w:szCs w:val="12"/>
                <w:lang w:eastAsia="es-MX"/>
              </w:rPr>
            </w:pPr>
            <w:r w:rsidRPr="00B603A3">
              <w:rPr>
                <w:rFonts w:asciiTheme="minorHAnsi" w:eastAsia="Times New Roman" w:hAnsiTheme="minorHAnsi"/>
                <w:b/>
                <w:color w:val="000000"/>
                <w:sz w:val="12"/>
                <w:szCs w:val="12"/>
                <w:lang w:eastAsia="es-MX"/>
              </w:rPr>
              <w:t>TMF POR AÑO PARA ESPINA BÍFIDA (Q05-CIE-10)</w:t>
            </w:r>
          </w:p>
        </w:tc>
      </w:tr>
      <w:tr w:rsidR="008A62FA" w:rsidRPr="00B603A3" w:rsidTr="00B603A3">
        <w:trPr>
          <w:trHeight w:val="199"/>
        </w:trPr>
        <w:tc>
          <w:tcPr>
            <w:tcW w:w="779" w:type="dxa"/>
            <w:vMerge/>
            <w:tcBorders>
              <w:left w:val="nil"/>
            </w:tcBorders>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p>
        </w:tc>
        <w:tc>
          <w:tcPr>
            <w:tcW w:w="1646" w:type="dxa"/>
            <w:vMerge/>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1998</w:t>
            </w:r>
          </w:p>
        </w:tc>
        <w:tc>
          <w:tcPr>
            <w:tcW w:w="426"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1999</w:t>
            </w:r>
          </w:p>
        </w:tc>
        <w:tc>
          <w:tcPr>
            <w:tcW w:w="425" w:type="dxa"/>
            <w:shd w:val="clear" w:color="auto" w:fill="D9D9D9"/>
            <w:vAlign w:val="center"/>
          </w:tcPr>
          <w:p w:rsidR="008A62FA" w:rsidRPr="00B603A3" w:rsidRDefault="008A62FA" w:rsidP="00B603A3">
            <w:pPr>
              <w:spacing w:after="0"/>
              <w:ind w:right="-29"/>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2000</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2001</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2002</w:t>
            </w:r>
          </w:p>
        </w:tc>
        <w:tc>
          <w:tcPr>
            <w:tcW w:w="426"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2003</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2004</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2005</w:t>
            </w:r>
          </w:p>
        </w:tc>
        <w:tc>
          <w:tcPr>
            <w:tcW w:w="509"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2006</w:t>
            </w:r>
          </w:p>
        </w:tc>
        <w:tc>
          <w:tcPr>
            <w:tcW w:w="509"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2007</w:t>
            </w:r>
          </w:p>
        </w:tc>
        <w:tc>
          <w:tcPr>
            <w:tcW w:w="509"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2008</w:t>
            </w:r>
          </w:p>
        </w:tc>
        <w:tc>
          <w:tcPr>
            <w:tcW w:w="509"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2009</w:t>
            </w:r>
          </w:p>
        </w:tc>
        <w:tc>
          <w:tcPr>
            <w:tcW w:w="476"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2010</w:t>
            </w:r>
          </w:p>
        </w:tc>
        <w:tc>
          <w:tcPr>
            <w:tcW w:w="476" w:type="dxa"/>
            <w:tcBorders>
              <w:right w:val="nil"/>
            </w:tcBorders>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2012</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0.14</w:t>
            </w:r>
          </w:p>
        </w:tc>
        <w:tc>
          <w:tcPr>
            <w:tcW w:w="1646" w:type="dxa"/>
            <w:shd w:val="clear" w:color="auto" w:fill="auto"/>
            <w:vAlign w:val="center"/>
          </w:tcPr>
          <w:p w:rsidR="008A62FA" w:rsidRPr="00B603A3" w:rsidRDefault="008A62FA" w:rsidP="00B603A3">
            <w:pPr>
              <w:spacing w:after="0"/>
              <w:rPr>
                <w:rFonts w:asciiTheme="minorHAnsi" w:eastAsia="Times New Roman" w:hAnsiTheme="minorHAnsi" w:cs="Arial"/>
                <w:color w:val="000000"/>
                <w:sz w:val="12"/>
                <w:szCs w:val="12"/>
                <w:lang w:eastAsia="es-MX"/>
              </w:rPr>
            </w:pPr>
            <w:r w:rsidRPr="00B603A3">
              <w:rPr>
                <w:rFonts w:asciiTheme="minorHAnsi" w:eastAsia="Times New Roman" w:hAnsiTheme="minorHAnsi" w:cs="Arial"/>
                <w:color w:val="000000"/>
                <w:sz w:val="12"/>
                <w:szCs w:val="12"/>
                <w:lang w:eastAsia="es-MX"/>
              </w:rPr>
              <w:t>Atizapán de Zaragoza</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0.14</w:t>
            </w:r>
          </w:p>
        </w:tc>
        <w:tc>
          <w:tcPr>
            <w:tcW w:w="1646" w:type="dxa"/>
            <w:shd w:val="clear" w:color="auto" w:fill="auto"/>
            <w:vAlign w:val="center"/>
          </w:tcPr>
          <w:p w:rsidR="008A62FA" w:rsidRPr="00B603A3" w:rsidRDefault="008A62FA" w:rsidP="00B603A3">
            <w:pPr>
              <w:spacing w:after="0"/>
              <w:rPr>
                <w:rFonts w:asciiTheme="minorHAnsi" w:eastAsia="Times New Roman" w:hAnsiTheme="minorHAnsi" w:cs="Arial"/>
                <w:color w:val="000000"/>
                <w:sz w:val="12"/>
                <w:szCs w:val="12"/>
                <w:lang w:eastAsia="es-MX"/>
              </w:rPr>
            </w:pPr>
            <w:r w:rsidRPr="00B603A3">
              <w:rPr>
                <w:rFonts w:asciiTheme="minorHAnsi" w:eastAsia="Times New Roman" w:hAnsiTheme="minorHAnsi" w:cs="Arial"/>
                <w:color w:val="000000"/>
                <w:sz w:val="12"/>
                <w:szCs w:val="12"/>
                <w:lang w:eastAsia="es-MX"/>
              </w:rPr>
              <w:t>Coacalco de Berriozábal</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0.35</w:t>
            </w:r>
          </w:p>
        </w:tc>
        <w:tc>
          <w:tcPr>
            <w:tcW w:w="1646" w:type="dxa"/>
            <w:shd w:val="clear" w:color="auto" w:fill="auto"/>
            <w:vAlign w:val="center"/>
          </w:tcPr>
          <w:p w:rsidR="008A62FA" w:rsidRPr="00B603A3" w:rsidRDefault="008A62FA" w:rsidP="00B603A3">
            <w:pPr>
              <w:spacing w:after="0"/>
              <w:rPr>
                <w:rFonts w:asciiTheme="minorHAnsi" w:eastAsia="Times New Roman" w:hAnsiTheme="minorHAnsi" w:cs="Arial"/>
                <w:color w:val="000000"/>
                <w:sz w:val="12"/>
                <w:szCs w:val="12"/>
                <w:lang w:eastAsia="es-MX"/>
              </w:rPr>
            </w:pPr>
            <w:r w:rsidRPr="00B603A3">
              <w:rPr>
                <w:rFonts w:asciiTheme="minorHAnsi" w:eastAsia="Times New Roman" w:hAnsiTheme="minorHAnsi" w:cs="Arial"/>
                <w:color w:val="000000"/>
                <w:sz w:val="12"/>
                <w:szCs w:val="12"/>
                <w:lang w:eastAsia="es-MX"/>
              </w:rPr>
              <w:t>Chicoloapan</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0.32</w:t>
            </w:r>
          </w:p>
        </w:tc>
        <w:tc>
          <w:tcPr>
            <w:tcW w:w="1646" w:type="dxa"/>
            <w:shd w:val="clear" w:color="auto" w:fill="auto"/>
            <w:vAlign w:val="center"/>
          </w:tcPr>
          <w:p w:rsidR="008A62FA" w:rsidRPr="00B603A3" w:rsidRDefault="008A62FA" w:rsidP="00B603A3">
            <w:pPr>
              <w:spacing w:after="0"/>
              <w:rPr>
                <w:rFonts w:asciiTheme="minorHAnsi" w:eastAsia="Times New Roman" w:hAnsiTheme="minorHAnsi" w:cs="Arial"/>
                <w:color w:val="000000"/>
                <w:sz w:val="12"/>
                <w:szCs w:val="12"/>
                <w:lang w:eastAsia="es-MX"/>
              </w:rPr>
            </w:pPr>
            <w:r w:rsidRPr="00B603A3">
              <w:rPr>
                <w:rFonts w:asciiTheme="minorHAnsi" w:eastAsia="Times New Roman" w:hAnsiTheme="minorHAnsi" w:cs="Arial"/>
                <w:color w:val="000000"/>
                <w:sz w:val="12"/>
                <w:szCs w:val="12"/>
                <w:lang w:eastAsia="es-MX"/>
              </w:rPr>
              <w:t>Chimalhuacán</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0.11</w:t>
            </w:r>
          </w:p>
        </w:tc>
        <w:tc>
          <w:tcPr>
            <w:tcW w:w="1646" w:type="dxa"/>
            <w:shd w:val="clear" w:color="auto" w:fill="auto"/>
            <w:vAlign w:val="center"/>
          </w:tcPr>
          <w:p w:rsidR="008A62FA" w:rsidRPr="00B603A3" w:rsidRDefault="008A62FA" w:rsidP="00B603A3">
            <w:pPr>
              <w:spacing w:after="0"/>
              <w:rPr>
                <w:rFonts w:asciiTheme="minorHAnsi" w:eastAsia="Times New Roman" w:hAnsiTheme="minorHAnsi" w:cs="Arial"/>
                <w:color w:val="000000"/>
                <w:sz w:val="12"/>
                <w:szCs w:val="12"/>
                <w:lang w:eastAsia="es-MX"/>
              </w:rPr>
            </w:pPr>
            <w:r w:rsidRPr="00B603A3">
              <w:rPr>
                <w:rFonts w:asciiTheme="minorHAnsi" w:eastAsia="Times New Roman" w:hAnsiTheme="minorHAnsi" w:cs="Arial"/>
                <w:color w:val="000000"/>
                <w:sz w:val="12"/>
                <w:szCs w:val="12"/>
                <w:lang w:eastAsia="es-MX"/>
              </w:rPr>
              <w:t>Ecatepec de Morelos</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0.12</w:t>
            </w:r>
          </w:p>
        </w:tc>
        <w:tc>
          <w:tcPr>
            <w:tcW w:w="1646" w:type="dxa"/>
            <w:shd w:val="clear" w:color="auto" w:fill="auto"/>
            <w:vAlign w:val="center"/>
          </w:tcPr>
          <w:p w:rsidR="008A62FA" w:rsidRPr="00B603A3" w:rsidRDefault="008A62FA" w:rsidP="00B603A3">
            <w:pPr>
              <w:spacing w:after="0"/>
              <w:rPr>
                <w:rFonts w:asciiTheme="minorHAnsi" w:eastAsia="Times New Roman" w:hAnsiTheme="minorHAnsi" w:cs="Arial"/>
                <w:color w:val="000000"/>
                <w:sz w:val="12"/>
                <w:szCs w:val="12"/>
                <w:lang w:eastAsia="es-MX"/>
              </w:rPr>
            </w:pPr>
            <w:r w:rsidRPr="00B603A3">
              <w:rPr>
                <w:rFonts w:asciiTheme="minorHAnsi" w:eastAsia="Times New Roman" w:hAnsiTheme="minorHAnsi" w:cs="Arial"/>
                <w:color w:val="000000"/>
                <w:sz w:val="12"/>
                <w:szCs w:val="12"/>
                <w:lang w:eastAsia="es-MX"/>
              </w:rPr>
              <w:t>La Paz</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0.3</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0.34</w:t>
            </w:r>
          </w:p>
        </w:tc>
        <w:tc>
          <w:tcPr>
            <w:tcW w:w="1646" w:type="dxa"/>
            <w:shd w:val="clear" w:color="auto" w:fill="auto"/>
            <w:vAlign w:val="center"/>
          </w:tcPr>
          <w:p w:rsidR="008A62FA" w:rsidRPr="00B603A3" w:rsidRDefault="008A62FA" w:rsidP="00B603A3">
            <w:pPr>
              <w:spacing w:after="0"/>
              <w:rPr>
                <w:rFonts w:asciiTheme="minorHAnsi" w:eastAsia="Times New Roman" w:hAnsiTheme="minorHAnsi" w:cs="Arial"/>
                <w:color w:val="000000"/>
                <w:sz w:val="12"/>
                <w:szCs w:val="12"/>
                <w:lang w:eastAsia="es-MX"/>
              </w:rPr>
            </w:pPr>
            <w:r w:rsidRPr="00B603A3">
              <w:rPr>
                <w:rFonts w:asciiTheme="minorHAnsi" w:eastAsia="Times New Roman" w:hAnsiTheme="minorHAnsi" w:cs="Arial"/>
                <w:color w:val="000000"/>
                <w:sz w:val="12"/>
                <w:szCs w:val="12"/>
                <w:lang w:eastAsia="es-MX"/>
              </w:rPr>
              <w:t>Cuautitlán Izcalli</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0.25</w:t>
            </w:r>
          </w:p>
        </w:tc>
        <w:tc>
          <w:tcPr>
            <w:tcW w:w="1646" w:type="dxa"/>
            <w:shd w:val="clear" w:color="auto" w:fill="auto"/>
            <w:vAlign w:val="center"/>
          </w:tcPr>
          <w:p w:rsidR="008A62FA" w:rsidRPr="00B603A3" w:rsidRDefault="008A62FA" w:rsidP="00B603A3">
            <w:pPr>
              <w:spacing w:after="0"/>
              <w:ind w:right="-125"/>
              <w:rPr>
                <w:rFonts w:asciiTheme="minorHAnsi" w:eastAsia="Times New Roman" w:hAnsiTheme="minorHAnsi" w:cs="Arial"/>
                <w:color w:val="000000"/>
                <w:sz w:val="12"/>
                <w:szCs w:val="12"/>
                <w:lang w:eastAsia="es-MX"/>
              </w:rPr>
            </w:pPr>
            <w:r w:rsidRPr="00B603A3">
              <w:rPr>
                <w:rFonts w:asciiTheme="minorHAnsi" w:eastAsia="Times New Roman" w:hAnsiTheme="minorHAnsi" w:cs="Arial"/>
                <w:color w:val="000000"/>
                <w:sz w:val="12"/>
                <w:szCs w:val="12"/>
                <w:lang w:eastAsia="es-MX"/>
              </w:rPr>
              <w:t>Valle de Chalco Solidaridad</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0.3</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bl>
    <w:p w:rsidR="008A62FA" w:rsidRPr="00082A33" w:rsidRDefault="008A62FA" w:rsidP="00B603A3">
      <w:pPr>
        <w:pStyle w:val="Sinespaciado"/>
        <w:spacing w:line="276" w:lineRule="auto"/>
        <w:jc w:val="center"/>
        <w:rPr>
          <w:rFonts w:asciiTheme="minorHAnsi" w:hAnsiTheme="minorHAnsi" w:cs="Arial"/>
          <w:sz w:val="20"/>
          <w:szCs w:val="20"/>
        </w:rPr>
      </w:pPr>
      <w:r w:rsidRPr="00082A33">
        <w:rPr>
          <w:rFonts w:asciiTheme="minorHAnsi" w:hAnsiTheme="minorHAnsi" w:cs="Arial"/>
          <w:sz w:val="20"/>
          <w:szCs w:val="20"/>
        </w:rPr>
        <w:t>Fuente: elaboración propia con datos del SINAIS, 2012; INEGI, 2013</w:t>
      </w:r>
    </w:p>
    <w:p w:rsidR="008A62FA" w:rsidRPr="00082A33" w:rsidRDefault="008A62FA" w:rsidP="00B603A3">
      <w:pPr>
        <w:pStyle w:val="Sinespaciado"/>
        <w:spacing w:line="276" w:lineRule="auto"/>
        <w:jc w:val="center"/>
        <w:rPr>
          <w:rFonts w:asciiTheme="minorHAnsi" w:hAnsiTheme="minorHAnsi" w:cs="Arial"/>
          <w:sz w:val="20"/>
          <w:szCs w:val="20"/>
        </w:rPr>
      </w:pPr>
      <w:r w:rsidRPr="00082A33">
        <w:rPr>
          <w:rFonts w:asciiTheme="minorHAnsi" w:hAnsiTheme="minorHAnsi" w:cs="Arial"/>
          <w:sz w:val="20"/>
          <w:szCs w:val="20"/>
        </w:rPr>
        <w:t xml:space="preserve">No hay TMF para 2011, por falta de datos de Nacimientos. Las TMF calculadas por 1000 habitantes. </w:t>
      </w:r>
    </w:p>
    <w:p w:rsidR="008A62FA" w:rsidRPr="00B603A3" w:rsidRDefault="008A62FA" w:rsidP="00B603A3">
      <w:pPr>
        <w:pStyle w:val="Sinespaciado"/>
        <w:spacing w:line="276" w:lineRule="auto"/>
        <w:jc w:val="both"/>
        <w:rPr>
          <w:rFonts w:asciiTheme="minorHAnsi" w:hAnsiTheme="minorHAnsi" w:cs="Arial"/>
          <w:color w:val="FF0000"/>
        </w:rPr>
      </w:pPr>
    </w:p>
    <w:p w:rsidR="008A62FA" w:rsidRPr="00B603A3" w:rsidRDefault="008A62FA" w:rsidP="00B603A3">
      <w:pPr>
        <w:pStyle w:val="Sinespaciado"/>
        <w:spacing w:line="276" w:lineRule="auto"/>
        <w:jc w:val="center"/>
        <w:rPr>
          <w:rFonts w:asciiTheme="minorHAnsi" w:hAnsiTheme="minorHAnsi" w:cs="Arial"/>
        </w:rPr>
      </w:pPr>
      <w:r w:rsidRPr="00B603A3">
        <w:rPr>
          <w:rFonts w:asciiTheme="minorHAnsi" w:hAnsiTheme="minorHAnsi" w:cs="Arial"/>
          <w:noProof/>
          <w:lang w:eastAsia="es-MX"/>
        </w:rPr>
        <w:drawing>
          <wp:inline distT="0" distB="0" distL="0" distR="0">
            <wp:extent cx="5571490" cy="1956435"/>
            <wp:effectExtent l="0" t="0" r="0" b="571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571490" cy="1956435"/>
                    </a:xfrm>
                    <a:prstGeom prst="rect">
                      <a:avLst/>
                    </a:prstGeom>
                    <a:noFill/>
                    <a:ln>
                      <a:noFill/>
                    </a:ln>
                  </pic:spPr>
                </pic:pic>
              </a:graphicData>
            </a:graphic>
          </wp:inline>
        </w:drawing>
      </w:r>
    </w:p>
    <w:p w:rsidR="008A62FA" w:rsidRPr="00082A33" w:rsidRDefault="008A62FA" w:rsidP="00B603A3">
      <w:pPr>
        <w:pStyle w:val="Sinespaciado"/>
        <w:spacing w:line="276" w:lineRule="auto"/>
        <w:jc w:val="center"/>
        <w:rPr>
          <w:rFonts w:asciiTheme="minorHAnsi" w:hAnsiTheme="minorHAnsi" w:cs="Arial"/>
          <w:sz w:val="24"/>
          <w:szCs w:val="24"/>
        </w:rPr>
      </w:pPr>
      <w:r w:rsidRPr="00082A33">
        <w:rPr>
          <w:rFonts w:asciiTheme="minorHAnsi" w:hAnsiTheme="minorHAnsi" w:cs="Arial"/>
          <w:sz w:val="24"/>
          <w:szCs w:val="24"/>
        </w:rPr>
        <w:t xml:space="preserve">Figura </w:t>
      </w:r>
      <w:r w:rsidR="00082A33" w:rsidRPr="00082A33">
        <w:rPr>
          <w:rFonts w:asciiTheme="minorHAnsi" w:hAnsiTheme="minorHAnsi" w:cs="Arial"/>
          <w:sz w:val="24"/>
          <w:szCs w:val="24"/>
        </w:rPr>
        <w:t>1</w:t>
      </w:r>
      <w:r w:rsidRPr="00082A33">
        <w:rPr>
          <w:rFonts w:asciiTheme="minorHAnsi" w:hAnsiTheme="minorHAnsi" w:cs="Arial"/>
          <w:sz w:val="24"/>
          <w:szCs w:val="24"/>
        </w:rPr>
        <w:t>6: TMF por espina bífida, Elaboración propia con datos del SINAIS, 2014.</w:t>
      </w:r>
    </w:p>
    <w:p w:rsidR="008A62FA" w:rsidRPr="00B603A3" w:rsidRDefault="008A62FA" w:rsidP="00B603A3">
      <w:pPr>
        <w:pStyle w:val="Sinespaciado"/>
        <w:spacing w:line="276" w:lineRule="auto"/>
        <w:jc w:val="both"/>
        <w:rPr>
          <w:rFonts w:asciiTheme="minorHAnsi" w:hAnsiTheme="minorHAnsi" w:cs="Arial"/>
        </w:rPr>
      </w:pP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La Tabla </w:t>
      </w:r>
      <w:r w:rsidR="00082A33">
        <w:rPr>
          <w:rFonts w:asciiTheme="minorHAnsi" w:hAnsiTheme="minorHAnsi" w:cs="Arial"/>
          <w:noProof/>
          <w:sz w:val="24"/>
          <w:szCs w:val="24"/>
          <w:lang w:eastAsia="es-MX"/>
        </w:rPr>
        <w:t>6</w:t>
      </w:r>
      <w:r w:rsidRPr="00B603A3">
        <w:rPr>
          <w:rFonts w:asciiTheme="minorHAnsi" w:hAnsiTheme="minorHAnsi" w:cs="Arial"/>
          <w:noProof/>
          <w:sz w:val="24"/>
          <w:szCs w:val="24"/>
          <w:lang w:eastAsia="es-MX"/>
        </w:rPr>
        <w:t xml:space="preserve"> concentra las TMI obtenidas para los ocho municipios del CFEM y ocho municipios del Estado de México con los más bajos porcentajes de población ocupada en actividades agrícolas. Las tasas más bajas se presentan en municipios con escasa actividad agrícola, mientras que las tasas más altas para la Anencefalia se presentan en el CFEM, para los años de 1998 al 2004, con valores superiores a uno por cada 1000 habitantes. En la Figura </w:t>
      </w:r>
      <w:r w:rsidR="00082A33">
        <w:rPr>
          <w:rFonts w:asciiTheme="minorHAnsi" w:hAnsiTheme="minorHAnsi" w:cs="Arial"/>
          <w:noProof/>
          <w:sz w:val="24"/>
          <w:szCs w:val="24"/>
          <w:lang w:eastAsia="es-MX"/>
        </w:rPr>
        <w:t>1</w:t>
      </w:r>
      <w:r w:rsidRPr="00B603A3">
        <w:rPr>
          <w:rFonts w:asciiTheme="minorHAnsi" w:hAnsiTheme="minorHAnsi" w:cs="Arial"/>
          <w:noProof/>
          <w:sz w:val="24"/>
          <w:szCs w:val="24"/>
          <w:lang w:eastAsia="es-MX"/>
        </w:rPr>
        <w:t>7 se visualiza que en la dinámica temporal el municipio con mas registros por año es Ixtapan de la Sal, pero el de tasa mas elevada es Tonatico.</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jc w:val="center"/>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Tabla </w:t>
      </w:r>
      <w:r w:rsidR="00082A33">
        <w:rPr>
          <w:rFonts w:asciiTheme="minorHAnsi" w:hAnsiTheme="minorHAnsi" w:cs="Arial"/>
          <w:noProof/>
          <w:sz w:val="24"/>
          <w:szCs w:val="24"/>
          <w:lang w:eastAsia="es-MX"/>
        </w:rPr>
        <w:t>6.</w:t>
      </w:r>
      <w:r w:rsidRPr="00B603A3">
        <w:rPr>
          <w:rFonts w:asciiTheme="minorHAnsi" w:hAnsiTheme="minorHAnsi" w:cs="Arial"/>
          <w:noProof/>
          <w:sz w:val="24"/>
          <w:szCs w:val="24"/>
          <w:lang w:eastAsia="es-MX"/>
        </w:rPr>
        <w:t xml:space="preserve"> TMI Q00 para el CFEM y los municipios con menor % de trabajadores agrícolas</w:t>
      </w:r>
    </w:p>
    <w:tbl>
      <w:tblPr>
        <w:tblW w:w="8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79"/>
        <w:gridCol w:w="1646"/>
        <w:gridCol w:w="425"/>
        <w:gridCol w:w="426"/>
        <w:gridCol w:w="425"/>
        <w:gridCol w:w="425"/>
        <w:gridCol w:w="425"/>
        <w:gridCol w:w="426"/>
        <w:gridCol w:w="425"/>
        <w:gridCol w:w="425"/>
        <w:gridCol w:w="509"/>
        <w:gridCol w:w="509"/>
        <w:gridCol w:w="509"/>
        <w:gridCol w:w="509"/>
        <w:gridCol w:w="476"/>
        <w:gridCol w:w="476"/>
      </w:tblGrid>
      <w:tr w:rsidR="008A62FA" w:rsidRPr="00B603A3" w:rsidTr="00B603A3">
        <w:trPr>
          <w:trHeight w:val="286"/>
        </w:trPr>
        <w:tc>
          <w:tcPr>
            <w:tcW w:w="779" w:type="dxa"/>
            <w:vMerge w:val="restart"/>
            <w:tcBorders>
              <w:left w:val="nil"/>
            </w:tcBorders>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 Trab. agrícolas</w:t>
            </w:r>
          </w:p>
        </w:tc>
        <w:tc>
          <w:tcPr>
            <w:tcW w:w="1646" w:type="dxa"/>
            <w:vMerge w:val="restart"/>
            <w:shd w:val="clear" w:color="auto" w:fill="D9D9D9"/>
            <w:noWrap/>
            <w:vAlign w:val="center"/>
          </w:tcPr>
          <w:p w:rsidR="008A62FA" w:rsidRPr="00B603A3" w:rsidRDefault="008A62FA" w:rsidP="00B603A3">
            <w:pPr>
              <w:spacing w:after="0"/>
              <w:jc w:val="center"/>
              <w:rPr>
                <w:rFonts w:asciiTheme="minorHAnsi" w:eastAsia="Times New Roman" w:hAnsiTheme="minorHAnsi"/>
                <w:b/>
                <w:color w:val="000000"/>
                <w:sz w:val="12"/>
                <w:szCs w:val="12"/>
                <w:lang w:eastAsia="es-MX"/>
              </w:rPr>
            </w:pPr>
            <w:r w:rsidRPr="00B603A3">
              <w:rPr>
                <w:rFonts w:asciiTheme="minorHAnsi" w:eastAsia="Times New Roman" w:hAnsiTheme="minorHAnsi"/>
                <w:b/>
                <w:color w:val="000000"/>
                <w:sz w:val="12"/>
                <w:szCs w:val="12"/>
                <w:lang w:eastAsia="es-MX"/>
              </w:rPr>
              <w:t>MUNICIPIOS DEL CFEM</w:t>
            </w:r>
          </w:p>
        </w:tc>
        <w:tc>
          <w:tcPr>
            <w:tcW w:w="6390" w:type="dxa"/>
            <w:gridSpan w:val="14"/>
            <w:tcBorders>
              <w:right w:val="nil"/>
            </w:tcBorders>
            <w:shd w:val="clear" w:color="auto" w:fill="D9D9D9"/>
            <w:vAlign w:val="center"/>
          </w:tcPr>
          <w:p w:rsidR="008A62FA" w:rsidRPr="00B603A3" w:rsidRDefault="008A62FA" w:rsidP="00B603A3">
            <w:pPr>
              <w:spacing w:after="0"/>
              <w:jc w:val="center"/>
              <w:rPr>
                <w:rFonts w:asciiTheme="minorHAnsi" w:eastAsia="Times New Roman" w:hAnsiTheme="minorHAnsi"/>
                <w:b/>
                <w:color w:val="000000"/>
                <w:sz w:val="12"/>
                <w:szCs w:val="12"/>
                <w:lang w:eastAsia="es-MX"/>
              </w:rPr>
            </w:pPr>
            <w:r w:rsidRPr="00B603A3">
              <w:rPr>
                <w:rFonts w:asciiTheme="minorHAnsi" w:eastAsia="Times New Roman" w:hAnsiTheme="minorHAnsi"/>
                <w:b/>
                <w:color w:val="000000"/>
                <w:sz w:val="12"/>
                <w:szCs w:val="12"/>
                <w:lang w:eastAsia="es-MX"/>
              </w:rPr>
              <w:t>TMI POR AÑO PARA ANENCEFALIA (Q00-CIE-10)</w:t>
            </w:r>
          </w:p>
        </w:tc>
      </w:tr>
      <w:tr w:rsidR="008A62FA" w:rsidRPr="00B603A3" w:rsidTr="00B603A3">
        <w:trPr>
          <w:trHeight w:val="199"/>
        </w:trPr>
        <w:tc>
          <w:tcPr>
            <w:tcW w:w="779" w:type="dxa"/>
            <w:vMerge/>
            <w:tcBorders>
              <w:left w:val="nil"/>
            </w:tcBorders>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p>
        </w:tc>
        <w:tc>
          <w:tcPr>
            <w:tcW w:w="1646" w:type="dxa"/>
            <w:vMerge/>
            <w:shd w:val="clear" w:color="auto" w:fill="D9D9D9"/>
            <w:noWrap/>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1998</w:t>
            </w:r>
          </w:p>
        </w:tc>
        <w:tc>
          <w:tcPr>
            <w:tcW w:w="426"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1999</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2000</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2001</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2002</w:t>
            </w:r>
          </w:p>
        </w:tc>
        <w:tc>
          <w:tcPr>
            <w:tcW w:w="426"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2003</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2004</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2005</w:t>
            </w:r>
          </w:p>
        </w:tc>
        <w:tc>
          <w:tcPr>
            <w:tcW w:w="509"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2006</w:t>
            </w:r>
          </w:p>
        </w:tc>
        <w:tc>
          <w:tcPr>
            <w:tcW w:w="509"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2007</w:t>
            </w:r>
          </w:p>
        </w:tc>
        <w:tc>
          <w:tcPr>
            <w:tcW w:w="509"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2008</w:t>
            </w:r>
          </w:p>
        </w:tc>
        <w:tc>
          <w:tcPr>
            <w:tcW w:w="509"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2009</w:t>
            </w:r>
          </w:p>
        </w:tc>
        <w:tc>
          <w:tcPr>
            <w:tcW w:w="476"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2010</w:t>
            </w:r>
          </w:p>
        </w:tc>
        <w:tc>
          <w:tcPr>
            <w:tcW w:w="476" w:type="dxa"/>
            <w:tcBorders>
              <w:right w:val="nil"/>
            </w:tcBorders>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2012</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39.34</w:t>
            </w:r>
          </w:p>
        </w:tc>
        <w:tc>
          <w:tcPr>
            <w:tcW w:w="1646" w:type="dxa"/>
            <w:shd w:val="clear" w:color="auto" w:fill="auto"/>
            <w:vAlign w:val="bottom"/>
          </w:tcPr>
          <w:p w:rsidR="008A62FA" w:rsidRPr="00B603A3" w:rsidRDefault="008A62FA" w:rsidP="00B603A3">
            <w:pPr>
              <w:spacing w:after="0"/>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Almoloya de Alquisiras</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45.43</w:t>
            </w:r>
          </w:p>
        </w:tc>
        <w:tc>
          <w:tcPr>
            <w:tcW w:w="1646" w:type="dxa"/>
            <w:shd w:val="clear" w:color="auto" w:fill="auto"/>
            <w:vAlign w:val="bottom"/>
          </w:tcPr>
          <w:p w:rsidR="008A62FA" w:rsidRPr="00B603A3" w:rsidRDefault="008A62FA" w:rsidP="00B603A3">
            <w:pPr>
              <w:spacing w:after="0"/>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Coatepec Harinas</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17.79</w:t>
            </w:r>
          </w:p>
        </w:tc>
        <w:tc>
          <w:tcPr>
            <w:tcW w:w="1646" w:type="dxa"/>
            <w:shd w:val="clear" w:color="auto" w:fill="auto"/>
            <w:vAlign w:val="bottom"/>
          </w:tcPr>
          <w:p w:rsidR="008A62FA" w:rsidRPr="00B603A3" w:rsidRDefault="008A62FA" w:rsidP="00B603A3">
            <w:pPr>
              <w:spacing w:after="0"/>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Ixtapan de la Sal</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1.1</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1.2</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1.2</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29.62</w:t>
            </w:r>
          </w:p>
        </w:tc>
        <w:tc>
          <w:tcPr>
            <w:tcW w:w="1646" w:type="dxa"/>
            <w:shd w:val="clear" w:color="auto" w:fill="auto"/>
            <w:vAlign w:val="bottom"/>
          </w:tcPr>
          <w:p w:rsidR="008A62FA" w:rsidRPr="00B603A3" w:rsidRDefault="008A62FA" w:rsidP="00B603A3">
            <w:pPr>
              <w:spacing w:after="0"/>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Malinalco</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1.5</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27.02</w:t>
            </w:r>
          </w:p>
        </w:tc>
        <w:tc>
          <w:tcPr>
            <w:tcW w:w="1646" w:type="dxa"/>
            <w:shd w:val="clear" w:color="auto" w:fill="auto"/>
            <w:vAlign w:val="bottom"/>
          </w:tcPr>
          <w:p w:rsidR="008A62FA" w:rsidRPr="00B603A3" w:rsidRDefault="008A62FA" w:rsidP="00B603A3">
            <w:pPr>
              <w:spacing w:after="0"/>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Tenancingo</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0.5</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0.4</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26.50</w:t>
            </w:r>
          </w:p>
        </w:tc>
        <w:tc>
          <w:tcPr>
            <w:tcW w:w="1646" w:type="dxa"/>
            <w:shd w:val="clear" w:color="auto" w:fill="auto"/>
            <w:vAlign w:val="bottom"/>
          </w:tcPr>
          <w:p w:rsidR="008A62FA" w:rsidRPr="00B603A3" w:rsidRDefault="008A62FA" w:rsidP="00B603A3">
            <w:pPr>
              <w:spacing w:after="0"/>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Tonatico</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4.4</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35.97</w:t>
            </w:r>
          </w:p>
        </w:tc>
        <w:tc>
          <w:tcPr>
            <w:tcW w:w="1646" w:type="dxa"/>
            <w:shd w:val="clear" w:color="auto" w:fill="auto"/>
            <w:vAlign w:val="bottom"/>
          </w:tcPr>
          <w:p w:rsidR="008A62FA" w:rsidRPr="00B603A3" w:rsidRDefault="008A62FA" w:rsidP="00B603A3">
            <w:pPr>
              <w:spacing w:after="0"/>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Villa Guerrero</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0.6</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55.79</w:t>
            </w:r>
          </w:p>
        </w:tc>
        <w:tc>
          <w:tcPr>
            <w:tcW w:w="1646" w:type="dxa"/>
            <w:shd w:val="clear" w:color="auto" w:fill="auto"/>
            <w:vAlign w:val="bottom"/>
          </w:tcPr>
          <w:p w:rsidR="008A62FA" w:rsidRPr="00B603A3" w:rsidRDefault="008A62FA" w:rsidP="00B603A3">
            <w:pPr>
              <w:spacing w:after="0"/>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Zumpahuacán</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2.2</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231"/>
        </w:trPr>
        <w:tc>
          <w:tcPr>
            <w:tcW w:w="779" w:type="dxa"/>
            <w:vMerge w:val="restart"/>
            <w:tcBorders>
              <w:left w:val="nil"/>
            </w:tcBorders>
            <w:shd w:val="clear" w:color="auto" w:fill="D9D9D9"/>
            <w:vAlign w:val="center"/>
          </w:tcPr>
          <w:p w:rsidR="008A62FA" w:rsidRPr="00B603A3" w:rsidRDefault="008A62FA" w:rsidP="00B603A3">
            <w:pPr>
              <w:spacing w:after="0"/>
              <w:jc w:val="center"/>
              <w:rPr>
                <w:rFonts w:asciiTheme="minorHAnsi" w:eastAsia="Times New Roman" w:hAnsiTheme="minorHAnsi" w:cs="Arial"/>
                <w:color w:val="000000"/>
                <w:sz w:val="12"/>
                <w:szCs w:val="12"/>
                <w:lang w:eastAsia="es-MX"/>
              </w:rPr>
            </w:pPr>
            <w:r w:rsidRPr="00B603A3">
              <w:rPr>
                <w:rFonts w:asciiTheme="minorHAnsi" w:eastAsia="Times New Roman" w:hAnsiTheme="minorHAnsi"/>
                <w:color w:val="000000"/>
                <w:sz w:val="12"/>
                <w:szCs w:val="12"/>
                <w:lang w:eastAsia="es-MX"/>
              </w:rPr>
              <w:t>% Trab. agrícolas</w:t>
            </w:r>
          </w:p>
        </w:tc>
        <w:tc>
          <w:tcPr>
            <w:tcW w:w="1646" w:type="dxa"/>
            <w:vMerge w:val="restart"/>
            <w:shd w:val="clear" w:color="auto" w:fill="D9D9D9"/>
            <w:vAlign w:val="center"/>
          </w:tcPr>
          <w:p w:rsidR="008A62FA" w:rsidRPr="00B603A3" w:rsidRDefault="008A62FA" w:rsidP="00B603A3">
            <w:pPr>
              <w:spacing w:after="0"/>
              <w:jc w:val="center"/>
              <w:rPr>
                <w:rFonts w:asciiTheme="minorHAnsi" w:eastAsia="Times New Roman" w:hAnsiTheme="minorHAnsi"/>
                <w:b/>
                <w:color w:val="000000"/>
                <w:sz w:val="12"/>
                <w:szCs w:val="12"/>
                <w:lang w:eastAsia="es-MX"/>
              </w:rPr>
            </w:pPr>
            <w:r w:rsidRPr="00B603A3">
              <w:rPr>
                <w:rFonts w:asciiTheme="minorHAnsi" w:eastAsia="Times New Roman" w:hAnsiTheme="minorHAnsi"/>
                <w:b/>
                <w:color w:val="000000"/>
                <w:sz w:val="12"/>
                <w:szCs w:val="12"/>
                <w:lang w:eastAsia="es-MX"/>
              </w:rPr>
              <w:t>MUNICIPIOS CON MENOR ACTIVIDAD AGRÍCOLA</w:t>
            </w:r>
          </w:p>
        </w:tc>
        <w:tc>
          <w:tcPr>
            <w:tcW w:w="6390" w:type="dxa"/>
            <w:gridSpan w:val="14"/>
            <w:tcBorders>
              <w:right w:val="nil"/>
            </w:tcBorders>
            <w:shd w:val="clear" w:color="auto" w:fill="D9D9D9"/>
            <w:vAlign w:val="center"/>
          </w:tcPr>
          <w:p w:rsidR="008A62FA" w:rsidRPr="00B603A3" w:rsidRDefault="008A62FA" w:rsidP="00B603A3">
            <w:pPr>
              <w:spacing w:after="0"/>
              <w:jc w:val="center"/>
              <w:rPr>
                <w:rFonts w:asciiTheme="minorHAnsi" w:eastAsia="Times New Roman" w:hAnsiTheme="minorHAnsi"/>
                <w:b/>
                <w:color w:val="000000"/>
                <w:sz w:val="12"/>
                <w:szCs w:val="12"/>
                <w:lang w:eastAsia="es-MX"/>
              </w:rPr>
            </w:pPr>
            <w:r w:rsidRPr="00B603A3">
              <w:rPr>
                <w:rFonts w:asciiTheme="minorHAnsi" w:eastAsia="Times New Roman" w:hAnsiTheme="minorHAnsi"/>
                <w:b/>
                <w:color w:val="000000"/>
                <w:sz w:val="12"/>
                <w:szCs w:val="12"/>
                <w:lang w:eastAsia="es-MX"/>
              </w:rPr>
              <w:t>TMI POR AÑO PARA ANENCEFALIA (Q00-CIE-10)</w:t>
            </w:r>
          </w:p>
        </w:tc>
      </w:tr>
      <w:tr w:rsidR="008A62FA" w:rsidRPr="00B603A3" w:rsidTr="00B603A3">
        <w:trPr>
          <w:trHeight w:val="199"/>
        </w:trPr>
        <w:tc>
          <w:tcPr>
            <w:tcW w:w="779" w:type="dxa"/>
            <w:vMerge/>
            <w:tcBorders>
              <w:left w:val="nil"/>
            </w:tcBorders>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p>
        </w:tc>
        <w:tc>
          <w:tcPr>
            <w:tcW w:w="1646" w:type="dxa"/>
            <w:vMerge/>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1998</w:t>
            </w:r>
          </w:p>
        </w:tc>
        <w:tc>
          <w:tcPr>
            <w:tcW w:w="426"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1999</w:t>
            </w:r>
          </w:p>
        </w:tc>
        <w:tc>
          <w:tcPr>
            <w:tcW w:w="425" w:type="dxa"/>
            <w:shd w:val="clear" w:color="auto" w:fill="D9D9D9"/>
            <w:vAlign w:val="center"/>
          </w:tcPr>
          <w:p w:rsidR="008A62FA" w:rsidRPr="00B603A3" w:rsidRDefault="008A62FA" w:rsidP="00B603A3">
            <w:pPr>
              <w:spacing w:after="0"/>
              <w:ind w:right="-29"/>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2000</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2001</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2002</w:t>
            </w:r>
          </w:p>
        </w:tc>
        <w:tc>
          <w:tcPr>
            <w:tcW w:w="426"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2003</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2004</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2005</w:t>
            </w:r>
          </w:p>
        </w:tc>
        <w:tc>
          <w:tcPr>
            <w:tcW w:w="509"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2006</w:t>
            </w:r>
          </w:p>
        </w:tc>
        <w:tc>
          <w:tcPr>
            <w:tcW w:w="509"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2007</w:t>
            </w:r>
          </w:p>
        </w:tc>
        <w:tc>
          <w:tcPr>
            <w:tcW w:w="509"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2008</w:t>
            </w:r>
          </w:p>
        </w:tc>
        <w:tc>
          <w:tcPr>
            <w:tcW w:w="509"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2009</w:t>
            </w:r>
          </w:p>
        </w:tc>
        <w:tc>
          <w:tcPr>
            <w:tcW w:w="476"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2010</w:t>
            </w:r>
          </w:p>
        </w:tc>
        <w:tc>
          <w:tcPr>
            <w:tcW w:w="476" w:type="dxa"/>
            <w:tcBorders>
              <w:right w:val="nil"/>
            </w:tcBorders>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2012</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0.14</w:t>
            </w:r>
          </w:p>
        </w:tc>
        <w:tc>
          <w:tcPr>
            <w:tcW w:w="1646" w:type="dxa"/>
            <w:shd w:val="clear" w:color="auto" w:fill="auto"/>
            <w:vAlign w:val="center"/>
          </w:tcPr>
          <w:p w:rsidR="008A62FA" w:rsidRPr="00B603A3" w:rsidRDefault="008A62FA" w:rsidP="00B603A3">
            <w:pPr>
              <w:spacing w:after="0"/>
              <w:rPr>
                <w:rFonts w:asciiTheme="minorHAnsi" w:eastAsia="Times New Roman" w:hAnsiTheme="minorHAnsi" w:cs="Arial"/>
                <w:color w:val="000000"/>
                <w:sz w:val="12"/>
                <w:szCs w:val="12"/>
                <w:lang w:eastAsia="es-MX"/>
              </w:rPr>
            </w:pPr>
            <w:r w:rsidRPr="00B603A3">
              <w:rPr>
                <w:rFonts w:asciiTheme="minorHAnsi" w:eastAsia="Times New Roman" w:hAnsiTheme="minorHAnsi" w:cs="Arial"/>
                <w:color w:val="000000"/>
                <w:sz w:val="12"/>
                <w:szCs w:val="12"/>
                <w:lang w:eastAsia="es-MX"/>
              </w:rPr>
              <w:t>Atizapán de Zaragoza</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0.4</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0.4</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0.4</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0.14</w:t>
            </w:r>
          </w:p>
        </w:tc>
        <w:tc>
          <w:tcPr>
            <w:tcW w:w="1646" w:type="dxa"/>
            <w:shd w:val="clear" w:color="auto" w:fill="auto"/>
            <w:vAlign w:val="center"/>
          </w:tcPr>
          <w:p w:rsidR="008A62FA" w:rsidRPr="00B603A3" w:rsidRDefault="008A62FA" w:rsidP="00B603A3">
            <w:pPr>
              <w:spacing w:after="0"/>
              <w:rPr>
                <w:rFonts w:asciiTheme="minorHAnsi" w:eastAsia="Times New Roman" w:hAnsiTheme="minorHAnsi" w:cs="Arial"/>
                <w:color w:val="000000"/>
                <w:sz w:val="12"/>
                <w:szCs w:val="12"/>
                <w:lang w:eastAsia="es-MX"/>
              </w:rPr>
            </w:pPr>
            <w:r w:rsidRPr="00B603A3">
              <w:rPr>
                <w:rFonts w:asciiTheme="minorHAnsi" w:eastAsia="Times New Roman" w:hAnsiTheme="minorHAnsi" w:cs="Arial"/>
                <w:color w:val="000000"/>
                <w:sz w:val="12"/>
                <w:szCs w:val="12"/>
                <w:lang w:eastAsia="es-MX"/>
              </w:rPr>
              <w:t>Coacalco de Berriozábal</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0.35</w:t>
            </w:r>
          </w:p>
        </w:tc>
        <w:tc>
          <w:tcPr>
            <w:tcW w:w="1646" w:type="dxa"/>
            <w:shd w:val="clear" w:color="auto" w:fill="auto"/>
            <w:vAlign w:val="center"/>
          </w:tcPr>
          <w:p w:rsidR="008A62FA" w:rsidRPr="00B603A3" w:rsidRDefault="008A62FA" w:rsidP="00B603A3">
            <w:pPr>
              <w:spacing w:after="0"/>
              <w:rPr>
                <w:rFonts w:asciiTheme="minorHAnsi" w:eastAsia="Times New Roman" w:hAnsiTheme="minorHAnsi" w:cs="Arial"/>
                <w:color w:val="000000"/>
                <w:sz w:val="12"/>
                <w:szCs w:val="12"/>
                <w:lang w:eastAsia="es-MX"/>
              </w:rPr>
            </w:pPr>
            <w:r w:rsidRPr="00B603A3">
              <w:rPr>
                <w:rFonts w:asciiTheme="minorHAnsi" w:eastAsia="Times New Roman" w:hAnsiTheme="minorHAnsi" w:cs="Arial"/>
                <w:color w:val="000000"/>
                <w:sz w:val="12"/>
                <w:szCs w:val="12"/>
                <w:lang w:eastAsia="es-MX"/>
              </w:rPr>
              <w:t>Chicoloapan</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0.4</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0.3</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0.4</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0.32</w:t>
            </w:r>
          </w:p>
        </w:tc>
        <w:tc>
          <w:tcPr>
            <w:tcW w:w="1646" w:type="dxa"/>
            <w:shd w:val="clear" w:color="auto" w:fill="auto"/>
            <w:vAlign w:val="center"/>
          </w:tcPr>
          <w:p w:rsidR="008A62FA" w:rsidRPr="00B603A3" w:rsidRDefault="008A62FA" w:rsidP="00B603A3">
            <w:pPr>
              <w:spacing w:after="0"/>
              <w:rPr>
                <w:rFonts w:asciiTheme="minorHAnsi" w:eastAsia="Times New Roman" w:hAnsiTheme="minorHAnsi" w:cs="Arial"/>
                <w:color w:val="000000"/>
                <w:sz w:val="12"/>
                <w:szCs w:val="12"/>
                <w:lang w:eastAsia="es-MX"/>
              </w:rPr>
            </w:pPr>
            <w:r w:rsidRPr="00B603A3">
              <w:rPr>
                <w:rFonts w:asciiTheme="minorHAnsi" w:eastAsia="Times New Roman" w:hAnsiTheme="minorHAnsi" w:cs="Arial"/>
                <w:color w:val="000000"/>
                <w:sz w:val="12"/>
                <w:szCs w:val="12"/>
                <w:lang w:eastAsia="es-MX"/>
              </w:rPr>
              <w:t>Chimalhuacán</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0.5</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0.11</w:t>
            </w:r>
          </w:p>
        </w:tc>
        <w:tc>
          <w:tcPr>
            <w:tcW w:w="1646" w:type="dxa"/>
            <w:shd w:val="clear" w:color="auto" w:fill="auto"/>
            <w:vAlign w:val="center"/>
          </w:tcPr>
          <w:p w:rsidR="008A62FA" w:rsidRPr="00B603A3" w:rsidRDefault="008A62FA" w:rsidP="00B603A3">
            <w:pPr>
              <w:spacing w:after="0"/>
              <w:rPr>
                <w:rFonts w:asciiTheme="minorHAnsi" w:eastAsia="Times New Roman" w:hAnsiTheme="minorHAnsi" w:cs="Arial"/>
                <w:color w:val="000000"/>
                <w:sz w:val="12"/>
                <w:szCs w:val="12"/>
                <w:lang w:eastAsia="es-MX"/>
              </w:rPr>
            </w:pPr>
            <w:r w:rsidRPr="00B603A3">
              <w:rPr>
                <w:rFonts w:asciiTheme="minorHAnsi" w:eastAsia="Times New Roman" w:hAnsiTheme="minorHAnsi" w:cs="Arial"/>
                <w:color w:val="000000"/>
                <w:sz w:val="12"/>
                <w:szCs w:val="12"/>
                <w:lang w:eastAsia="es-MX"/>
              </w:rPr>
              <w:t>Ecatepec de Morelos</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0.3</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0.12</w:t>
            </w:r>
          </w:p>
        </w:tc>
        <w:tc>
          <w:tcPr>
            <w:tcW w:w="1646" w:type="dxa"/>
            <w:shd w:val="clear" w:color="auto" w:fill="auto"/>
            <w:vAlign w:val="center"/>
          </w:tcPr>
          <w:p w:rsidR="008A62FA" w:rsidRPr="00B603A3" w:rsidRDefault="008A62FA" w:rsidP="00B603A3">
            <w:pPr>
              <w:spacing w:after="0"/>
              <w:rPr>
                <w:rFonts w:asciiTheme="minorHAnsi" w:eastAsia="Times New Roman" w:hAnsiTheme="minorHAnsi" w:cs="Arial"/>
                <w:color w:val="000000"/>
                <w:sz w:val="12"/>
                <w:szCs w:val="12"/>
                <w:lang w:eastAsia="es-MX"/>
              </w:rPr>
            </w:pPr>
            <w:r w:rsidRPr="00B603A3">
              <w:rPr>
                <w:rFonts w:asciiTheme="minorHAnsi" w:eastAsia="Times New Roman" w:hAnsiTheme="minorHAnsi" w:cs="Arial"/>
                <w:color w:val="000000"/>
                <w:sz w:val="12"/>
                <w:szCs w:val="12"/>
                <w:lang w:eastAsia="es-MX"/>
              </w:rPr>
              <w:t>La Paz</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0.3</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0.34</w:t>
            </w:r>
          </w:p>
        </w:tc>
        <w:tc>
          <w:tcPr>
            <w:tcW w:w="1646" w:type="dxa"/>
            <w:shd w:val="clear" w:color="auto" w:fill="auto"/>
            <w:vAlign w:val="center"/>
          </w:tcPr>
          <w:p w:rsidR="008A62FA" w:rsidRPr="00B603A3" w:rsidRDefault="008A62FA" w:rsidP="00B603A3">
            <w:pPr>
              <w:spacing w:after="0"/>
              <w:rPr>
                <w:rFonts w:asciiTheme="minorHAnsi" w:eastAsia="Times New Roman" w:hAnsiTheme="minorHAnsi" w:cs="Arial"/>
                <w:color w:val="000000"/>
                <w:sz w:val="12"/>
                <w:szCs w:val="12"/>
                <w:lang w:eastAsia="es-MX"/>
              </w:rPr>
            </w:pPr>
            <w:r w:rsidRPr="00B603A3">
              <w:rPr>
                <w:rFonts w:asciiTheme="minorHAnsi" w:eastAsia="Times New Roman" w:hAnsiTheme="minorHAnsi" w:cs="Arial"/>
                <w:color w:val="000000"/>
                <w:sz w:val="12"/>
                <w:szCs w:val="12"/>
                <w:lang w:eastAsia="es-MX"/>
              </w:rPr>
              <w:t>Cuautitlán Izcalli</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0.3</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0.3</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0.25</w:t>
            </w:r>
          </w:p>
        </w:tc>
        <w:tc>
          <w:tcPr>
            <w:tcW w:w="1646" w:type="dxa"/>
            <w:shd w:val="clear" w:color="auto" w:fill="auto"/>
            <w:vAlign w:val="center"/>
          </w:tcPr>
          <w:p w:rsidR="008A62FA" w:rsidRPr="00B603A3" w:rsidRDefault="008A62FA" w:rsidP="00B603A3">
            <w:pPr>
              <w:spacing w:after="0"/>
              <w:ind w:right="-125"/>
              <w:rPr>
                <w:rFonts w:asciiTheme="minorHAnsi" w:eastAsia="Times New Roman" w:hAnsiTheme="minorHAnsi" w:cs="Arial"/>
                <w:color w:val="000000"/>
                <w:sz w:val="12"/>
                <w:szCs w:val="12"/>
                <w:lang w:eastAsia="es-MX"/>
              </w:rPr>
            </w:pPr>
            <w:r w:rsidRPr="00B603A3">
              <w:rPr>
                <w:rFonts w:asciiTheme="minorHAnsi" w:eastAsia="Times New Roman" w:hAnsiTheme="minorHAnsi" w:cs="Arial"/>
                <w:color w:val="000000"/>
                <w:sz w:val="12"/>
                <w:szCs w:val="12"/>
                <w:lang w:eastAsia="es-MX"/>
              </w:rPr>
              <w:t>Valle de Chalco Solidaridad</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0.5</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0.3</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0.3</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0.3</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0.3</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r>
    </w:tbl>
    <w:p w:rsidR="008A62FA" w:rsidRPr="00082A33" w:rsidRDefault="008A62FA" w:rsidP="00B603A3">
      <w:pPr>
        <w:pStyle w:val="Sinespaciado"/>
        <w:spacing w:line="276" w:lineRule="auto"/>
        <w:jc w:val="center"/>
        <w:rPr>
          <w:rFonts w:asciiTheme="minorHAnsi" w:hAnsiTheme="minorHAnsi" w:cs="Arial"/>
          <w:sz w:val="20"/>
          <w:szCs w:val="20"/>
        </w:rPr>
      </w:pPr>
      <w:r w:rsidRPr="00082A33">
        <w:rPr>
          <w:rFonts w:asciiTheme="minorHAnsi" w:hAnsiTheme="minorHAnsi" w:cs="Arial"/>
          <w:sz w:val="20"/>
          <w:szCs w:val="20"/>
        </w:rPr>
        <w:t>Fuente: elaboración propia con datos del SINAIS, 2012; INEGI, 2013</w:t>
      </w:r>
    </w:p>
    <w:p w:rsidR="008A62FA" w:rsidRPr="00082A33" w:rsidRDefault="008A62FA" w:rsidP="00B603A3">
      <w:pPr>
        <w:pStyle w:val="Sinespaciado"/>
        <w:spacing w:line="276" w:lineRule="auto"/>
        <w:jc w:val="center"/>
        <w:rPr>
          <w:rFonts w:asciiTheme="minorHAnsi" w:hAnsiTheme="minorHAnsi" w:cs="Arial"/>
          <w:sz w:val="20"/>
          <w:szCs w:val="20"/>
        </w:rPr>
      </w:pPr>
      <w:r w:rsidRPr="00082A33">
        <w:rPr>
          <w:rFonts w:asciiTheme="minorHAnsi" w:hAnsiTheme="minorHAnsi" w:cs="Arial"/>
          <w:sz w:val="20"/>
          <w:szCs w:val="20"/>
        </w:rPr>
        <w:t xml:space="preserve">No hay TMF para 2011, por falta de datos de Nacimientos. Las TMF calculadas por 1000 habitantes. </w:t>
      </w:r>
    </w:p>
    <w:p w:rsidR="008A62FA" w:rsidRPr="00B603A3" w:rsidRDefault="008A62FA" w:rsidP="00B603A3">
      <w:pPr>
        <w:pStyle w:val="Sinespaciado"/>
        <w:spacing w:line="276" w:lineRule="auto"/>
        <w:jc w:val="center"/>
        <w:rPr>
          <w:rFonts w:asciiTheme="minorHAnsi" w:hAnsiTheme="minorHAnsi" w:cs="Arial"/>
          <w:noProof/>
          <w:lang w:eastAsia="es-MX"/>
        </w:rPr>
      </w:pPr>
    </w:p>
    <w:p w:rsidR="008A62FA" w:rsidRPr="00B603A3" w:rsidRDefault="008A62FA" w:rsidP="00B603A3">
      <w:pPr>
        <w:pStyle w:val="Sinespaciado"/>
        <w:spacing w:line="276" w:lineRule="auto"/>
        <w:jc w:val="both"/>
        <w:rPr>
          <w:rFonts w:asciiTheme="minorHAnsi" w:hAnsiTheme="minorHAnsi" w:cs="Arial"/>
        </w:rPr>
      </w:pPr>
    </w:p>
    <w:p w:rsidR="008A62FA" w:rsidRPr="00B603A3" w:rsidRDefault="008A62FA" w:rsidP="00B603A3">
      <w:pPr>
        <w:pStyle w:val="Sinespaciado"/>
        <w:spacing w:line="276" w:lineRule="auto"/>
        <w:jc w:val="center"/>
        <w:rPr>
          <w:rFonts w:asciiTheme="minorHAnsi" w:hAnsiTheme="minorHAnsi" w:cs="Arial"/>
        </w:rPr>
      </w:pPr>
      <w:r w:rsidRPr="00B603A3">
        <w:rPr>
          <w:rFonts w:asciiTheme="minorHAnsi" w:hAnsiTheme="minorHAnsi" w:cs="Arial"/>
          <w:noProof/>
          <w:lang w:eastAsia="es-MX"/>
        </w:rPr>
        <w:drawing>
          <wp:inline distT="0" distB="0" distL="0" distR="0">
            <wp:extent cx="5847715" cy="1892300"/>
            <wp:effectExtent l="0" t="0" r="63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847715" cy="1892300"/>
                    </a:xfrm>
                    <a:prstGeom prst="rect">
                      <a:avLst/>
                    </a:prstGeom>
                    <a:noFill/>
                    <a:ln>
                      <a:noFill/>
                    </a:ln>
                  </pic:spPr>
                </pic:pic>
              </a:graphicData>
            </a:graphic>
          </wp:inline>
        </w:drawing>
      </w:r>
    </w:p>
    <w:p w:rsidR="008A62FA" w:rsidRPr="00082A33" w:rsidRDefault="008A62FA" w:rsidP="00B603A3">
      <w:pPr>
        <w:pStyle w:val="Sinespaciado"/>
        <w:spacing w:line="276" w:lineRule="auto"/>
        <w:jc w:val="center"/>
        <w:rPr>
          <w:rFonts w:asciiTheme="minorHAnsi" w:hAnsiTheme="minorHAnsi" w:cs="Arial"/>
          <w:sz w:val="24"/>
          <w:szCs w:val="24"/>
        </w:rPr>
      </w:pPr>
      <w:r w:rsidRPr="00082A33">
        <w:rPr>
          <w:rFonts w:asciiTheme="minorHAnsi" w:hAnsiTheme="minorHAnsi" w:cs="Arial"/>
          <w:sz w:val="24"/>
          <w:szCs w:val="24"/>
        </w:rPr>
        <w:t xml:space="preserve">Figura </w:t>
      </w:r>
      <w:r w:rsidR="00082A33">
        <w:rPr>
          <w:rFonts w:asciiTheme="minorHAnsi" w:hAnsiTheme="minorHAnsi" w:cs="Arial"/>
          <w:sz w:val="24"/>
          <w:szCs w:val="24"/>
        </w:rPr>
        <w:t>1</w:t>
      </w:r>
      <w:r w:rsidRPr="00082A33">
        <w:rPr>
          <w:rFonts w:asciiTheme="minorHAnsi" w:hAnsiTheme="minorHAnsi" w:cs="Arial"/>
          <w:sz w:val="24"/>
          <w:szCs w:val="24"/>
        </w:rPr>
        <w:t>7: TMI por anencefalia, Elaboración propia con datos del SINAIS, 2014.</w:t>
      </w:r>
    </w:p>
    <w:p w:rsidR="008A62FA" w:rsidRPr="00082A33" w:rsidRDefault="008A62FA" w:rsidP="00B603A3">
      <w:pPr>
        <w:pStyle w:val="Sinespaciado"/>
        <w:spacing w:line="276" w:lineRule="auto"/>
        <w:jc w:val="center"/>
        <w:rPr>
          <w:rFonts w:asciiTheme="minorHAnsi" w:hAnsiTheme="minorHAnsi" w:cs="Arial"/>
          <w:sz w:val="24"/>
          <w:szCs w:val="24"/>
        </w:rPr>
      </w:pPr>
      <w:r w:rsidRPr="00082A33">
        <w:rPr>
          <w:rFonts w:asciiTheme="minorHAnsi" w:hAnsiTheme="minorHAnsi" w:cs="Arial"/>
          <w:sz w:val="24"/>
          <w:szCs w:val="24"/>
        </w:rPr>
        <w:t>Fuente: Elaboración propia con datos del SINAIS, 2014</w:t>
      </w:r>
    </w:p>
    <w:p w:rsidR="008A62FA" w:rsidRPr="00B603A3" w:rsidRDefault="008A62FA" w:rsidP="00B603A3">
      <w:pPr>
        <w:pStyle w:val="Sinespaciado"/>
        <w:spacing w:line="276" w:lineRule="auto"/>
        <w:jc w:val="center"/>
        <w:rPr>
          <w:rFonts w:asciiTheme="minorHAnsi" w:hAnsiTheme="minorHAnsi" w:cs="Arial"/>
          <w:noProof/>
          <w:sz w:val="24"/>
          <w:szCs w:val="24"/>
          <w:lang w:eastAsia="es-MX"/>
        </w:rPr>
      </w:pP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Por otra parte para la Espina bífida, la Tabla </w:t>
      </w:r>
      <w:r w:rsidR="00082A33">
        <w:rPr>
          <w:rFonts w:asciiTheme="minorHAnsi" w:hAnsiTheme="minorHAnsi" w:cs="Arial"/>
          <w:noProof/>
          <w:sz w:val="24"/>
          <w:szCs w:val="24"/>
          <w:lang w:eastAsia="es-MX"/>
        </w:rPr>
        <w:t>7</w:t>
      </w:r>
      <w:r w:rsidRPr="00B603A3">
        <w:rPr>
          <w:rFonts w:asciiTheme="minorHAnsi" w:hAnsiTheme="minorHAnsi" w:cs="Arial"/>
          <w:noProof/>
          <w:sz w:val="24"/>
          <w:szCs w:val="24"/>
          <w:lang w:eastAsia="es-MX"/>
        </w:rPr>
        <w:t xml:space="preserve"> </w:t>
      </w:r>
      <w:r w:rsidR="00F34F34">
        <w:rPr>
          <w:rFonts w:asciiTheme="minorHAnsi" w:hAnsiTheme="minorHAnsi" w:cs="Arial"/>
          <w:noProof/>
          <w:sz w:val="24"/>
          <w:szCs w:val="24"/>
          <w:lang w:eastAsia="es-MX"/>
        </w:rPr>
        <w:t xml:space="preserve">y figura 18, </w:t>
      </w:r>
      <w:r w:rsidRPr="00B603A3">
        <w:rPr>
          <w:rFonts w:asciiTheme="minorHAnsi" w:hAnsiTheme="minorHAnsi" w:cs="Arial"/>
          <w:noProof/>
          <w:sz w:val="24"/>
          <w:szCs w:val="24"/>
          <w:lang w:eastAsia="es-MX"/>
        </w:rPr>
        <w:t>contiene las TMI. Para el caso de los municipios en los que hay menor porcentaje de población ocupada en la agricultura, los valores de las tasas siempre están por debajo de uno por cada 1000 habintantes, contrario a los valores del CFEM, en su mayoría superiores a uno por cada 1000 habitantes; y donde Villa Guerrero, Tenancingo y Coatepec Harinas ocupan los primeros lugares en riesgo de morir.</w:t>
      </w:r>
    </w:p>
    <w:p w:rsidR="008A62FA" w:rsidRPr="00B603A3" w:rsidRDefault="008A62FA" w:rsidP="00B603A3">
      <w:pPr>
        <w:pStyle w:val="Sinespaciado"/>
        <w:spacing w:line="276" w:lineRule="auto"/>
        <w:jc w:val="center"/>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Tabla </w:t>
      </w:r>
      <w:r w:rsidR="00082A33">
        <w:rPr>
          <w:rFonts w:asciiTheme="minorHAnsi" w:hAnsiTheme="minorHAnsi" w:cs="Arial"/>
          <w:noProof/>
          <w:sz w:val="24"/>
          <w:szCs w:val="24"/>
          <w:lang w:eastAsia="es-MX"/>
        </w:rPr>
        <w:t>7.</w:t>
      </w:r>
      <w:r w:rsidRPr="00B603A3">
        <w:rPr>
          <w:rFonts w:asciiTheme="minorHAnsi" w:hAnsiTheme="minorHAnsi" w:cs="Arial"/>
          <w:noProof/>
          <w:sz w:val="24"/>
          <w:szCs w:val="24"/>
          <w:lang w:eastAsia="es-MX"/>
        </w:rPr>
        <w:t xml:space="preserve"> TMI Q05 para el CFEM y los municipios con menor % de trabajadores agrícolas </w:t>
      </w:r>
    </w:p>
    <w:tbl>
      <w:tblPr>
        <w:tblW w:w="8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79"/>
        <w:gridCol w:w="1646"/>
        <w:gridCol w:w="425"/>
        <w:gridCol w:w="426"/>
        <w:gridCol w:w="425"/>
        <w:gridCol w:w="425"/>
        <w:gridCol w:w="425"/>
        <w:gridCol w:w="426"/>
        <w:gridCol w:w="425"/>
        <w:gridCol w:w="425"/>
        <w:gridCol w:w="509"/>
        <w:gridCol w:w="509"/>
        <w:gridCol w:w="509"/>
        <w:gridCol w:w="509"/>
        <w:gridCol w:w="476"/>
        <w:gridCol w:w="476"/>
      </w:tblGrid>
      <w:tr w:rsidR="008A62FA" w:rsidRPr="00B603A3" w:rsidTr="00B603A3">
        <w:trPr>
          <w:trHeight w:val="286"/>
        </w:trPr>
        <w:tc>
          <w:tcPr>
            <w:tcW w:w="779" w:type="dxa"/>
            <w:vMerge w:val="restart"/>
            <w:tcBorders>
              <w:left w:val="nil"/>
            </w:tcBorders>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 Trab. agrícolas</w:t>
            </w:r>
          </w:p>
        </w:tc>
        <w:tc>
          <w:tcPr>
            <w:tcW w:w="1646" w:type="dxa"/>
            <w:vMerge w:val="restart"/>
            <w:shd w:val="clear" w:color="auto" w:fill="D9D9D9"/>
            <w:noWrap/>
            <w:vAlign w:val="center"/>
          </w:tcPr>
          <w:p w:rsidR="008A62FA" w:rsidRPr="00B603A3" w:rsidRDefault="008A62FA" w:rsidP="00B603A3">
            <w:pPr>
              <w:spacing w:after="0"/>
              <w:jc w:val="center"/>
              <w:rPr>
                <w:rFonts w:asciiTheme="minorHAnsi" w:eastAsia="Times New Roman" w:hAnsiTheme="minorHAnsi"/>
                <w:b/>
                <w:color w:val="000000"/>
                <w:sz w:val="12"/>
                <w:szCs w:val="12"/>
                <w:lang w:eastAsia="es-MX"/>
              </w:rPr>
            </w:pPr>
            <w:r w:rsidRPr="00B603A3">
              <w:rPr>
                <w:rFonts w:asciiTheme="minorHAnsi" w:eastAsia="Times New Roman" w:hAnsiTheme="minorHAnsi"/>
                <w:b/>
                <w:color w:val="000000"/>
                <w:sz w:val="12"/>
                <w:szCs w:val="12"/>
                <w:lang w:eastAsia="es-MX"/>
              </w:rPr>
              <w:t>MUNICIPIOS DEL CFEM</w:t>
            </w:r>
          </w:p>
        </w:tc>
        <w:tc>
          <w:tcPr>
            <w:tcW w:w="6390" w:type="dxa"/>
            <w:gridSpan w:val="14"/>
            <w:tcBorders>
              <w:right w:val="nil"/>
            </w:tcBorders>
            <w:shd w:val="clear" w:color="auto" w:fill="D9D9D9"/>
            <w:vAlign w:val="center"/>
          </w:tcPr>
          <w:p w:rsidR="008A62FA" w:rsidRPr="00B603A3" w:rsidRDefault="008A62FA" w:rsidP="00B603A3">
            <w:pPr>
              <w:spacing w:after="0"/>
              <w:jc w:val="center"/>
              <w:rPr>
                <w:rFonts w:asciiTheme="minorHAnsi" w:eastAsia="Times New Roman" w:hAnsiTheme="minorHAnsi"/>
                <w:b/>
                <w:color w:val="000000"/>
                <w:sz w:val="12"/>
                <w:szCs w:val="12"/>
                <w:lang w:eastAsia="es-MX"/>
              </w:rPr>
            </w:pPr>
            <w:r w:rsidRPr="00B603A3">
              <w:rPr>
                <w:rFonts w:asciiTheme="minorHAnsi" w:eastAsia="Times New Roman" w:hAnsiTheme="minorHAnsi"/>
                <w:b/>
                <w:color w:val="000000"/>
                <w:sz w:val="12"/>
                <w:szCs w:val="12"/>
                <w:lang w:eastAsia="es-MX"/>
              </w:rPr>
              <w:t>TMF POR AÑO PARA ESPINA BIFIDA (Q05-CIE-10)</w:t>
            </w:r>
          </w:p>
        </w:tc>
      </w:tr>
      <w:tr w:rsidR="008A62FA" w:rsidRPr="00B603A3" w:rsidTr="00B603A3">
        <w:trPr>
          <w:trHeight w:val="199"/>
        </w:trPr>
        <w:tc>
          <w:tcPr>
            <w:tcW w:w="779" w:type="dxa"/>
            <w:vMerge/>
            <w:tcBorders>
              <w:left w:val="nil"/>
            </w:tcBorders>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p>
        </w:tc>
        <w:tc>
          <w:tcPr>
            <w:tcW w:w="1646" w:type="dxa"/>
            <w:vMerge/>
            <w:shd w:val="clear" w:color="auto" w:fill="D9D9D9"/>
            <w:noWrap/>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1998</w:t>
            </w:r>
          </w:p>
        </w:tc>
        <w:tc>
          <w:tcPr>
            <w:tcW w:w="426"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1999</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2000</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2001</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2002</w:t>
            </w:r>
          </w:p>
        </w:tc>
        <w:tc>
          <w:tcPr>
            <w:tcW w:w="426"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2003</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2004</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2005</w:t>
            </w:r>
          </w:p>
        </w:tc>
        <w:tc>
          <w:tcPr>
            <w:tcW w:w="509"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2006</w:t>
            </w:r>
          </w:p>
        </w:tc>
        <w:tc>
          <w:tcPr>
            <w:tcW w:w="509"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2007</w:t>
            </w:r>
          </w:p>
        </w:tc>
        <w:tc>
          <w:tcPr>
            <w:tcW w:w="509"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2008</w:t>
            </w:r>
          </w:p>
        </w:tc>
        <w:tc>
          <w:tcPr>
            <w:tcW w:w="509"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2009</w:t>
            </w:r>
          </w:p>
        </w:tc>
        <w:tc>
          <w:tcPr>
            <w:tcW w:w="476"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2010</w:t>
            </w:r>
          </w:p>
        </w:tc>
        <w:tc>
          <w:tcPr>
            <w:tcW w:w="476" w:type="dxa"/>
            <w:tcBorders>
              <w:right w:val="nil"/>
            </w:tcBorders>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2012</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39.34</w:t>
            </w:r>
          </w:p>
        </w:tc>
        <w:tc>
          <w:tcPr>
            <w:tcW w:w="1646" w:type="dxa"/>
            <w:shd w:val="clear" w:color="auto" w:fill="auto"/>
            <w:vAlign w:val="bottom"/>
          </w:tcPr>
          <w:p w:rsidR="008A62FA" w:rsidRPr="00B603A3" w:rsidRDefault="008A62FA" w:rsidP="00B603A3">
            <w:pPr>
              <w:spacing w:after="0"/>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Almoloya de Alquisiras</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45.43</w:t>
            </w:r>
          </w:p>
        </w:tc>
        <w:tc>
          <w:tcPr>
            <w:tcW w:w="1646" w:type="dxa"/>
            <w:shd w:val="clear" w:color="auto" w:fill="auto"/>
            <w:vAlign w:val="bottom"/>
          </w:tcPr>
          <w:p w:rsidR="008A62FA" w:rsidRPr="00B603A3" w:rsidRDefault="008A62FA" w:rsidP="00B603A3">
            <w:pPr>
              <w:spacing w:after="0"/>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Coatepec Harinas</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1.9</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0.9</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1.9</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17.79</w:t>
            </w:r>
          </w:p>
        </w:tc>
        <w:tc>
          <w:tcPr>
            <w:tcW w:w="1646" w:type="dxa"/>
            <w:shd w:val="clear" w:color="auto" w:fill="auto"/>
            <w:vAlign w:val="bottom"/>
          </w:tcPr>
          <w:p w:rsidR="008A62FA" w:rsidRPr="00B603A3" w:rsidRDefault="008A62FA" w:rsidP="00B603A3">
            <w:pPr>
              <w:spacing w:after="0"/>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Ixtapan de la Sal</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1.2</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29.62</w:t>
            </w:r>
          </w:p>
        </w:tc>
        <w:tc>
          <w:tcPr>
            <w:tcW w:w="1646" w:type="dxa"/>
            <w:shd w:val="clear" w:color="auto" w:fill="auto"/>
            <w:vAlign w:val="bottom"/>
          </w:tcPr>
          <w:p w:rsidR="008A62FA" w:rsidRPr="00B603A3" w:rsidRDefault="008A62FA" w:rsidP="00B603A3">
            <w:pPr>
              <w:spacing w:after="0"/>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Malinalco</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1.5</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1.5</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27.02</w:t>
            </w:r>
          </w:p>
        </w:tc>
        <w:tc>
          <w:tcPr>
            <w:tcW w:w="1646" w:type="dxa"/>
            <w:shd w:val="clear" w:color="auto" w:fill="auto"/>
            <w:vAlign w:val="bottom"/>
          </w:tcPr>
          <w:p w:rsidR="008A62FA" w:rsidRPr="00B603A3" w:rsidRDefault="008A62FA" w:rsidP="00B603A3">
            <w:pPr>
              <w:spacing w:after="0"/>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Tenancingo</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1.9</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0.9</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0.5</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26.50</w:t>
            </w:r>
          </w:p>
        </w:tc>
        <w:tc>
          <w:tcPr>
            <w:tcW w:w="1646" w:type="dxa"/>
            <w:shd w:val="clear" w:color="auto" w:fill="auto"/>
            <w:vAlign w:val="bottom"/>
          </w:tcPr>
          <w:p w:rsidR="008A62FA" w:rsidRPr="00B603A3" w:rsidRDefault="008A62FA" w:rsidP="00B603A3">
            <w:pPr>
              <w:spacing w:after="0"/>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Tonatico</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35.97</w:t>
            </w:r>
          </w:p>
        </w:tc>
        <w:tc>
          <w:tcPr>
            <w:tcW w:w="1646" w:type="dxa"/>
            <w:shd w:val="clear" w:color="auto" w:fill="auto"/>
            <w:vAlign w:val="bottom"/>
          </w:tcPr>
          <w:p w:rsidR="008A62FA" w:rsidRPr="00B603A3" w:rsidRDefault="008A62FA" w:rsidP="00B603A3">
            <w:pPr>
              <w:spacing w:after="0"/>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Villa Guerrero</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1.9</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1.9</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1.2</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0.8</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0.6</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55.79</w:t>
            </w:r>
          </w:p>
        </w:tc>
        <w:tc>
          <w:tcPr>
            <w:tcW w:w="1646" w:type="dxa"/>
            <w:shd w:val="clear" w:color="auto" w:fill="auto"/>
            <w:vAlign w:val="bottom"/>
          </w:tcPr>
          <w:p w:rsidR="008A62FA" w:rsidRPr="00B603A3" w:rsidRDefault="008A62FA" w:rsidP="00B603A3">
            <w:pPr>
              <w:spacing w:after="0"/>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Zumpahuacán</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3.9</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2.2</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231"/>
        </w:trPr>
        <w:tc>
          <w:tcPr>
            <w:tcW w:w="779" w:type="dxa"/>
            <w:vMerge w:val="restart"/>
            <w:tcBorders>
              <w:left w:val="nil"/>
            </w:tcBorders>
            <w:shd w:val="clear" w:color="auto" w:fill="D9D9D9"/>
            <w:vAlign w:val="center"/>
          </w:tcPr>
          <w:p w:rsidR="008A62FA" w:rsidRPr="00B603A3" w:rsidRDefault="008A62FA" w:rsidP="00B603A3">
            <w:pPr>
              <w:spacing w:after="0"/>
              <w:jc w:val="center"/>
              <w:rPr>
                <w:rFonts w:asciiTheme="minorHAnsi" w:eastAsia="Times New Roman" w:hAnsiTheme="minorHAnsi" w:cs="Arial"/>
                <w:color w:val="000000"/>
                <w:sz w:val="12"/>
                <w:szCs w:val="12"/>
                <w:lang w:eastAsia="es-MX"/>
              </w:rPr>
            </w:pPr>
            <w:r w:rsidRPr="00B603A3">
              <w:rPr>
                <w:rFonts w:asciiTheme="minorHAnsi" w:eastAsia="Times New Roman" w:hAnsiTheme="minorHAnsi"/>
                <w:color w:val="000000"/>
                <w:sz w:val="12"/>
                <w:szCs w:val="12"/>
                <w:lang w:eastAsia="es-MX"/>
              </w:rPr>
              <w:t>% Trab. agrícolas</w:t>
            </w:r>
          </w:p>
        </w:tc>
        <w:tc>
          <w:tcPr>
            <w:tcW w:w="1646" w:type="dxa"/>
            <w:vMerge w:val="restart"/>
            <w:shd w:val="clear" w:color="auto" w:fill="D9D9D9"/>
            <w:vAlign w:val="center"/>
          </w:tcPr>
          <w:p w:rsidR="008A62FA" w:rsidRPr="00B603A3" w:rsidRDefault="008A62FA" w:rsidP="00B603A3">
            <w:pPr>
              <w:spacing w:after="0"/>
              <w:jc w:val="center"/>
              <w:rPr>
                <w:rFonts w:asciiTheme="minorHAnsi" w:eastAsia="Times New Roman" w:hAnsiTheme="minorHAnsi"/>
                <w:b/>
                <w:color w:val="000000"/>
                <w:sz w:val="12"/>
                <w:szCs w:val="12"/>
                <w:lang w:eastAsia="es-MX"/>
              </w:rPr>
            </w:pPr>
            <w:r w:rsidRPr="00B603A3">
              <w:rPr>
                <w:rFonts w:asciiTheme="minorHAnsi" w:eastAsia="Times New Roman" w:hAnsiTheme="minorHAnsi"/>
                <w:b/>
                <w:color w:val="000000"/>
                <w:sz w:val="12"/>
                <w:szCs w:val="12"/>
                <w:lang w:eastAsia="es-MX"/>
              </w:rPr>
              <w:t>MUNICIPIOS CON MENOR ACTIVIDAD AGRÍCOLA</w:t>
            </w:r>
          </w:p>
        </w:tc>
        <w:tc>
          <w:tcPr>
            <w:tcW w:w="6390" w:type="dxa"/>
            <w:gridSpan w:val="14"/>
            <w:tcBorders>
              <w:right w:val="nil"/>
            </w:tcBorders>
            <w:shd w:val="clear" w:color="auto" w:fill="D9D9D9"/>
            <w:vAlign w:val="center"/>
          </w:tcPr>
          <w:p w:rsidR="008A62FA" w:rsidRPr="00B603A3" w:rsidRDefault="008A62FA" w:rsidP="00B603A3">
            <w:pPr>
              <w:spacing w:after="0"/>
              <w:jc w:val="center"/>
              <w:rPr>
                <w:rFonts w:asciiTheme="minorHAnsi" w:eastAsia="Times New Roman" w:hAnsiTheme="minorHAnsi"/>
                <w:b/>
                <w:color w:val="000000"/>
                <w:sz w:val="12"/>
                <w:szCs w:val="12"/>
                <w:lang w:eastAsia="es-MX"/>
              </w:rPr>
            </w:pPr>
            <w:r w:rsidRPr="00B603A3">
              <w:rPr>
                <w:rFonts w:asciiTheme="minorHAnsi" w:eastAsia="Times New Roman" w:hAnsiTheme="minorHAnsi"/>
                <w:b/>
                <w:color w:val="000000"/>
                <w:sz w:val="12"/>
                <w:szCs w:val="12"/>
                <w:lang w:eastAsia="es-MX"/>
              </w:rPr>
              <w:t>TMF POR AÑO PARA ESPINA BIFIDA (Q05-CIE-10)</w:t>
            </w:r>
          </w:p>
        </w:tc>
      </w:tr>
      <w:tr w:rsidR="008A62FA" w:rsidRPr="00B603A3" w:rsidTr="00B603A3">
        <w:trPr>
          <w:trHeight w:val="199"/>
        </w:trPr>
        <w:tc>
          <w:tcPr>
            <w:tcW w:w="779" w:type="dxa"/>
            <w:vMerge/>
            <w:tcBorders>
              <w:left w:val="nil"/>
            </w:tcBorders>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p>
        </w:tc>
        <w:tc>
          <w:tcPr>
            <w:tcW w:w="1646" w:type="dxa"/>
            <w:vMerge/>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1998</w:t>
            </w:r>
          </w:p>
        </w:tc>
        <w:tc>
          <w:tcPr>
            <w:tcW w:w="426"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1999</w:t>
            </w:r>
          </w:p>
        </w:tc>
        <w:tc>
          <w:tcPr>
            <w:tcW w:w="425" w:type="dxa"/>
            <w:shd w:val="clear" w:color="auto" w:fill="D9D9D9"/>
            <w:vAlign w:val="center"/>
          </w:tcPr>
          <w:p w:rsidR="008A62FA" w:rsidRPr="00B603A3" w:rsidRDefault="008A62FA" w:rsidP="00B603A3">
            <w:pPr>
              <w:spacing w:after="0"/>
              <w:ind w:right="-29"/>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2000</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2001</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2002</w:t>
            </w:r>
          </w:p>
        </w:tc>
        <w:tc>
          <w:tcPr>
            <w:tcW w:w="426"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2003</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2004</w:t>
            </w:r>
          </w:p>
        </w:tc>
        <w:tc>
          <w:tcPr>
            <w:tcW w:w="425" w:type="dxa"/>
            <w:shd w:val="clear" w:color="auto" w:fill="D9D9D9"/>
            <w:vAlign w:val="center"/>
          </w:tcPr>
          <w:p w:rsidR="008A62FA" w:rsidRPr="00B603A3" w:rsidRDefault="008A62FA" w:rsidP="00B603A3">
            <w:pPr>
              <w:spacing w:after="0"/>
              <w:ind w:right="-125"/>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2005</w:t>
            </w:r>
          </w:p>
        </w:tc>
        <w:tc>
          <w:tcPr>
            <w:tcW w:w="509"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2006</w:t>
            </w:r>
          </w:p>
        </w:tc>
        <w:tc>
          <w:tcPr>
            <w:tcW w:w="509"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2007</w:t>
            </w:r>
          </w:p>
        </w:tc>
        <w:tc>
          <w:tcPr>
            <w:tcW w:w="509"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2008</w:t>
            </w:r>
          </w:p>
        </w:tc>
        <w:tc>
          <w:tcPr>
            <w:tcW w:w="509"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2009</w:t>
            </w:r>
          </w:p>
        </w:tc>
        <w:tc>
          <w:tcPr>
            <w:tcW w:w="476" w:type="dxa"/>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2010</w:t>
            </w:r>
          </w:p>
        </w:tc>
        <w:tc>
          <w:tcPr>
            <w:tcW w:w="476" w:type="dxa"/>
            <w:tcBorders>
              <w:right w:val="nil"/>
            </w:tcBorders>
            <w:shd w:val="clear" w:color="auto" w:fill="D9D9D9"/>
            <w:vAlign w:val="center"/>
          </w:tcPr>
          <w:p w:rsidR="008A62FA" w:rsidRPr="00B603A3" w:rsidRDefault="008A62FA" w:rsidP="00B603A3">
            <w:pPr>
              <w:spacing w:after="0"/>
              <w:jc w:val="center"/>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2012</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0.14</w:t>
            </w:r>
          </w:p>
        </w:tc>
        <w:tc>
          <w:tcPr>
            <w:tcW w:w="1646" w:type="dxa"/>
            <w:shd w:val="clear" w:color="auto" w:fill="auto"/>
            <w:vAlign w:val="center"/>
          </w:tcPr>
          <w:p w:rsidR="008A62FA" w:rsidRPr="00B603A3" w:rsidRDefault="008A62FA" w:rsidP="00B603A3">
            <w:pPr>
              <w:spacing w:after="0"/>
              <w:rPr>
                <w:rFonts w:asciiTheme="minorHAnsi" w:eastAsia="Times New Roman" w:hAnsiTheme="minorHAnsi" w:cs="Arial"/>
                <w:color w:val="000000"/>
                <w:sz w:val="12"/>
                <w:szCs w:val="12"/>
                <w:lang w:eastAsia="es-MX"/>
              </w:rPr>
            </w:pPr>
            <w:r w:rsidRPr="00B603A3">
              <w:rPr>
                <w:rFonts w:asciiTheme="minorHAnsi" w:eastAsia="Times New Roman" w:hAnsiTheme="minorHAnsi" w:cs="Arial"/>
                <w:color w:val="000000"/>
                <w:sz w:val="12"/>
                <w:szCs w:val="12"/>
                <w:lang w:eastAsia="es-MX"/>
              </w:rPr>
              <w:t>Atizapán de Zaragoza</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0.14</w:t>
            </w:r>
          </w:p>
        </w:tc>
        <w:tc>
          <w:tcPr>
            <w:tcW w:w="1646" w:type="dxa"/>
            <w:shd w:val="clear" w:color="auto" w:fill="auto"/>
            <w:vAlign w:val="center"/>
          </w:tcPr>
          <w:p w:rsidR="008A62FA" w:rsidRPr="00B603A3" w:rsidRDefault="008A62FA" w:rsidP="00B603A3">
            <w:pPr>
              <w:spacing w:after="0"/>
              <w:rPr>
                <w:rFonts w:asciiTheme="minorHAnsi" w:eastAsia="Times New Roman" w:hAnsiTheme="minorHAnsi" w:cs="Arial"/>
                <w:color w:val="000000"/>
                <w:sz w:val="12"/>
                <w:szCs w:val="12"/>
                <w:lang w:eastAsia="es-MX"/>
              </w:rPr>
            </w:pPr>
            <w:r w:rsidRPr="00B603A3">
              <w:rPr>
                <w:rFonts w:asciiTheme="minorHAnsi" w:eastAsia="Times New Roman" w:hAnsiTheme="minorHAnsi" w:cs="Arial"/>
                <w:color w:val="000000"/>
                <w:sz w:val="12"/>
                <w:szCs w:val="12"/>
                <w:lang w:eastAsia="es-MX"/>
              </w:rPr>
              <w:t>Coacalco de Berriozábal</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0.35</w:t>
            </w:r>
          </w:p>
        </w:tc>
        <w:tc>
          <w:tcPr>
            <w:tcW w:w="1646" w:type="dxa"/>
            <w:shd w:val="clear" w:color="auto" w:fill="auto"/>
            <w:vAlign w:val="center"/>
          </w:tcPr>
          <w:p w:rsidR="008A62FA" w:rsidRPr="00B603A3" w:rsidRDefault="008A62FA" w:rsidP="00B603A3">
            <w:pPr>
              <w:spacing w:after="0"/>
              <w:rPr>
                <w:rFonts w:asciiTheme="minorHAnsi" w:eastAsia="Times New Roman" w:hAnsiTheme="minorHAnsi" w:cs="Arial"/>
                <w:color w:val="000000"/>
                <w:sz w:val="12"/>
                <w:szCs w:val="12"/>
                <w:lang w:eastAsia="es-MX"/>
              </w:rPr>
            </w:pPr>
            <w:r w:rsidRPr="00B603A3">
              <w:rPr>
                <w:rFonts w:asciiTheme="minorHAnsi" w:eastAsia="Times New Roman" w:hAnsiTheme="minorHAnsi" w:cs="Arial"/>
                <w:color w:val="000000"/>
                <w:sz w:val="12"/>
                <w:szCs w:val="12"/>
                <w:lang w:eastAsia="es-MX"/>
              </w:rPr>
              <w:t>Chicoloapan</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0.9</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0.32</w:t>
            </w:r>
          </w:p>
        </w:tc>
        <w:tc>
          <w:tcPr>
            <w:tcW w:w="1646" w:type="dxa"/>
            <w:shd w:val="clear" w:color="auto" w:fill="auto"/>
            <w:vAlign w:val="center"/>
          </w:tcPr>
          <w:p w:rsidR="008A62FA" w:rsidRPr="00B603A3" w:rsidRDefault="008A62FA" w:rsidP="00B603A3">
            <w:pPr>
              <w:spacing w:after="0"/>
              <w:rPr>
                <w:rFonts w:asciiTheme="minorHAnsi" w:eastAsia="Times New Roman" w:hAnsiTheme="minorHAnsi" w:cs="Arial"/>
                <w:color w:val="000000"/>
                <w:sz w:val="12"/>
                <w:szCs w:val="12"/>
                <w:lang w:eastAsia="es-MX"/>
              </w:rPr>
            </w:pPr>
            <w:r w:rsidRPr="00B603A3">
              <w:rPr>
                <w:rFonts w:asciiTheme="minorHAnsi" w:eastAsia="Times New Roman" w:hAnsiTheme="minorHAnsi" w:cs="Arial"/>
                <w:color w:val="000000"/>
                <w:sz w:val="12"/>
                <w:szCs w:val="12"/>
                <w:lang w:eastAsia="es-MX"/>
              </w:rPr>
              <w:t>Chimalhuacán</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0.3</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0.11</w:t>
            </w:r>
          </w:p>
        </w:tc>
        <w:tc>
          <w:tcPr>
            <w:tcW w:w="1646" w:type="dxa"/>
            <w:shd w:val="clear" w:color="auto" w:fill="auto"/>
            <w:vAlign w:val="center"/>
          </w:tcPr>
          <w:p w:rsidR="008A62FA" w:rsidRPr="00B603A3" w:rsidRDefault="008A62FA" w:rsidP="00B603A3">
            <w:pPr>
              <w:spacing w:after="0"/>
              <w:rPr>
                <w:rFonts w:asciiTheme="minorHAnsi" w:eastAsia="Times New Roman" w:hAnsiTheme="minorHAnsi" w:cs="Arial"/>
                <w:color w:val="000000"/>
                <w:sz w:val="12"/>
                <w:szCs w:val="12"/>
                <w:lang w:eastAsia="es-MX"/>
              </w:rPr>
            </w:pPr>
            <w:r w:rsidRPr="00B603A3">
              <w:rPr>
                <w:rFonts w:asciiTheme="minorHAnsi" w:eastAsia="Times New Roman" w:hAnsiTheme="minorHAnsi" w:cs="Arial"/>
                <w:color w:val="000000"/>
                <w:sz w:val="12"/>
                <w:szCs w:val="12"/>
                <w:lang w:eastAsia="es-MX"/>
              </w:rPr>
              <w:t>Ecatepec de Morelos</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0.12</w:t>
            </w:r>
          </w:p>
        </w:tc>
        <w:tc>
          <w:tcPr>
            <w:tcW w:w="1646" w:type="dxa"/>
            <w:shd w:val="clear" w:color="auto" w:fill="auto"/>
            <w:vAlign w:val="center"/>
          </w:tcPr>
          <w:p w:rsidR="008A62FA" w:rsidRPr="00B603A3" w:rsidRDefault="008A62FA" w:rsidP="00B603A3">
            <w:pPr>
              <w:spacing w:after="0"/>
              <w:rPr>
                <w:rFonts w:asciiTheme="minorHAnsi" w:eastAsia="Times New Roman" w:hAnsiTheme="minorHAnsi" w:cs="Arial"/>
                <w:color w:val="000000"/>
                <w:sz w:val="12"/>
                <w:szCs w:val="12"/>
                <w:lang w:eastAsia="es-MX"/>
              </w:rPr>
            </w:pPr>
            <w:r w:rsidRPr="00B603A3">
              <w:rPr>
                <w:rFonts w:asciiTheme="minorHAnsi" w:eastAsia="Times New Roman" w:hAnsiTheme="minorHAnsi" w:cs="Arial"/>
                <w:color w:val="000000"/>
                <w:sz w:val="12"/>
                <w:szCs w:val="12"/>
                <w:lang w:eastAsia="es-MX"/>
              </w:rPr>
              <w:t>La Paz</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0.34</w:t>
            </w:r>
          </w:p>
        </w:tc>
        <w:tc>
          <w:tcPr>
            <w:tcW w:w="1646" w:type="dxa"/>
            <w:shd w:val="clear" w:color="auto" w:fill="auto"/>
            <w:vAlign w:val="center"/>
          </w:tcPr>
          <w:p w:rsidR="008A62FA" w:rsidRPr="00B603A3" w:rsidRDefault="008A62FA" w:rsidP="00B603A3">
            <w:pPr>
              <w:spacing w:after="0"/>
              <w:rPr>
                <w:rFonts w:asciiTheme="minorHAnsi" w:eastAsia="Times New Roman" w:hAnsiTheme="minorHAnsi" w:cs="Arial"/>
                <w:color w:val="000000"/>
                <w:sz w:val="12"/>
                <w:szCs w:val="12"/>
                <w:lang w:eastAsia="es-MX"/>
              </w:rPr>
            </w:pPr>
            <w:r w:rsidRPr="00B603A3">
              <w:rPr>
                <w:rFonts w:asciiTheme="minorHAnsi" w:eastAsia="Times New Roman" w:hAnsiTheme="minorHAnsi" w:cs="Arial"/>
                <w:color w:val="000000"/>
                <w:sz w:val="12"/>
                <w:szCs w:val="12"/>
                <w:lang w:eastAsia="es-MX"/>
              </w:rPr>
              <w:t>Cuautitlán Izcalli</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r w:rsidR="008A62FA" w:rsidRPr="00B603A3" w:rsidTr="00B603A3">
        <w:trPr>
          <w:trHeight w:val="199"/>
        </w:trPr>
        <w:tc>
          <w:tcPr>
            <w:tcW w:w="779" w:type="dxa"/>
            <w:tcBorders>
              <w:left w:val="nil"/>
            </w:tcBorders>
            <w:shd w:val="clear" w:color="auto" w:fill="auto"/>
            <w:vAlign w:val="center"/>
          </w:tcPr>
          <w:p w:rsidR="008A62FA" w:rsidRPr="00B603A3" w:rsidRDefault="008A62FA" w:rsidP="00B603A3">
            <w:pPr>
              <w:spacing w:after="0"/>
              <w:jc w:val="center"/>
              <w:rPr>
                <w:rFonts w:asciiTheme="minorHAnsi" w:eastAsia="Times New Roman" w:hAnsiTheme="minorHAnsi" w:cs="Arial"/>
                <w:color w:val="000000"/>
                <w:sz w:val="14"/>
                <w:szCs w:val="14"/>
                <w:lang w:eastAsia="es-MX"/>
              </w:rPr>
            </w:pPr>
            <w:r w:rsidRPr="00B603A3">
              <w:rPr>
                <w:rFonts w:asciiTheme="minorHAnsi" w:eastAsia="Times New Roman" w:hAnsiTheme="minorHAnsi" w:cs="Arial"/>
                <w:color w:val="000000"/>
                <w:sz w:val="14"/>
                <w:szCs w:val="14"/>
                <w:lang w:eastAsia="es-MX"/>
              </w:rPr>
              <w:t>0.25</w:t>
            </w:r>
          </w:p>
        </w:tc>
        <w:tc>
          <w:tcPr>
            <w:tcW w:w="1646" w:type="dxa"/>
            <w:shd w:val="clear" w:color="auto" w:fill="auto"/>
            <w:vAlign w:val="center"/>
          </w:tcPr>
          <w:p w:rsidR="008A62FA" w:rsidRPr="00B603A3" w:rsidRDefault="008A62FA" w:rsidP="00B603A3">
            <w:pPr>
              <w:spacing w:after="0"/>
              <w:ind w:right="-125"/>
              <w:rPr>
                <w:rFonts w:asciiTheme="minorHAnsi" w:eastAsia="Times New Roman" w:hAnsiTheme="minorHAnsi" w:cs="Arial"/>
                <w:color w:val="000000"/>
                <w:sz w:val="12"/>
                <w:szCs w:val="12"/>
                <w:lang w:eastAsia="es-MX"/>
              </w:rPr>
            </w:pPr>
            <w:r w:rsidRPr="00B603A3">
              <w:rPr>
                <w:rFonts w:asciiTheme="minorHAnsi" w:eastAsia="Times New Roman" w:hAnsiTheme="minorHAnsi" w:cs="Arial"/>
                <w:color w:val="000000"/>
                <w:sz w:val="12"/>
                <w:szCs w:val="12"/>
                <w:lang w:eastAsia="es-MX"/>
              </w:rPr>
              <w:t>Valle de Chalco Solidaridad</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2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0.3</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0.3</w:t>
            </w:r>
          </w:p>
        </w:tc>
        <w:tc>
          <w:tcPr>
            <w:tcW w:w="425"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0.1</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0.2</w:t>
            </w:r>
          </w:p>
        </w:tc>
        <w:tc>
          <w:tcPr>
            <w:tcW w:w="509"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c>
          <w:tcPr>
            <w:tcW w:w="476" w:type="dxa"/>
            <w:tcBorders>
              <w:right w:val="nil"/>
            </w:tcBorders>
            <w:shd w:val="clear" w:color="auto" w:fill="auto"/>
            <w:vAlign w:val="bottom"/>
          </w:tcPr>
          <w:p w:rsidR="008A62FA" w:rsidRPr="00B603A3" w:rsidRDefault="008A62FA" w:rsidP="00B603A3">
            <w:pPr>
              <w:spacing w:after="0"/>
              <w:jc w:val="right"/>
              <w:rPr>
                <w:rFonts w:asciiTheme="minorHAnsi" w:eastAsia="Times New Roman" w:hAnsiTheme="minorHAnsi"/>
                <w:color w:val="000000"/>
                <w:sz w:val="12"/>
                <w:szCs w:val="12"/>
                <w:lang w:eastAsia="es-MX"/>
              </w:rPr>
            </w:pPr>
            <w:r w:rsidRPr="00B603A3">
              <w:rPr>
                <w:rFonts w:asciiTheme="minorHAnsi" w:eastAsia="Times New Roman" w:hAnsiTheme="minorHAnsi"/>
                <w:color w:val="000000"/>
                <w:sz w:val="12"/>
                <w:szCs w:val="12"/>
                <w:lang w:eastAsia="es-MX"/>
              </w:rPr>
              <w:t>0</w:t>
            </w:r>
          </w:p>
        </w:tc>
      </w:tr>
    </w:tbl>
    <w:p w:rsidR="008A62FA" w:rsidRPr="00082A33" w:rsidRDefault="008A62FA" w:rsidP="00B603A3">
      <w:pPr>
        <w:pStyle w:val="Sinespaciado"/>
        <w:spacing w:line="276" w:lineRule="auto"/>
        <w:jc w:val="center"/>
        <w:rPr>
          <w:rFonts w:asciiTheme="minorHAnsi" w:hAnsiTheme="minorHAnsi" w:cs="Arial"/>
        </w:rPr>
      </w:pPr>
      <w:r w:rsidRPr="00082A33">
        <w:rPr>
          <w:rFonts w:asciiTheme="minorHAnsi" w:hAnsiTheme="minorHAnsi" w:cs="Arial"/>
        </w:rPr>
        <w:t>Fuente: elaboración propia con datos del SINAIS, 2012; INEGI, 2013</w:t>
      </w:r>
    </w:p>
    <w:p w:rsidR="008A62FA" w:rsidRPr="00082A33" w:rsidRDefault="008A62FA" w:rsidP="00B603A3">
      <w:pPr>
        <w:pStyle w:val="Sinespaciado"/>
        <w:spacing w:line="276" w:lineRule="auto"/>
        <w:jc w:val="center"/>
        <w:rPr>
          <w:rFonts w:asciiTheme="minorHAnsi" w:hAnsiTheme="minorHAnsi" w:cs="Arial"/>
        </w:rPr>
      </w:pPr>
      <w:r w:rsidRPr="00082A33">
        <w:rPr>
          <w:rFonts w:asciiTheme="minorHAnsi" w:hAnsiTheme="minorHAnsi" w:cs="Arial"/>
        </w:rPr>
        <w:t xml:space="preserve">No hay TMF para 2011, por falta de datos de Nacimientos. Las TMF calculadas por 1000 habitantes. </w:t>
      </w:r>
    </w:p>
    <w:p w:rsidR="008A62FA" w:rsidRPr="00B603A3" w:rsidRDefault="008A62FA" w:rsidP="00B603A3">
      <w:pPr>
        <w:pStyle w:val="Sinespaciado"/>
        <w:spacing w:line="276" w:lineRule="auto"/>
        <w:rPr>
          <w:rFonts w:asciiTheme="minorHAnsi" w:hAnsiTheme="minorHAnsi" w:cs="Arial"/>
          <w:sz w:val="16"/>
          <w:szCs w:val="16"/>
        </w:rPr>
      </w:pPr>
    </w:p>
    <w:p w:rsidR="00F34F34" w:rsidRPr="00B603A3" w:rsidRDefault="00F34F34" w:rsidP="00F34F34">
      <w:pPr>
        <w:pStyle w:val="Sinespaciado"/>
        <w:spacing w:line="276" w:lineRule="auto"/>
        <w:jc w:val="center"/>
        <w:rPr>
          <w:rFonts w:asciiTheme="minorHAnsi" w:hAnsiTheme="minorHAnsi" w:cs="Arial"/>
          <w:sz w:val="16"/>
          <w:szCs w:val="16"/>
        </w:rPr>
      </w:pPr>
    </w:p>
    <w:p w:rsidR="00F34F34" w:rsidRPr="00B603A3" w:rsidRDefault="00F34F34" w:rsidP="00F34F34">
      <w:pPr>
        <w:pStyle w:val="Sinespaciado"/>
        <w:spacing w:line="276" w:lineRule="auto"/>
        <w:jc w:val="center"/>
        <w:rPr>
          <w:rFonts w:asciiTheme="minorHAnsi" w:hAnsiTheme="minorHAnsi" w:cs="Arial"/>
        </w:rPr>
      </w:pPr>
      <w:r w:rsidRPr="00B603A3">
        <w:rPr>
          <w:rFonts w:asciiTheme="minorHAnsi" w:hAnsiTheme="minorHAnsi" w:cs="Arial"/>
          <w:noProof/>
          <w:lang w:eastAsia="es-MX"/>
        </w:rPr>
        <w:drawing>
          <wp:inline distT="0" distB="0" distL="0" distR="0" wp14:anchorId="165D34F5" wp14:editId="10C55B4C">
            <wp:extent cx="5954395" cy="2073275"/>
            <wp:effectExtent l="0" t="0" r="8255" b="317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954395" cy="2073275"/>
                    </a:xfrm>
                    <a:prstGeom prst="rect">
                      <a:avLst/>
                    </a:prstGeom>
                    <a:noFill/>
                    <a:ln>
                      <a:noFill/>
                    </a:ln>
                  </pic:spPr>
                </pic:pic>
              </a:graphicData>
            </a:graphic>
          </wp:inline>
        </w:drawing>
      </w:r>
    </w:p>
    <w:p w:rsidR="00F34F34" w:rsidRPr="00082A33" w:rsidRDefault="00F34F34" w:rsidP="00F34F34">
      <w:pPr>
        <w:pStyle w:val="Sinespaciado"/>
        <w:spacing w:line="276" w:lineRule="auto"/>
        <w:jc w:val="center"/>
        <w:rPr>
          <w:rFonts w:asciiTheme="minorHAnsi" w:hAnsiTheme="minorHAnsi" w:cs="Arial"/>
          <w:sz w:val="24"/>
          <w:szCs w:val="24"/>
        </w:rPr>
      </w:pPr>
      <w:r w:rsidRPr="00082A33">
        <w:rPr>
          <w:rFonts w:asciiTheme="minorHAnsi" w:hAnsiTheme="minorHAnsi" w:cs="Arial"/>
          <w:sz w:val="24"/>
          <w:szCs w:val="24"/>
        </w:rPr>
        <w:t>Figura 18: TMI por Espina bífida, Elaboración propia con datos del SINAIS, 2014.</w:t>
      </w:r>
    </w:p>
    <w:p w:rsidR="00F34F34" w:rsidRDefault="00F34F34"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Según las TMF la Q00 registro los más altos valores en los años 1998 a 2006 para todo el corredor, los municipios con las tasas más elevadas son Almoloya de Alquisiras Villa Guerreo y Zumpahuacán, los dos últimos tambien sobresalientes en la Q05.  Mientras que las TMI indican mayor frecuencia anual para Ixtapan de la Sal, pero una disminución pata todo el CFEM a partir del año 2005, situación diferente para la Q05 donde los municipios con las tasas más altas y frecuentes es Villa Guerrero, Zumpahuacán, Coatepec Harinas y Tenancingo.</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Al comparar las TMF y las TMI se ha identificado que la situación del área geográfica del CFEM respecto a la mortalidad fetal e infantil esta relacionada con la presencia de malformaciones congénitas de Anencefalia y Espina Bífida, donde la ocupación de los padres es en el sector agrícola, donde se da la exposición continua a los plaguicidas, lo que  ocasiona tanto defunciones fetales como infantiles.</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Según las tasas calculadas el primer lugar en causas de mortalidad lo ocupa la Anencefalia seguido de la Espina bífida.</w:t>
      </w:r>
    </w:p>
    <w:p w:rsidR="008A62FA" w:rsidRPr="00B603A3" w:rsidRDefault="008A62FA" w:rsidP="00B603A3">
      <w:pPr>
        <w:pStyle w:val="Sinespaciado"/>
        <w:spacing w:line="276" w:lineRule="auto"/>
        <w:jc w:val="both"/>
        <w:rPr>
          <w:rFonts w:asciiTheme="minorHAnsi" w:hAnsiTheme="minorHAnsi" w:cs="Arial"/>
          <w:noProof/>
          <w:sz w:val="28"/>
          <w:szCs w:val="28"/>
          <w:lang w:eastAsia="es-MX"/>
        </w:rPr>
      </w:pPr>
    </w:p>
    <w:p w:rsidR="008A62FA" w:rsidRPr="00B603A3" w:rsidRDefault="008A62FA" w:rsidP="00B603A3">
      <w:pPr>
        <w:pStyle w:val="Sinespaciado"/>
        <w:spacing w:line="276" w:lineRule="auto"/>
        <w:jc w:val="both"/>
        <w:rPr>
          <w:rFonts w:asciiTheme="minorHAnsi" w:hAnsiTheme="minorHAnsi" w:cs="Arial"/>
          <w:b/>
          <w:noProof/>
          <w:sz w:val="24"/>
          <w:szCs w:val="24"/>
          <w:lang w:eastAsia="es-MX"/>
        </w:rPr>
      </w:pPr>
      <w:r w:rsidRPr="00B603A3">
        <w:rPr>
          <w:rFonts w:asciiTheme="minorHAnsi" w:hAnsiTheme="minorHAnsi" w:cs="Arial"/>
          <w:b/>
          <w:noProof/>
          <w:sz w:val="24"/>
          <w:szCs w:val="24"/>
          <w:lang w:eastAsia="es-MX"/>
        </w:rPr>
        <w:t>Riesgo Relativo y Fracción atribuible</w:t>
      </w:r>
    </w:p>
    <w:p w:rsidR="008A62FA" w:rsidRPr="00B603A3" w:rsidRDefault="008A62FA" w:rsidP="00B603A3">
      <w:pPr>
        <w:pStyle w:val="Sinespaciado"/>
        <w:spacing w:line="276" w:lineRule="auto"/>
        <w:jc w:val="both"/>
        <w:rPr>
          <w:rFonts w:asciiTheme="minorHAnsi" w:hAnsiTheme="minorHAnsi" w:cs="Arial"/>
          <w:noProof/>
          <w:sz w:val="28"/>
          <w:szCs w:val="28"/>
          <w:lang w:eastAsia="es-MX"/>
        </w:rPr>
      </w:pPr>
    </w:p>
    <w:p w:rsidR="008A62FA" w:rsidRPr="00B603A3" w:rsidRDefault="008A62FA" w:rsidP="00B603A3">
      <w:pPr>
        <w:spacing w:after="240"/>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En la tabla </w:t>
      </w:r>
      <w:r w:rsidR="00082A33">
        <w:rPr>
          <w:rFonts w:asciiTheme="minorHAnsi" w:hAnsiTheme="minorHAnsi" w:cs="Arial"/>
          <w:noProof/>
          <w:sz w:val="24"/>
          <w:szCs w:val="24"/>
          <w:lang w:eastAsia="es-MX"/>
        </w:rPr>
        <w:t>8</w:t>
      </w:r>
      <w:r w:rsidRPr="00B603A3">
        <w:rPr>
          <w:rFonts w:asciiTheme="minorHAnsi" w:hAnsiTheme="minorHAnsi" w:cs="Arial"/>
          <w:noProof/>
          <w:sz w:val="24"/>
          <w:szCs w:val="24"/>
          <w:lang w:eastAsia="es-MX"/>
        </w:rPr>
        <w:t>, se presentan los resultados del riesgo relativo y fracción atribuible para cada una de las tasas de mortalidad por causa. a partir de las zonas consideradas como expuestas (municipos del CFEM) y no expuestas al factor de riesgo, auquellos municipios con mínimo de actividad agrícola en el Estado de México.</w:t>
      </w:r>
    </w:p>
    <w:p w:rsidR="008A62FA" w:rsidRPr="00B603A3" w:rsidRDefault="008A62FA" w:rsidP="00B603A3">
      <w:pPr>
        <w:pStyle w:val="Sinespaciado"/>
        <w:spacing w:line="276" w:lineRule="auto"/>
        <w:jc w:val="center"/>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Tabla </w:t>
      </w:r>
      <w:r w:rsidR="00082A33">
        <w:rPr>
          <w:rFonts w:asciiTheme="minorHAnsi" w:hAnsiTheme="minorHAnsi" w:cs="Arial"/>
          <w:noProof/>
          <w:sz w:val="24"/>
          <w:szCs w:val="24"/>
          <w:lang w:eastAsia="es-MX"/>
        </w:rPr>
        <w:t>8</w:t>
      </w:r>
      <w:r w:rsidRPr="00B603A3">
        <w:rPr>
          <w:rFonts w:asciiTheme="minorHAnsi" w:hAnsiTheme="minorHAnsi" w:cs="Arial"/>
          <w:noProof/>
          <w:sz w:val="24"/>
          <w:szCs w:val="24"/>
          <w:lang w:eastAsia="es-MX"/>
        </w:rPr>
        <w:t>. Riesgo Relativo (RR) y Riesgo atribuible (RA%)</w:t>
      </w:r>
    </w:p>
    <w:tbl>
      <w:tblPr>
        <w:tblW w:w="6000" w:type="dxa"/>
        <w:jc w:val="center"/>
        <w:tblBorders>
          <w:top w:val="single" w:sz="8" w:space="0" w:color="000000"/>
          <w:bottom w:val="single" w:sz="8" w:space="0" w:color="000000"/>
        </w:tblBorders>
        <w:tblLook w:val="04A0" w:firstRow="1" w:lastRow="0" w:firstColumn="1" w:lastColumn="0" w:noHBand="0" w:noVBand="1"/>
      </w:tblPr>
      <w:tblGrid>
        <w:gridCol w:w="1200"/>
        <w:gridCol w:w="1200"/>
        <w:gridCol w:w="1200"/>
        <w:gridCol w:w="1200"/>
        <w:gridCol w:w="1200"/>
      </w:tblGrid>
      <w:tr w:rsidR="008A62FA" w:rsidRPr="00B603A3" w:rsidTr="00B603A3">
        <w:trPr>
          <w:trHeight w:val="300"/>
          <w:jc w:val="center"/>
        </w:trPr>
        <w:tc>
          <w:tcPr>
            <w:tcW w:w="1200" w:type="dxa"/>
            <w:tcBorders>
              <w:top w:val="single" w:sz="8" w:space="0" w:color="000000"/>
              <w:left w:val="nil"/>
              <w:bottom w:val="single" w:sz="8" w:space="0" w:color="000000"/>
              <w:right w:val="nil"/>
            </w:tcBorders>
            <w:shd w:val="clear" w:color="auto" w:fill="auto"/>
            <w:noWrap/>
            <w:hideMark/>
          </w:tcPr>
          <w:p w:rsidR="008A62FA" w:rsidRPr="00B603A3" w:rsidRDefault="008A62FA" w:rsidP="00B603A3">
            <w:pPr>
              <w:spacing w:after="0"/>
              <w:rPr>
                <w:rFonts w:asciiTheme="minorHAnsi" w:eastAsia="Times New Roman" w:hAnsiTheme="minorHAnsi"/>
                <w:b/>
                <w:bCs/>
                <w:color w:val="000000"/>
                <w:lang w:eastAsia="es-MX"/>
              </w:rPr>
            </w:pPr>
            <w:r w:rsidRPr="00B603A3">
              <w:rPr>
                <w:rFonts w:asciiTheme="minorHAnsi" w:eastAsia="Times New Roman" w:hAnsiTheme="minorHAnsi"/>
                <w:b/>
                <w:bCs/>
                <w:color w:val="000000"/>
                <w:lang w:eastAsia="es-MX"/>
              </w:rPr>
              <w:t> </w:t>
            </w:r>
          </w:p>
        </w:tc>
        <w:tc>
          <w:tcPr>
            <w:tcW w:w="1200" w:type="dxa"/>
            <w:tcBorders>
              <w:top w:val="single" w:sz="8" w:space="0" w:color="000000"/>
              <w:left w:val="nil"/>
              <w:bottom w:val="single" w:sz="8" w:space="0" w:color="000000"/>
              <w:right w:val="nil"/>
            </w:tcBorders>
            <w:shd w:val="clear" w:color="auto" w:fill="auto"/>
            <w:noWrap/>
            <w:hideMark/>
          </w:tcPr>
          <w:p w:rsidR="008A62FA" w:rsidRPr="00B603A3" w:rsidRDefault="008A62FA" w:rsidP="00B603A3">
            <w:pPr>
              <w:spacing w:after="0"/>
              <w:rPr>
                <w:rFonts w:asciiTheme="minorHAnsi" w:eastAsia="Times New Roman" w:hAnsiTheme="minorHAnsi"/>
                <w:b/>
                <w:bCs/>
                <w:color w:val="000000"/>
                <w:lang w:eastAsia="es-MX"/>
              </w:rPr>
            </w:pPr>
            <w:r w:rsidRPr="00B603A3">
              <w:rPr>
                <w:rFonts w:asciiTheme="minorHAnsi" w:eastAsia="Times New Roman" w:hAnsiTheme="minorHAnsi"/>
                <w:b/>
                <w:bCs/>
                <w:color w:val="000000"/>
                <w:lang w:eastAsia="es-MX"/>
              </w:rPr>
              <w:t>TMF_Q00</w:t>
            </w:r>
          </w:p>
        </w:tc>
        <w:tc>
          <w:tcPr>
            <w:tcW w:w="1200" w:type="dxa"/>
            <w:tcBorders>
              <w:top w:val="single" w:sz="8" w:space="0" w:color="000000"/>
              <w:left w:val="nil"/>
              <w:bottom w:val="single" w:sz="8" w:space="0" w:color="000000"/>
              <w:right w:val="nil"/>
            </w:tcBorders>
            <w:shd w:val="clear" w:color="auto" w:fill="auto"/>
            <w:noWrap/>
            <w:hideMark/>
          </w:tcPr>
          <w:p w:rsidR="008A62FA" w:rsidRPr="00B603A3" w:rsidRDefault="008A62FA" w:rsidP="00B603A3">
            <w:pPr>
              <w:spacing w:after="0"/>
              <w:rPr>
                <w:rFonts w:asciiTheme="minorHAnsi" w:eastAsia="Times New Roman" w:hAnsiTheme="minorHAnsi"/>
                <w:b/>
                <w:bCs/>
                <w:color w:val="000000"/>
                <w:lang w:eastAsia="es-MX"/>
              </w:rPr>
            </w:pPr>
            <w:r w:rsidRPr="00B603A3">
              <w:rPr>
                <w:rFonts w:asciiTheme="minorHAnsi" w:eastAsia="Times New Roman" w:hAnsiTheme="minorHAnsi"/>
                <w:b/>
                <w:bCs/>
                <w:color w:val="000000"/>
                <w:lang w:eastAsia="es-MX"/>
              </w:rPr>
              <w:t>TMF_Q05</w:t>
            </w:r>
          </w:p>
        </w:tc>
        <w:tc>
          <w:tcPr>
            <w:tcW w:w="1200" w:type="dxa"/>
            <w:tcBorders>
              <w:top w:val="single" w:sz="8" w:space="0" w:color="000000"/>
              <w:left w:val="nil"/>
              <w:bottom w:val="single" w:sz="8" w:space="0" w:color="000000"/>
              <w:right w:val="nil"/>
            </w:tcBorders>
            <w:shd w:val="clear" w:color="auto" w:fill="auto"/>
            <w:noWrap/>
            <w:hideMark/>
          </w:tcPr>
          <w:p w:rsidR="008A62FA" w:rsidRPr="00B603A3" w:rsidRDefault="008A62FA" w:rsidP="00B603A3">
            <w:pPr>
              <w:spacing w:after="0"/>
              <w:rPr>
                <w:rFonts w:asciiTheme="minorHAnsi" w:eastAsia="Times New Roman" w:hAnsiTheme="minorHAnsi"/>
                <w:b/>
                <w:bCs/>
                <w:color w:val="000000"/>
                <w:lang w:eastAsia="es-MX"/>
              </w:rPr>
            </w:pPr>
            <w:r w:rsidRPr="00B603A3">
              <w:rPr>
                <w:rFonts w:asciiTheme="minorHAnsi" w:eastAsia="Times New Roman" w:hAnsiTheme="minorHAnsi"/>
                <w:b/>
                <w:bCs/>
                <w:color w:val="000000"/>
                <w:lang w:eastAsia="es-MX"/>
              </w:rPr>
              <w:t>TMI_Q00</w:t>
            </w:r>
          </w:p>
        </w:tc>
        <w:tc>
          <w:tcPr>
            <w:tcW w:w="1200" w:type="dxa"/>
            <w:tcBorders>
              <w:top w:val="single" w:sz="8" w:space="0" w:color="000000"/>
              <w:left w:val="nil"/>
              <w:bottom w:val="single" w:sz="8" w:space="0" w:color="000000"/>
              <w:right w:val="nil"/>
            </w:tcBorders>
            <w:shd w:val="clear" w:color="auto" w:fill="auto"/>
            <w:noWrap/>
            <w:hideMark/>
          </w:tcPr>
          <w:p w:rsidR="008A62FA" w:rsidRPr="00B603A3" w:rsidRDefault="008A62FA" w:rsidP="00B603A3">
            <w:pPr>
              <w:spacing w:after="0"/>
              <w:rPr>
                <w:rFonts w:asciiTheme="minorHAnsi" w:eastAsia="Times New Roman" w:hAnsiTheme="minorHAnsi"/>
                <w:b/>
                <w:bCs/>
                <w:color w:val="000000"/>
                <w:lang w:eastAsia="es-MX"/>
              </w:rPr>
            </w:pPr>
            <w:r w:rsidRPr="00B603A3">
              <w:rPr>
                <w:rFonts w:asciiTheme="minorHAnsi" w:eastAsia="Times New Roman" w:hAnsiTheme="minorHAnsi"/>
                <w:b/>
                <w:bCs/>
                <w:color w:val="000000"/>
                <w:lang w:eastAsia="es-MX"/>
              </w:rPr>
              <w:t>TMI_Q05</w:t>
            </w:r>
          </w:p>
        </w:tc>
      </w:tr>
      <w:tr w:rsidR="008A62FA" w:rsidRPr="00B603A3" w:rsidTr="00B603A3">
        <w:trPr>
          <w:trHeight w:val="300"/>
          <w:jc w:val="center"/>
        </w:trPr>
        <w:tc>
          <w:tcPr>
            <w:tcW w:w="1200" w:type="dxa"/>
            <w:tcBorders>
              <w:left w:val="nil"/>
              <w:right w:val="nil"/>
            </w:tcBorders>
            <w:shd w:val="clear" w:color="auto" w:fill="C0C0C0"/>
            <w:noWrap/>
            <w:hideMark/>
          </w:tcPr>
          <w:p w:rsidR="008A62FA" w:rsidRPr="00B603A3" w:rsidRDefault="008A62FA" w:rsidP="00B603A3">
            <w:pPr>
              <w:spacing w:after="0"/>
              <w:rPr>
                <w:rFonts w:asciiTheme="minorHAnsi" w:eastAsia="Times New Roman" w:hAnsiTheme="minorHAnsi"/>
                <w:b/>
                <w:bCs/>
                <w:color w:val="000000"/>
                <w:lang w:eastAsia="es-MX"/>
              </w:rPr>
            </w:pPr>
            <w:r w:rsidRPr="00B603A3">
              <w:rPr>
                <w:rFonts w:asciiTheme="minorHAnsi" w:eastAsia="Times New Roman" w:hAnsiTheme="minorHAnsi"/>
                <w:b/>
                <w:bCs/>
                <w:color w:val="000000"/>
                <w:lang w:eastAsia="es-MX"/>
              </w:rPr>
              <w:t>RR</w:t>
            </w:r>
          </w:p>
        </w:tc>
        <w:tc>
          <w:tcPr>
            <w:tcW w:w="1200" w:type="dxa"/>
            <w:tcBorders>
              <w:left w:val="nil"/>
              <w:right w:val="nil"/>
            </w:tcBorders>
            <w:shd w:val="clear" w:color="auto" w:fill="C0C0C0"/>
            <w:noWrap/>
            <w:hideMark/>
          </w:tcPr>
          <w:p w:rsidR="008A62FA" w:rsidRPr="00B603A3" w:rsidRDefault="008A62FA" w:rsidP="00B603A3">
            <w:pPr>
              <w:spacing w:after="0"/>
              <w:jc w:val="center"/>
              <w:rPr>
                <w:rFonts w:asciiTheme="minorHAnsi" w:eastAsia="Times New Roman" w:hAnsiTheme="minorHAnsi"/>
                <w:b/>
                <w:color w:val="000000"/>
                <w:lang w:eastAsia="es-MX"/>
              </w:rPr>
            </w:pPr>
            <w:r w:rsidRPr="00B603A3">
              <w:rPr>
                <w:rFonts w:asciiTheme="minorHAnsi" w:eastAsia="Times New Roman" w:hAnsiTheme="minorHAnsi"/>
                <w:b/>
                <w:color w:val="000000"/>
                <w:lang w:eastAsia="es-MX"/>
              </w:rPr>
              <w:t>3.6</w:t>
            </w:r>
          </w:p>
        </w:tc>
        <w:tc>
          <w:tcPr>
            <w:tcW w:w="1200" w:type="dxa"/>
            <w:tcBorders>
              <w:left w:val="nil"/>
              <w:right w:val="nil"/>
            </w:tcBorders>
            <w:shd w:val="clear" w:color="auto" w:fill="C0C0C0"/>
            <w:noWrap/>
            <w:hideMark/>
          </w:tcPr>
          <w:p w:rsidR="008A62FA" w:rsidRPr="00B603A3" w:rsidRDefault="008A62FA" w:rsidP="00B603A3">
            <w:pPr>
              <w:spacing w:after="0"/>
              <w:jc w:val="center"/>
              <w:rPr>
                <w:rFonts w:asciiTheme="minorHAnsi" w:eastAsia="Times New Roman" w:hAnsiTheme="minorHAnsi"/>
                <w:b/>
                <w:color w:val="000000"/>
                <w:lang w:eastAsia="es-MX"/>
              </w:rPr>
            </w:pPr>
            <w:r w:rsidRPr="00B603A3">
              <w:rPr>
                <w:rFonts w:asciiTheme="minorHAnsi" w:eastAsia="Times New Roman" w:hAnsiTheme="minorHAnsi"/>
                <w:b/>
                <w:color w:val="000000"/>
                <w:lang w:eastAsia="es-MX"/>
              </w:rPr>
              <w:t>3.2</w:t>
            </w:r>
          </w:p>
        </w:tc>
        <w:tc>
          <w:tcPr>
            <w:tcW w:w="1200" w:type="dxa"/>
            <w:tcBorders>
              <w:left w:val="nil"/>
              <w:right w:val="nil"/>
            </w:tcBorders>
            <w:shd w:val="clear" w:color="auto" w:fill="C0C0C0"/>
            <w:noWrap/>
            <w:hideMark/>
          </w:tcPr>
          <w:p w:rsidR="008A62FA" w:rsidRPr="00B603A3" w:rsidRDefault="008A62FA" w:rsidP="00B603A3">
            <w:pPr>
              <w:spacing w:after="0"/>
              <w:jc w:val="center"/>
              <w:rPr>
                <w:rFonts w:asciiTheme="minorHAnsi" w:eastAsia="Times New Roman" w:hAnsiTheme="minorHAnsi"/>
                <w:b/>
                <w:color w:val="000000"/>
                <w:lang w:eastAsia="es-MX"/>
              </w:rPr>
            </w:pPr>
            <w:r w:rsidRPr="00B603A3">
              <w:rPr>
                <w:rFonts w:asciiTheme="minorHAnsi" w:eastAsia="Times New Roman" w:hAnsiTheme="minorHAnsi"/>
                <w:b/>
                <w:color w:val="000000"/>
                <w:lang w:eastAsia="es-MX"/>
              </w:rPr>
              <w:t>0.82</w:t>
            </w:r>
          </w:p>
        </w:tc>
        <w:tc>
          <w:tcPr>
            <w:tcW w:w="1200" w:type="dxa"/>
            <w:tcBorders>
              <w:left w:val="nil"/>
              <w:right w:val="nil"/>
            </w:tcBorders>
            <w:shd w:val="clear" w:color="auto" w:fill="C0C0C0"/>
            <w:noWrap/>
            <w:hideMark/>
          </w:tcPr>
          <w:p w:rsidR="008A62FA" w:rsidRPr="00B603A3" w:rsidRDefault="008A62FA" w:rsidP="00B603A3">
            <w:pPr>
              <w:spacing w:after="0"/>
              <w:jc w:val="center"/>
              <w:rPr>
                <w:rFonts w:asciiTheme="minorHAnsi" w:eastAsia="Times New Roman" w:hAnsiTheme="minorHAnsi"/>
                <w:b/>
                <w:color w:val="000000"/>
                <w:lang w:eastAsia="es-MX"/>
              </w:rPr>
            </w:pPr>
            <w:r w:rsidRPr="00B603A3">
              <w:rPr>
                <w:rFonts w:asciiTheme="minorHAnsi" w:eastAsia="Times New Roman" w:hAnsiTheme="minorHAnsi"/>
                <w:b/>
                <w:color w:val="000000"/>
                <w:lang w:eastAsia="es-MX"/>
              </w:rPr>
              <w:t>6.6</w:t>
            </w:r>
          </w:p>
        </w:tc>
      </w:tr>
      <w:tr w:rsidR="008A62FA" w:rsidRPr="00B603A3" w:rsidTr="00B603A3">
        <w:trPr>
          <w:trHeight w:val="300"/>
          <w:jc w:val="center"/>
        </w:trPr>
        <w:tc>
          <w:tcPr>
            <w:tcW w:w="1200" w:type="dxa"/>
            <w:shd w:val="clear" w:color="auto" w:fill="auto"/>
            <w:noWrap/>
            <w:hideMark/>
          </w:tcPr>
          <w:p w:rsidR="008A62FA" w:rsidRPr="00B603A3" w:rsidRDefault="008A62FA" w:rsidP="00B603A3">
            <w:pPr>
              <w:spacing w:after="0"/>
              <w:rPr>
                <w:rFonts w:asciiTheme="minorHAnsi" w:eastAsia="Times New Roman" w:hAnsiTheme="minorHAnsi"/>
                <w:b/>
                <w:bCs/>
                <w:color w:val="000000"/>
                <w:lang w:eastAsia="es-MX"/>
              </w:rPr>
            </w:pPr>
            <w:r w:rsidRPr="00B603A3">
              <w:rPr>
                <w:rFonts w:asciiTheme="minorHAnsi" w:eastAsia="Times New Roman" w:hAnsiTheme="minorHAnsi"/>
                <w:b/>
                <w:bCs/>
                <w:color w:val="000000"/>
                <w:lang w:eastAsia="es-MX"/>
              </w:rPr>
              <w:t>RA(%)</w:t>
            </w:r>
          </w:p>
        </w:tc>
        <w:tc>
          <w:tcPr>
            <w:tcW w:w="1200" w:type="dxa"/>
            <w:shd w:val="clear" w:color="auto" w:fill="auto"/>
            <w:noWrap/>
            <w:hideMark/>
          </w:tcPr>
          <w:p w:rsidR="008A62FA" w:rsidRPr="00B603A3" w:rsidRDefault="008A62FA" w:rsidP="00B603A3">
            <w:pPr>
              <w:spacing w:after="0"/>
              <w:jc w:val="center"/>
              <w:rPr>
                <w:rFonts w:asciiTheme="minorHAnsi" w:eastAsia="Times New Roman" w:hAnsiTheme="minorHAnsi"/>
                <w:b/>
                <w:color w:val="000000"/>
                <w:lang w:eastAsia="es-MX"/>
              </w:rPr>
            </w:pPr>
            <w:r w:rsidRPr="00B603A3">
              <w:rPr>
                <w:rFonts w:asciiTheme="minorHAnsi" w:eastAsia="Times New Roman" w:hAnsiTheme="minorHAnsi"/>
                <w:b/>
                <w:color w:val="000000"/>
                <w:lang w:eastAsia="es-MX"/>
              </w:rPr>
              <w:t>72</w:t>
            </w:r>
          </w:p>
        </w:tc>
        <w:tc>
          <w:tcPr>
            <w:tcW w:w="1200" w:type="dxa"/>
            <w:shd w:val="clear" w:color="auto" w:fill="auto"/>
            <w:noWrap/>
            <w:hideMark/>
          </w:tcPr>
          <w:p w:rsidR="008A62FA" w:rsidRPr="00B603A3" w:rsidRDefault="008A62FA" w:rsidP="00B603A3">
            <w:pPr>
              <w:spacing w:after="0"/>
              <w:jc w:val="center"/>
              <w:rPr>
                <w:rFonts w:asciiTheme="minorHAnsi" w:eastAsia="Times New Roman" w:hAnsiTheme="minorHAnsi"/>
                <w:b/>
                <w:color w:val="000000"/>
                <w:lang w:eastAsia="es-MX"/>
              </w:rPr>
            </w:pPr>
            <w:r w:rsidRPr="00B603A3">
              <w:rPr>
                <w:rFonts w:asciiTheme="minorHAnsi" w:eastAsia="Times New Roman" w:hAnsiTheme="minorHAnsi"/>
                <w:b/>
                <w:color w:val="000000"/>
                <w:lang w:eastAsia="es-MX"/>
              </w:rPr>
              <w:t>69</w:t>
            </w:r>
          </w:p>
        </w:tc>
        <w:tc>
          <w:tcPr>
            <w:tcW w:w="1200" w:type="dxa"/>
            <w:shd w:val="clear" w:color="auto" w:fill="auto"/>
            <w:noWrap/>
            <w:hideMark/>
          </w:tcPr>
          <w:p w:rsidR="008A62FA" w:rsidRPr="00B603A3" w:rsidRDefault="008A62FA" w:rsidP="00B603A3">
            <w:pPr>
              <w:spacing w:after="0"/>
              <w:jc w:val="center"/>
              <w:rPr>
                <w:rFonts w:asciiTheme="minorHAnsi" w:eastAsia="Times New Roman" w:hAnsiTheme="minorHAnsi"/>
                <w:b/>
                <w:color w:val="000000"/>
                <w:lang w:eastAsia="es-MX"/>
              </w:rPr>
            </w:pPr>
            <w:r w:rsidRPr="00B603A3">
              <w:rPr>
                <w:rFonts w:asciiTheme="minorHAnsi" w:eastAsia="Times New Roman" w:hAnsiTheme="minorHAnsi"/>
                <w:b/>
                <w:color w:val="000000"/>
                <w:lang w:eastAsia="es-MX"/>
              </w:rPr>
              <w:t>NA</w:t>
            </w:r>
          </w:p>
        </w:tc>
        <w:tc>
          <w:tcPr>
            <w:tcW w:w="1200" w:type="dxa"/>
            <w:shd w:val="clear" w:color="auto" w:fill="auto"/>
            <w:noWrap/>
            <w:hideMark/>
          </w:tcPr>
          <w:p w:rsidR="008A62FA" w:rsidRPr="00B603A3" w:rsidRDefault="008A62FA" w:rsidP="00B603A3">
            <w:pPr>
              <w:spacing w:after="0"/>
              <w:jc w:val="center"/>
              <w:rPr>
                <w:rFonts w:asciiTheme="minorHAnsi" w:eastAsia="Times New Roman" w:hAnsiTheme="minorHAnsi"/>
                <w:b/>
                <w:color w:val="000000"/>
                <w:lang w:eastAsia="es-MX"/>
              </w:rPr>
            </w:pPr>
            <w:r w:rsidRPr="00B603A3">
              <w:rPr>
                <w:rFonts w:asciiTheme="minorHAnsi" w:eastAsia="Times New Roman" w:hAnsiTheme="minorHAnsi"/>
                <w:b/>
                <w:color w:val="000000"/>
                <w:lang w:eastAsia="es-MX"/>
              </w:rPr>
              <w:t>84</w:t>
            </w:r>
          </w:p>
        </w:tc>
      </w:tr>
    </w:tbl>
    <w:p w:rsidR="008A62FA" w:rsidRPr="00082A33" w:rsidRDefault="008A62FA" w:rsidP="00B603A3">
      <w:pPr>
        <w:pStyle w:val="Sinespaciado"/>
        <w:spacing w:line="276" w:lineRule="auto"/>
        <w:jc w:val="center"/>
        <w:rPr>
          <w:rFonts w:asciiTheme="minorHAnsi" w:hAnsiTheme="minorHAnsi" w:cs="Arial"/>
          <w:noProof/>
          <w:lang w:eastAsia="es-MX"/>
        </w:rPr>
      </w:pPr>
      <w:r w:rsidRPr="00082A33">
        <w:rPr>
          <w:rFonts w:asciiTheme="minorHAnsi" w:hAnsiTheme="minorHAnsi" w:cs="Arial"/>
          <w:noProof/>
          <w:lang w:eastAsia="es-MX"/>
        </w:rPr>
        <w:t>TMF= Tasa de mortalidad fetal, TMI=Tasa de mortalidad infantil</w:t>
      </w:r>
    </w:p>
    <w:p w:rsidR="008A62FA" w:rsidRPr="00B603A3" w:rsidRDefault="008A62FA" w:rsidP="00B603A3">
      <w:pPr>
        <w:pStyle w:val="Sinespaciado"/>
        <w:spacing w:line="276" w:lineRule="auto"/>
        <w:jc w:val="both"/>
        <w:rPr>
          <w:rFonts w:asciiTheme="minorHAnsi" w:hAnsiTheme="minorHAnsi" w:cs="Arial"/>
          <w:noProof/>
          <w:sz w:val="28"/>
          <w:szCs w:val="28"/>
          <w:lang w:eastAsia="es-MX"/>
        </w:rPr>
      </w:pP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Como se puede observar en la tabla, de acuerdo al indicador de riesgo relativo, en la zonas expuesta se presentan 3.6 veces más casos de mortalidad fetal para la causa Q00 que en las zonas no expuestas, el valor más alto se presento para la tasa de mortalidad infantil por la causa Q05, presentándose 6 veces más casos en la zona expuesta con respecto de la no expuesta.</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Con respecto al riesgo atribuible, el valor más alto lo presento la TMI_Q05, lo que significa que si se eliminará el factor de riesgo como actividad agrícola se podría evitar en un 84% la tasa de mortalidad infantil para la causa de espina bífida. Le siguió la TMF_Q00 con un 72% que se podría evitar si se eliminará el factor de riesgo. Por su parte la TMI_Q00 no presento asociación al factor de riesgo, así mismo el riesgo relativo fue el más bajo. </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jc w:val="both"/>
        <w:rPr>
          <w:rFonts w:asciiTheme="minorHAnsi" w:hAnsiTheme="minorHAnsi" w:cs="Arial"/>
          <w:b/>
          <w:noProof/>
          <w:sz w:val="28"/>
          <w:szCs w:val="28"/>
          <w:lang w:eastAsia="es-MX"/>
        </w:rPr>
      </w:pPr>
      <w:r w:rsidRPr="00B603A3">
        <w:rPr>
          <w:rFonts w:asciiTheme="minorHAnsi" w:hAnsiTheme="minorHAnsi" w:cs="Arial"/>
          <w:b/>
          <w:noProof/>
          <w:sz w:val="28"/>
          <w:szCs w:val="28"/>
          <w:lang w:eastAsia="es-MX"/>
        </w:rPr>
        <w:t xml:space="preserve">Conclusión </w:t>
      </w:r>
    </w:p>
    <w:p w:rsidR="00D30DBE" w:rsidRPr="00082A33" w:rsidRDefault="00D30DBE" w:rsidP="00D30DBE">
      <w:pPr>
        <w:pStyle w:val="Sinespaciado"/>
        <w:spacing w:line="276" w:lineRule="auto"/>
        <w:jc w:val="both"/>
        <w:rPr>
          <w:rFonts w:asciiTheme="minorHAnsi" w:hAnsiTheme="minorHAnsi" w:cs="Arial"/>
          <w:noProof/>
          <w:sz w:val="24"/>
          <w:szCs w:val="24"/>
          <w:lang w:eastAsia="es-MX"/>
        </w:rPr>
      </w:pPr>
    </w:p>
    <w:p w:rsidR="00D30DBE" w:rsidRPr="00082A33" w:rsidRDefault="00D30DBE" w:rsidP="00D30DBE">
      <w:pPr>
        <w:pStyle w:val="Sinespaciado"/>
        <w:spacing w:line="276" w:lineRule="auto"/>
        <w:jc w:val="both"/>
        <w:rPr>
          <w:rFonts w:asciiTheme="minorHAnsi" w:hAnsiTheme="minorHAnsi" w:cs="Arial"/>
          <w:noProof/>
          <w:sz w:val="24"/>
          <w:szCs w:val="24"/>
          <w:lang w:eastAsia="es-MX"/>
        </w:rPr>
      </w:pPr>
      <w:r w:rsidRPr="00082A33">
        <w:rPr>
          <w:rFonts w:asciiTheme="minorHAnsi" w:hAnsiTheme="minorHAnsi" w:cs="Arial"/>
          <w:noProof/>
          <w:sz w:val="24"/>
          <w:szCs w:val="24"/>
          <w:lang w:eastAsia="es-MX"/>
        </w:rPr>
        <w:t>La caracterización de la zona de estudio ha permitido una comprensión de la dinámica del sistema del corredor florícola del Estado de México, entre los aspectos más sobresalientes se encuentran los siguientes:</w:t>
      </w:r>
    </w:p>
    <w:p w:rsidR="00D30DBE" w:rsidRPr="00082A33" w:rsidRDefault="00D30DBE" w:rsidP="00D30DBE">
      <w:pPr>
        <w:pStyle w:val="Sinespaciado"/>
        <w:spacing w:line="276" w:lineRule="auto"/>
        <w:jc w:val="both"/>
        <w:rPr>
          <w:rFonts w:asciiTheme="minorHAnsi" w:hAnsiTheme="minorHAnsi" w:cs="Arial"/>
          <w:noProof/>
          <w:sz w:val="24"/>
          <w:szCs w:val="24"/>
          <w:lang w:eastAsia="es-MX"/>
        </w:rPr>
      </w:pPr>
    </w:p>
    <w:p w:rsidR="00D30DBE" w:rsidRPr="00082A33" w:rsidRDefault="00D30DBE" w:rsidP="00082A33">
      <w:pPr>
        <w:pStyle w:val="Sinespaciado"/>
        <w:numPr>
          <w:ilvl w:val="0"/>
          <w:numId w:val="23"/>
        </w:numPr>
        <w:spacing w:line="276" w:lineRule="auto"/>
        <w:jc w:val="both"/>
        <w:rPr>
          <w:rFonts w:asciiTheme="minorHAnsi" w:hAnsiTheme="minorHAnsi" w:cs="Arial"/>
          <w:noProof/>
          <w:sz w:val="24"/>
          <w:szCs w:val="24"/>
          <w:lang w:eastAsia="es-MX"/>
        </w:rPr>
      </w:pPr>
      <w:r w:rsidRPr="00082A33">
        <w:rPr>
          <w:rFonts w:asciiTheme="minorHAnsi" w:hAnsiTheme="minorHAnsi" w:cs="Arial"/>
          <w:noProof/>
          <w:sz w:val="24"/>
          <w:szCs w:val="24"/>
          <w:lang w:eastAsia="es-MX"/>
        </w:rPr>
        <w:t>El corredor florícola del Estado de México comprende ocho municipios, se encuentran dentro de la subcuenca del Alto Amacuzac, que corresponde a la Región hidrológica Número 18, Cuenca del Balsas.</w:t>
      </w:r>
    </w:p>
    <w:p w:rsidR="00D30DBE" w:rsidRPr="00082A33" w:rsidRDefault="00D30DBE" w:rsidP="00D30DBE">
      <w:pPr>
        <w:pStyle w:val="Sinespaciado"/>
        <w:spacing w:line="276" w:lineRule="auto"/>
        <w:ind w:firstLine="60"/>
        <w:jc w:val="both"/>
        <w:rPr>
          <w:rFonts w:asciiTheme="minorHAnsi" w:hAnsiTheme="minorHAnsi" w:cs="Arial"/>
          <w:noProof/>
          <w:sz w:val="24"/>
          <w:szCs w:val="24"/>
          <w:lang w:eastAsia="es-MX"/>
        </w:rPr>
      </w:pPr>
    </w:p>
    <w:p w:rsidR="00D30DBE" w:rsidRPr="00082A33" w:rsidRDefault="00D30DBE" w:rsidP="00082A33">
      <w:pPr>
        <w:pStyle w:val="Sinespaciado"/>
        <w:numPr>
          <w:ilvl w:val="0"/>
          <w:numId w:val="23"/>
        </w:numPr>
        <w:spacing w:line="276" w:lineRule="auto"/>
        <w:jc w:val="both"/>
        <w:rPr>
          <w:rFonts w:asciiTheme="minorHAnsi" w:hAnsiTheme="minorHAnsi" w:cs="Arial"/>
          <w:noProof/>
          <w:sz w:val="24"/>
          <w:szCs w:val="24"/>
          <w:lang w:eastAsia="es-MX"/>
        </w:rPr>
      </w:pPr>
      <w:r w:rsidRPr="00082A33">
        <w:rPr>
          <w:rFonts w:asciiTheme="minorHAnsi" w:hAnsiTheme="minorHAnsi" w:cs="Arial"/>
          <w:noProof/>
          <w:sz w:val="24"/>
          <w:szCs w:val="24"/>
          <w:lang w:eastAsia="es-MX"/>
        </w:rPr>
        <w:t>Los  elementos como el clima y sus variables de temperatura y precipitación así como otros factores geográficos favorecen la producción de flor de corte en los municipios del corredor florícola, identificándose una región climática de templado y semicálido, con temperaturas entre los 13 y 24°C y precipitación de 500 a 1500 mm al año.</w:t>
      </w:r>
    </w:p>
    <w:p w:rsidR="00D30DBE" w:rsidRPr="00082A33" w:rsidRDefault="00D30DBE" w:rsidP="00D30DBE">
      <w:pPr>
        <w:pStyle w:val="Sinespaciado"/>
        <w:spacing w:line="276" w:lineRule="auto"/>
        <w:jc w:val="both"/>
        <w:rPr>
          <w:rFonts w:asciiTheme="minorHAnsi" w:hAnsiTheme="minorHAnsi" w:cs="Arial"/>
          <w:noProof/>
          <w:sz w:val="24"/>
          <w:szCs w:val="24"/>
          <w:lang w:eastAsia="es-MX"/>
        </w:rPr>
      </w:pPr>
    </w:p>
    <w:p w:rsidR="00D30DBE" w:rsidRPr="00082A33" w:rsidRDefault="00D30DBE" w:rsidP="00082A33">
      <w:pPr>
        <w:pStyle w:val="Sinespaciado"/>
        <w:numPr>
          <w:ilvl w:val="0"/>
          <w:numId w:val="23"/>
        </w:numPr>
        <w:spacing w:line="276" w:lineRule="auto"/>
        <w:jc w:val="both"/>
        <w:rPr>
          <w:rFonts w:asciiTheme="minorHAnsi" w:hAnsiTheme="minorHAnsi" w:cs="Arial"/>
          <w:noProof/>
          <w:sz w:val="24"/>
          <w:szCs w:val="24"/>
          <w:lang w:eastAsia="es-MX"/>
        </w:rPr>
      </w:pPr>
      <w:r w:rsidRPr="00082A33">
        <w:rPr>
          <w:rFonts w:asciiTheme="minorHAnsi" w:hAnsiTheme="minorHAnsi" w:cs="Arial"/>
          <w:noProof/>
          <w:sz w:val="24"/>
          <w:szCs w:val="24"/>
          <w:lang w:eastAsia="es-MX"/>
        </w:rPr>
        <w:t>La producción florícola se presenta en zonas con abundantes escurrimientos superficiales, existe una relación entre un mayor número de cauces y los municipios de mayor producción de flor destacándose Villa Guerrero, Tenancingo y Coatepec Harinas; aspecto que puede apreciarse además en la cobertura de uso de suelo agrícola (incluye floricultura).</w:t>
      </w:r>
    </w:p>
    <w:p w:rsidR="00D30DBE" w:rsidRPr="00082A33" w:rsidRDefault="00D30DBE" w:rsidP="00D30DBE">
      <w:pPr>
        <w:pStyle w:val="Sinespaciado"/>
        <w:spacing w:line="276" w:lineRule="auto"/>
        <w:jc w:val="both"/>
        <w:rPr>
          <w:rFonts w:asciiTheme="minorHAnsi" w:hAnsiTheme="minorHAnsi" w:cs="Arial"/>
          <w:noProof/>
          <w:sz w:val="24"/>
          <w:szCs w:val="24"/>
          <w:lang w:eastAsia="es-MX"/>
        </w:rPr>
      </w:pPr>
    </w:p>
    <w:p w:rsidR="00D30DBE" w:rsidRPr="00082A33" w:rsidRDefault="00D30DBE" w:rsidP="00082A33">
      <w:pPr>
        <w:pStyle w:val="Sinespaciado"/>
        <w:numPr>
          <w:ilvl w:val="0"/>
          <w:numId w:val="23"/>
        </w:numPr>
        <w:spacing w:line="276" w:lineRule="auto"/>
        <w:jc w:val="both"/>
        <w:rPr>
          <w:rFonts w:asciiTheme="minorHAnsi" w:hAnsiTheme="minorHAnsi" w:cs="Arial"/>
          <w:noProof/>
          <w:sz w:val="24"/>
          <w:szCs w:val="24"/>
          <w:lang w:eastAsia="es-MX"/>
        </w:rPr>
      </w:pPr>
      <w:r w:rsidRPr="00082A33">
        <w:rPr>
          <w:rFonts w:asciiTheme="minorHAnsi" w:hAnsiTheme="minorHAnsi" w:cs="Arial"/>
          <w:noProof/>
          <w:sz w:val="24"/>
          <w:szCs w:val="24"/>
          <w:lang w:eastAsia="es-MX"/>
        </w:rPr>
        <w:t xml:space="preserve">Con respecto al uso del suelo se identificó que de la superficie de la subcuenca del Alto Amacuzac y del Corredor florícola se destina al uso agrícola, en un 43 y 41% del total del territorio respectivamente. </w:t>
      </w:r>
    </w:p>
    <w:p w:rsidR="00D30DBE" w:rsidRPr="00082A33" w:rsidRDefault="00D30DBE" w:rsidP="00D30DBE">
      <w:pPr>
        <w:pStyle w:val="Sinespaciado"/>
        <w:spacing w:line="276" w:lineRule="auto"/>
        <w:jc w:val="both"/>
        <w:rPr>
          <w:rFonts w:asciiTheme="minorHAnsi" w:hAnsiTheme="minorHAnsi" w:cs="Arial"/>
          <w:noProof/>
          <w:sz w:val="24"/>
          <w:szCs w:val="24"/>
          <w:lang w:eastAsia="es-MX"/>
        </w:rPr>
      </w:pPr>
    </w:p>
    <w:p w:rsidR="00D30DBE" w:rsidRPr="00082A33" w:rsidRDefault="00D30DBE" w:rsidP="00082A33">
      <w:pPr>
        <w:pStyle w:val="Sinespaciado"/>
        <w:numPr>
          <w:ilvl w:val="0"/>
          <w:numId w:val="23"/>
        </w:numPr>
        <w:spacing w:line="276" w:lineRule="auto"/>
        <w:jc w:val="both"/>
        <w:rPr>
          <w:rFonts w:asciiTheme="minorHAnsi" w:hAnsiTheme="minorHAnsi" w:cs="Arial"/>
          <w:noProof/>
          <w:sz w:val="24"/>
          <w:szCs w:val="24"/>
          <w:lang w:eastAsia="es-MX"/>
        </w:rPr>
      </w:pPr>
      <w:r w:rsidRPr="00082A33">
        <w:rPr>
          <w:rFonts w:asciiTheme="minorHAnsi" w:hAnsiTheme="minorHAnsi" w:cs="Arial"/>
          <w:noProof/>
          <w:sz w:val="24"/>
          <w:szCs w:val="24"/>
          <w:lang w:eastAsia="es-MX"/>
        </w:rPr>
        <w:t>Según el Censo agropecuario 2007, los municipios con un mayor número de unidades de producción son Tenancingo, Villa Guerrero y Coatepec Harinas, la mayor parte de la superficie corresponde a cultivos de temporal. Mientras que el sistema de irrigación más utilizado son los canales de tierra y los recubiertos; con una fuente de agua de ríos, manantiales y bordos o presas de aguas blancas.</w:t>
      </w:r>
    </w:p>
    <w:p w:rsidR="00D30DBE" w:rsidRPr="00082A33" w:rsidRDefault="00D30DBE" w:rsidP="00D30DBE">
      <w:pPr>
        <w:pStyle w:val="Sinespaciado"/>
        <w:spacing w:line="276" w:lineRule="auto"/>
        <w:jc w:val="both"/>
        <w:rPr>
          <w:rFonts w:asciiTheme="minorHAnsi" w:hAnsiTheme="minorHAnsi" w:cs="Arial"/>
          <w:noProof/>
          <w:sz w:val="24"/>
          <w:szCs w:val="24"/>
          <w:lang w:eastAsia="es-MX"/>
        </w:rPr>
      </w:pPr>
    </w:p>
    <w:p w:rsidR="00D30DBE" w:rsidRPr="00082A33" w:rsidRDefault="00D30DBE" w:rsidP="00082A33">
      <w:pPr>
        <w:pStyle w:val="Sinespaciado"/>
        <w:numPr>
          <w:ilvl w:val="0"/>
          <w:numId w:val="23"/>
        </w:numPr>
        <w:spacing w:line="276" w:lineRule="auto"/>
        <w:jc w:val="both"/>
        <w:rPr>
          <w:rFonts w:asciiTheme="minorHAnsi" w:hAnsiTheme="minorHAnsi" w:cs="Arial"/>
          <w:noProof/>
          <w:sz w:val="24"/>
          <w:szCs w:val="24"/>
          <w:lang w:eastAsia="es-MX"/>
        </w:rPr>
      </w:pPr>
      <w:r w:rsidRPr="00082A33">
        <w:rPr>
          <w:rFonts w:asciiTheme="minorHAnsi" w:hAnsiTheme="minorHAnsi" w:cs="Arial"/>
          <w:noProof/>
          <w:sz w:val="24"/>
          <w:szCs w:val="24"/>
          <w:lang w:eastAsia="es-MX"/>
        </w:rPr>
        <w:t>En términos de cobertura de servicios médicos: de los 8 municipios que conforman el corredor florícola 3 no cuentan con una unidad de hospitalización, pero son los menos poblados (Almoloya de Alquisiras, Tonatico y Zumpahuacán).</w:t>
      </w:r>
    </w:p>
    <w:p w:rsidR="00D30DBE" w:rsidRPr="00082A33" w:rsidRDefault="00D30DBE" w:rsidP="00D30DBE">
      <w:pPr>
        <w:pStyle w:val="Sinespaciado"/>
        <w:spacing w:line="276" w:lineRule="auto"/>
        <w:jc w:val="both"/>
        <w:rPr>
          <w:rFonts w:asciiTheme="minorHAnsi" w:hAnsiTheme="minorHAnsi" w:cs="Arial"/>
          <w:noProof/>
          <w:sz w:val="24"/>
          <w:szCs w:val="24"/>
          <w:lang w:eastAsia="es-MX"/>
        </w:rPr>
      </w:pPr>
    </w:p>
    <w:p w:rsidR="00D30DBE" w:rsidRPr="00082A33" w:rsidRDefault="00D30DBE" w:rsidP="00082A33">
      <w:pPr>
        <w:pStyle w:val="Sinespaciado"/>
        <w:numPr>
          <w:ilvl w:val="0"/>
          <w:numId w:val="23"/>
        </w:numPr>
        <w:spacing w:line="276" w:lineRule="auto"/>
        <w:jc w:val="both"/>
        <w:rPr>
          <w:rFonts w:asciiTheme="minorHAnsi" w:hAnsiTheme="minorHAnsi" w:cs="Arial"/>
          <w:noProof/>
          <w:sz w:val="24"/>
          <w:szCs w:val="24"/>
          <w:lang w:eastAsia="es-MX"/>
        </w:rPr>
      </w:pPr>
      <w:r w:rsidRPr="00082A33">
        <w:rPr>
          <w:rFonts w:asciiTheme="minorHAnsi" w:hAnsiTheme="minorHAnsi" w:cs="Arial"/>
          <w:noProof/>
          <w:sz w:val="24"/>
          <w:szCs w:val="24"/>
          <w:lang w:eastAsia="es-MX"/>
        </w:rPr>
        <w:t>Un caso interesante es Malinalco, es el que mejor cobertura tiene: 14 unidades de C.E y 2 Hospitales para una población de 25,624, en comparación con Tenancingo que cuenta con 13 unidades de C.E y 2 Hospitales, pero una población de 90,946, o Villa Guerrero con 12 unidades de C.E, 1 Hospital, pero una población de 59, 991 habitantes, según el Censo de población 2010.</w:t>
      </w:r>
    </w:p>
    <w:p w:rsidR="00D30DBE" w:rsidRPr="00082A33" w:rsidRDefault="00D30DBE" w:rsidP="00D30DBE">
      <w:pPr>
        <w:pStyle w:val="Sinespaciado"/>
        <w:spacing w:line="276" w:lineRule="auto"/>
        <w:jc w:val="both"/>
        <w:rPr>
          <w:rFonts w:asciiTheme="minorHAnsi" w:hAnsiTheme="minorHAnsi" w:cs="Arial"/>
          <w:noProof/>
          <w:sz w:val="24"/>
          <w:szCs w:val="24"/>
          <w:lang w:eastAsia="es-MX"/>
        </w:rPr>
      </w:pPr>
    </w:p>
    <w:p w:rsidR="00D30DBE" w:rsidRPr="00082A33" w:rsidRDefault="00D30DBE" w:rsidP="00082A33">
      <w:pPr>
        <w:pStyle w:val="Sinespaciado"/>
        <w:numPr>
          <w:ilvl w:val="0"/>
          <w:numId w:val="23"/>
        </w:numPr>
        <w:spacing w:line="276" w:lineRule="auto"/>
        <w:jc w:val="both"/>
        <w:rPr>
          <w:rFonts w:asciiTheme="minorHAnsi" w:hAnsiTheme="minorHAnsi" w:cs="Arial"/>
          <w:noProof/>
          <w:sz w:val="24"/>
          <w:szCs w:val="24"/>
          <w:lang w:eastAsia="es-MX"/>
        </w:rPr>
      </w:pPr>
      <w:r w:rsidRPr="00082A33">
        <w:rPr>
          <w:rFonts w:asciiTheme="minorHAnsi" w:hAnsiTheme="minorHAnsi" w:cs="Arial"/>
          <w:noProof/>
          <w:sz w:val="24"/>
          <w:szCs w:val="24"/>
          <w:lang w:eastAsia="es-MX"/>
        </w:rPr>
        <w:t>Con respecto a la estructura demográfica de la población, se presenta baja natalidad evidente en los grupos de edad de los 0 a 4 años, afectando más al sexo femenino, de los municipios de Almoloya de Alquisiras y Villa Guerrero. Se aprecia también una disminución en los grupos de edad de los 15 a 34 años de edad especialmente en  Almoloya de Alquisiras, Coatepec Harinas y Tonatico. El 48.6% corresponde a población de hombres y 51.3% mujeres.</w:t>
      </w:r>
    </w:p>
    <w:p w:rsidR="00D30DBE" w:rsidRPr="00082A33" w:rsidRDefault="00D30DBE" w:rsidP="00D30DBE">
      <w:pPr>
        <w:pStyle w:val="Sinespaciado"/>
        <w:spacing w:line="276" w:lineRule="auto"/>
        <w:jc w:val="both"/>
        <w:rPr>
          <w:rFonts w:asciiTheme="minorHAnsi" w:hAnsiTheme="minorHAnsi" w:cs="Arial"/>
          <w:noProof/>
          <w:sz w:val="24"/>
          <w:szCs w:val="24"/>
          <w:lang w:eastAsia="es-MX"/>
        </w:rPr>
      </w:pPr>
    </w:p>
    <w:p w:rsidR="00D30DBE" w:rsidRPr="00082A33" w:rsidRDefault="00D30DBE" w:rsidP="00082A33">
      <w:pPr>
        <w:pStyle w:val="Sinespaciado"/>
        <w:numPr>
          <w:ilvl w:val="0"/>
          <w:numId w:val="23"/>
        </w:numPr>
        <w:spacing w:line="276" w:lineRule="auto"/>
        <w:jc w:val="both"/>
        <w:rPr>
          <w:rFonts w:asciiTheme="minorHAnsi" w:hAnsiTheme="minorHAnsi" w:cs="Arial"/>
          <w:noProof/>
          <w:sz w:val="24"/>
          <w:szCs w:val="24"/>
          <w:lang w:eastAsia="es-MX"/>
        </w:rPr>
      </w:pPr>
      <w:r w:rsidRPr="00082A33">
        <w:rPr>
          <w:rFonts w:asciiTheme="minorHAnsi" w:hAnsiTheme="minorHAnsi" w:cs="Arial"/>
          <w:noProof/>
          <w:sz w:val="24"/>
          <w:szCs w:val="24"/>
          <w:lang w:eastAsia="es-MX"/>
        </w:rPr>
        <w:t xml:space="preserve">Villa Guerrero, Tenancingo y Coatepec Harinas tienen una mayor participación en el corredor florícola por la superficie destinada a la agricultura, por el mayor número de unidades de producción; </w:t>
      </w:r>
    </w:p>
    <w:p w:rsidR="00D30DBE" w:rsidRPr="00082A33" w:rsidRDefault="00D30DBE" w:rsidP="00D30DBE">
      <w:pPr>
        <w:pStyle w:val="Prrafodelista"/>
        <w:rPr>
          <w:rFonts w:asciiTheme="minorHAnsi" w:hAnsiTheme="minorHAnsi" w:cs="Arial"/>
          <w:noProof/>
          <w:sz w:val="24"/>
          <w:szCs w:val="24"/>
          <w:lang w:eastAsia="es-MX"/>
        </w:rPr>
      </w:pPr>
    </w:p>
    <w:p w:rsidR="00D30DBE" w:rsidRPr="00082A33" w:rsidRDefault="00D30DBE" w:rsidP="00082A33">
      <w:pPr>
        <w:pStyle w:val="Prrafodelista"/>
        <w:numPr>
          <w:ilvl w:val="0"/>
          <w:numId w:val="23"/>
        </w:numPr>
        <w:autoSpaceDE w:val="0"/>
        <w:autoSpaceDN w:val="0"/>
        <w:adjustRightInd w:val="0"/>
        <w:spacing w:after="0"/>
        <w:jc w:val="both"/>
        <w:rPr>
          <w:rFonts w:asciiTheme="minorHAnsi" w:hAnsiTheme="minorHAnsi" w:cs="Arial"/>
          <w:noProof/>
          <w:sz w:val="24"/>
          <w:szCs w:val="24"/>
          <w:lang w:eastAsia="es-MX"/>
        </w:rPr>
      </w:pPr>
      <w:r w:rsidRPr="00082A33">
        <w:rPr>
          <w:rFonts w:asciiTheme="minorHAnsi" w:hAnsiTheme="minorHAnsi" w:cs="Arial"/>
          <w:noProof/>
          <w:sz w:val="24"/>
          <w:szCs w:val="24"/>
          <w:lang w:eastAsia="es-MX"/>
        </w:rPr>
        <w:t>El sexo de mayor participación en las labores agrícolas es el hombre, la mayor fuerza de producción se encuentra entre los 28 y 60 años, aunque en los municipios ya mencionados las mujeres y población de 12 años y menos se está insertando en estas actividades, especialmente si son familiares del productor.</w:t>
      </w:r>
    </w:p>
    <w:p w:rsidR="00D30DBE" w:rsidRPr="00082A33" w:rsidRDefault="00D30DBE" w:rsidP="00D30DBE">
      <w:pPr>
        <w:autoSpaceDE w:val="0"/>
        <w:autoSpaceDN w:val="0"/>
        <w:adjustRightInd w:val="0"/>
        <w:spacing w:after="0"/>
        <w:jc w:val="both"/>
        <w:rPr>
          <w:rFonts w:asciiTheme="minorHAnsi" w:hAnsiTheme="minorHAnsi" w:cs="Arial"/>
          <w:noProof/>
          <w:sz w:val="24"/>
          <w:szCs w:val="24"/>
          <w:lang w:eastAsia="es-MX"/>
        </w:rPr>
      </w:pPr>
    </w:p>
    <w:p w:rsidR="00D30DBE" w:rsidRPr="00082A33" w:rsidRDefault="00D30DBE" w:rsidP="00082A33">
      <w:pPr>
        <w:pStyle w:val="Prrafodelista"/>
        <w:numPr>
          <w:ilvl w:val="0"/>
          <w:numId w:val="23"/>
        </w:numPr>
        <w:autoSpaceDE w:val="0"/>
        <w:autoSpaceDN w:val="0"/>
        <w:adjustRightInd w:val="0"/>
        <w:spacing w:after="0"/>
        <w:jc w:val="both"/>
        <w:rPr>
          <w:rFonts w:asciiTheme="minorHAnsi" w:hAnsiTheme="minorHAnsi" w:cs="Arial"/>
          <w:noProof/>
          <w:sz w:val="24"/>
          <w:szCs w:val="24"/>
          <w:lang w:eastAsia="es-MX"/>
        </w:rPr>
      </w:pPr>
      <w:r w:rsidRPr="00082A33">
        <w:rPr>
          <w:rFonts w:asciiTheme="minorHAnsi" w:hAnsiTheme="minorHAnsi" w:cs="Arial"/>
          <w:noProof/>
          <w:sz w:val="24"/>
          <w:szCs w:val="24"/>
          <w:lang w:eastAsia="es-MX"/>
        </w:rPr>
        <w:t>La mayor parte del personal es contratado por un período menor a los seis meses y es proveniente del mismo municipio.</w:t>
      </w:r>
    </w:p>
    <w:p w:rsidR="00D30DBE" w:rsidRPr="00082A33" w:rsidRDefault="00D30DBE" w:rsidP="00D30DBE">
      <w:pPr>
        <w:autoSpaceDE w:val="0"/>
        <w:autoSpaceDN w:val="0"/>
        <w:adjustRightInd w:val="0"/>
        <w:spacing w:after="0"/>
        <w:jc w:val="both"/>
        <w:rPr>
          <w:rFonts w:asciiTheme="minorHAnsi" w:hAnsiTheme="minorHAnsi" w:cs="Arial"/>
          <w:noProof/>
          <w:sz w:val="24"/>
          <w:szCs w:val="24"/>
          <w:lang w:eastAsia="es-MX"/>
        </w:rPr>
      </w:pPr>
    </w:p>
    <w:p w:rsidR="00D30DBE" w:rsidRPr="00082A33" w:rsidRDefault="00D30DBE" w:rsidP="00082A33">
      <w:pPr>
        <w:pStyle w:val="Prrafodelista"/>
        <w:numPr>
          <w:ilvl w:val="0"/>
          <w:numId w:val="23"/>
        </w:numPr>
        <w:autoSpaceDE w:val="0"/>
        <w:autoSpaceDN w:val="0"/>
        <w:adjustRightInd w:val="0"/>
        <w:spacing w:after="0"/>
        <w:jc w:val="both"/>
        <w:rPr>
          <w:rFonts w:asciiTheme="minorHAnsi" w:hAnsiTheme="minorHAnsi" w:cs="Arial"/>
          <w:noProof/>
          <w:sz w:val="24"/>
          <w:szCs w:val="24"/>
          <w:lang w:eastAsia="es-MX"/>
        </w:rPr>
      </w:pPr>
      <w:r w:rsidRPr="00082A33">
        <w:rPr>
          <w:rFonts w:asciiTheme="minorHAnsi" w:hAnsiTheme="minorHAnsi" w:cs="Arial"/>
          <w:noProof/>
          <w:sz w:val="24"/>
          <w:szCs w:val="24"/>
          <w:lang w:eastAsia="es-MX"/>
        </w:rPr>
        <w:t>Las fuentes de plaguicidas son de origen químico en vez de orgánico, lo que indica un foco de riesgo a la población expuesta, por los efectos dañinos de estos a la salud humana.</w:t>
      </w:r>
    </w:p>
    <w:p w:rsidR="00D30DBE" w:rsidRDefault="00D30DBE" w:rsidP="00B603A3">
      <w:pPr>
        <w:pStyle w:val="Sinespaciado"/>
        <w:spacing w:line="276" w:lineRule="auto"/>
        <w:jc w:val="both"/>
        <w:rPr>
          <w:rFonts w:asciiTheme="minorHAnsi" w:hAnsiTheme="minorHAnsi" w:cs="Arial"/>
          <w:noProof/>
          <w:sz w:val="24"/>
          <w:szCs w:val="24"/>
          <w:lang w:eastAsia="es-MX"/>
        </w:rPr>
      </w:pPr>
    </w:p>
    <w:p w:rsidR="00684A71" w:rsidRPr="00082A33" w:rsidRDefault="00684A71" w:rsidP="00082A33">
      <w:pPr>
        <w:jc w:val="both"/>
        <w:rPr>
          <w:rFonts w:asciiTheme="minorHAnsi" w:hAnsiTheme="minorHAnsi" w:cs="Arial"/>
          <w:noProof/>
          <w:sz w:val="24"/>
          <w:szCs w:val="24"/>
          <w:lang w:eastAsia="es-MX"/>
        </w:rPr>
      </w:pPr>
      <w:r w:rsidRPr="00082A33">
        <w:rPr>
          <w:rFonts w:asciiTheme="minorHAnsi" w:hAnsiTheme="minorHAnsi" w:cs="Arial"/>
          <w:noProof/>
          <w:sz w:val="24"/>
          <w:szCs w:val="24"/>
          <w:lang w:eastAsia="es-MX"/>
        </w:rPr>
        <w:t>Hasta la fecha, se han realizado pruebas de laboratorio en la Facultad de Química de la UAEMéx en muestras de suelo para detectar los plaguicidas Metomilo y Endosulfán, así como la generación previa de las curvas de calibración de cada una, bajo los métodos establecidos en las Normas Oficiales Mexicanas.</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Los resultados muestran una asociación entre la actividad ocupacional agrícola por su exposición a plaguicidas, y las malformaciones congénitas de Anencefalia y Espina bífida para la población fetal e infantil del CFEM. Lo que permitirá establecer medidas de prevención a fin de disminuir en el mayor grado posible tanto las tasas como el de mortalidad.</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jc w:val="both"/>
        <w:rPr>
          <w:rFonts w:asciiTheme="minorHAnsi" w:hAnsiTheme="minorHAnsi" w:cs="Arial"/>
          <w:b/>
          <w:noProof/>
          <w:sz w:val="28"/>
          <w:szCs w:val="28"/>
          <w:lang w:eastAsia="es-MX"/>
        </w:rPr>
      </w:pPr>
      <w:r w:rsidRPr="00B603A3">
        <w:rPr>
          <w:rFonts w:asciiTheme="minorHAnsi" w:hAnsiTheme="minorHAnsi" w:cs="Arial"/>
          <w:b/>
          <w:noProof/>
          <w:sz w:val="28"/>
          <w:szCs w:val="28"/>
          <w:lang w:eastAsia="es-MX"/>
        </w:rPr>
        <w:t>Bibliografía</w:t>
      </w:r>
    </w:p>
    <w:p w:rsidR="008A62FA" w:rsidRPr="00B603A3" w:rsidRDefault="008A62FA" w:rsidP="00B603A3">
      <w:pPr>
        <w:pStyle w:val="Sinespaciado"/>
        <w:spacing w:line="276" w:lineRule="auto"/>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Argimon J, Jiménez J. Métodos de investigación clínica y epidemiológica. 2ª ed. Barcelona: Elsevier; 2000.</w:t>
      </w:r>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ATSDR.  Resumen de Salud Pública Diclorvos CAS #: 62-73-7.DEPARTAMENTO DE SALUD Y SERVICIOS HUMANOS de los EE.UU. Atlanta. 1997. [Acceso: 22 abril de 2014]. Disponible en: </w:t>
      </w:r>
      <w:hyperlink r:id="rId27" w:history="1">
        <w:r w:rsidRPr="00B603A3">
          <w:rPr>
            <w:rStyle w:val="Hipervnculo"/>
            <w:rFonts w:asciiTheme="minorHAnsi" w:hAnsiTheme="minorHAnsi" w:cs="Arial"/>
            <w:noProof/>
            <w:sz w:val="24"/>
            <w:szCs w:val="24"/>
            <w:lang w:eastAsia="es-MX"/>
          </w:rPr>
          <w:t>http://www.atsdr.cdc.gov/es/phs/es_phs88.html</w:t>
        </w:r>
      </w:hyperlink>
      <w:r w:rsidRPr="00B603A3">
        <w:rPr>
          <w:rFonts w:asciiTheme="minorHAnsi" w:hAnsiTheme="minorHAnsi" w:cs="Arial"/>
          <w:noProof/>
          <w:sz w:val="24"/>
          <w:szCs w:val="24"/>
          <w:lang w:eastAsia="es-MX"/>
        </w:rPr>
        <w:t xml:space="preserve">  </w:t>
      </w:r>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CONABIO. Casas G. Climas del Estado de México 1:50 000. Instituto de Biología, UNAM, Portal de Geoinformación. Catalogo de metadatos geográficos. 1997. Publicado en 2009. [Fecha de acceso: 7 de abril de 2014]. Disponible en: </w:t>
      </w:r>
      <w:hyperlink r:id="rId28" w:history="1">
        <w:r w:rsidRPr="00B603A3">
          <w:rPr>
            <w:rStyle w:val="Hipervnculo"/>
            <w:rFonts w:asciiTheme="minorHAnsi" w:hAnsiTheme="minorHAnsi" w:cs="Arial"/>
            <w:noProof/>
            <w:sz w:val="24"/>
            <w:szCs w:val="24"/>
            <w:lang w:eastAsia="es-MX"/>
          </w:rPr>
          <w:t>http://www.conabio.gob.mx/informacion/gis/</w:t>
        </w:r>
      </w:hyperlink>
      <w:r w:rsidRPr="00B603A3">
        <w:rPr>
          <w:rFonts w:asciiTheme="minorHAnsi" w:hAnsiTheme="minorHAnsi" w:cs="Arial"/>
          <w:noProof/>
          <w:sz w:val="24"/>
          <w:szCs w:val="24"/>
          <w:lang w:eastAsia="es-MX"/>
        </w:rPr>
        <w:t xml:space="preserve">  </w:t>
      </w:r>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DEIS. Definiciones y conceptos en estadísticas de la Salud. Ministerio de Salud, Presidencia de la Nación. 2014. [Acceso: 18 de septiembre de 2014]. Disponible en: </w:t>
      </w:r>
      <w:hyperlink r:id="rId29" w:anchor="5" w:history="1">
        <w:r w:rsidRPr="00B603A3">
          <w:rPr>
            <w:rStyle w:val="Hipervnculo"/>
            <w:rFonts w:asciiTheme="minorHAnsi" w:hAnsiTheme="minorHAnsi" w:cs="Arial"/>
            <w:noProof/>
            <w:sz w:val="24"/>
            <w:szCs w:val="24"/>
            <w:lang w:eastAsia="es-MX"/>
          </w:rPr>
          <w:t>http://www.deis.gov.ar/definiciones.htm#5</w:t>
        </w:r>
      </w:hyperlink>
      <w:r w:rsidRPr="00B603A3">
        <w:rPr>
          <w:rFonts w:asciiTheme="minorHAnsi" w:hAnsiTheme="minorHAnsi" w:cs="Arial"/>
          <w:noProof/>
          <w:sz w:val="24"/>
          <w:szCs w:val="24"/>
          <w:lang w:eastAsia="es-MX"/>
        </w:rPr>
        <w:t xml:space="preserve"> </w:t>
      </w:r>
    </w:p>
    <w:p w:rsidR="008A62FA" w:rsidRPr="00B603A3" w:rsidRDefault="008A62FA" w:rsidP="00B603A3">
      <w:pPr>
        <w:spacing w:after="0"/>
        <w:ind w:left="284" w:hanging="284"/>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DGE. Manual de procedimientos estandarizados para la vigilancia epidemiológica de los defectos del tubo neural. Secretaría de Salud. México, D. F. 2012. [Acceso: 24 septiembre de 2014]. Disponible en: </w:t>
      </w:r>
      <w:hyperlink r:id="rId30" w:history="1">
        <w:r w:rsidRPr="00B603A3">
          <w:rPr>
            <w:rStyle w:val="Hipervnculo"/>
            <w:rFonts w:asciiTheme="minorHAnsi" w:hAnsiTheme="minorHAnsi" w:cs="Arial"/>
            <w:noProof/>
            <w:sz w:val="24"/>
            <w:szCs w:val="24"/>
            <w:lang w:eastAsia="es-MX"/>
          </w:rPr>
          <w:t>http://www.epidemiologia.salud.gob.mx/doctos/infoepid/vig_epid_manuales/09_2012_Manual_DefTuboNeural_vFinal27sep12.pdf</w:t>
        </w:r>
      </w:hyperlink>
    </w:p>
    <w:p w:rsidR="008A62FA" w:rsidRPr="00B603A3" w:rsidRDefault="008A62FA" w:rsidP="00B603A3">
      <w:pPr>
        <w:spacing w:after="0"/>
        <w:ind w:left="284" w:hanging="284"/>
        <w:jc w:val="both"/>
        <w:rPr>
          <w:rFonts w:asciiTheme="minorHAnsi" w:hAnsiTheme="minorHAnsi" w:cs="Arial"/>
          <w:noProof/>
          <w:sz w:val="24"/>
          <w:szCs w:val="24"/>
          <w:lang w:eastAsia="es-MX"/>
        </w:rPr>
      </w:pPr>
      <w:r w:rsidRPr="00B603A3">
        <w:rPr>
          <w:rFonts w:asciiTheme="minorHAnsi" w:hAnsiTheme="minorHAnsi" w:cs="Arial"/>
          <w:noProof/>
          <w:sz w:val="24"/>
          <w:szCs w:val="24"/>
          <w:lang w:val="en-US" w:eastAsia="es-MX"/>
        </w:rPr>
        <w:t xml:space="preserve">Eastman J.R. (2012). IDRISI Selva. Guide to GIS and Image Processing. </w:t>
      </w:r>
      <w:r w:rsidRPr="00B603A3">
        <w:rPr>
          <w:rFonts w:asciiTheme="minorHAnsi" w:hAnsiTheme="minorHAnsi" w:cs="Arial"/>
          <w:noProof/>
          <w:sz w:val="24"/>
          <w:szCs w:val="24"/>
          <w:lang w:eastAsia="es-MX"/>
        </w:rPr>
        <w:t>Manual Version 16.00. Clark Labs, Clark University. Archivo .pdf, 328p.</w:t>
      </w:r>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Espitia R, Peña B, Villaseñor M, Huerta E,  Limón O. Calidad industrial de trigos harineros mexicanos para temporal. I. Comparación de variedades y causas de la variación. Rev. Fitotecnia Mexicana. 2003: 26(4): 249-56. [Acceso: 15 junio de 2014]. Disponible en: </w:t>
      </w:r>
      <w:hyperlink r:id="rId31" w:history="1">
        <w:r w:rsidRPr="00B603A3">
          <w:rPr>
            <w:rStyle w:val="Hipervnculo"/>
            <w:rFonts w:asciiTheme="minorHAnsi" w:hAnsiTheme="minorHAnsi" w:cs="Arial"/>
            <w:noProof/>
            <w:sz w:val="24"/>
            <w:szCs w:val="24"/>
            <w:lang w:eastAsia="es-MX"/>
          </w:rPr>
          <w:t>http://www.redalyc.org/articulo.oa?id=61026405</w:t>
        </w:r>
      </w:hyperlink>
      <w:r w:rsidRPr="00B603A3">
        <w:rPr>
          <w:rFonts w:asciiTheme="minorHAnsi" w:hAnsiTheme="minorHAnsi" w:cs="Arial"/>
          <w:noProof/>
          <w:sz w:val="24"/>
          <w:szCs w:val="24"/>
          <w:lang w:eastAsia="es-MX"/>
        </w:rPr>
        <w:t xml:space="preserve"> </w:t>
      </w:r>
    </w:p>
    <w:p w:rsidR="008A62FA" w:rsidRPr="00B603A3" w:rsidRDefault="008A62FA" w:rsidP="00B603A3">
      <w:pPr>
        <w:spacing w:after="0"/>
        <w:ind w:left="284" w:hanging="284"/>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Fernández S., Gutiérrez G,  Viguri R. Principales causas de mortalidad infantil en México: tendencias recientes. Bol. Med. Hosp. Infant. Mex. 2012; 69(2): 144-48. [Acceso 25 de agosto de 2014]. Disponible en: </w:t>
      </w:r>
      <w:hyperlink r:id="rId32" w:history="1">
        <w:r w:rsidRPr="00B603A3">
          <w:rPr>
            <w:rStyle w:val="Hipervnculo"/>
            <w:rFonts w:asciiTheme="minorHAnsi" w:hAnsiTheme="minorHAnsi" w:cs="Arial"/>
            <w:noProof/>
            <w:sz w:val="24"/>
            <w:szCs w:val="24"/>
            <w:lang w:eastAsia="es-MX"/>
          </w:rPr>
          <w:t>http://www.scielo.org.mx/pdf/bmim/v69n2/v69n2a11.pdf</w:t>
        </w:r>
      </w:hyperlink>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García J. Estudios epidemiológicos: clasificación. Nure Investigación (España). 2004; 6. [Acceso 12 mayo de 2014]. Disponible en: </w:t>
      </w:r>
      <w:hyperlink r:id="rId33" w:history="1">
        <w:r w:rsidRPr="00B603A3">
          <w:rPr>
            <w:rStyle w:val="Hipervnculo"/>
            <w:rFonts w:asciiTheme="minorHAnsi" w:hAnsiTheme="minorHAnsi" w:cs="Arial"/>
            <w:noProof/>
            <w:sz w:val="24"/>
            <w:szCs w:val="24"/>
            <w:lang w:eastAsia="es-MX"/>
          </w:rPr>
          <w:t>http://www.fuden.es/FICHEROS_ADMINISTRADOR/F_METODOLOGICA/formacion%206.pdf</w:t>
        </w:r>
      </w:hyperlink>
      <w:r w:rsidRPr="00B603A3">
        <w:rPr>
          <w:rFonts w:asciiTheme="minorHAnsi" w:hAnsiTheme="minorHAnsi" w:cs="Arial"/>
          <w:noProof/>
          <w:sz w:val="24"/>
          <w:szCs w:val="24"/>
          <w:lang w:eastAsia="es-MX"/>
        </w:rPr>
        <w:t xml:space="preserve">  </w:t>
      </w:r>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García O, Sarasqueta P, Schwarcz R. Morbi-Mortalidad materna y Mortalidad infantil en la República Argentina. Estrategias para mejorar el desempeño de los servicios de salud materna infantil. Dirección Nacional de Salud Materno Infantil. Ministerio de Salud y Ambiente de la Nación. 2004. [Acceso: 16 de agosto de 2014]. Disponible en: </w:t>
      </w:r>
      <w:hyperlink r:id="rId34" w:history="1">
        <w:r w:rsidRPr="00B603A3">
          <w:rPr>
            <w:rStyle w:val="Hipervnculo"/>
            <w:rFonts w:asciiTheme="minorHAnsi" w:hAnsiTheme="minorHAnsi" w:cs="Arial"/>
            <w:noProof/>
            <w:sz w:val="24"/>
            <w:szCs w:val="24"/>
            <w:lang w:eastAsia="es-MX"/>
          </w:rPr>
          <w:t>http://www.msal.gov.ar/promin/publicaciones/pdf/morbimor.pdf</w:t>
        </w:r>
      </w:hyperlink>
      <w:r w:rsidRPr="00B603A3">
        <w:rPr>
          <w:rFonts w:asciiTheme="minorHAnsi" w:hAnsiTheme="minorHAnsi" w:cs="Arial"/>
          <w:noProof/>
          <w:sz w:val="24"/>
          <w:szCs w:val="24"/>
          <w:lang w:eastAsia="es-MX"/>
        </w:rPr>
        <w:t xml:space="preserve"> </w:t>
      </w:r>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Hernández M. Epidemiología. Diseño y análisis de estudio. Instituto Nacional de Salud Pública. 2007.</w:t>
      </w:r>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INE Plaguicidas prohibidos en México. DOF. México. (2012). [Acceso: 25 octubre de 2012]. Disponible en:  </w:t>
      </w:r>
      <w:hyperlink r:id="rId35" w:history="1">
        <w:r w:rsidRPr="00B603A3">
          <w:rPr>
            <w:rStyle w:val="Hipervnculo"/>
            <w:rFonts w:asciiTheme="minorHAnsi" w:hAnsiTheme="minorHAnsi" w:cs="Arial"/>
            <w:noProof/>
            <w:sz w:val="24"/>
            <w:szCs w:val="24"/>
            <w:lang w:eastAsia="es-MX"/>
          </w:rPr>
          <w:t>http://www2.ine.gob.mx/sistemas/plaguicidas/prohibi.html</w:t>
        </w:r>
      </w:hyperlink>
      <w:r w:rsidRPr="00B603A3">
        <w:rPr>
          <w:rFonts w:asciiTheme="minorHAnsi" w:hAnsiTheme="minorHAnsi" w:cs="Arial"/>
          <w:noProof/>
          <w:sz w:val="24"/>
          <w:szCs w:val="24"/>
          <w:lang w:eastAsia="es-MX"/>
        </w:rPr>
        <w:t xml:space="preserve"> </w:t>
      </w:r>
    </w:p>
    <w:p w:rsidR="008A62FA" w:rsidRPr="00B603A3" w:rsidRDefault="008A62FA" w:rsidP="00B603A3">
      <w:pPr>
        <w:spacing w:after="0"/>
        <w:ind w:left="284" w:hanging="284"/>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INEGI.  Mujeres y hombres en México 2010.  Instituto Nacional de las Mujeres (Méx). 2010. [Acceso 19 septiembre de 2014]. Disponible en: </w:t>
      </w:r>
      <w:hyperlink r:id="rId36" w:history="1">
        <w:r w:rsidRPr="00B603A3">
          <w:rPr>
            <w:rStyle w:val="Hipervnculo"/>
            <w:rFonts w:asciiTheme="minorHAnsi" w:hAnsiTheme="minorHAnsi" w:cs="Arial"/>
            <w:noProof/>
            <w:sz w:val="24"/>
            <w:szCs w:val="24"/>
            <w:lang w:eastAsia="es-MX"/>
          </w:rPr>
          <w:t>http://www.inegi.org.mx/prod_serv/contenidos/espanol/bvinegi/productos/integracion/sociodemografico/mujeresyhombres/2010/MyH_2010.pdf</w:t>
        </w:r>
      </w:hyperlink>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INEGI.  INE. CONAGUA. Cuencas hidrográficas de México 1:250 000. Portal de Geoinformación. Catálogo de metadatos geográficos CONABIO. Publicado en 2009. [Fecha de acceso: 7 de abril de 2014]. Disponible en: </w:t>
      </w:r>
      <w:hyperlink r:id="rId37" w:history="1">
        <w:r w:rsidRPr="00B603A3">
          <w:rPr>
            <w:rStyle w:val="Hipervnculo"/>
            <w:rFonts w:asciiTheme="minorHAnsi" w:hAnsiTheme="minorHAnsi" w:cs="Arial"/>
            <w:noProof/>
            <w:sz w:val="24"/>
            <w:szCs w:val="24"/>
            <w:lang w:eastAsia="es-MX"/>
          </w:rPr>
          <w:t>http://www.conabio.gob.mx/informacion/gis/</w:t>
        </w:r>
      </w:hyperlink>
      <w:r w:rsidRPr="00B603A3">
        <w:rPr>
          <w:rFonts w:asciiTheme="minorHAnsi" w:hAnsiTheme="minorHAnsi" w:cs="Arial"/>
          <w:noProof/>
          <w:sz w:val="24"/>
          <w:szCs w:val="24"/>
          <w:lang w:eastAsia="es-MX"/>
        </w:rPr>
        <w:t xml:space="preserve">  </w:t>
      </w:r>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INEGI.  Mujeres y hombres en México 2013.  Instituto Nacional de las Mujeres (Méx). 2013. [Acceso 19 septiembre de 2014]. Disponible en: </w:t>
      </w:r>
      <w:hyperlink r:id="rId38" w:history="1">
        <w:r w:rsidRPr="00B603A3">
          <w:rPr>
            <w:rStyle w:val="Hipervnculo"/>
            <w:rFonts w:asciiTheme="minorHAnsi" w:hAnsiTheme="minorHAnsi" w:cs="Arial"/>
            <w:noProof/>
            <w:sz w:val="24"/>
            <w:szCs w:val="24"/>
            <w:lang w:eastAsia="es-MX"/>
          </w:rPr>
          <w:t>http://cedoc.inmujeres.gob.mx/documentos_download/101215.pdf</w:t>
        </w:r>
      </w:hyperlink>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INEGI. Red hidrográfica 1:50 000 edición 2.0. Región hidrográfica RH18-Balsas, Cuenca Hidrográfica RH18F-R Grande de Amacuzac. En Productos y Servicios, descarga de datos vectoriales. 1998. [Fecha de acceso: 18 de marzo de 2014]. Disponible: </w:t>
      </w:r>
      <w:hyperlink r:id="rId39" w:history="1">
        <w:r w:rsidRPr="00B603A3">
          <w:rPr>
            <w:rStyle w:val="Hipervnculo"/>
            <w:rFonts w:asciiTheme="minorHAnsi" w:hAnsiTheme="minorHAnsi" w:cs="Arial"/>
            <w:noProof/>
            <w:sz w:val="24"/>
            <w:szCs w:val="24"/>
            <w:lang w:eastAsia="es-MX"/>
          </w:rPr>
          <w:t>http://www.inegi.org.mx/geo/contenidos/Topografia/Descarga.aspx</w:t>
        </w:r>
      </w:hyperlink>
      <w:r w:rsidRPr="00B603A3">
        <w:rPr>
          <w:rFonts w:asciiTheme="minorHAnsi" w:hAnsiTheme="minorHAnsi" w:cs="Arial"/>
          <w:noProof/>
          <w:sz w:val="24"/>
          <w:szCs w:val="24"/>
          <w:lang w:eastAsia="es-MX"/>
        </w:rPr>
        <w:t xml:space="preserve"> </w:t>
      </w:r>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INEGI. Serie V Uso de Suelo y Vegetación 1:250 000, Carta E14-2 Ciudad de México. Descarga de datos vectoriales. Recursos Naturales. 2011. [Fecha de acceso: 19 de mayo de 2014]. Disponible en: </w:t>
      </w:r>
      <w:hyperlink r:id="rId40" w:history="1">
        <w:r w:rsidRPr="00B603A3">
          <w:rPr>
            <w:rStyle w:val="Hipervnculo"/>
            <w:rFonts w:asciiTheme="minorHAnsi" w:hAnsiTheme="minorHAnsi" w:cs="Arial"/>
            <w:noProof/>
            <w:sz w:val="24"/>
            <w:szCs w:val="24"/>
            <w:lang w:eastAsia="es-MX"/>
          </w:rPr>
          <w:t>http://www.inegi.org.mx/geo/contenidos/recnat/usosuelo/Default.aspx</w:t>
        </w:r>
      </w:hyperlink>
      <w:r w:rsidRPr="00B603A3">
        <w:rPr>
          <w:rFonts w:asciiTheme="minorHAnsi" w:hAnsiTheme="minorHAnsi" w:cs="Arial"/>
          <w:noProof/>
          <w:sz w:val="24"/>
          <w:szCs w:val="24"/>
          <w:lang w:eastAsia="es-MX"/>
        </w:rPr>
        <w:t xml:space="preserve">  </w:t>
      </w:r>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INEGI. Censo Agropecuario 2007, VIII Censo Agrícola, Ganadero y Forestal. México. 2009. [Fecha de acceso: 6 junio de 2014]. Disponible en: </w:t>
      </w:r>
      <w:hyperlink r:id="rId41" w:history="1">
        <w:r w:rsidRPr="00B603A3">
          <w:rPr>
            <w:rStyle w:val="Hipervnculo"/>
            <w:rFonts w:asciiTheme="minorHAnsi" w:hAnsiTheme="minorHAnsi" w:cs="Arial"/>
            <w:noProof/>
            <w:sz w:val="24"/>
            <w:szCs w:val="24"/>
            <w:lang w:eastAsia="es-MX"/>
          </w:rPr>
          <w:t>http://www.inegi.org.mx/est/contenidos/proyectos/Agro/ca2007/Resultados_Agricola/default.aspx</w:t>
        </w:r>
      </w:hyperlink>
      <w:r w:rsidRPr="00B603A3">
        <w:rPr>
          <w:rFonts w:asciiTheme="minorHAnsi" w:hAnsiTheme="minorHAnsi" w:cs="Arial"/>
          <w:noProof/>
          <w:sz w:val="24"/>
          <w:szCs w:val="24"/>
          <w:lang w:eastAsia="es-MX"/>
        </w:rPr>
        <w:t xml:space="preserve">  </w:t>
      </w:r>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INEGI. Censo de Población y Vivienda. Consulta en línea.  2010. [Fecha de acceso: 9 de marzo de 2014]. Disponible en: </w:t>
      </w:r>
      <w:hyperlink r:id="rId42" w:history="1">
        <w:r w:rsidRPr="00B603A3">
          <w:rPr>
            <w:rStyle w:val="Hipervnculo"/>
            <w:rFonts w:asciiTheme="minorHAnsi" w:hAnsiTheme="minorHAnsi" w:cs="Arial"/>
            <w:noProof/>
            <w:sz w:val="24"/>
            <w:szCs w:val="24"/>
            <w:lang w:eastAsia="es-MX"/>
          </w:rPr>
          <w:t>http://www.inegi.org.mx/est/contenidos/proyectos/ccpv/cpv2010/Default.aspx</w:t>
        </w:r>
      </w:hyperlink>
      <w:r w:rsidRPr="00B603A3">
        <w:rPr>
          <w:rFonts w:asciiTheme="minorHAnsi" w:hAnsiTheme="minorHAnsi" w:cs="Arial"/>
          <w:noProof/>
          <w:sz w:val="24"/>
          <w:szCs w:val="24"/>
          <w:lang w:eastAsia="es-MX"/>
        </w:rPr>
        <w:t xml:space="preserve">  </w:t>
      </w:r>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INEGI. Censos de Población y Vivienda 2010: Tabulados del Cuestionario Ampliado. Población ocupada y su distribución porcentual según división ocupacional para cada municipio. 2013. [Fecha de Acceso: 4 de septiembre de 2014]. </w:t>
      </w:r>
      <w:hyperlink r:id="rId43" w:history="1">
        <w:r w:rsidRPr="00B603A3">
          <w:rPr>
            <w:rStyle w:val="Hipervnculo"/>
            <w:rFonts w:asciiTheme="minorHAnsi" w:hAnsiTheme="minorHAnsi" w:cs="Arial"/>
            <w:noProof/>
            <w:sz w:val="24"/>
            <w:szCs w:val="24"/>
            <w:lang w:eastAsia="es-MX"/>
          </w:rPr>
          <w:t>http://www3.inegi.org.mx/sistemas/tabuladosbasicos/default.aspx?c=27303&amp;s=est</w:t>
        </w:r>
      </w:hyperlink>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val="en-US" w:eastAsia="es-MX"/>
        </w:rPr>
      </w:pPr>
      <w:r w:rsidRPr="00B603A3">
        <w:rPr>
          <w:rFonts w:asciiTheme="minorHAnsi" w:hAnsiTheme="minorHAnsi" w:cs="Arial"/>
          <w:noProof/>
          <w:sz w:val="24"/>
          <w:szCs w:val="24"/>
          <w:lang w:val="en-US" w:eastAsia="es-MX"/>
        </w:rPr>
        <w:t>Jeyaratman J, Maroni M. Organophosphorus compounds. Toxicology. 1994; 91: 15-27.</w:t>
      </w:r>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val="en-US" w:eastAsia="es-MX"/>
        </w:rPr>
        <w:t xml:space="preserve">Jolanta F, Maciej T, Marek B. Properties and determination of pesticides in fruits and vegetables. </w:t>
      </w:r>
      <w:r w:rsidRPr="00B603A3">
        <w:rPr>
          <w:rFonts w:asciiTheme="minorHAnsi" w:hAnsiTheme="minorHAnsi" w:cs="Arial"/>
          <w:noProof/>
          <w:sz w:val="24"/>
          <w:szCs w:val="24"/>
          <w:lang w:eastAsia="es-MX"/>
        </w:rPr>
        <w:t xml:space="preserve">Trends in Analytical Chemistry. 2011;30(6). </w:t>
      </w:r>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Mancebo-Hernández A, González-Rivera A,  Díaz-Omaña L, López-Alquicira M, Domínguez-Viveros W,  Serrano-Sierra A. Defectos del tubo neural. Panorama epidemiológico en México (I de II). Acta Pediatr Mex 2008; 29(1):41-47. [Acceso 17 agosto de 2014]. Disponible en: </w:t>
      </w:r>
      <w:hyperlink r:id="rId44" w:history="1">
        <w:r w:rsidRPr="00B603A3">
          <w:rPr>
            <w:rStyle w:val="Hipervnculo"/>
            <w:rFonts w:asciiTheme="minorHAnsi" w:hAnsiTheme="minorHAnsi" w:cs="Arial"/>
            <w:noProof/>
            <w:sz w:val="24"/>
            <w:szCs w:val="24"/>
            <w:lang w:eastAsia="es-MX"/>
          </w:rPr>
          <w:t>http://www.medigraphic.com/pdfs/actpedmex/apm-2008/apm081i.pdf</w:t>
        </w:r>
      </w:hyperlink>
      <w:r w:rsidRPr="00B603A3">
        <w:rPr>
          <w:rFonts w:asciiTheme="minorHAnsi" w:hAnsiTheme="minorHAnsi" w:cs="Arial"/>
          <w:noProof/>
          <w:sz w:val="24"/>
          <w:szCs w:val="24"/>
          <w:lang w:eastAsia="es-MX"/>
        </w:rPr>
        <w:t xml:space="preserve"> </w:t>
      </w:r>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Mendieta-Alcántara G, Santiago-Alcántata E, Mendieta Zerón H, Dorante –Piña R, Zárate-Alarcón G, Otero-Ojeda G. Incidencia de las cardiopatías congénitas y los factores asociados a la letalidad en niños nacidos en dos hospitales del Estado de México. Gaceta Médica de México. (Méx). 2013; 149:617-23. [Acceso 29 de mayo de 2014]. Disponible en:  </w:t>
      </w:r>
      <w:hyperlink r:id="rId45" w:history="1">
        <w:r w:rsidRPr="00B603A3">
          <w:rPr>
            <w:rStyle w:val="Hipervnculo"/>
            <w:rFonts w:asciiTheme="minorHAnsi" w:hAnsiTheme="minorHAnsi" w:cs="Arial"/>
            <w:noProof/>
            <w:sz w:val="24"/>
            <w:szCs w:val="24"/>
            <w:lang w:eastAsia="es-MX"/>
          </w:rPr>
          <w:t>http://www.anmm.org.mx/GMM/2013/n6/GMM_149_2013_6_617-623.pdf</w:t>
        </w:r>
      </w:hyperlink>
      <w:r w:rsidRPr="00B603A3">
        <w:rPr>
          <w:rFonts w:asciiTheme="minorHAnsi" w:hAnsiTheme="minorHAnsi" w:cs="Arial"/>
          <w:noProof/>
          <w:sz w:val="24"/>
          <w:szCs w:val="24"/>
          <w:lang w:eastAsia="es-MX"/>
        </w:rPr>
        <w:t xml:space="preserve"> </w:t>
      </w:r>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Mireles J. Movilidad de un plaguicida organoclorado en un tiradero de residuos sólidos municipales en Los Atos Ayahuaclco, Veracruz. Tesis de Maestría. IPN. 2010. [Acceso: 11 septiembre de 2014]. Dospinible en:  </w:t>
      </w:r>
      <w:hyperlink r:id="rId46" w:history="1">
        <w:r w:rsidRPr="00B603A3">
          <w:rPr>
            <w:rStyle w:val="Hipervnculo"/>
            <w:rFonts w:asciiTheme="minorHAnsi" w:hAnsiTheme="minorHAnsi" w:cs="Arial"/>
            <w:noProof/>
            <w:sz w:val="24"/>
            <w:szCs w:val="24"/>
            <w:lang w:eastAsia="es-MX"/>
          </w:rPr>
          <w:t>http://www.repositoriodigital.ipn.mx/bitstream/handle/123456789/5738/JESSICA%20MIRELES%20MORALES.pdf?sequence=1</w:t>
        </w:r>
      </w:hyperlink>
      <w:r w:rsidRPr="00B603A3">
        <w:rPr>
          <w:rFonts w:asciiTheme="minorHAnsi" w:hAnsiTheme="minorHAnsi" w:cs="Arial"/>
          <w:noProof/>
          <w:sz w:val="24"/>
          <w:szCs w:val="24"/>
          <w:lang w:eastAsia="es-MX"/>
        </w:rPr>
        <w:t xml:space="preserve"> </w:t>
      </w:r>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Mora M, Peralta J, López A, García R, González J. Efecto del ácido ascórbico sobre crecimiento, pigmentos fotosintéticos y actividad peroxidasa en plantas de crisantemo. Rev. Chapingo Serie Horticultura (Méx). 2011; XVII(Ed.Esp2): 73-81. [Acceso: 21 abril de 2014].</w:t>
      </w:r>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Moreno-Altamirano A, López-Moreno S, Corcho-Berdugo A. Principales medidas en epidemiología. Salud Pública de México. 2000; 42(4): 327-446. [Acceso: 27 septiembre de 2014]. Disponible en: en: </w:t>
      </w:r>
      <w:hyperlink r:id="rId47" w:history="1">
        <w:r w:rsidRPr="00B603A3">
          <w:rPr>
            <w:rStyle w:val="Hipervnculo"/>
            <w:rFonts w:asciiTheme="minorHAnsi" w:hAnsiTheme="minorHAnsi" w:cs="Arial"/>
            <w:noProof/>
            <w:sz w:val="24"/>
            <w:szCs w:val="24"/>
            <w:lang w:eastAsia="es-MX"/>
          </w:rPr>
          <w:t>http://www.facmed.unam.mx/deptos/salud/bibliotecav/epibasica%20spm.pdf</w:t>
        </w:r>
      </w:hyperlink>
      <w:r w:rsidRPr="00B603A3">
        <w:rPr>
          <w:rFonts w:asciiTheme="minorHAnsi" w:hAnsiTheme="minorHAnsi" w:cs="Arial"/>
          <w:noProof/>
          <w:sz w:val="24"/>
          <w:szCs w:val="24"/>
          <w:lang w:eastAsia="es-MX"/>
        </w:rPr>
        <w:t xml:space="preserve">  </w:t>
      </w:r>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Moya, L. Introducción a la estadistica de la salud. La Universidad de Costa Rica. 1ª ed. 1986. 6ª reimpresión. San José, Costa Rica. 2005.</w:t>
      </w:r>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OMS. Anomalías Congénitas. Centro de Prensa. Nota descriptiva N°370. 2014. [Acceso: 14 septiembre de 2014]. Disponible. </w:t>
      </w:r>
      <w:hyperlink r:id="rId48" w:history="1">
        <w:r w:rsidRPr="00B603A3">
          <w:rPr>
            <w:rStyle w:val="Hipervnculo"/>
            <w:rFonts w:asciiTheme="minorHAnsi" w:hAnsiTheme="minorHAnsi" w:cs="Arial"/>
            <w:noProof/>
            <w:sz w:val="24"/>
            <w:szCs w:val="24"/>
            <w:lang w:eastAsia="es-MX"/>
          </w:rPr>
          <w:t>http://www.who.int/mediacentre/factsheets/fs370/es/</w:t>
        </w:r>
      </w:hyperlink>
      <w:r w:rsidRPr="00B603A3">
        <w:rPr>
          <w:rFonts w:asciiTheme="minorHAnsi" w:hAnsiTheme="minorHAnsi" w:cs="Arial"/>
          <w:noProof/>
          <w:sz w:val="24"/>
          <w:szCs w:val="24"/>
          <w:lang w:eastAsia="es-MX"/>
        </w:rPr>
        <w:t xml:space="preserve"> </w:t>
      </w:r>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OMS-OPS. Clasificación estadística Internacional de Enfermedades y problemas relacionados con la salud. 2003; 1(554). [Consultado el 21 de mayo de 2014]. Disponible en: </w:t>
      </w:r>
      <w:hyperlink r:id="rId49" w:history="1">
        <w:r w:rsidRPr="00B603A3">
          <w:rPr>
            <w:rStyle w:val="Hipervnculo"/>
            <w:rFonts w:asciiTheme="minorHAnsi" w:hAnsiTheme="minorHAnsi" w:cs="Arial"/>
            <w:noProof/>
            <w:sz w:val="24"/>
            <w:szCs w:val="24"/>
            <w:lang w:eastAsia="es-MX"/>
          </w:rPr>
          <w:t>http://ais.paho.org/classifications/Chapters/pdf/Volume3.pdf</w:t>
        </w:r>
      </w:hyperlink>
      <w:r w:rsidRPr="00B603A3">
        <w:rPr>
          <w:rFonts w:asciiTheme="minorHAnsi" w:hAnsiTheme="minorHAnsi" w:cs="Arial"/>
          <w:noProof/>
          <w:sz w:val="24"/>
          <w:szCs w:val="24"/>
          <w:lang w:eastAsia="es-MX"/>
        </w:rPr>
        <w:t xml:space="preserve"> </w:t>
      </w:r>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OMS: Objetivos de Desarrollo del Milenio. Centro de Prensa. Nota descriptiva N° 290. Mayo. 2014. [Acceso: 22 septiembre de 2014]. Disponible en: </w:t>
      </w:r>
      <w:hyperlink r:id="rId50" w:history="1">
        <w:r w:rsidRPr="00B603A3">
          <w:rPr>
            <w:rStyle w:val="Hipervnculo"/>
            <w:rFonts w:asciiTheme="minorHAnsi" w:hAnsiTheme="minorHAnsi" w:cs="Arial"/>
            <w:noProof/>
            <w:sz w:val="24"/>
            <w:szCs w:val="24"/>
            <w:lang w:eastAsia="es-MX"/>
          </w:rPr>
          <w:t>http://www.who.int/mediacentre/factsheets/fs290/es/</w:t>
        </w:r>
      </w:hyperlink>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Oviedo A, Karam A, Rodríguez C. Percepción de riesgo por el uso de plaguicidas en niños escolares, Villa Guerrero, Estado de México. retel. Rev. Tox.  2003: 23-46. [Acceso: 6 de julio de 2014], Disponible en: </w:t>
      </w:r>
      <w:hyperlink r:id="rId51" w:history="1">
        <w:r w:rsidRPr="00B603A3">
          <w:rPr>
            <w:rStyle w:val="Hipervnculo"/>
            <w:rFonts w:asciiTheme="minorHAnsi" w:hAnsiTheme="minorHAnsi" w:cs="Arial"/>
            <w:noProof/>
            <w:sz w:val="24"/>
            <w:szCs w:val="24"/>
            <w:lang w:eastAsia="es-MX"/>
          </w:rPr>
          <w:t>http://www.sertox.com.ar/retel/n11/04.pdf</w:t>
        </w:r>
      </w:hyperlink>
      <w:r w:rsidRPr="00B603A3">
        <w:rPr>
          <w:rFonts w:asciiTheme="minorHAnsi" w:hAnsiTheme="minorHAnsi" w:cs="Arial"/>
          <w:noProof/>
          <w:sz w:val="24"/>
          <w:szCs w:val="24"/>
          <w:lang w:eastAsia="es-MX"/>
        </w:rPr>
        <w:t xml:space="preserve"> </w:t>
      </w:r>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Peña-Alonso R, Venegas C, Lozano R, Kofman-Alfaro S, Queipo G. Mortalidad por defectos al nacimiento. Bol Med Hosp Infant Mex (Méx). 2005; 62(4): 294-304. [Acceso 2 julio 2014]. Disponible en: </w:t>
      </w:r>
      <w:hyperlink r:id="rId52" w:history="1">
        <w:r w:rsidRPr="00B603A3">
          <w:rPr>
            <w:rStyle w:val="Hipervnculo"/>
            <w:rFonts w:asciiTheme="minorHAnsi" w:hAnsiTheme="minorHAnsi" w:cs="Arial"/>
            <w:noProof/>
            <w:sz w:val="24"/>
            <w:szCs w:val="24"/>
            <w:lang w:eastAsia="es-MX"/>
          </w:rPr>
          <w:t>http://www.medigraphic.com/pdfs/bmhim/hi-2005/hi054i.pdf</w:t>
        </w:r>
      </w:hyperlink>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Plengue F, Sierra J, Castillo Y. Riesgos a la salud humana causados por plaguicidas. Tecnociencia. 2007 (Méx).; 1(3ep-dic). </w:t>
      </w:r>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PNUMA. Intoxicación por plaguicidas en niños Información para la gestión y la acción. 2004. [Accceso: 10 junio de 2013]. Diponible en: </w:t>
      </w:r>
      <w:hyperlink r:id="rId53" w:history="1">
        <w:r w:rsidRPr="00B603A3">
          <w:rPr>
            <w:rStyle w:val="Hipervnculo"/>
            <w:rFonts w:asciiTheme="minorHAnsi" w:hAnsiTheme="minorHAnsi" w:cs="Arial"/>
            <w:noProof/>
            <w:sz w:val="24"/>
            <w:szCs w:val="24"/>
            <w:lang w:eastAsia="es-MX"/>
          </w:rPr>
          <w:t>http://www.chem.unep.ch/Publications/pdf/ChildhoodPestPois_Sp.pdf</w:t>
        </w:r>
      </w:hyperlink>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Ramírez-Espitia J, Benavides F, Lacasaña-Navarro M, Martínez J, García A, Benach J. Mortalidad por defectos del tubo neural en México, 1980-1997. Rev. Salud Pública de México (Méx)  INSP/ OPS. 2008; 24(5): 356-64 [Acceso 10 junio de 2014]. Disponible en: </w:t>
      </w:r>
      <w:hyperlink r:id="rId54" w:history="1">
        <w:r w:rsidRPr="00B603A3">
          <w:rPr>
            <w:rStyle w:val="Hipervnculo"/>
            <w:rFonts w:asciiTheme="minorHAnsi" w:hAnsiTheme="minorHAnsi" w:cs="Arial"/>
            <w:noProof/>
            <w:sz w:val="24"/>
            <w:szCs w:val="24"/>
            <w:lang w:eastAsia="es-MX"/>
          </w:rPr>
          <w:t>http://new.medigraphic.com/cgi-bin/resumen.cgi?IDREVISTA=79&amp;IDARTICULO=16345&amp;IDPUBLICACION=1668</w:t>
        </w:r>
      </w:hyperlink>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Restrepo G, González J. Texto básico de Biometría. Introducción al pensamiento científico en la salud del individuo y la comunidad. Fundación Universitaria Juan N. Corpas. Facultad de Medicina, Departamento de Medicina comunitaria. Bogotá, Colombia. 2010.</w:t>
      </w:r>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Rojas A, Ojeda M, Barraza X. Malformaciones congénitas y exposición a pesticidas. Rev. méd. (Chile). 2000; 128(4). [Acceso: 23 septiembre de 2014]. Disponible en: </w:t>
      </w:r>
      <w:hyperlink r:id="rId55" w:history="1">
        <w:r w:rsidRPr="00B603A3">
          <w:rPr>
            <w:rStyle w:val="Hipervnculo"/>
            <w:rFonts w:asciiTheme="minorHAnsi" w:hAnsiTheme="minorHAnsi" w:cs="Arial"/>
            <w:noProof/>
            <w:sz w:val="24"/>
            <w:szCs w:val="24"/>
            <w:lang w:eastAsia="es-MX"/>
          </w:rPr>
          <w:t>http://www.scielo.cl/scielo.php?pid=S0034-98872000000400006&amp;script=sci_arttext</w:t>
        </w:r>
      </w:hyperlink>
      <w:r w:rsidRPr="00B603A3">
        <w:rPr>
          <w:rFonts w:asciiTheme="minorHAnsi" w:hAnsiTheme="minorHAnsi" w:cs="Arial"/>
          <w:noProof/>
          <w:sz w:val="24"/>
          <w:szCs w:val="24"/>
          <w:lang w:eastAsia="es-MX"/>
        </w:rPr>
        <w:t xml:space="preserve"> </w:t>
      </w:r>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SENER. Anuario estadístico de la industria petroquímica. Secretaría de Energía. México, D.F. [Acceso: 21 agosto de 2013]. Disponible en: </w:t>
      </w:r>
      <w:hyperlink r:id="rId56" w:history="1">
        <w:r w:rsidRPr="00B603A3">
          <w:rPr>
            <w:rStyle w:val="Hipervnculo"/>
            <w:rFonts w:asciiTheme="minorHAnsi" w:hAnsiTheme="minorHAnsi" w:cs="Arial"/>
            <w:noProof/>
            <w:sz w:val="24"/>
            <w:szCs w:val="24"/>
            <w:lang w:eastAsia="es-MX"/>
          </w:rPr>
          <w:t>http://www.sener.gob.mx/res/PE_y_DT/pub/Anuario%20Estadistico%202007.pdf</w:t>
        </w:r>
      </w:hyperlink>
      <w:r w:rsidRPr="00B603A3">
        <w:rPr>
          <w:rFonts w:asciiTheme="minorHAnsi" w:hAnsiTheme="minorHAnsi" w:cs="Arial"/>
          <w:noProof/>
          <w:sz w:val="24"/>
          <w:szCs w:val="24"/>
          <w:lang w:eastAsia="es-MX"/>
        </w:rPr>
        <w:t xml:space="preserve"> </w:t>
      </w:r>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SINAIS. Dirección General de Información en Salud (DGIS). Bases de datos de Defunciones Generales 1998-2012. Secretaría de Salud. México.  [Fecha de acceso: 3 julio de 2014]. Disponible en: </w:t>
      </w:r>
      <w:hyperlink r:id="rId57" w:history="1">
        <w:r w:rsidRPr="00B603A3">
          <w:rPr>
            <w:rStyle w:val="Hipervnculo"/>
            <w:rFonts w:asciiTheme="minorHAnsi" w:hAnsiTheme="minorHAnsi" w:cs="Arial"/>
            <w:noProof/>
            <w:sz w:val="24"/>
            <w:szCs w:val="24"/>
            <w:lang w:eastAsia="es-MX"/>
          </w:rPr>
          <w:t>http://www.sinais.salud.gob.mx/basesdedatos/std_defunciones.html</w:t>
        </w:r>
      </w:hyperlink>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SINAIS. Dirección General de Información en Salud (DGIS). Bases de datos de Muertes Fetales 1998-2012. Secretaría de Salud. México.  [Fecha de acceso: 5 julio de 2014]. Disponible en: </w:t>
      </w:r>
      <w:hyperlink r:id="rId58" w:history="1">
        <w:r w:rsidRPr="00B603A3">
          <w:rPr>
            <w:rStyle w:val="Hipervnculo"/>
            <w:rFonts w:asciiTheme="minorHAnsi" w:hAnsiTheme="minorHAnsi" w:cs="Arial"/>
            <w:noProof/>
            <w:sz w:val="24"/>
            <w:szCs w:val="24"/>
            <w:lang w:eastAsia="es-MX"/>
          </w:rPr>
          <w:t>http://www.sinais.salud.gob.mx/basesdedatos/std_muertesfetales.html</w:t>
        </w:r>
      </w:hyperlink>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SINAIS. Dirección General de Información en Salud (DGIS). Bases de datos sobre Nacimientos 1998-2012. Secretaría de Salud. México.  [Fecha de acceso: 7 julio de 2014]. Disponible en: </w:t>
      </w:r>
      <w:hyperlink r:id="rId59" w:history="1">
        <w:r w:rsidRPr="00B603A3">
          <w:rPr>
            <w:rStyle w:val="Hipervnculo"/>
            <w:rFonts w:asciiTheme="minorHAnsi" w:hAnsiTheme="minorHAnsi" w:cs="Arial"/>
            <w:noProof/>
            <w:sz w:val="24"/>
            <w:szCs w:val="24"/>
            <w:lang w:eastAsia="es-MX"/>
          </w:rPr>
          <w:t>http://www.sinais.salud.gob.mx/basesdedatos/std_nacimientos.html</w:t>
        </w:r>
      </w:hyperlink>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val="en-US" w:eastAsia="es-MX"/>
        </w:rPr>
      </w:pPr>
      <w:r w:rsidRPr="00B603A3">
        <w:rPr>
          <w:rFonts w:asciiTheme="minorHAnsi" w:hAnsiTheme="minorHAnsi" w:cs="Arial"/>
          <w:noProof/>
          <w:sz w:val="24"/>
          <w:szCs w:val="24"/>
          <w:lang w:val="en-US" w:eastAsia="es-MX"/>
        </w:rPr>
        <w:t xml:space="preserve">Weiss S, Indurkhya N, Zhang T, Damerau. F. Text mining Predictive methods for analyzing unstructured information.  Springer. Unites States of America. 2005. </w:t>
      </w:r>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val="en-US" w:eastAsia="es-MX"/>
        </w:rPr>
        <w:t xml:space="preserve">Wong F, Alegria H, Jantunen L, Bidleman T, Salvador-Figueroa M, Gold-Bouchot G, et al (2008). Organochlorine pesticides in soils and air of Southern Mexico: Chemical profiles and potential for soil emissions. </w:t>
      </w:r>
      <w:r w:rsidRPr="00B603A3">
        <w:rPr>
          <w:rFonts w:asciiTheme="minorHAnsi" w:hAnsiTheme="minorHAnsi" w:cs="Arial"/>
          <w:noProof/>
          <w:sz w:val="24"/>
          <w:szCs w:val="24"/>
          <w:lang w:eastAsia="es-MX"/>
        </w:rPr>
        <w:t xml:space="preserve">Atmos. Elsevier. 2008; 42(33): 7737-45. [Acceso: 7 de agosto de septiembre de 2014]. Disponible en: </w:t>
      </w:r>
      <w:hyperlink r:id="rId60" w:history="1">
        <w:r w:rsidRPr="00B603A3">
          <w:rPr>
            <w:rStyle w:val="Hipervnculo"/>
            <w:rFonts w:asciiTheme="minorHAnsi" w:hAnsiTheme="minorHAnsi" w:cs="Arial"/>
            <w:noProof/>
            <w:sz w:val="24"/>
            <w:szCs w:val="24"/>
            <w:lang w:eastAsia="es-MX"/>
          </w:rPr>
          <w:t>http://www.sciencedirect.com/science/article/pii/S1352231008005074</w:t>
        </w:r>
      </w:hyperlink>
      <w:r w:rsidRPr="00B603A3">
        <w:rPr>
          <w:rFonts w:asciiTheme="minorHAnsi" w:hAnsiTheme="minorHAnsi" w:cs="Arial"/>
          <w:noProof/>
          <w:sz w:val="24"/>
          <w:szCs w:val="24"/>
          <w:lang w:eastAsia="es-MX"/>
        </w:rPr>
        <w:t xml:space="preserve"> </w:t>
      </w:r>
    </w:p>
    <w:p w:rsidR="008A62FA" w:rsidRPr="00B603A3" w:rsidRDefault="008A62FA" w:rsidP="00B603A3">
      <w:pPr>
        <w:pStyle w:val="Sinespaciado"/>
        <w:spacing w:line="276" w:lineRule="auto"/>
        <w:ind w:left="567" w:hanging="567"/>
        <w:jc w:val="both"/>
        <w:rPr>
          <w:rFonts w:asciiTheme="minorHAnsi" w:hAnsiTheme="minorHAnsi" w:cs="Arial"/>
          <w:noProof/>
          <w:sz w:val="24"/>
          <w:szCs w:val="24"/>
          <w:lang w:eastAsia="es-MX"/>
        </w:rPr>
      </w:pPr>
      <w:r w:rsidRPr="00B603A3">
        <w:rPr>
          <w:rFonts w:asciiTheme="minorHAnsi" w:hAnsiTheme="minorHAnsi" w:cs="Arial"/>
          <w:noProof/>
          <w:sz w:val="24"/>
          <w:szCs w:val="24"/>
          <w:lang w:eastAsia="es-MX"/>
        </w:rPr>
        <w:t xml:space="preserve">WorldClim. Temperatura media de 1950- 2000, Resolución de 30 segundos de arco (1 km). Descarga de Datos. 2005. [Fecha de acceso: 24 abril de 2014]. Disponible en:  </w:t>
      </w:r>
      <w:hyperlink r:id="rId61" w:history="1">
        <w:r w:rsidRPr="00B603A3">
          <w:rPr>
            <w:rStyle w:val="Hipervnculo"/>
            <w:rFonts w:asciiTheme="minorHAnsi" w:hAnsiTheme="minorHAnsi" w:cs="Arial"/>
            <w:noProof/>
            <w:sz w:val="24"/>
            <w:szCs w:val="24"/>
            <w:lang w:eastAsia="es-MX"/>
          </w:rPr>
          <w:t>http://www.worldclim.org/</w:t>
        </w:r>
      </w:hyperlink>
      <w:r w:rsidRPr="00B603A3">
        <w:rPr>
          <w:rFonts w:asciiTheme="minorHAnsi" w:hAnsiTheme="minorHAnsi" w:cs="Arial"/>
          <w:noProof/>
          <w:sz w:val="24"/>
          <w:szCs w:val="24"/>
          <w:lang w:eastAsia="es-MX"/>
        </w:rPr>
        <w:t xml:space="preserve">  </w:t>
      </w:r>
    </w:p>
    <w:sectPr w:rsidR="008A62FA" w:rsidRPr="00B603A3" w:rsidSect="00B603A3">
      <w:footerReference w:type="default" r:id="rId62"/>
      <w:pgSz w:w="12240" w:h="15840"/>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D3255" w:rsidRDefault="000D3255">
      <w:pPr>
        <w:spacing w:after="0" w:line="240" w:lineRule="auto"/>
      </w:pPr>
      <w:r>
        <w:separator/>
      </w:r>
    </w:p>
  </w:endnote>
  <w:endnote w:type="continuationSeparator" w:id="0">
    <w:p w:rsidR="000D3255" w:rsidRDefault="000D32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ymbolMT">
    <w:altName w:val="MS Mincho"/>
    <w:panose1 w:val="00000000000000000000"/>
    <w:charset w:val="80"/>
    <w:family w:val="auto"/>
    <w:notTrueType/>
    <w:pitch w:val="default"/>
    <w:sig w:usb0="00000000"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23FF4" w:rsidRDefault="00B23FF4">
    <w:pPr>
      <w:pStyle w:val="Piedepgina"/>
      <w:jc w:val="right"/>
    </w:pPr>
    <w:r>
      <w:fldChar w:fldCharType="begin"/>
    </w:r>
    <w:r>
      <w:instrText>PAGE   \* MERGEFORMAT</w:instrText>
    </w:r>
    <w:r>
      <w:fldChar w:fldCharType="separate"/>
    </w:r>
    <w:r w:rsidR="005E2D22" w:rsidRPr="005E2D22">
      <w:rPr>
        <w:noProof/>
        <w:lang w:val="es-ES"/>
      </w:rPr>
      <w:t>22</w:t>
    </w:r>
    <w:r>
      <w:fldChar w:fldCharType="end"/>
    </w:r>
  </w:p>
  <w:p w:rsidR="00B23FF4" w:rsidRDefault="00B23FF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D3255" w:rsidRDefault="000D3255">
      <w:pPr>
        <w:spacing w:after="0" w:line="240" w:lineRule="auto"/>
      </w:pPr>
      <w:r>
        <w:separator/>
      </w:r>
    </w:p>
  </w:footnote>
  <w:footnote w:type="continuationSeparator" w:id="0">
    <w:p w:rsidR="000D3255" w:rsidRDefault="000D325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EDBB"/>
      </v:shape>
    </w:pict>
  </w:numPicBullet>
  <w:abstractNum w:abstractNumId="0" w15:restartNumberingAfterBreak="0">
    <w:nsid w:val="027D267D"/>
    <w:multiLevelType w:val="hybridMultilevel"/>
    <w:tmpl w:val="63F6436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F665EE8"/>
    <w:multiLevelType w:val="hybridMultilevel"/>
    <w:tmpl w:val="8EE69FC0"/>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 w15:restartNumberingAfterBreak="0">
    <w:nsid w:val="162F33FC"/>
    <w:multiLevelType w:val="hybridMultilevel"/>
    <w:tmpl w:val="F7786578"/>
    <w:lvl w:ilvl="0" w:tplc="3C1A2350">
      <w:numFmt w:val="bullet"/>
      <w:lvlText w:val=""/>
      <w:lvlJc w:val="left"/>
      <w:pPr>
        <w:ind w:left="720" w:hanging="360"/>
      </w:pPr>
      <w:rPr>
        <w:rFonts w:ascii="Symbol" w:eastAsia="Calibri" w:hAnsi="Symbo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1C1753B8"/>
    <w:multiLevelType w:val="hybridMultilevel"/>
    <w:tmpl w:val="FF6C7BF2"/>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1E277D0E"/>
    <w:multiLevelType w:val="hybridMultilevel"/>
    <w:tmpl w:val="B4BAB920"/>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233143ED"/>
    <w:multiLevelType w:val="hybridMultilevel"/>
    <w:tmpl w:val="4246F58A"/>
    <w:lvl w:ilvl="0" w:tplc="0E96D0D6">
      <w:numFmt w:val="bullet"/>
      <w:lvlText w:val=""/>
      <w:lvlJc w:val="left"/>
      <w:pPr>
        <w:ind w:left="720" w:hanging="360"/>
      </w:pPr>
      <w:rPr>
        <w:rFonts w:ascii="Symbol" w:eastAsia="Calibri" w:hAnsi="Symbo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233726F6"/>
    <w:multiLevelType w:val="hybridMultilevel"/>
    <w:tmpl w:val="0D9ECF16"/>
    <w:lvl w:ilvl="0" w:tplc="E8464EEC">
      <w:numFmt w:val="bullet"/>
      <w:lvlText w:val=""/>
      <w:lvlJc w:val="left"/>
      <w:pPr>
        <w:ind w:left="720" w:hanging="360"/>
      </w:pPr>
      <w:rPr>
        <w:rFonts w:ascii="Symbol" w:eastAsiaTheme="minorHAnsi" w:hAnsi="Symbo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23F77818"/>
    <w:multiLevelType w:val="multilevel"/>
    <w:tmpl w:val="33B63D4E"/>
    <w:lvl w:ilvl="0">
      <w:start w:val="1"/>
      <w:numFmt w:val="decimal"/>
      <w:lvlText w:val="%1."/>
      <w:lvlJc w:val="left"/>
      <w:pPr>
        <w:ind w:left="720" w:hanging="360"/>
      </w:pPr>
    </w:lvl>
    <w:lvl w:ilvl="1">
      <w:start w:val="1"/>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28742771"/>
    <w:multiLevelType w:val="multilevel"/>
    <w:tmpl w:val="CA0E320A"/>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913673D"/>
    <w:multiLevelType w:val="hybridMultilevel"/>
    <w:tmpl w:val="C3B6C7C6"/>
    <w:lvl w:ilvl="0" w:tplc="080A0005">
      <w:start w:val="1"/>
      <w:numFmt w:val="bullet"/>
      <w:lvlText w:val=""/>
      <w:lvlJc w:val="left"/>
      <w:pPr>
        <w:ind w:left="720" w:hanging="360"/>
      </w:pPr>
      <w:rPr>
        <w:rFonts w:ascii="Wingdings" w:hAnsi="Wingdings" w:hint="default"/>
        <w:color w:val="auto"/>
      </w:rPr>
    </w:lvl>
    <w:lvl w:ilvl="1" w:tplc="080A0003">
      <w:start w:val="1"/>
      <w:numFmt w:val="decimal"/>
      <w:lvlText w:val="%2."/>
      <w:lvlJc w:val="left"/>
      <w:pPr>
        <w:tabs>
          <w:tab w:val="num" w:pos="1440"/>
        </w:tabs>
        <w:ind w:left="1440" w:hanging="360"/>
      </w:pPr>
    </w:lvl>
    <w:lvl w:ilvl="2" w:tplc="080A0005">
      <w:start w:val="1"/>
      <w:numFmt w:val="decimal"/>
      <w:lvlText w:val="%3."/>
      <w:lvlJc w:val="left"/>
      <w:pPr>
        <w:tabs>
          <w:tab w:val="num" w:pos="2160"/>
        </w:tabs>
        <w:ind w:left="2160" w:hanging="360"/>
      </w:pPr>
    </w:lvl>
    <w:lvl w:ilvl="3" w:tplc="080A0001">
      <w:start w:val="1"/>
      <w:numFmt w:val="decimal"/>
      <w:lvlText w:val="%4."/>
      <w:lvlJc w:val="left"/>
      <w:pPr>
        <w:tabs>
          <w:tab w:val="num" w:pos="2880"/>
        </w:tabs>
        <w:ind w:left="2880" w:hanging="360"/>
      </w:pPr>
    </w:lvl>
    <w:lvl w:ilvl="4" w:tplc="080A0003">
      <w:start w:val="1"/>
      <w:numFmt w:val="decimal"/>
      <w:lvlText w:val="%5."/>
      <w:lvlJc w:val="left"/>
      <w:pPr>
        <w:tabs>
          <w:tab w:val="num" w:pos="3600"/>
        </w:tabs>
        <w:ind w:left="3600" w:hanging="360"/>
      </w:pPr>
    </w:lvl>
    <w:lvl w:ilvl="5" w:tplc="080A0005">
      <w:start w:val="1"/>
      <w:numFmt w:val="decimal"/>
      <w:lvlText w:val="%6."/>
      <w:lvlJc w:val="left"/>
      <w:pPr>
        <w:tabs>
          <w:tab w:val="num" w:pos="4320"/>
        </w:tabs>
        <w:ind w:left="4320" w:hanging="360"/>
      </w:pPr>
    </w:lvl>
    <w:lvl w:ilvl="6" w:tplc="080A0001">
      <w:start w:val="1"/>
      <w:numFmt w:val="decimal"/>
      <w:lvlText w:val="%7."/>
      <w:lvlJc w:val="left"/>
      <w:pPr>
        <w:tabs>
          <w:tab w:val="num" w:pos="5040"/>
        </w:tabs>
        <w:ind w:left="5040" w:hanging="360"/>
      </w:pPr>
    </w:lvl>
    <w:lvl w:ilvl="7" w:tplc="080A0003">
      <w:start w:val="1"/>
      <w:numFmt w:val="decimal"/>
      <w:lvlText w:val="%8."/>
      <w:lvlJc w:val="left"/>
      <w:pPr>
        <w:tabs>
          <w:tab w:val="num" w:pos="5760"/>
        </w:tabs>
        <w:ind w:left="5760" w:hanging="360"/>
      </w:pPr>
    </w:lvl>
    <w:lvl w:ilvl="8" w:tplc="080A0005">
      <w:start w:val="1"/>
      <w:numFmt w:val="decimal"/>
      <w:lvlText w:val="%9."/>
      <w:lvlJc w:val="left"/>
      <w:pPr>
        <w:tabs>
          <w:tab w:val="num" w:pos="6480"/>
        </w:tabs>
        <w:ind w:left="6480" w:hanging="360"/>
      </w:pPr>
    </w:lvl>
  </w:abstractNum>
  <w:abstractNum w:abstractNumId="10" w15:restartNumberingAfterBreak="0">
    <w:nsid w:val="30EE4A78"/>
    <w:multiLevelType w:val="hybridMultilevel"/>
    <w:tmpl w:val="0B4835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36EE0A05"/>
    <w:multiLevelType w:val="multilevel"/>
    <w:tmpl w:val="0CFC8ACE"/>
    <w:lvl w:ilvl="0">
      <w:start w:val="1"/>
      <w:numFmt w:val="bullet"/>
      <w:lvlText w:val=""/>
      <w:lvlPicBulletId w:val="0"/>
      <w:lvlJc w:val="left"/>
      <w:pPr>
        <w:ind w:left="720" w:hanging="360"/>
      </w:pPr>
      <w:rPr>
        <w:rFonts w:ascii="Symbol" w:hAnsi="Symbol" w:hint="default"/>
      </w:rPr>
    </w:lvl>
    <w:lvl w:ilvl="1">
      <w:start w:val="3"/>
      <w:numFmt w:val="decimal"/>
      <w:isLgl/>
      <w:lvlText w:val="%1.%2"/>
      <w:lvlJc w:val="left"/>
      <w:pPr>
        <w:ind w:left="840" w:hanging="48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39967284"/>
    <w:multiLevelType w:val="multilevel"/>
    <w:tmpl w:val="7EC4AF68"/>
    <w:lvl w:ilvl="0">
      <w:start w:val="2"/>
      <w:numFmt w:val="decimal"/>
      <w:lvlText w:val="5.1.%1"/>
      <w:lvlJc w:val="left"/>
      <w:pPr>
        <w:tabs>
          <w:tab w:val="num" w:pos="360"/>
        </w:tabs>
        <w:ind w:left="360" w:hanging="360"/>
      </w:pPr>
      <w:rPr>
        <w:rFonts w:hint="default"/>
      </w:rPr>
    </w:lvl>
    <w:lvl w:ilvl="1">
      <w:start w:val="2"/>
      <w:numFmt w:val="none"/>
      <w:lvlText w:val="2.1."/>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3" w15:restartNumberingAfterBreak="0">
    <w:nsid w:val="3CD44D93"/>
    <w:multiLevelType w:val="hybridMultilevel"/>
    <w:tmpl w:val="30BC1D56"/>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469C025D"/>
    <w:multiLevelType w:val="hybridMultilevel"/>
    <w:tmpl w:val="8F206036"/>
    <w:lvl w:ilvl="0" w:tplc="A866CC82">
      <w:start w:val="1"/>
      <w:numFmt w:val="bullet"/>
      <w:lvlText w:val="Ä"/>
      <w:lvlJc w:val="left"/>
      <w:pPr>
        <w:ind w:left="720" w:hanging="360"/>
      </w:pPr>
      <w:rPr>
        <w:rFonts w:ascii="Wingdings" w:hAnsi="Wingdings" w:hint="default"/>
        <w:color w:val="00B05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4B4D09AF"/>
    <w:multiLevelType w:val="hybridMultilevel"/>
    <w:tmpl w:val="68F8943A"/>
    <w:lvl w:ilvl="0" w:tplc="A866CC82">
      <w:start w:val="1"/>
      <w:numFmt w:val="bullet"/>
      <w:lvlText w:val="Ä"/>
      <w:lvlJc w:val="left"/>
      <w:pPr>
        <w:ind w:left="720" w:hanging="360"/>
      </w:pPr>
      <w:rPr>
        <w:rFonts w:ascii="Wingdings" w:hAnsi="Wingdings" w:hint="default"/>
        <w:color w:val="00B05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4EE449D7"/>
    <w:multiLevelType w:val="hybridMultilevel"/>
    <w:tmpl w:val="40926AB0"/>
    <w:lvl w:ilvl="0" w:tplc="A866CC82">
      <w:start w:val="1"/>
      <w:numFmt w:val="bullet"/>
      <w:lvlText w:val="Ä"/>
      <w:lvlJc w:val="left"/>
      <w:pPr>
        <w:ind w:left="720" w:hanging="360"/>
      </w:pPr>
      <w:rPr>
        <w:rFonts w:ascii="Wingdings" w:hAnsi="Wingdings" w:hint="default"/>
        <w:color w:val="00B05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50202FD0"/>
    <w:multiLevelType w:val="multilevel"/>
    <w:tmpl w:val="F42CC9CA"/>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55CB1DA0"/>
    <w:multiLevelType w:val="hybridMultilevel"/>
    <w:tmpl w:val="546C2098"/>
    <w:lvl w:ilvl="0" w:tplc="D2C44E34">
      <w:start w:val="1"/>
      <w:numFmt w:val="decimal"/>
      <w:lvlText w:val="2.%1"/>
      <w:lvlJc w:val="left"/>
      <w:pPr>
        <w:ind w:left="786" w:hanging="360"/>
      </w:pPr>
      <w:rPr>
        <w:rFonts w:hint="default"/>
        <w:color w:val="000000"/>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19" w15:restartNumberingAfterBreak="0">
    <w:nsid w:val="57937746"/>
    <w:multiLevelType w:val="hybridMultilevel"/>
    <w:tmpl w:val="B30EC882"/>
    <w:lvl w:ilvl="0" w:tplc="080A0001">
      <w:start w:val="1"/>
      <w:numFmt w:val="bullet"/>
      <w:lvlText w:val=""/>
      <w:lvlJc w:val="left"/>
      <w:pPr>
        <w:ind w:left="2563" w:hanging="360"/>
      </w:pPr>
      <w:rPr>
        <w:rFonts w:ascii="Symbol" w:hAnsi="Symbol" w:hint="default"/>
      </w:rPr>
    </w:lvl>
    <w:lvl w:ilvl="1" w:tplc="080A0003" w:tentative="1">
      <w:start w:val="1"/>
      <w:numFmt w:val="bullet"/>
      <w:lvlText w:val="o"/>
      <w:lvlJc w:val="left"/>
      <w:pPr>
        <w:ind w:left="3283" w:hanging="360"/>
      </w:pPr>
      <w:rPr>
        <w:rFonts w:ascii="Courier New" w:hAnsi="Courier New" w:cs="Courier New" w:hint="default"/>
      </w:rPr>
    </w:lvl>
    <w:lvl w:ilvl="2" w:tplc="080A0005" w:tentative="1">
      <w:start w:val="1"/>
      <w:numFmt w:val="bullet"/>
      <w:lvlText w:val=""/>
      <w:lvlJc w:val="left"/>
      <w:pPr>
        <w:ind w:left="4003" w:hanging="360"/>
      </w:pPr>
      <w:rPr>
        <w:rFonts w:ascii="Wingdings" w:hAnsi="Wingdings" w:hint="default"/>
      </w:rPr>
    </w:lvl>
    <w:lvl w:ilvl="3" w:tplc="080A0001" w:tentative="1">
      <w:start w:val="1"/>
      <w:numFmt w:val="bullet"/>
      <w:lvlText w:val=""/>
      <w:lvlJc w:val="left"/>
      <w:pPr>
        <w:ind w:left="4723" w:hanging="360"/>
      </w:pPr>
      <w:rPr>
        <w:rFonts w:ascii="Symbol" w:hAnsi="Symbol" w:hint="default"/>
      </w:rPr>
    </w:lvl>
    <w:lvl w:ilvl="4" w:tplc="080A0003" w:tentative="1">
      <w:start w:val="1"/>
      <w:numFmt w:val="bullet"/>
      <w:lvlText w:val="o"/>
      <w:lvlJc w:val="left"/>
      <w:pPr>
        <w:ind w:left="5443" w:hanging="360"/>
      </w:pPr>
      <w:rPr>
        <w:rFonts w:ascii="Courier New" w:hAnsi="Courier New" w:cs="Courier New" w:hint="default"/>
      </w:rPr>
    </w:lvl>
    <w:lvl w:ilvl="5" w:tplc="080A0005" w:tentative="1">
      <w:start w:val="1"/>
      <w:numFmt w:val="bullet"/>
      <w:lvlText w:val=""/>
      <w:lvlJc w:val="left"/>
      <w:pPr>
        <w:ind w:left="6163" w:hanging="360"/>
      </w:pPr>
      <w:rPr>
        <w:rFonts w:ascii="Wingdings" w:hAnsi="Wingdings" w:hint="default"/>
      </w:rPr>
    </w:lvl>
    <w:lvl w:ilvl="6" w:tplc="080A0001" w:tentative="1">
      <w:start w:val="1"/>
      <w:numFmt w:val="bullet"/>
      <w:lvlText w:val=""/>
      <w:lvlJc w:val="left"/>
      <w:pPr>
        <w:ind w:left="6883" w:hanging="360"/>
      </w:pPr>
      <w:rPr>
        <w:rFonts w:ascii="Symbol" w:hAnsi="Symbol" w:hint="default"/>
      </w:rPr>
    </w:lvl>
    <w:lvl w:ilvl="7" w:tplc="080A0003" w:tentative="1">
      <w:start w:val="1"/>
      <w:numFmt w:val="bullet"/>
      <w:lvlText w:val="o"/>
      <w:lvlJc w:val="left"/>
      <w:pPr>
        <w:ind w:left="7603" w:hanging="360"/>
      </w:pPr>
      <w:rPr>
        <w:rFonts w:ascii="Courier New" w:hAnsi="Courier New" w:cs="Courier New" w:hint="default"/>
      </w:rPr>
    </w:lvl>
    <w:lvl w:ilvl="8" w:tplc="080A0005" w:tentative="1">
      <w:start w:val="1"/>
      <w:numFmt w:val="bullet"/>
      <w:lvlText w:val=""/>
      <w:lvlJc w:val="left"/>
      <w:pPr>
        <w:ind w:left="8323" w:hanging="360"/>
      </w:pPr>
      <w:rPr>
        <w:rFonts w:ascii="Wingdings" w:hAnsi="Wingdings" w:hint="default"/>
      </w:rPr>
    </w:lvl>
  </w:abstractNum>
  <w:abstractNum w:abstractNumId="20" w15:restartNumberingAfterBreak="0">
    <w:nsid w:val="59235D1B"/>
    <w:multiLevelType w:val="hybridMultilevel"/>
    <w:tmpl w:val="870A20C0"/>
    <w:lvl w:ilvl="0" w:tplc="BBA671F6">
      <w:start w:val="1"/>
      <w:numFmt w:val="bullet"/>
      <w:lvlText w:val="Ä"/>
      <w:lvlJc w:val="left"/>
      <w:pPr>
        <w:ind w:left="720" w:hanging="360"/>
      </w:pPr>
      <w:rPr>
        <w:rFonts w:ascii="Wingdings" w:hAnsi="Wingdings" w:hint="default"/>
        <w:color w:val="E36C0A" w:themeColor="accent6" w:themeShade="BF"/>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5EE075D1"/>
    <w:multiLevelType w:val="hybridMultilevel"/>
    <w:tmpl w:val="DC6A7C66"/>
    <w:lvl w:ilvl="0" w:tplc="5378A11A">
      <w:numFmt w:val="bullet"/>
      <w:lvlText w:val=""/>
      <w:lvlJc w:val="left"/>
      <w:pPr>
        <w:ind w:left="720" w:hanging="360"/>
      </w:pPr>
      <w:rPr>
        <w:rFonts w:ascii="Symbol" w:eastAsia="Calibri" w:hAnsi="Symbo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67FE59E6"/>
    <w:multiLevelType w:val="hybridMultilevel"/>
    <w:tmpl w:val="0A5CC2D4"/>
    <w:lvl w:ilvl="0" w:tplc="A866CC82">
      <w:start w:val="1"/>
      <w:numFmt w:val="bullet"/>
      <w:lvlText w:val="Ä"/>
      <w:lvlJc w:val="left"/>
      <w:pPr>
        <w:ind w:left="720" w:hanging="360"/>
      </w:pPr>
      <w:rPr>
        <w:rFonts w:ascii="Wingdings" w:hAnsi="Wingdings" w:hint="default"/>
        <w:color w:val="00B05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6C3E55BD"/>
    <w:multiLevelType w:val="hybridMultilevel"/>
    <w:tmpl w:val="0B22836E"/>
    <w:lvl w:ilvl="0" w:tplc="080A0005">
      <w:start w:val="1"/>
      <w:numFmt w:val="bullet"/>
      <w:lvlText w:val=""/>
      <w:lvlJc w:val="left"/>
      <w:pPr>
        <w:ind w:left="578" w:hanging="360"/>
      </w:pPr>
      <w:rPr>
        <w:rFonts w:ascii="Wingdings" w:hAnsi="Wingdings" w:hint="default"/>
      </w:rPr>
    </w:lvl>
    <w:lvl w:ilvl="1" w:tplc="080A0003" w:tentative="1">
      <w:start w:val="1"/>
      <w:numFmt w:val="bullet"/>
      <w:lvlText w:val="o"/>
      <w:lvlJc w:val="left"/>
      <w:pPr>
        <w:ind w:left="1298" w:hanging="360"/>
      </w:pPr>
      <w:rPr>
        <w:rFonts w:ascii="Courier New" w:hAnsi="Courier New" w:cs="Courier New" w:hint="default"/>
      </w:rPr>
    </w:lvl>
    <w:lvl w:ilvl="2" w:tplc="080A0005" w:tentative="1">
      <w:start w:val="1"/>
      <w:numFmt w:val="bullet"/>
      <w:lvlText w:val=""/>
      <w:lvlJc w:val="left"/>
      <w:pPr>
        <w:ind w:left="2018" w:hanging="360"/>
      </w:pPr>
      <w:rPr>
        <w:rFonts w:ascii="Wingdings" w:hAnsi="Wingdings" w:hint="default"/>
      </w:rPr>
    </w:lvl>
    <w:lvl w:ilvl="3" w:tplc="080A0001" w:tentative="1">
      <w:start w:val="1"/>
      <w:numFmt w:val="bullet"/>
      <w:lvlText w:val=""/>
      <w:lvlJc w:val="left"/>
      <w:pPr>
        <w:ind w:left="2738" w:hanging="360"/>
      </w:pPr>
      <w:rPr>
        <w:rFonts w:ascii="Symbol" w:hAnsi="Symbol" w:hint="default"/>
      </w:rPr>
    </w:lvl>
    <w:lvl w:ilvl="4" w:tplc="080A0003" w:tentative="1">
      <w:start w:val="1"/>
      <w:numFmt w:val="bullet"/>
      <w:lvlText w:val="o"/>
      <w:lvlJc w:val="left"/>
      <w:pPr>
        <w:ind w:left="3458" w:hanging="360"/>
      </w:pPr>
      <w:rPr>
        <w:rFonts w:ascii="Courier New" w:hAnsi="Courier New" w:cs="Courier New" w:hint="default"/>
      </w:rPr>
    </w:lvl>
    <w:lvl w:ilvl="5" w:tplc="080A0005" w:tentative="1">
      <w:start w:val="1"/>
      <w:numFmt w:val="bullet"/>
      <w:lvlText w:val=""/>
      <w:lvlJc w:val="left"/>
      <w:pPr>
        <w:ind w:left="4178" w:hanging="360"/>
      </w:pPr>
      <w:rPr>
        <w:rFonts w:ascii="Wingdings" w:hAnsi="Wingdings" w:hint="default"/>
      </w:rPr>
    </w:lvl>
    <w:lvl w:ilvl="6" w:tplc="080A0001" w:tentative="1">
      <w:start w:val="1"/>
      <w:numFmt w:val="bullet"/>
      <w:lvlText w:val=""/>
      <w:lvlJc w:val="left"/>
      <w:pPr>
        <w:ind w:left="4898" w:hanging="360"/>
      </w:pPr>
      <w:rPr>
        <w:rFonts w:ascii="Symbol" w:hAnsi="Symbol" w:hint="default"/>
      </w:rPr>
    </w:lvl>
    <w:lvl w:ilvl="7" w:tplc="080A0003" w:tentative="1">
      <w:start w:val="1"/>
      <w:numFmt w:val="bullet"/>
      <w:lvlText w:val="o"/>
      <w:lvlJc w:val="left"/>
      <w:pPr>
        <w:ind w:left="5618" w:hanging="360"/>
      </w:pPr>
      <w:rPr>
        <w:rFonts w:ascii="Courier New" w:hAnsi="Courier New" w:cs="Courier New" w:hint="default"/>
      </w:rPr>
    </w:lvl>
    <w:lvl w:ilvl="8" w:tplc="080A0005" w:tentative="1">
      <w:start w:val="1"/>
      <w:numFmt w:val="bullet"/>
      <w:lvlText w:val=""/>
      <w:lvlJc w:val="left"/>
      <w:pPr>
        <w:ind w:left="6338" w:hanging="360"/>
      </w:pPr>
      <w:rPr>
        <w:rFonts w:ascii="Wingdings" w:hAnsi="Wingdings" w:hint="default"/>
      </w:rPr>
    </w:lvl>
  </w:abstractNum>
  <w:abstractNum w:abstractNumId="24" w15:restartNumberingAfterBreak="0">
    <w:nsid w:val="79546210"/>
    <w:multiLevelType w:val="hybridMultilevel"/>
    <w:tmpl w:val="6D364ECA"/>
    <w:lvl w:ilvl="0" w:tplc="909A0C24">
      <w:start w:val="1"/>
      <w:numFmt w:val="decimal"/>
      <w:lvlText w:val="2.%1"/>
      <w:lvlJc w:val="left"/>
      <w:pPr>
        <w:ind w:left="1429" w:hanging="360"/>
      </w:pPr>
      <w:rPr>
        <w:rFonts w:hint="default"/>
      </w:r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num w:numId="1">
    <w:abstractNumId w:val="0"/>
  </w:num>
  <w:num w:numId="2">
    <w:abstractNumId w:val="1"/>
  </w:num>
  <w:num w:numId="3">
    <w:abstractNumId w:val="18"/>
  </w:num>
  <w:num w:numId="4">
    <w:abstractNumId w:val="5"/>
  </w:num>
  <w:num w:numId="5">
    <w:abstractNumId w:val="2"/>
  </w:num>
  <w:num w:numId="6">
    <w:abstractNumId w:val="9"/>
  </w:num>
  <w:num w:numId="7">
    <w:abstractNumId w:val="23"/>
  </w:num>
  <w:num w:numId="8">
    <w:abstractNumId w:val="7"/>
  </w:num>
  <w:num w:numId="9">
    <w:abstractNumId w:val="24"/>
  </w:num>
  <w:num w:numId="10">
    <w:abstractNumId w:val="19"/>
  </w:num>
  <w:num w:numId="11">
    <w:abstractNumId w:val="21"/>
  </w:num>
  <w:num w:numId="12">
    <w:abstractNumId w:val="4"/>
  </w:num>
  <w:num w:numId="13">
    <w:abstractNumId w:val="13"/>
  </w:num>
  <w:num w:numId="14">
    <w:abstractNumId w:val="6"/>
  </w:num>
  <w:num w:numId="15">
    <w:abstractNumId w:val="8"/>
  </w:num>
  <w:num w:numId="16">
    <w:abstractNumId w:val="3"/>
  </w:num>
  <w:num w:numId="17">
    <w:abstractNumId w:val="20"/>
  </w:num>
  <w:num w:numId="18">
    <w:abstractNumId w:val="11"/>
  </w:num>
  <w:num w:numId="19">
    <w:abstractNumId w:val="22"/>
  </w:num>
  <w:num w:numId="20">
    <w:abstractNumId w:val="15"/>
  </w:num>
  <w:num w:numId="21">
    <w:abstractNumId w:val="16"/>
  </w:num>
  <w:num w:numId="22">
    <w:abstractNumId w:val="14"/>
  </w:num>
  <w:num w:numId="23">
    <w:abstractNumId w:val="10"/>
  </w:num>
  <w:num w:numId="24">
    <w:abstractNumId w:val="12"/>
  </w:num>
  <w:num w:numId="2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62FA"/>
    <w:rsid w:val="00082A33"/>
    <w:rsid w:val="000A706D"/>
    <w:rsid w:val="000D3255"/>
    <w:rsid w:val="0017218B"/>
    <w:rsid w:val="00243E73"/>
    <w:rsid w:val="00274F78"/>
    <w:rsid w:val="002B4213"/>
    <w:rsid w:val="002D5D71"/>
    <w:rsid w:val="002E38BA"/>
    <w:rsid w:val="00305E9B"/>
    <w:rsid w:val="0034010B"/>
    <w:rsid w:val="00353BE1"/>
    <w:rsid w:val="003E58AB"/>
    <w:rsid w:val="00410028"/>
    <w:rsid w:val="0056442E"/>
    <w:rsid w:val="0058373A"/>
    <w:rsid w:val="005E2D22"/>
    <w:rsid w:val="00684A71"/>
    <w:rsid w:val="006C7477"/>
    <w:rsid w:val="006F5A41"/>
    <w:rsid w:val="00751BBB"/>
    <w:rsid w:val="00762340"/>
    <w:rsid w:val="00773877"/>
    <w:rsid w:val="00793382"/>
    <w:rsid w:val="007A0601"/>
    <w:rsid w:val="00886555"/>
    <w:rsid w:val="008A62FA"/>
    <w:rsid w:val="00964F13"/>
    <w:rsid w:val="009F45EE"/>
    <w:rsid w:val="00A23306"/>
    <w:rsid w:val="00A40DDC"/>
    <w:rsid w:val="00A57AB3"/>
    <w:rsid w:val="00A85C1E"/>
    <w:rsid w:val="00B23FF4"/>
    <w:rsid w:val="00B603A3"/>
    <w:rsid w:val="00B616A3"/>
    <w:rsid w:val="00B61935"/>
    <w:rsid w:val="00B91B45"/>
    <w:rsid w:val="00BE597A"/>
    <w:rsid w:val="00C818B9"/>
    <w:rsid w:val="00C93310"/>
    <w:rsid w:val="00CB1C82"/>
    <w:rsid w:val="00CF70C5"/>
    <w:rsid w:val="00D10D2F"/>
    <w:rsid w:val="00D12384"/>
    <w:rsid w:val="00D30DBE"/>
    <w:rsid w:val="00D3602F"/>
    <w:rsid w:val="00D957A0"/>
    <w:rsid w:val="00EC6767"/>
    <w:rsid w:val="00F34F34"/>
    <w:rsid w:val="00FA450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8574500-56D9-4480-89CF-2336647BF2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A62FA"/>
    <w:rPr>
      <w:rFonts w:ascii="Calibri" w:eastAsia="Calibri" w:hAnsi="Calibri" w:cs="Times New Roman"/>
    </w:rPr>
  </w:style>
  <w:style w:type="paragraph" w:styleId="Ttulo1">
    <w:name w:val="heading 1"/>
    <w:basedOn w:val="Normal"/>
    <w:next w:val="Normal"/>
    <w:link w:val="Ttulo1Car"/>
    <w:uiPriority w:val="9"/>
    <w:qFormat/>
    <w:rsid w:val="00684A7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unhideWhenUsed/>
    <w:qFormat/>
    <w:rsid w:val="008A62FA"/>
    <w:pPr>
      <w:keepNext/>
      <w:keepLines/>
      <w:spacing w:before="200" w:after="0" w:line="360" w:lineRule="auto"/>
      <w:ind w:firstLine="709"/>
      <w:jc w:val="both"/>
      <w:outlineLvl w:val="1"/>
    </w:pPr>
    <w:rPr>
      <w:rFonts w:ascii="Cambria" w:eastAsia="Times New Roman" w:hAnsi="Cambria"/>
      <w:b/>
      <w:bCs/>
      <w:color w:val="4F81BD"/>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8A62FA"/>
    <w:rPr>
      <w:rFonts w:ascii="Cambria" w:eastAsia="Times New Roman" w:hAnsi="Cambria" w:cs="Times New Roman"/>
      <w:b/>
      <w:bCs/>
      <w:color w:val="4F81BD"/>
      <w:sz w:val="26"/>
      <w:szCs w:val="26"/>
    </w:rPr>
  </w:style>
  <w:style w:type="paragraph" w:styleId="Sinespaciado">
    <w:name w:val="No Spacing"/>
    <w:link w:val="SinespaciadoCar"/>
    <w:uiPriority w:val="1"/>
    <w:qFormat/>
    <w:rsid w:val="008A62FA"/>
    <w:pPr>
      <w:spacing w:after="0" w:line="240" w:lineRule="auto"/>
    </w:pPr>
    <w:rPr>
      <w:rFonts w:ascii="Calibri" w:eastAsia="Calibri" w:hAnsi="Calibri" w:cs="Times New Roman"/>
    </w:rPr>
  </w:style>
  <w:style w:type="paragraph" w:styleId="Textonotapie">
    <w:name w:val="footnote text"/>
    <w:basedOn w:val="Normal"/>
    <w:link w:val="TextonotapieCar"/>
    <w:uiPriority w:val="99"/>
    <w:semiHidden/>
    <w:unhideWhenUsed/>
    <w:rsid w:val="008A62FA"/>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A62FA"/>
    <w:rPr>
      <w:rFonts w:ascii="Calibri" w:eastAsia="Calibri" w:hAnsi="Calibri" w:cs="Times New Roman"/>
      <w:sz w:val="20"/>
      <w:szCs w:val="20"/>
    </w:rPr>
  </w:style>
  <w:style w:type="character" w:styleId="Refdenotaalpie">
    <w:name w:val="footnote reference"/>
    <w:uiPriority w:val="99"/>
    <w:semiHidden/>
    <w:unhideWhenUsed/>
    <w:rsid w:val="008A62FA"/>
    <w:rPr>
      <w:vertAlign w:val="superscript"/>
    </w:rPr>
  </w:style>
  <w:style w:type="character" w:customStyle="1" w:styleId="SinespaciadoCar">
    <w:name w:val="Sin espaciado Car"/>
    <w:link w:val="Sinespaciado"/>
    <w:uiPriority w:val="1"/>
    <w:rsid w:val="008A62FA"/>
    <w:rPr>
      <w:rFonts w:ascii="Calibri" w:eastAsia="Calibri" w:hAnsi="Calibri" w:cs="Times New Roman"/>
    </w:rPr>
  </w:style>
  <w:style w:type="paragraph" w:styleId="Encabezado">
    <w:name w:val="header"/>
    <w:basedOn w:val="Normal"/>
    <w:link w:val="EncabezadoCar"/>
    <w:unhideWhenUsed/>
    <w:rsid w:val="008A62FA"/>
    <w:pPr>
      <w:tabs>
        <w:tab w:val="center" w:pos="4419"/>
        <w:tab w:val="right" w:pos="8838"/>
      </w:tabs>
      <w:spacing w:after="0" w:line="240" w:lineRule="auto"/>
    </w:pPr>
  </w:style>
  <w:style w:type="character" w:customStyle="1" w:styleId="EncabezadoCar">
    <w:name w:val="Encabezado Car"/>
    <w:basedOn w:val="Fuentedeprrafopredeter"/>
    <w:link w:val="Encabezado"/>
    <w:rsid w:val="008A62FA"/>
    <w:rPr>
      <w:rFonts w:ascii="Calibri" w:eastAsia="Calibri" w:hAnsi="Calibri" w:cs="Times New Roman"/>
    </w:rPr>
  </w:style>
  <w:style w:type="paragraph" w:styleId="Piedepgina">
    <w:name w:val="footer"/>
    <w:basedOn w:val="Normal"/>
    <w:link w:val="PiedepginaCar"/>
    <w:uiPriority w:val="99"/>
    <w:unhideWhenUsed/>
    <w:rsid w:val="008A62F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A62FA"/>
    <w:rPr>
      <w:rFonts w:ascii="Calibri" w:eastAsia="Calibri" w:hAnsi="Calibri" w:cs="Times New Roman"/>
    </w:rPr>
  </w:style>
  <w:style w:type="paragraph" w:styleId="Textodeglobo">
    <w:name w:val="Balloon Text"/>
    <w:basedOn w:val="Normal"/>
    <w:link w:val="TextodegloboCar"/>
    <w:uiPriority w:val="99"/>
    <w:semiHidden/>
    <w:unhideWhenUsed/>
    <w:rsid w:val="008A62F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A62FA"/>
    <w:rPr>
      <w:rFonts w:ascii="Tahoma" w:eastAsia="Calibri" w:hAnsi="Tahoma" w:cs="Tahoma"/>
      <w:sz w:val="16"/>
      <w:szCs w:val="16"/>
    </w:rPr>
  </w:style>
  <w:style w:type="table" w:styleId="Tablaconcuadrcula">
    <w:name w:val="Table Grid"/>
    <w:basedOn w:val="Tablanormal"/>
    <w:uiPriority w:val="59"/>
    <w:rsid w:val="008A62FA"/>
    <w:pPr>
      <w:spacing w:after="0" w:line="240" w:lineRule="auto"/>
    </w:pPr>
    <w:rPr>
      <w:rFonts w:ascii="Calibri" w:eastAsia="Calibri" w:hAnsi="Calibri" w:cs="Times New Roman"/>
      <w:sz w:val="20"/>
      <w:szCs w:val="20"/>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uiPriority w:val="99"/>
    <w:unhideWhenUsed/>
    <w:rsid w:val="008A62FA"/>
    <w:rPr>
      <w:color w:val="0000FF"/>
      <w:u w:val="single"/>
    </w:rPr>
  </w:style>
  <w:style w:type="table" w:customStyle="1" w:styleId="Sombreadoclaro1">
    <w:name w:val="Sombreado claro1"/>
    <w:basedOn w:val="Tablanormal"/>
    <w:uiPriority w:val="60"/>
    <w:rsid w:val="008A62FA"/>
    <w:pPr>
      <w:spacing w:after="0" w:line="240" w:lineRule="auto"/>
    </w:pPr>
    <w:rPr>
      <w:rFonts w:ascii="Calibri" w:eastAsia="Calibri" w:hAnsi="Calibri"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Prrafodelista">
    <w:name w:val="List Paragraph"/>
    <w:basedOn w:val="Normal"/>
    <w:uiPriority w:val="34"/>
    <w:qFormat/>
    <w:rsid w:val="008A62FA"/>
    <w:pPr>
      <w:ind w:left="720"/>
      <w:contextualSpacing/>
    </w:pPr>
  </w:style>
  <w:style w:type="table" w:customStyle="1" w:styleId="Tablaconcuadrcula1">
    <w:name w:val="Tabla con cuadrícula1"/>
    <w:basedOn w:val="Tablanormal"/>
    <w:next w:val="Tablaconcuadrcula"/>
    <w:uiPriority w:val="59"/>
    <w:rsid w:val="008A62FA"/>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ennegrita">
    <w:name w:val="Strong"/>
    <w:uiPriority w:val="22"/>
    <w:qFormat/>
    <w:rsid w:val="008A62FA"/>
    <w:rPr>
      <w:b/>
      <w:bCs/>
    </w:rPr>
  </w:style>
  <w:style w:type="paragraph" w:styleId="Descripcin">
    <w:name w:val="caption"/>
    <w:basedOn w:val="Normal"/>
    <w:next w:val="Normal"/>
    <w:uiPriority w:val="35"/>
    <w:unhideWhenUsed/>
    <w:qFormat/>
    <w:rsid w:val="00243E73"/>
    <w:pPr>
      <w:spacing w:line="240" w:lineRule="auto"/>
    </w:pPr>
    <w:rPr>
      <w:rFonts w:asciiTheme="minorHAnsi" w:eastAsiaTheme="minorHAnsi" w:hAnsiTheme="minorHAnsi" w:cstheme="minorBidi"/>
      <w:b/>
      <w:bCs/>
      <w:color w:val="4F81BD" w:themeColor="accent1"/>
      <w:sz w:val="18"/>
      <w:szCs w:val="18"/>
    </w:rPr>
  </w:style>
  <w:style w:type="character" w:customStyle="1" w:styleId="Ttulo1Car">
    <w:name w:val="Título 1 Car"/>
    <w:basedOn w:val="Fuentedeprrafopredeter"/>
    <w:link w:val="Ttulo1"/>
    <w:uiPriority w:val="9"/>
    <w:rsid w:val="00684A71"/>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hyperlink" Target="http://www.inegi.org.mx/geo/contenidos/Topografia/Descarga.aspx" TargetMode="External"/><Relationship Id="rId21" Type="http://schemas.openxmlformats.org/officeDocument/2006/relationships/image" Target="media/image15.png"/><Relationship Id="rId34" Type="http://schemas.openxmlformats.org/officeDocument/2006/relationships/hyperlink" Target="http://www.msal.gov.ar/promin/publicaciones/pdf/morbimor.pdf" TargetMode="External"/><Relationship Id="rId42" Type="http://schemas.openxmlformats.org/officeDocument/2006/relationships/hyperlink" Target="http://www.inegi.org.mx/est/contenidos/proyectos/ccpv/cpv2010/Default.aspx" TargetMode="External"/><Relationship Id="rId47" Type="http://schemas.openxmlformats.org/officeDocument/2006/relationships/hyperlink" Target="http://www.facmed.unam.mx/deptos/salud/bibliotecav/epibasica%20spm.pdf" TargetMode="External"/><Relationship Id="rId50" Type="http://schemas.openxmlformats.org/officeDocument/2006/relationships/hyperlink" Target="http://www.who.int/mediacentre/factsheets/fs290/es/" TargetMode="External"/><Relationship Id="rId55" Type="http://schemas.openxmlformats.org/officeDocument/2006/relationships/hyperlink" Target="http://www.scielo.cl/scielo.php?pid=S0034-98872000000400006&amp;script=sci_arttext" TargetMode="Externa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10.jpeg"/><Relationship Id="rId29" Type="http://schemas.openxmlformats.org/officeDocument/2006/relationships/hyperlink" Target="http://www.deis.gov.ar/definiciones.htm" TargetMode="Externa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hyperlink" Target="http://www.scielo.org.mx/pdf/bmim/v69n2/v69n2a11.pdf" TargetMode="External"/><Relationship Id="rId37" Type="http://schemas.openxmlformats.org/officeDocument/2006/relationships/hyperlink" Target="http://www.conabio.gob.mx/informacion/gis/" TargetMode="External"/><Relationship Id="rId40" Type="http://schemas.openxmlformats.org/officeDocument/2006/relationships/hyperlink" Target="http://www.inegi.org.mx/geo/contenidos/recnat/usosuelo/Default.aspx" TargetMode="External"/><Relationship Id="rId45" Type="http://schemas.openxmlformats.org/officeDocument/2006/relationships/hyperlink" Target="http://www.anmm.org.mx/GMM/2013/n6/GMM_149_2013_6_617-623.pdf" TargetMode="External"/><Relationship Id="rId53" Type="http://schemas.openxmlformats.org/officeDocument/2006/relationships/hyperlink" Target="http://www.chem.unep.ch/Publications/pdf/ChildhoodPestPois_Sp.pdf" TargetMode="External"/><Relationship Id="rId58" Type="http://schemas.openxmlformats.org/officeDocument/2006/relationships/hyperlink" Target="http://www.sinais.salud.gob.mx/basesdedatos/std_muertesfetales.html" TargetMode="External"/><Relationship Id="rId5" Type="http://schemas.openxmlformats.org/officeDocument/2006/relationships/webSettings" Target="webSettings.xml"/><Relationship Id="rId61" Type="http://schemas.openxmlformats.org/officeDocument/2006/relationships/hyperlink" Target="http://www.worldclim.org/" TargetMode="External"/><Relationship Id="rId19" Type="http://schemas.openxmlformats.org/officeDocument/2006/relationships/image" Target="media/image13.png"/><Relationship Id="rId14" Type="http://schemas.openxmlformats.org/officeDocument/2006/relationships/image" Target="media/image8.jpeg"/><Relationship Id="rId22" Type="http://schemas.openxmlformats.org/officeDocument/2006/relationships/image" Target="media/image16.png"/><Relationship Id="rId27" Type="http://schemas.openxmlformats.org/officeDocument/2006/relationships/hyperlink" Target="http://www.atsdr.cdc.gov/es/phs/es_phs88.html" TargetMode="External"/><Relationship Id="rId30" Type="http://schemas.openxmlformats.org/officeDocument/2006/relationships/hyperlink" Target="http://www.epidemiologia.salud.gob.mx/doctos/infoepid/vig_epid_manuales/09_2012_Manual_DefTuboNeural_vFinal27sep12.pdf" TargetMode="External"/><Relationship Id="rId35" Type="http://schemas.openxmlformats.org/officeDocument/2006/relationships/hyperlink" Target="http://www2.ine.gob.mx/sistemas/plaguicidas/prohibi.html" TargetMode="External"/><Relationship Id="rId43" Type="http://schemas.openxmlformats.org/officeDocument/2006/relationships/hyperlink" Target="http://www3.inegi.org.mx/sistemas/tabuladosbasicos/default.aspx?c=27303&amp;s=est" TargetMode="External"/><Relationship Id="rId48" Type="http://schemas.openxmlformats.org/officeDocument/2006/relationships/hyperlink" Target="http://www.who.int/mediacentre/factsheets/fs370/es/" TargetMode="External"/><Relationship Id="rId56" Type="http://schemas.openxmlformats.org/officeDocument/2006/relationships/hyperlink" Target="http://www.sener.gob.mx/res/PE_y_DT/pub/Anuario%20Estadistico%202007.pdf" TargetMode="External"/><Relationship Id="rId64" Type="http://schemas.openxmlformats.org/officeDocument/2006/relationships/theme" Target="theme/theme1.xml"/><Relationship Id="rId8" Type="http://schemas.openxmlformats.org/officeDocument/2006/relationships/image" Target="media/image2.jpeg"/><Relationship Id="rId51" Type="http://schemas.openxmlformats.org/officeDocument/2006/relationships/hyperlink" Target="http://www.sertox.com.ar/retel/n11/04.pdf" TargetMode="External"/><Relationship Id="rId3" Type="http://schemas.openxmlformats.org/officeDocument/2006/relationships/styles" Target="styles.xml"/><Relationship Id="rId12" Type="http://schemas.openxmlformats.org/officeDocument/2006/relationships/image" Target="media/image6.png"/><Relationship Id="rId17" Type="http://schemas.openxmlformats.org/officeDocument/2006/relationships/image" Target="media/image11.jpeg"/><Relationship Id="rId25" Type="http://schemas.openxmlformats.org/officeDocument/2006/relationships/image" Target="media/image19.png"/><Relationship Id="rId33" Type="http://schemas.openxmlformats.org/officeDocument/2006/relationships/hyperlink" Target="http://www.fuden.es/FICHEROS_ADMINISTRADOR/F_METODOLOGICA/formacion%206.pdf" TargetMode="External"/><Relationship Id="rId38" Type="http://schemas.openxmlformats.org/officeDocument/2006/relationships/hyperlink" Target="http://cedoc.inmujeres.gob.mx/documentos_download/101215.pdf" TargetMode="External"/><Relationship Id="rId46" Type="http://schemas.openxmlformats.org/officeDocument/2006/relationships/hyperlink" Target="http://www.repositoriodigital.ipn.mx/bitstream/handle/123456789/5738/JESSICA%20MIRELES%20MORALES.pdf?sequence=1" TargetMode="External"/><Relationship Id="rId59" Type="http://schemas.openxmlformats.org/officeDocument/2006/relationships/hyperlink" Target="http://www.sinais.salud.gob.mx/basesdedatos/std_nacimientos.html" TargetMode="External"/><Relationship Id="rId20" Type="http://schemas.openxmlformats.org/officeDocument/2006/relationships/image" Target="media/image14.png"/><Relationship Id="rId41" Type="http://schemas.openxmlformats.org/officeDocument/2006/relationships/hyperlink" Target="http://www.inegi.org.mx/est/contenidos/proyectos/Agro/ca2007/Resultados_Agricola/default.aspx" TargetMode="External"/><Relationship Id="rId54" Type="http://schemas.openxmlformats.org/officeDocument/2006/relationships/hyperlink" Target="http://new.medigraphic.com/cgi-bin/resumen.cgi?IDREVISTA=79&amp;IDARTICULO=16345&amp;IDPUBLICACION=1668" TargetMode="External"/><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7.png"/><Relationship Id="rId28" Type="http://schemas.openxmlformats.org/officeDocument/2006/relationships/hyperlink" Target="http://www.conabio.gob.mx/informacion/gis/" TargetMode="External"/><Relationship Id="rId36" Type="http://schemas.openxmlformats.org/officeDocument/2006/relationships/hyperlink" Target="http://www.inegi.org.mx/prod_serv/contenidos/espanol/bvinegi/productos/integracion/sociodemografico/mujeresyhombres/2010/MyH_2010.pdf" TargetMode="External"/><Relationship Id="rId49" Type="http://schemas.openxmlformats.org/officeDocument/2006/relationships/hyperlink" Target="http://ais.paho.org/classifications/Chapters/pdf/Volume3.pdf" TargetMode="External"/><Relationship Id="rId57" Type="http://schemas.openxmlformats.org/officeDocument/2006/relationships/hyperlink" Target="http://www.sinais.salud.gob.mx/basesdedatos/std_defunciones.html" TargetMode="External"/><Relationship Id="rId10" Type="http://schemas.openxmlformats.org/officeDocument/2006/relationships/image" Target="media/image4.jpeg"/><Relationship Id="rId31" Type="http://schemas.openxmlformats.org/officeDocument/2006/relationships/hyperlink" Target="http://www.redalyc.org/articulo.oa?id=61026405" TargetMode="External"/><Relationship Id="rId44" Type="http://schemas.openxmlformats.org/officeDocument/2006/relationships/hyperlink" Target="http://www.medigraphic.com/pdfs/actpedmex/apm-2008/apm081i.pdf" TargetMode="External"/><Relationship Id="rId52" Type="http://schemas.openxmlformats.org/officeDocument/2006/relationships/hyperlink" Target="http://www.medigraphic.com/pdfs/bmhim/hi-2005/hi054i.pdf" TargetMode="External"/><Relationship Id="rId60" Type="http://schemas.openxmlformats.org/officeDocument/2006/relationships/hyperlink" Target="http://www.sciencedirect.com/science/article/pii/S1352231008005074" TargetMode="External"/><Relationship Id="rId4" Type="http://schemas.openxmlformats.org/officeDocument/2006/relationships/settings" Target="settings.xml"/><Relationship Id="rId9"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FC7920-CD72-4DCF-8CFC-3A24FDA867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44</Pages>
  <Words>12598</Words>
  <Characters>69292</Characters>
  <Application>Microsoft Office Word</Application>
  <DocSecurity>0</DocSecurity>
  <Lines>577</Lines>
  <Paragraphs>163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81727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SAMSUNG</dc:creator>
  <cp:keywords/>
  <dc:description/>
  <cp:lastModifiedBy>Proyectos con financiamiento UAEM</cp:lastModifiedBy>
  <cp:revision>2</cp:revision>
  <cp:lastPrinted>2015-08-20T12:08:00Z</cp:lastPrinted>
  <dcterms:created xsi:type="dcterms:W3CDTF">2016-05-04T14:55:00Z</dcterms:created>
  <dcterms:modified xsi:type="dcterms:W3CDTF">2016-05-04T14:55:00Z</dcterms:modified>
</cp:coreProperties>
</file>