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theme/themeOverride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41D3D" w:rsidRPr="0080796A" w:rsidRDefault="009E6570" w:rsidP="0080796A">
      <w:pPr>
        <w:rPr>
          <w:rFonts w:ascii="Century Gothic" w:hAnsi="Century Gothic"/>
          <w:noProof/>
          <w:sz w:val="32"/>
          <w:szCs w:val="32"/>
          <w:lang w:eastAsia="es-MX"/>
        </w:rPr>
      </w:pPr>
      <w:r>
        <w:rPr>
          <w:rFonts w:ascii="Arial" w:hAnsi="Arial" w:cs="Arial"/>
          <w:b/>
          <w:noProof/>
          <w:color w:val="000000" w:themeColor="text1"/>
          <w:sz w:val="32"/>
          <w:szCs w:val="32"/>
          <w:lang w:eastAsia="es-MX"/>
        </w:rPr>
        <w:pict>
          <v:shapetype id="_x0000_t202" coordsize="21600,21600" o:spt="202" path="m,l,21600r21600,l21600,xe">
            <v:stroke joinstyle="miter"/>
            <v:path gradientshapeok="t" o:connecttype="rect"/>
          </v:shapetype>
          <v:shape id="_x0000_s1026" type="#_x0000_t202" style="position:absolute;margin-left:-10.05pt;margin-top:-12.65pt;width:448.8pt;height:676.2pt;z-index:251662336" fillcolor="white [3212]" strokecolor="white [3212]" strokeweight="2pt">
            <v:fill rotate="t"/>
            <v:textbox>
              <w:txbxContent>
                <w:p w:rsidR="00A7556E" w:rsidRDefault="00A7556E" w:rsidP="003E74E4">
                  <w:pPr>
                    <w:spacing w:line="360" w:lineRule="auto"/>
                    <w:jc w:val="center"/>
                    <w:rPr>
                      <w:rFonts w:ascii="Book Antiqua" w:hAnsi="Book Antiqua"/>
                      <w:sz w:val="40"/>
                      <w:szCs w:val="40"/>
                    </w:rPr>
                  </w:pPr>
                </w:p>
                <w:p w:rsidR="00A7556E" w:rsidRPr="0080796A" w:rsidRDefault="00A7556E" w:rsidP="0080796A">
                  <w:pPr>
                    <w:spacing w:line="480" w:lineRule="auto"/>
                    <w:jc w:val="center"/>
                    <w:rPr>
                      <w:rFonts w:ascii="Arial" w:hAnsi="Arial" w:cs="Arial"/>
                      <w:b/>
                      <w:color w:val="0F243E" w:themeColor="text2" w:themeShade="80"/>
                      <w:sz w:val="32"/>
                      <w:szCs w:val="32"/>
                    </w:rPr>
                  </w:pPr>
                  <w:r w:rsidRPr="0080796A">
                    <w:rPr>
                      <w:rFonts w:ascii="Arial" w:hAnsi="Arial" w:cs="Arial"/>
                      <w:b/>
                      <w:color w:val="0F243E" w:themeColor="text2" w:themeShade="80"/>
                      <w:sz w:val="32"/>
                      <w:szCs w:val="32"/>
                    </w:rPr>
                    <w:t>UNIVERSIDAD AUTÓNOMA DEL ESTADO DE MÉXICO</w:t>
                  </w:r>
                </w:p>
                <w:p w:rsidR="00A7556E" w:rsidRDefault="00A7556E" w:rsidP="0080796A">
                  <w:pPr>
                    <w:spacing w:line="360" w:lineRule="auto"/>
                    <w:jc w:val="center"/>
                    <w:rPr>
                      <w:rFonts w:ascii="Arial" w:hAnsi="Arial" w:cs="Arial"/>
                      <w:b/>
                      <w:color w:val="0F243E" w:themeColor="text2" w:themeShade="80"/>
                      <w:sz w:val="32"/>
                      <w:szCs w:val="32"/>
                    </w:rPr>
                  </w:pPr>
                </w:p>
                <w:p w:rsidR="00A7556E" w:rsidRDefault="00A7556E" w:rsidP="0080796A">
                  <w:pPr>
                    <w:spacing w:line="360" w:lineRule="auto"/>
                    <w:jc w:val="center"/>
                    <w:rPr>
                      <w:rFonts w:ascii="Arial" w:hAnsi="Arial" w:cs="Arial"/>
                      <w:b/>
                      <w:color w:val="0F243E" w:themeColor="text2" w:themeShade="80"/>
                      <w:sz w:val="32"/>
                      <w:szCs w:val="32"/>
                    </w:rPr>
                  </w:pPr>
                </w:p>
                <w:p w:rsidR="00A7556E" w:rsidRDefault="00A7556E" w:rsidP="0080796A">
                  <w:pPr>
                    <w:spacing w:line="360" w:lineRule="auto"/>
                    <w:jc w:val="center"/>
                    <w:rPr>
                      <w:rFonts w:ascii="Arial" w:hAnsi="Arial" w:cs="Arial"/>
                      <w:b/>
                      <w:color w:val="0F243E" w:themeColor="text2" w:themeShade="80"/>
                      <w:sz w:val="32"/>
                      <w:szCs w:val="32"/>
                    </w:rPr>
                  </w:pPr>
                </w:p>
                <w:p w:rsidR="00A7556E" w:rsidRPr="0080796A" w:rsidRDefault="00A7556E" w:rsidP="0080796A">
                  <w:pPr>
                    <w:spacing w:line="360" w:lineRule="auto"/>
                    <w:jc w:val="center"/>
                    <w:rPr>
                      <w:rFonts w:ascii="Arial" w:hAnsi="Arial" w:cs="Arial"/>
                      <w:b/>
                      <w:color w:val="0F243E" w:themeColor="text2" w:themeShade="80"/>
                      <w:sz w:val="28"/>
                      <w:szCs w:val="28"/>
                    </w:rPr>
                  </w:pPr>
                  <w:r w:rsidRPr="0080796A">
                    <w:rPr>
                      <w:rFonts w:ascii="Arial" w:hAnsi="Arial" w:cs="Arial"/>
                      <w:b/>
                      <w:color w:val="0F243E" w:themeColor="text2" w:themeShade="80"/>
                      <w:sz w:val="28"/>
                      <w:szCs w:val="28"/>
                    </w:rPr>
                    <w:t>LA VOLATILIDAD  DE LOS TRASPASOS DEL SISTEMA DE CAPITALIZACIÓN INDIVIDUAL DE MÉXICO DURANTE LOS AÑOS DE CRISIS FINANCIERA 2005-2012</w:t>
                  </w:r>
                </w:p>
                <w:p w:rsidR="00A7556E" w:rsidRDefault="00A7556E" w:rsidP="0080796A">
                  <w:pPr>
                    <w:spacing w:line="360" w:lineRule="auto"/>
                    <w:jc w:val="center"/>
                    <w:rPr>
                      <w:rFonts w:ascii="Arial" w:hAnsi="Arial" w:cs="Arial"/>
                      <w:b/>
                      <w:color w:val="0F243E" w:themeColor="text2" w:themeShade="80"/>
                      <w:sz w:val="32"/>
                      <w:szCs w:val="32"/>
                    </w:rPr>
                  </w:pPr>
                </w:p>
                <w:p w:rsidR="00A7556E" w:rsidRPr="0080796A" w:rsidRDefault="00A7556E" w:rsidP="0080796A">
                  <w:pPr>
                    <w:spacing w:line="360" w:lineRule="auto"/>
                    <w:jc w:val="center"/>
                    <w:rPr>
                      <w:rFonts w:ascii="Arial" w:hAnsi="Arial" w:cs="Arial"/>
                      <w:b/>
                      <w:color w:val="0F243E" w:themeColor="text2" w:themeShade="80"/>
                      <w:sz w:val="32"/>
                      <w:szCs w:val="32"/>
                    </w:rPr>
                  </w:pPr>
                </w:p>
                <w:p w:rsidR="00A7556E" w:rsidRPr="0080796A" w:rsidRDefault="00A7556E" w:rsidP="0080796A">
                  <w:pPr>
                    <w:spacing w:line="360" w:lineRule="auto"/>
                    <w:jc w:val="center"/>
                    <w:rPr>
                      <w:rFonts w:ascii="Arial" w:hAnsi="Arial" w:cs="Arial"/>
                      <w:b/>
                      <w:color w:val="0F243E" w:themeColor="text2" w:themeShade="80"/>
                      <w:sz w:val="28"/>
                      <w:szCs w:val="28"/>
                    </w:rPr>
                  </w:pPr>
                  <w:r w:rsidRPr="0080796A">
                    <w:rPr>
                      <w:rFonts w:ascii="Arial" w:hAnsi="Arial" w:cs="Arial"/>
                      <w:b/>
                      <w:color w:val="0F243E" w:themeColor="text2" w:themeShade="80"/>
                      <w:sz w:val="28"/>
                      <w:szCs w:val="28"/>
                    </w:rPr>
                    <w:t>Clave del proyecto: 3442/2013CHT</w:t>
                  </w:r>
                </w:p>
                <w:p w:rsidR="00A7556E" w:rsidRDefault="00A7556E" w:rsidP="0080796A">
                  <w:pPr>
                    <w:spacing w:line="360" w:lineRule="auto"/>
                    <w:jc w:val="center"/>
                    <w:rPr>
                      <w:rFonts w:ascii="Arial" w:hAnsi="Arial" w:cs="Arial"/>
                      <w:b/>
                      <w:color w:val="0F243E" w:themeColor="text2" w:themeShade="80"/>
                      <w:sz w:val="28"/>
                      <w:szCs w:val="28"/>
                    </w:rPr>
                  </w:pPr>
                </w:p>
                <w:p w:rsidR="00A7556E" w:rsidRPr="0080796A" w:rsidRDefault="00A7556E" w:rsidP="0080796A">
                  <w:pPr>
                    <w:spacing w:line="360" w:lineRule="auto"/>
                    <w:jc w:val="center"/>
                    <w:rPr>
                      <w:rFonts w:ascii="Arial" w:hAnsi="Arial" w:cs="Arial"/>
                      <w:b/>
                      <w:color w:val="0F243E" w:themeColor="text2" w:themeShade="80"/>
                      <w:sz w:val="28"/>
                      <w:szCs w:val="28"/>
                    </w:rPr>
                  </w:pPr>
                </w:p>
                <w:p w:rsidR="00A7556E" w:rsidRPr="0080796A" w:rsidRDefault="00A7556E" w:rsidP="0080796A">
                  <w:pPr>
                    <w:spacing w:line="360" w:lineRule="auto"/>
                    <w:jc w:val="center"/>
                    <w:rPr>
                      <w:rFonts w:ascii="Arial" w:hAnsi="Arial" w:cs="Arial"/>
                      <w:b/>
                      <w:color w:val="0F243E" w:themeColor="text2" w:themeShade="80"/>
                      <w:sz w:val="28"/>
                      <w:szCs w:val="28"/>
                    </w:rPr>
                  </w:pPr>
                </w:p>
                <w:p w:rsidR="00A7556E" w:rsidRPr="0080796A" w:rsidRDefault="00A7556E" w:rsidP="0080796A">
                  <w:pPr>
                    <w:spacing w:line="360" w:lineRule="auto"/>
                    <w:jc w:val="center"/>
                    <w:rPr>
                      <w:rFonts w:ascii="Arial" w:hAnsi="Arial" w:cs="Arial"/>
                      <w:b/>
                      <w:color w:val="0F243E" w:themeColor="text2" w:themeShade="80"/>
                      <w:sz w:val="28"/>
                      <w:szCs w:val="28"/>
                    </w:rPr>
                  </w:pPr>
                  <w:r w:rsidRPr="0080796A">
                    <w:rPr>
                      <w:rFonts w:ascii="Arial" w:hAnsi="Arial" w:cs="Arial"/>
                      <w:b/>
                      <w:color w:val="0F243E" w:themeColor="text2" w:themeShade="80"/>
                      <w:sz w:val="28"/>
                      <w:szCs w:val="28"/>
                    </w:rPr>
                    <w:t>Dr. Carlos Cebarut Elizalde Sánchez</w:t>
                  </w:r>
                </w:p>
                <w:p w:rsidR="00A7556E" w:rsidRDefault="00A7556E" w:rsidP="0080796A">
                  <w:pPr>
                    <w:spacing w:line="480" w:lineRule="auto"/>
                    <w:jc w:val="center"/>
                    <w:rPr>
                      <w:rFonts w:ascii="Arial" w:hAnsi="Arial" w:cs="Arial"/>
                      <w:b/>
                      <w:color w:val="0F243E" w:themeColor="text2" w:themeShade="80"/>
                      <w:sz w:val="28"/>
                      <w:szCs w:val="28"/>
                    </w:rPr>
                  </w:pPr>
                </w:p>
                <w:p w:rsidR="00A7556E" w:rsidRPr="0080796A" w:rsidRDefault="00A7556E" w:rsidP="0080796A">
                  <w:pPr>
                    <w:spacing w:line="480" w:lineRule="auto"/>
                    <w:jc w:val="center"/>
                    <w:rPr>
                      <w:rFonts w:ascii="Arial" w:hAnsi="Arial" w:cs="Arial"/>
                      <w:b/>
                      <w:color w:val="0F243E" w:themeColor="text2" w:themeShade="80"/>
                      <w:sz w:val="28"/>
                      <w:szCs w:val="28"/>
                    </w:rPr>
                  </w:pPr>
                </w:p>
                <w:p w:rsidR="00A7556E" w:rsidRPr="00A939F3" w:rsidRDefault="00A7556E" w:rsidP="0080796A">
                  <w:pPr>
                    <w:spacing w:line="480" w:lineRule="auto"/>
                    <w:jc w:val="right"/>
                    <w:rPr>
                      <w:rFonts w:ascii="Arial" w:hAnsi="Arial" w:cs="Arial"/>
                      <w:b/>
                      <w:color w:val="000000" w:themeColor="text1"/>
                      <w:sz w:val="28"/>
                      <w:szCs w:val="28"/>
                    </w:rPr>
                  </w:pPr>
                  <w:r w:rsidRPr="0080796A">
                    <w:rPr>
                      <w:rFonts w:ascii="Arial" w:hAnsi="Arial" w:cs="Arial"/>
                      <w:b/>
                      <w:color w:val="0F243E" w:themeColor="text2" w:themeShade="80"/>
                      <w:sz w:val="28"/>
                      <w:szCs w:val="28"/>
                    </w:rPr>
                    <w:t>Noviembre, 2014</w:t>
                  </w:r>
                </w:p>
                <w:p w:rsidR="00A7556E" w:rsidRPr="00BC0D67" w:rsidRDefault="00A7556E" w:rsidP="003E74E4">
                  <w:pPr>
                    <w:spacing w:line="360" w:lineRule="auto"/>
                    <w:rPr>
                      <w:rFonts w:ascii="Book Antiqua" w:hAnsi="Book Antiqua"/>
                      <w:color w:val="993300"/>
                      <w:sz w:val="32"/>
                      <w:szCs w:val="32"/>
                    </w:rPr>
                  </w:pPr>
                </w:p>
                <w:p w:rsidR="00A7556E" w:rsidRPr="00BC0D67" w:rsidRDefault="00A7556E" w:rsidP="003E74E4">
                  <w:pPr>
                    <w:spacing w:line="360" w:lineRule="auto"/>
                    <w:jc w:val="center"/>
                    <w:rPr>
                      <w:rFonts w:ascii="Book Antiqua" w:hAnsi="Book Antiqua"/>
                      <w:color w:val="993300"/>
                      <w:sz w:val="32"/>
                      <w:szCs w:val="32"/>
                    </w:rPr>
                  </w:pPr>
                </w:p>
              </w:txbxContent>
            </v:textbox>
            <w10:wrap type="square"/>
          </v:shape>
        </w:pict>
      </w:r>
      <w:bookmarkStart w:id="0" w:name="_Toc401571166"/>
    </w:p>
    <w:p w:rsidR="00B5511B" w:rsidRDefault="00B5511B" w:rsidP="00B5511B">
      <w:pPr>
        <w:rPr>
          <w:lang w:eastAsia="es-MX"/>
        </w:rPr>
      </w:pPr>
      <w:bookmarkStart w:id="1" w:name="_GoBack"/>
      <w:bookmarkEnd w:id="1"/>
    </w:p>
    <w:sdt>
      <w:sdtPr>
        <w:rPr>
          <w:rFonts w:ascii="Arial" w:eastAsiaTheme="minorHAnsi" w:hAnsi="Arial" w:cs="Arial"/>
          <w:caps w:val="0"/>
          <w:color w:val="auto"/>
          <w:sz w:val="24"/>
          <w:szCs w:val="24"/>
          <w:lang w:val="es-ES" w:eastAsia="en-US"/>
        </w:rPr>
        <w:id w:val="1557196613"/>
        <w:docPartObj>
          <w:docPartGallery w:val="Table of Contents"/>
          <w:docPartUnique/>
        </w:docPartObj>
      </w:sdtPr>
      <w:sdtEndPr>
        <w:rPr>
          <w:b/>
          <w:bCs/>
        </w:rPr>
      </w:sdtEndPr>
      <w:sdtContent>
        <w:p w:rsidR="00A9740C" w:rsidRPr="00BB1286" w:rsidRDefault="00A9740C" w:rsidP="00A9740C">
          <w:pPr>
            <w:pStyle w:val="TtulodeTDC"/>
            <w:jc w:val="center"/>
            <w:rPr>
              <w:rStyle w:val="Ttulo1Car"/>
              <w:rFonts w:cs="Arial"/>
              <w:szCs w:val="24"/>
            </w:rPr>
          </w:pPr>
          <w:r w:rsidRPr="00BB1286">
            <w:rPr>
              <w:rStyle w:val="Ttulo1Car"/>
              <w:rFonts w:cs="Arial"/>
              <w:szCs w:val="24"/>
            </w:rPr>
            <w:t>ÍNDICE GENERAL</w:t>
          </w:r>
        </w:p>
        <w:p w:rsidR="00634AB2" w:rsidRPr="00634AB2" w:rsidRDefault="00422485">
          <w:pPr>
            <w:pStyle w:val="TDC1"/>
            <w:rPr>
              <w:rFonts w:ascii="Arial" w:eastAsiaTheme="minorEastAsia" w:hAnsi="Arial" w:cs="Arial"/>
              <w:noProof/>
              <w:sz w:val="24"/>
              <w:szCs w:val="24"/>
              <w:lang w:eastAsia="es-MX"/>
            </w:rPr>
          </w:pPr>
          <w:r w:rsidRPr="00BB1286">
            <w:fldChar w:fldCharType="begin"/>
          </w:r>
          <w:r w:rsidR="00A9740C" w:rsidRPr="00BB1286">
            <w:instrText xml:space="preserve"> TOC \o "1-3" \h \z \u </w:instrText>
          </w:r>
          <w:r w:rsidRPr="00BB1286">
            <w:fldChar w:fldCharType="separate"/>
          </w:r>
          <w:hyperlink w:anchor="_Toc402948927" w:history="1">
            <w:r w:rsidR="00634AB2" w:rsidRPr="00634AB2">
              <w:rPr>
                <w:rStyle w:val="Hipervnculo"/>
                <w:rFonts w:ascii="Arial" w:hAnsi="Arial" w:cs="Arial"/>
                <w:noProof/>
                <w:sz w:val="24"/>
                <w:szCs w:val="24"/>
                <w:lang w:eastAsia="es-MX"/>
              </w:rPr>
              <w:t>Índice de cuadros</w:t>
            </w:r>
            <w:r w:rsidR="00634AB2" w:rsidRPr="00634AB2">
              <w:rPr>
                <w:rFonts w:ascii="Arial" w:hAnsi="Arial" w:cs="Arial"/>
                <w:noProof/>
                <w:webHidden/>
                <w:sz w:val="24"/>
                <w:szCs w:val="24"/>
              </w:rPr>
              <w:tab/>
            </w:r>
            <w:r w:rsidRPr="00634AB2">
              <w:rPr>
                <w:rFonts w:ascii="Arial" w:hAnsi="Arial" w:cs="Arial"/>
                <w:noProof/>
                <w:webHidden/>
                <w:sz w:val="24"/>
                <w:szCs w:val="24"/>
              </w:rPr>
              <w:fldChar w:fldCharType="begin"/>
            </w:r>
            <w:r w:rsidR="00634AB2" w:rsidRPr="00634AB2">
              <w:rPr>
                <w:rFonts w:ascii="Arial" w:hAnsi="Arial" w:cs="Arial"/>
                <w:noProof/>
                <w:webHidden/>
                <w:sz w:val="24"/>
                <w:szCs w:val="24"/>
              </w:rPr>
              <w:instrText xml:space="preserve"> PAGEREF _Toc402948927 \h </w:instrText>
            </w:r>
            <w:r w:rsidRPr="00634AB2">
              <w:rPr>
                <w:rFonts w:ascii="Arial" w:hAnsi="Arial" w:cs="Arial"/>
                <w:noProof/>
                <w:webHidden/>
                <w:sz w:val="24"/>
                <w:szCs w:val="24"/>
              </w:rPr>
            </w:r>
            <w:r w:rsidRPr="00634AB2">
              <w:rPr>
                <w:rFonts w:ascii="Arial" w:hAnsi="Arial" w:cs="Arial"/>
                <w:noProof/>
                <w:webHidden/>
                <w:sz w:val="24"/>
                <w:szCs w:val="24"/>
              </w:rPr>
              <w:fldChar w:fldCharType="separate"/>
            </w:r>
            <w:r w:rsidR="00CB5318">
              <w:rPr>
                <w:rFonts w:ascii="Arial" w:hAnsi="Arial" w:cs="Arial"/>
                <w:noProof/>
                <w:webHidden/>
                <w:sz w:val="24"/>
                <w:szCs w:val="24"/>
              </w:rPr>
              <w:t>3</w:t>
            </w:r>
            <w:r w:rsidRPr="00634AB2">
              <w:rPr>
                <w:rFonts w:ascii="Arial" w:hAnsi="Arial" w:cs="Arial"/>
                <w:noProof/>
                <w:webHidden/>
                <w:sz w:val="24"/>
                <w:szCs w:val="24"/>
              </w:rPr>
              <w:fldChar w:fldCharType="end"/>
            </w:r>
          </w:hyperlink>
        </w:p>
        <w:p w:rsidR="00634AB2" w:rsidRPr="00634AB2" w:rsidRDefault="009E6570">
          <w:pPr>
            <w:pStyle w:val="TDC1"/>
            <w:rPr>
              <w:rFonts w:ascii="Arial" w:eastAsiaTheme="minorEastAsia" w:hAnsi="Arial" w:cs="Arial"/>
              <w:noProof/>
              <w:sz w:val="24"/>
              <w:szCs w:val="24"/>
              <w:lang w:eastAsia="es-MX"/>
            </w:rPr>
          </w:pPr>
          <w:hyperlink w:anchor="_Toc402948928" w:history="1">
            <w:r w:rsidR="00634AB2" w:rsidRPr="00634AB2">
              <w:rPr>
                <w:rStyle w:val="Hipervnculo"/>
                <w:rFonts w:ascii="Arial" w:hAnsi="Arial" w:cs="Arial"/>
                <w:noProof/>
                <w:sz w:val="24"/>
                <w:szCs w:val="24"/>
                <w:lang w:eastAsia="es-MX"/>
              </w:rPr>
              <w:t>Í</w:t>
            </w:r>
            <w:r w:rsidR="008F25DA" w:rsidRPr="00634AB2">
              <w:rPr>
                <w:rStyle w:val="Hipervnculo"/>
                <w:rFonts w:ascii="Arial" w:hAnsi="Arial" w:cs="Arial"/>
                <w:noProof/>
                <w:sz w:val="24"/>
                <w:szCs w:val="24"/>
                <w:lang w:eastAsia="es-MX"/>
              </w:rPr>
              <w:t>ndice de figuras</w:t>
            </w:r>
            <w:r w:rsidR="00634AB2" w:rsidRPr="00634AB2">
              <w:rPr>
                <w:rFonts w:ascii="Arial" w:hAnsi="Arial" w:cs="Arial"/>
                <w:noProof/>
                <w:webHidden/>
                <w:sz w:val="24"/>
                <w:szCs w:val="24"/>
              </w:rPr>
              <w:tab/>
            </w:r>
            <w:r w:rsidR="00422485" w:rsidRPr="00634AB2">
              <w:rPr>
                <w:rFonts w:ascii="Arial" w:hAnsi="Arial" w:cs="Arial"/>
                <w:noProof/>
                <w:webHidden/>
                <w:sz w:val="24"/>
                <w:szCs w:val="24"/>
              </w:rPr>
              <w:fldChar w:fldCharType="begin"/>
            </w:r>
            <w:r w:rsidR="00634AB2" w:rsidRPr="00634AB2">
              <w:rPr>
                <w:rFonts w:ascii="Arial" w:hAnsi="Arial" w:cs="Arial"/>
                <w:noProof/>
                <w:webHidden/>
                <w:sz w:val="24"/>
                <w:szCs w:val="24"/>
              </w:rPr>
              <w:instrText xml:space="preserve"> PAGEREF _Toc402948928 \h </w:instrText>
            </w:r>
            <w:r w:rsidR="00422485" w:rsidRPr="00634AB2">
              <w:rPr>
                <w:rFonts w:ascii="Arial" w:hAnsi="Arial" w:cs="Arial"/>
                <w:noProof/>
                <w:webHidden/>
                <w:sz w:val="24"/>
                <w:szCs w:val="24"/>
              </w:rPr>
            </w:r>
            <w:r w:rsidR="00422485" w:rsidRPr="00634AB2">
              <w:rPr>
                <w:rFonts w:ascii="Arial" w:hAnsi="Arial" w:cs="Arial"/>
                <w:noProof/>
                <w:webHidden/>
                <w:sz w:val="24"/>
                <w:szCs w:val="24"/>
              </w:rPr>
              <w:fldChar w:fldCharType="separate"/>
            </w:r>
            <w:r w:rsidR="00CB5318">
              <w:rPr>
                <w:rFonts w:ascii="Arial" w:hAnsi="Arial" w:cs="Arial"/>
                <w:noProof/>
                <w:webHidden/>
                <w:sz w:val="24"/>
                <w:szCs w:val="24"/>
              </w:rPr>
              <w:t>3</w:t>
            </w:r>
            <w:r w:rsidR="00422485" w:rsidRPr="00634AB2">
              <w:rPr>
                <w:rFonts w:ascii="Arial" w:hAnsi="Arial" w:cs="Arial"/>
                <w:noProof/>
                <w:webHidden/>
                <w:sz w:val="24"/>
                <w:szCs w:val="24"/>
              </w:rPr>
              <w:fldChar w:fldCharType="end"/>
            </w:r>
          </w:hyperlink>
        </w:p>
        <w:p w:rsidR="00634AB2" w:rsidRPr="00634AB2" w:rsidRDefault="009E6570">
          <w:pPr>
            <w:pStyle w:val="TDC1"/>
            <w:rPr>
              <w:rFonts w:ascii="Arial" w:eastAsiaTheme="minorEastAsia" w:hAnsi="Arial" w:cs="Arial"/>
              <w:noProof/>
              <w:sz w:val="24"/>
              <w:szCs w:val="24"/>
              <w:lang w:eastAsia="es-MX"/>
            </w:rPr>
          </w:pPr>
          <w:hyperlink w:anchor="_Toc402948929" w:history="1">
            <w:r w:rsidR="00634AB2" w:rsidRPr="00634AB2">
              <w:rPr>
                <w:rStyle w:val="Hipervnculo"/>
                <w:rFonts w:ascii="Arial" w:hAnsi="Arial" w:cs="Arial"/>
                <w:noProof/>
                <w:sz w:val="24"/>
                <w:szCs w:val="24"/>
              </w:rPr>
              <w:t>Introducción</w:t>
            </w:r>
            <w:r w:rsidR="00634AB2" w:rsidRPr="00634AB2">
              <w:rPr>
                <w:rFonts w:ascii="Arial" w:hAnsi="Arial" w:cs="Arial"/>
                <w:noProof/>
                <w:webHidden/>
                <w:sz w:val="24"/>
                <w:szCs w:val="24"/>
              </w:rPr>
              <w:tab/>
            </w:r>
            <w:r w:rsidR="00422485" w:rsidRPr="00634AB2">
              <w:rPr>
                <w:rFonts w:ascii="Arial" w:hAnsi="Arial" w:cs="Arial"/>
                <w:noProof/>
                <w:webHidden/>
                <w:sz w:val="24"/>
                <w:szCs w:val="24"/>
              </w:rPr>
              <w:fldChar w:fldCharType="begin"/>
            </w:r>
            <w:r w:rsidR="00634AB2" w:rsidRPr="00634AB2">
              <w:rPr>
                <w:rFonts w:ascii="Arial" w:hAnsi="Arial" w:cs="Arial"/>
                <w:noProof/>
                <w:webHidden/>
                <w:sz w:val="24"/>
                <w:szCs w:val="24"/>
              </w:rPr>
              <w:instrText xml:space="preserve"> PAGEREF _Toc402948929 \h </w:instrText>
            </w:r>
            <w:r w:rsidR="00422485" w:rsidRPr="00634AB2">
              <w:rPr>
                <w:rFonts w:ascii="Arial" w:hAnsi="Arial" w:cs="Arial"/>
                <w:noProof/>
                <w:webHidden/>
                <w:sz w:val="24"/>
                <w:szCs w:val="24"/>
              </w:rPr>
            </w:r>
            <w:r w:rsidR="00422485" w:rsidRPr="00634AB2">
              <w:rPr>
                <w:rFonts w:ascii="Arial" w:hAnsi="Arial" w:cs="Arial"/>
                <w:noProof/>
                <w:webHidden/>
                <w:sz w:val="24"/>
                <w:szCs w:val="24"/>
              </w:rPr>
              <w:fldChar w:fldCharType="separate"/>
            </w:r>
            <w:r w:rsidR="00CB5318">
              <w:rPr>
                <w:rFonts w:ascii="Arial" w:hAnsi="Arial" w:cs="Arial"/>
                <w:noProof/>
                <w:webHidden/>
                <w:sz w:val="24"/>
                <w:szCs w:val="24"/>
              </w:rPr>
              <w:t>4</w:t>
            </w:r>
            <w:r w:rsidR="00422485" w:rsidRPr="00634AB2">
              <w:rPr>
                <w:rFonts w:ascii="Arial" w:hAnsi="Arial" w:cs="Arial"/>
                <w:noProof/>
                <w:webHidden/>
                <w:sz w:val="24"/>
                <w:szCs w:val="24"/>
              </w:rPr>
              <w:fldChar w:fldCharType="end"/>
            </w:r>
          </w:hyperlink>
        </w:p>
        <w:p w:rsidR="00634AB2" w:rsidRPr="00634AB2" w:rsidRDefault="009E6570">
          <w:pPr>
            <w:pStyle w:val="TDC1"/>
            <w:rPr>
              <w:rFonts w:ascii="Arial" w:eastAsiaTheme="minorEastAsia" w:hAnsi="Arial" w:cs="Arial"/>
              <w:noProof/>
              <w:sz w:val="24"/>
              <w:szCs w:val="24"/>
              <w:lang w:eastAsia="es-MX"/>
            </w:rPr>
          </w:pPr>
          <w:hyperlink w:anchor="_Toc402948930" w:history="1">
            <w:r w:rsidR="00634AB2" w:rsidRPr="00634AB2">
              <w:rPr>
                <w:rStyle w:val="Hipervnculo"/>
                <w:rFonts w:ascii="Arial" w:eastAsia="Times New Roman" w:hAnsi="Arial" w:cs="Arial"/>
                <w:noProof/>
                <w:sz w:val="24"/>
                <w:szCs w:val="24"/>
                <w:lang w:eastAsia="es-MX"/>
              </w:rPr>
              <w:t>Hipótesis</w:t>
            </w:r>
            <w:r w:rsidR="00634AB2" w:rsidRPr="00634AB2">
              <w:rPr>
                <w:rFonts w:ascii="Arial" w:hAnsi="Arial" w:cs="Arial"/>
                <w:noProof/>
                <w:webHidden/>
                <w:sz w:val="24"/>
                <w:szCs w:val="24"/>
              </w:rPr>
              <w:tab/>
            </w:r>
            <w:r w:rsidR="00422485" w:rsidRPr="00634AB2">
              <w:rPr>
                <w:rFonts w:ascii="Arial" w:hAnsi="Arial" w:cs="Arial"/>
                <w:noProof/>
                <w:webHidden/>
                <w:sz w:val="24"/>
                <w:szCs w:val="24"/>
              </w:rPr>
              <w:fldChar w:fldCharType="begin"/>
            </w:r>
            <w:r w:rsidR="00634AB2" w:rsidRPr="00634AB2">
              <w:rPr>
                <w:rFonts w:ascii="Arial" w:hAnsi="Arial" w:cs="Arial"/>
                <w:noProof/>
                <w:webHidden/>
                <w:sz w:val="24"/>
                <w:szCs w:val="24"/>
              </w:rPr>
              <w:instrText xml:space="preserve"> PAGEREF _Toc402948930 \h </w:instrText>
            </w:r>
            <w:r w:rsidR="00422485" w:rsidRPr="00634AB2">
              <w:rPr>
                <w:rFonts w:ascii="Arial" w:hAnsi="Arial" w:cs="Arial"/>
                <w:noProof/>
                <w:webHidden/>
                <w:sz w:val="24"/>
                <w:szCs w:val="24"/>
              </w:rPr>
            </w:r>
            <w:r w:rsidR="00422485" w:rsidRPr="00634AB2">
              <w:rPr>
                <w:rFonts w:ascii="Arial" w:hAnsi="Arial" w:cs="Arial"/>
                <w:noProof/>
                <w:webHidden/>
                <w:sz w:val="24"/>
                <w:szCs w:val="24"/>
              </w:rPr>
              <w:fldChar w:fldCharType="separate"/>
            </w:r>
            <w:r w:rsidR="00CB5318">
              <w:rPr>
                <w:rFonts w:ascii="Arial" w:hAnsi="Arial" w:cs="Arial"/>
                <w:noProof/>
                <w:webHidden/>
                <w:sz w:val="24"/>
                <w:szCs w:val="24"/>
              </w:rPr>
              <w:t>7</w:t>
            </w:r>
            <w:r w:rsidR="00422485" w:rsidRPr="00634AB2">
              <w:rPr>
                <w:rFonts w:ascii="Arial" w:hAnsi="Arial" w:cs="Arial"/>
                <w:noProof/>
                <w:webHidden/>
                <w:sz w:val="24"/>
                <w:szCs w:val="24"/>
              </w:rPr>
              <w:fldChar w:fldCharType="end"/>
            </w:r>
          </w:hyperlink>
        </w:p>
        <w:p w:rsidR="00634AB2" w:rsidRPr="00634AB2" w:rsidRDefault="009E6570">
          <w:pPr>
            <w:pStyle w:val="TDC1"/>
            <w:rPr>
              <w:rFonts w:ascii="Arial" w:eastAsiaTheme="minorEastAsia" w:hAnsi="Arial" w:cs="Arial"/>
              <w:noProof/>
              <w:sz w:val="24"/>
              <w:szCs w:val="24"/>
              <w:lang w:eastAsia="es-MX"/>
            </w:rPr>
          </w:pPr>
          <w:hyperlink w:anchor="_Toc402948931" w:history="1">
            <w:r w:rsidR="00634AB2" w:rsidRPr="00634AB2">
              <w:rPr>
                <w:rStyle w:val="Hipervnculo"/>
                <w:rFonts w:ascii="Arial" w:eastAsia="Times New Roman" w:hAnsi="Arial" w:cs="Arial"/>
                <w:noProof/>
                <w:sz w:val="24"/>
                <w:szCs w:val="24"/>
                <w:lang w:eastAsia="es-MX"/>
              </w:rPr>
              <w:t>Objetivo</w:t>
            </w:r>
            <w:r w:rsidR="00634AB2" w:rsidRPr="00634AB2">
              <w:rPr>
                <w:rFonts w:ascii="Arial" w:hAnsi="Arial" w:cs="Arial"/>
                <w:noProof/>
                <w:webHidden/>
                <w:sz w:val="24"/>
                <w:szCs w:val="24"/>
              </w:rPr>
              <w:tab/>
            </w:r>
            <w:r w:rsidR="00422485" w:rsidRPr="00634AB2">
              <w:rPr>
                <w:rFonts w:ascii="Arial" w:hAnsi="Arial" w:cs="Arial"/>
                <w:noProof/>
                <w:webHidden/>
                <w:sz w:val="24"/>
                <w:szCs w:val="24"/>
              </w:rPr>
              <w:fldChar w:fldCharType="begin"/>
            </w:r>
            <w:r w:rsidR="00634AB2" w:rsidRPr="00634AB2">
              <w:rPr>
                <w:rFonts w:ascii="Arial" w:hAnsi="Arial" w:cs="Arial"/>
                <w:noProof/>
                <w:webHidden/>
                <w:sz w:val="24"/>
                <w:szCs w:val="24"/>
              </w:rPr>
              <w:instrText xml:space="preserve"> PAGEREF _Toc402948931 \h </w:instrText>
            </w:r>
            <w:r w:rsidR="00422485" w:rsidRPr="00634AB2">
              <w:rPr>
                <w:rFonts w:ascii="Arial" w:hAnsi="Arial" w:cs="Arial"/>
                <w:noProof/>
                <w:webHidden/>
                <w:sz w:val="24"/>
                <w:szCs w:val="24"/>
              </w:rPr>
            </w:r>
            <w:r w:rsidR="00422485" w:rsidRPr="00634AB2">
              <w:rPr>
                <w:rFonts w:ascii="Arial" w:hAnsi="Arial" w:cs="Arial"/>
                <w:noProof/>
                <w:webHidden/>
                <w:sz w:val="24"/>
                <w:szCs w:val="24"/>
              </w:rPr>
              <w:fldChar w:fldCharType="separate"/>
            </w:r>
            <w:r w:rsidR="00CB5318">
              <w:rPr>
                <w:rFonts w:ascii="Arial" w:hAnsi="Arial" w:cs="Arial"/>
                <w:noProof/>
                <w:webHidden/>
                <w:sz w:val="24"/>
                <w:szCs w:val="24"/>
              </w:rPr>
              <w:t>8</w:t>
            </w:r>
            <w:r w:rsidR="00422485" w:rsidRPr="00634AB2">
              <w:rPr>
                <w:rFonts w:ascii="Arial" w:hAnsi="Arial" w:cs="Arial"/>
                <w:noProof/>
                <w:webHidden/>
                <w:sz w:val="24"/>
                <w:szCs w:val="24"/>
              </w:rPr>
              <w:fldChar w:fldCharType="end"/>
            </w:r>
          </w:hyperlink>
        </w:p>
        <w:p w:rsidR="00634AB2" w:rsidRPr="00634AB2" w:rsidRDefault="009E6570">
          <w:pPr>
            <w:pStyle w:val="TDC2"/>
            <w:rPr>
              <w:rFonts w:ascii="Arial" w:eastAsiaTheme="minorEastAsia" w:hAnsi="Arial" w:cs="Arial"/>
              <w:noProof/>
              <w:sz w:val="24"/>
              <w:szCs w:val="24"/>
              <w:lang w:eastAsia="es-MX"/>
            </w:rPr>
          </w:pPr>
          <w:hyperlink w:anchor="_Toc402948932" w:history="1">
            <w:r w:rsidR="00634AB2" w:rsidRPr="00634AB2">
              <w:rPr>
                <w:rStyle w:val="Hipervnculo"/>
                <w:rFonts w:ascii="Arial" w:hAnsi="Arial" w:cs="Arial"/>
                <w:noProof/>
                <w:sz w:val="24"/>
                <w:szCs w:val="24"/>
              </w:rPr>
              <w:t>Objetivos Específicos</w:t>
            </w:r>
            <w:r w:rsidR="00634AB2" w:rsidRPr="00634AB2">
              <w:rPr>
                <w:rFonts w:ascii="Arial" w:hAnsi="Arial" w:cs="Arial"/>
                <w:noProof/>
                <w:webHidden/>
                <w:sz w:val="24"/>
                <w:szCs w:val="24"/>
              </w:rPr>
              <w:tab/>
            </w:r>
            <w:r w:rsidR="00422485" w:rsidRPr="00634AB2">
              <w:rPr>
                <w:rFonts w:ascii="Arial" w:hAnsi="Arial" w:cs="Arial"/>
                <w:noProof/>
                <w:webHidden/>
                <w:sz w:val="24"/>
                <w:szCs w:val="24"/>
              </w:rPr>
              <w:fldChar w:fldCharType="begin"/>
            </w:r>
            <w:r w:rsidR="00634AB2" w:rsidRPr="00634AB2">
              <w:rPr>
                <w:rFonts w:ascii="Arial" w:hAnsi="Arial" w:cs="Arial"/>
                <w:noProof/>
                <w:webHidden/>
                <w:sz w:val="24"/>
                <w:szCs w:val="24"/>
              </w:rPr>
              <w:instrText xml:space="preserve"> PAGEREF _Toc402948932 \h </w:instrText>
            </w:r>
            <w:r w:rsidR="00422485" w:rsidRPr="00634AB2">
              <w:rPr>
                <w:rFonts w:ascii="Arial" w:hAnsi="Arial" w:cs="Arial"/>
                <w:noProof/>
                <w:webHidden/>
                <w:sz w:val="24"/>
                <w:szCs w:val="24"/>
              </w:rPr>
            </w:r>
            <w:r w:rsidR="00422485" w:rsidRPr="00634AB2">
              <w:rPr>
                <w:rFonts w:ascii="Arial" w:hAnsi="Arial" w:cs="Arial"/>
                <w:noProof/>
                <w:webHidden/>
                <w:sz w:val="24"/>
                <w:szCs w:val="24"/>
              </w:rPr>
              <w:fldChar w:fldCharType="separate"/>
            </w:r>
            <w:r w:rsidR="00CB5318">
              <w:rPr>
                <w:rFonts w:ascii="Arial" w:hAnsi="Arial" w:cs="Arial"/>
                <w:noProof/>
                <w:webHidden/>
                <w:sz w:val="24"/>
                <w:szCs w:val="24"/>
              </w:rPr>
              <w:t>8</w:t>
            </w:r>
            <w:r w:rsidR="00422485" w:rsidRPr="00634AB2">
              <w:rPr>
                <w:rFonts w:ascii="Arial" w:hAnsi="Arial" w:cs="Arial"/>
                <w:noProof/>
                <w:webHidden/>
                <w:sz w:val="24"/>
                <w:szCs w:val="24"/>
              </w:rPr>
              <w:fldChar w:fldCharType="end"/>
            </w:r>
          </w:hyperlink>
        </w:p>
        <w:p w:rsidR="00634AB2" w:rsidRPr="00634AB2" w:rsidRDefault="009E6570">
          <w:pPr>
            <w:pStyle w:val="TDC1"/>
            <w:rPr>
              <w:rFonts w:ascii="Arial" w:eastAsiaTheme="minorEastAsia" w:hAnsi="Arial" w:cs="Arial"/>
              <w:noProof/>
              <w:sz w:val="24"/>
              <w:szCs w:val="24"/>
              <w:lang w:eastAsia="es-MX"/>
            </w:rPr>
          </w:pPr>
          <w:hyperlink w:anchor="_Toc402948933" w:history="1">
            <w:r w:rsidR="00634AB2" w:rsidRPr="00634AB2">
              <w:rPr>
                <w:rStyle w:val="Hipervnculo"/>
                <w:rFonts w:ascii="Arial" w:eastAsia="Times New Roman" w:hAnsi="Arial" w:cs="Arial"/>
                <w:noProof/>
                <w:sz w:val="24"/>
                <w:szCs w:val="24"/>
                <w:lang w:eastAsia="es-MX"/>
              </w:rPr>
              <w:t>I.</w:t>
            </w:r>
            <w:r w:rsidR="00634AB2" w:rsidRPr="00634AB2">
              <w:rPr>
                <w:rFonts w:ascii="Arial" w:eastAsiaTheme="minorEastAsia" w:hAnsi="Arial" w:cs="Arial"/>
                <w:noProof/>
                <w:sz w:val="24"/>
                <w:szCs w:val="24"/>
                <w:lang w:eastAsia="es-MX"/>
              </w:rPr>
              <w:tab/>
            </w:r>
            <w:r w:rsidR="00634AB2" w:rsidRPr="00634AB2">
              <w:rPr>
                <w:rStyle w:val="Hipervnculo"/>
                <w:rFonts w:ascii="Arial" w:eastAsia="Times New Roman" w:hAnsi="Arial" w:cs="Arial"/>
                <w:noProof/>
                <w:sz w:val="24"/>
                <w:szCs w:val="24"/>
                <w:lang w:eastAsia="es-MX"/>
              </w:rPr>
              <w:t>L</w:t>
            </w:r>
            <w:r w:rsidR="008F25DA">
              <w:rPr>
                <w:rStyle w:val="Hipervnculo"/>
                <w:rFonts w:ascii="Arial" w:eastAsia="Times New Roman" w:hAnsi="Arial" w:cs="Arial"/>
                <w:noProof/>
                <w:sz w:val="24"/>
                <w:szCs w:val="24"/>
                <w:lang w:eastAsia="es-MX"/>
              </w:rPr>
              <w:t>a c</w:t>
            </w:r>
            <w:r w:rsidR="008F25DA" w:rsidRPr="00634AB2">
              <w:rPr>
                <w:rStyle w:val="Hipervnculo"/>
                <w:rFonts w:ascii="Arial" w:eastAsia="Times New Roman" w:hAnsi="Arial" w:cs="Arial"/>
                <w:noProof/>
                <w:sz w:val="24"/>
                <w:szCs w:val="24"/>
                <w:lang w:eastAsia="es-MX"/>
              </w:rPr>
              <w:t>ompetencia por la gestión de los fondos de pensione</w:t>
            </w:r>
            <w:r w:rsidR="008F25DA">
              <w:rPr>
                <w:rStyle w:val="Hipervnculo"/>
                <w:rFonts w:ascii="Arial" w:eastAsia="Times New Roman" w:hAnsi="Arial" w:cs="Arial"/>
                <w:noProof/>
                <w:sz w:val="24"/>
                <w:szCs w:val="24"/>
                <w:lang w:eastAsia="es-MX"/>
              </w:rPr>
              <w:t>s</w:t>
            </w:r>
            <w:r w:rsidR="00634AB2" w:rsidRPr="00634AB2">
              <w:rPr>
                <w:rFonts w:ascii="Arial" w:hAnsi="Arial" w:cs="Arial"/>
                <w:noProof/>
                <w:webHidden/>
                <w:sz w:val="24"/>
                <w:szCs w:val="24"/>
              </w:rPr>
              <w:tab/>
            </w:r>
            <w:r w:rsidR="00422485" w:rsidRPr="00634AB2">
              <w:rPr>
                <w:rFonts w:ascii="Arial" w:hAnsi="Arial" w:cs="Arial"/>
                <w:noProof/>
                <w:webHidden/>
                <w:sz w:val="24"/>
                <w:szCs w:val="24"/>
              </w:rPr>
              <w:fldChar w:fldCharType="begin"/>
            </w:r>
            <w:r w:rsidR="00634AB2" w:rsidRPr="00634AB2">
              <w:rPr>
                <w:rFonts w:ascii="Arial" w:hAnsi="Arial" w:cs="Arial"/>
                <w:noProof/>
                <w:webHidden/>
                <w:sz w:val="24"/>
                <w:szCs w:val="24"/>
              </w:rPr>
              <w:instrText xml:space="preserve"> PAGEREF _Toc402948933 \h </w:instrText>
            </w:r>
            <w:r w:rsidR="00422485" w:rsidRPr="00634AB2">
              <w:rPr>
                <w:rFonts w:ascii="Arial" w:hAnsi="Arial" w:cs="Arial"/>
                <w:noProof/>
                <w:webHidden/>
                <w:sz w:val="24"/>
                <w:szCs w:val="24"/>
              </w:rPr>
            </w:r>
            <w:r w:rsidR="00422485" w:rsidRPr="00634AB2">
              <w:rPr>
                <w:rFonts w:ascii="Arial" w:hAnsi="Arial" w:cs="Arial"/>
                <w:noProof/>
                <w:webHidden/>
                <w:sz w:val="24"/>
                <w:szCs w:val="24"/>
              </w:rPr>
              <w:fldChar w:fldCharType="separate"/>
            </w:r>
            <w:r w:rsidR="00CB5318">
              <w:rPr>
                <w:rFonts w:ascii="Arial" w:hAnsi="Arial" w:cs="Arial"/>
                <w:noProof/>
                <w:webHidden/>
                <w:sz w:val="24"/>
                <w:szCs w:val="24"/>
              </w:rPr>
              <w:t>8</w:t>
            </w:r>
            <w:r w:rsidR="00422485" w:rsidRPr="00634AB2">
              <w:rPr>
                <w:rFonts w:ascii="Arial" w:hAnsi="Arial" w:cs="Arial"/>
                <w:noProof/>
                <w:webHidden/>
                <w:sz w:val="24"/>
                <w:szCs w:val="24"/>
              </w:rPr>
              <w:fldChar w:fldCharType="end"/>
            </w:r>
          </w:hyperlink>
        </w:p>
        <w:p w:rsidR="00634AB2" w:rsidRPr="00634AB2" w:rsidRDefault="009E6570">
          <w:pPr>
            <w:pStyle w:val="TDC1"/>
            <w:rPr>
              <w:rFonts w:ascii="Arial" w:eastAsiaTheme="minorEastAsia" w:hAnsi="Arial" w:cs="Arial"/>
              <w:noProof/>
              <w:sz w:val="24"/>
              <w:szCs w:val="24"/>
              <w:lang w:eastAsia="es-MX"/>
            </w:rPr>
          </w:pPr>
          <w:hyperlink w:anchor="_Toc402948934" w:history="1">
            <w:r w:rsidR="00634AB2" w:rsidRPr="00634AB2">
              <w:rPr>
                <w:rStyle w:val="Hipervnculo"/>
                <w:rFonts w:ascii="Arial" w:hAnsi="Arial" w:cs="Arial"/>
                <w:noProof/>
                <w:sz w:val="24"/>
                <w:szCs w:val="24"/>
              </w:rPr>
              <w:t>II.</w:t>
            </w:r>
            <w:r w:rsidR="00634AB2" w:rsidRPr="00634AB2">
              <w:rPr>
                <w:rFonts w:ascii="Arial" w:eastAsiaTheme="minorEastAsia" w:hAnsi="Arial" w:cs="Arial"/>
                <w:noProof/>
                <w:sz w:val="24"/>
                <w:szCs w:val="24"/>
                <w:lang w:eastAsia="es-MX"/>
              </w:rPr>
              <w:tab/>
            </w:r>
            <w:r w:rsidR="00634AB2" w:rsidRPr="00634AB2">
              <w:rPr>
                <w:rStyle w:val="Hipervnculo"/>
                <w:rFonts w:ascii="Arial" w:hAnsi="Arial" w:cs="Arial"/>
                <w:noProof/>
                <w:sz w:val="24"/>
                <w:szCs w:val="24"/>
              </w:rPr>
              <w:t>L</w:t>
            </w:r>
            <w:r w:rsidR="008F25DA" w:rsidRPr="00634AB2">
              <w:rPr>
                <w:rStyle w:val="Hipervnculo"/>
                <w:rFonts w:ascii="Arial" w:hAnsi="Arial" w:cs="Arial"/>
                <w:noProof/>
                <w:sz w:val="24"/>
                <w:szCs w:val="24"/>
              </w:rPr>
              <w:t>a ingeniería financiera de los planes de pensiones</w:t>
            </w:r>
            <w:r w:rsidR="00634AB2" w:rsidRPr="00634AB2">
              <w:rPr>
                <w:rFonts w:ascii="Arial" w:hAnsi="Arial" w:cs="Arial"/>
                <w:noProof/>
                <w:webHidden/>
                <w:sz w:val="24"/>
                <w:szCs w:val="24"/>
              </w:rPr>
              <w:tab/>
            </w:r>
            <w:r w:rsidR="00422485" w:rsidRPr="00634AB2">
              <w:rPr>
                <w:rFonts w:ascii="Arial" w:hAnsi="Arial" w:cs="Arial"/>
                <w:noProof/>
                <w:webHidden/>
                <w:sz w:val="24"/>
                <w:szCs w:val="24"/>
              </w:rPr>
              <w:fldChar w:fldCharType="begin"/>
            </w:r>
            <w:r w:rsidR="00634AB2" w:rsidRPr="00634AB2">
              <w:rPr>
                <w:rFonts w:ascii="Arial" w:hAnsi="Arial" w:cs="Arial"/>
                <w:noProof/>
                <w:webHidden/>
                <w:sz w:val="24"/>
                <w:szCs w:val="24"/>
              </w:rPr>
              <w:instrText xml:space="preserve"> PAGEREF _Toc402948934 \h </w:instrText>
            </w:r>
            <w:r w:rsidR="00422485" w:rsidRPr="00634AB2">
              <w:rPr>
                <w:rFonts w:ascii="Arial" w:hAnsi="Arial" w:cs="Arial"/>
                <w:noProof/>
                <w:webHidden/>
                <w:sz w:val="24"/>
                <w:szCs w:val="24"/>
              </w:rPr>
            </w:r>
            <w:r w:rsidR="00422485" w:rsidRPr="00634AB2">
              <w:rPr>
                <w:rFonts w:ascii="Arial" w:hAnsi="Arial" w:cs="Arial"/>
                <w:noProof/>
                <w:webHidden/>
                <w:sz w:val="24"/>
                <w:szCs w:val="24"/>
              </w:rPr>
              <w:fldChar w:fldCharType="separate"/>
            </w:r>
            <w:r w:rsidR="00CB5318">
              <w:rPr>
                <w:rFonts w:ascii="Arial" w:hAnsi="Arial" w:cs="Arial"/>
                <w:noProof/>
                <w:webHidden/>
                <w:sz w:val="24"/>
                <w:szCs w:val="24"/>
              </w:rPr>
              <w:t>15</w:t>
            </w:r>
            <w:r w:rsidR="00422485" w:rsidRPr="00634AB2">
              <w:rPr>
                <w:rFonts w:ascii="Arial" w:hAnsi="Arial" w:cs="Arial"/>
                <w:noProof/>
                <w:webHidden/>
                <w:sz w:val="24"/>
                <w:szCs w:val="24"/>
              </w:rPr>
              <w:fldChar w:fldCharType="end"/>
            </w:r>
          </w:hyperlink>
        </w:p>
        <w:p w:rsidR="00634AB2" w:rsidRPr="00634AB2" w:rsidRDefault="009E6570">
          <w:pPr>
            <w:pStyle w:val="TDC1"/>
            <w:rPr>
              <w:rFonts w:ascii="Arial" w:eastAsiaTheme="minorEastAsia" w:hAnsi="Arial" w:cs="Arial"/>
              <w:noProof/>
              <w:sz w:val="24"/>
              <w:szCs w:val="24"/>
              <w:lang w:eastAsia="es-MX"/>
            </w:rPr>
          </w:pPr>
          <w:hyperlink w:anchor="_Toc402948935" w:history="1">
            <w:r w:rsidR="00634AB2" w:rsidRPr="00634AB2">
              <w:rPr>
                <w:rStyle w:val="Hipervnculo"/>
                <w:rFonts w:ascii="Arial" w:hAnsi="Arial" w:cs="Arial"/>
                <w:noProof/>
                <w:sz w:val="24"/>
                <w:szCs w:val="24"/>
              </w:rPr>
              <w:t>III.</w:t>
            </w:r>
            <w:r w:rsidR="00634AB2" w:rsidRPr="00634AB2">
              <w:rPr>
                <w:rFonts w:ascii="Arial" w:eastAsiaTheme="minorEastAsia" w:hAnsi="Arial" w:cs="Arial"/>
                <w:noProof/>
                <w:sz w:val="24"/>
                <w:szCs w:val="24"/>
                <w:lang w:eastAsia="es-MX"/>
              </w:rPr>
              <w:tab/>
            </w:r>
            <w:r w:rsidR="00634AB2" w:rsidRPr="00634AB2">
              <w:rPr>
                <w:rStyle w:val="Hipervnculo"/>
                <w:rFonts w:ascii="Arial" w:hAnsi="Arial" w:cs="Arial"/>
                <w:noProof/>
                <w:sz w:val="24"/>
                <w:szCs w:val="24"/>
              </w:rPr>
              <w:t>R</w:t>
            </w:r>
            <w:r w:rsidR="008F25DA" w:rsidRPr="00634AB2">
              <w:rPr>
                <w:rStyle w:val="Hipervnculo"/>
                <w:rFonts w:ascii="Arial" w:hAnsi="Arial" w:cs="Arial"/>
                <w:noProof/>
                <w:sz w:val="24"/>
                <w:szCs w:val="24"/>
              </w:rPr>
              <w:t>egulación de los sistemas de pensiones privados</w:t>
            </w:r>
            <w:r w:rsidR="00634AB2" w:rsidRPr="00634AB2">
              <w:rPr>
                <w:rFonts w:ascii="Arial" w:hAnsi="Arial" w:cs="Arial"/>
                <w:noProof/>
                <w:webHidden/>
                <w:sz w:val="24"/>
                <w:szCs w:val="24"/>
              </w:rPr>
              <w:tab/>
            </w:r>
            <w:r w:rsidR="00422485" w:rsidRPr="00634AB2">
              <w:rPr>
                <w:rFonts w:ascii="Arial" w:hAnsi="Arial" w:cs="Arial"/>
                <w:noProof/>
                <w:webHidden/>
                <w:sz w:val="24"/>
                <w:szCs w:val="24"/>
              </w:rPr>
              <w:fldChar w:fldCharType="begin"/>
            </w:r>
            <w:r w:rsidR="00634AB2" w:rsidRPr="00634AB2">
              <w:rPr>
                <w:rFonts w:ascii="Arial" w:hAnsi="Arial" w:cs="Arial"/>
                <w:noProof/>
                <w:webHidden/>
                <w:sz w:val="24"/>
                <w:szCs w:val="24"/>
              </w:rPr>
              <w:instrText xml:space="preserve"> PAGEREF _Toc402948935 \h </w:instrText>
            </w:r>
            <w:r w:rsidR="00422485" w:rsidRPr="00634AB2">
              <w:rPr>
                <w:rFonts w:ascii="Arial" w:hAnsi="Arial" w:cs="Arial"/>
                <w:noProof/>
                <w:webHidden/>
                <w:sz w:val="24"/>
                <w:szCs w:val="24"/>
              </w:rPr>
            </w:r>
            <w:r w:rsidR="00422485" w:rsidRPr="00634AB2">
              <w:rPr>
                <w:rFonts w:ascii="Arial" w:hAnsi="Arial" w:cs="Arial"/>
                <w:noProof/>
                <w:webHidden/>
                <w:sz w:val="24"/>
                <w:szCs w:val="24"/>
              </w:rPr>
              <w:fldChar w:fldCharType="separate"/>
            </w:r>
            <w:r w:rsidR="00CB5318">
              <w:rPr>
                <w:rFonts w:ascii="Arial" w:hAnsi="Arial" w:cs="Arial"/>
                <w:noProof/>
                <w:webHidden/>
                <w:sz w:val="24"/>
                <w:szCs w:val="24"/>
              </w:rPr>
              <w:t>21</w:t>
            </w:r>
            <w:r w:rsidR="00422485" w:rsidRPr="00634AB2">
              <w:rPr>
                <w:rFonts w:ascii="Arial" w:hAnsi="Arial" w:cs="Arial"/>
                <w:noProof/>
                <w:webHidden/>
                <w:sz w:val="24"/>
                <w:szCs w:val="24"/>
              </w:rPr>
              <w:fldChar w:fldCharType="end"/>
            </w:r>
          </w:hyperlink>
        </w:p>
        <w:p w:rsidR="00634AB2" w:rsidRPr="00634AB2" w:rsidRDefault="009E6570">
          <w:pPr>
            <w:pStyle w:val="TDC1"/>
            <w:rPr>
              <w:rFonts w:ascii="Arial" w:eastAsiaTheme="minorEastAsia" w:hAnsi="Arial" w:cs="Arial"/>
              <w:noProof/>
              <w:sz w:val="24"/>
              <w:szCs w:val="24"/>
              <w:lang w:eastAsia="es-MX"/>
            </w:rPr>
          </w:pPr>
          <w:hyperlink w:anchor="_Toc402948936" w:history="1">
            <w:r w:rsidR="00634AB2" w:rsidRPr="00634AB2">
              <w:rPr>
                <w:rStyle w:val="Hipervnculo"/>
                <w:rFonts w:ascii="Arial" w:hAnsi="Arial" w:cs="Arial"/>
                <w:noProof/>
                <w:sz w:val="24"/>
                <w:szCs w:val="24"/>
              </w:rPr>
              <w:t>IV.</w:t>
            </w:r>
            <w:r w:rsidR="00634AB2" w:rsidRPr="00634AB2">
              <w:rPr>
                <w:rFonts w:ascii="Arial" w:eastAsiaTheme="minorEastAsia" w:hAnsi="Arial" w:cs="Arial"/>
                <w:noProof/>
                <w:sz w:val="24"/>
                <w:szCs w:val="24"/>
                <w:lang w:eastAsia="es-MX"/>
              </w:rPr>
              <w:tab/>
            </w:r>
            <w:r w:rsidR="00634AB2" w:rsidRPr="00634AB2">
              <w:rPr>
                <w:rStyle w:val="Hipervnculo"/>
                <w:rFonts w:ascii="Arial" w:hAnsi="Arial" w:cs="Arial"/>
                <w:noProof/>
                <w:sz w:val="24"/>
                <w:szCs w:val="24"/>
              </w:rPr>
              <w:t>R</w:t>
            </w:r>
            <w:r w:rsidR="008F25DA" w:rsidRPr="00634AB2">
              <w:rPr>
                <w:rStyle w:val="Hipervnculo"/>
                <w:rFonts w:ascii="Arial" w:hAnsi="Arial" w:cs="Arial"/>
                <w:noProof/>
                <w:sz w:val="24"/>
                <w:szCs w:val="24"/>
              </w:rPr>
              <w:t>egulación de los traspasos</w:t>
            </w:r>
            <w:r w:rsidR="00634AB2" w:rsidRPr="00634AB2">
              <w:rPr>
                <w:rFonts w:ascii="Arial" w:hAnsi="Arial" w:cs="Arial"/>
                <w:noProof/>
                <w:webHidden/>
                <w:sz w:val="24"/>
                <w:szCs w:val="24"/>
              </w:rPr>
              <w:tab/>
            </w:r>
            <w:r w:rsidR="00422485" w:rsidRPr="00634AB2">
              <w:rPr>
                <w:rFonts w:ascii="Arial" w:hAnsi="Arial" w:cs="Arial"/>
                <w:noProof/>
                <w:webHidden/>
                <w:sz w:val="24"/>
                <w:szCs w:val="24"/>
              </w:rPr>
              <w:fldChar w:fldCharType="begin"/>
            </w:r>
            <w:r w:rsidR="00634AB2" w:rsidRPr="00634AB2">
              <w:rPr>
                <w:rFonts w:ascii="Arial" w:hAnsi="Arial" w:cs="Arial"/>
                <w:noProof/>
                <w:webHidden/>
                <w:sz w:val="24"/>
                <w:szCs w:val="24"/>
              </w:rPr>
              <w:instrText xml:space="preserve"> PAGEREF _Toc402948936 \h </w:instrText>
            </w:r>
            <w:r w:rsidR="00422485" w:rsidRPr="00634AB2">
              <w:rPr>
                <w:rFonts w:ascii="Arial" w:hAnsi="Arial" w:cs="Arial"/>
                <w:noProof/>
                <w:webHidden/>
                <w:sz w:val="24"/>
                <w:szCs w:val="24"/>
              </w:rPr>
            </w:r>
            <w:r w:rsidR="00422485" w:rsidRPr="00634AB2">
              <w:rPr>
                <w:rFonts w:ascii="Arial" w:hAnsi="Arial" w:cs="Arial"/>
                <w:noProof/>
                <w:webHidden/>
                <w:sz w:val="24"/>
                <w:szCs w:val="24"/>
              </w:rPr>
              <w:fldChar w:fldCharType="separate"/>
            </w:r>
            <w:r w:rsidR="00CB5318">
              <w:rPr>
                <w:rFonts w:ascii="Arial" w:hAnsi="Arial" w:cs="Arial"/>
                <w:noProof/>
                <w:webHidden/>
                <w:sz w:val="24"/>
                <w:szCs w:val="24"/>
              </w:rPr>
              <w:t>28</w:t>
            </w:r>
            <w:r w:rsidR="00422485" w:rsidRPr="00634AB2">
              <w:rPr>
                <w:rFonts w:ascii="Arial" w:hAnsi="Arial" w:cs="Arial"/>
                <w:noProof/>
                <w:webHidden/>
                <w:sz w:val="24"/>
                <w:szCs w:val="24"/>
              </w:rPr>
              <w:fldChar w:fldCharType="end"/>
            </w:r>
          </w:hyperlink>
        </w:p>
        <w:p w:rsidR="00634AB2" w:rsidRPr="00634AB2" w:rsidRDefault="009E6570">
          <w:pPr>
            <w:pStyle w:val="TDC1"/>
            <w:rPr>
              <w:rFonts w:ascii="Arial" w:eastAsiaTheme="minorEastAsia" w:hAnsi="Arial" w:cs="Arial"/>
              <w:noProof/>
              <w:sz w:val="24"/>
              <w:szCs w:val="24"/>
              <w:lang w:eastAsia="es-MX"/>
            </w:rPr>
          </w:pPr>
          <w:hyperlink w:anchor="_Toc402948937" w:history="1">
            <w:r w:rsidR="00634AB2" w:rsidRPr="00634AB2">
              <w:rPr>
                <w:rStyle w:val="Hipervnculo"/>
                <w:rFonts w:ascii="Arial" w:hAnsi="Arial" w:cs="Arial"/>
                <w:noProof/>
                <w:sz w:val="24"/>
                <w:szCs w:val="24"/>
              </w:rPr>
              <w:t>V.</w:t>
            </w:r>
            <w:r w:rsidR="00634AB2" w:rsidRPr="00634AB2">
              <w:rPr>
                <w:rFonts w:ascii="Arial" w:eastAsiaTheme="minorEastAsia" w:hAnsi="Arial" w:cs="Arial"/>
                <w:noProof/>
                <w:sz w:val="24"/>
                <w:szCs w:val="24"/>
                <w:lang w:eastAsia="es-MX"/>
              </w:rPr>
              <w:tab/>
            </w:r>
            <w:r w:rsidR="00634AB2" w:rsidRPr="00634AB2">
              <w:rPr>
                <w:rStyle w:val="Hipervnculo"/>
                <w:rFonts w:ascii="Arial" w:hAnsi="Arial" w:cs="Arial"/>
                <w:noProof/>
                <w:sz w:val="24"/>
                <w:szCs w:val="24"/>
              </w:rPr>
              <w:t>C</w:t>
            </w:r>
            <w:r w:rsidR="008F25DA" w:rsidRPr="00634AB2">
              <w:rPr>
                <w:rStyle w:val="Hipervnculo"/>
                <w:rFonts w:ascii="Arial" w:hAnsi="Arial" w:cs="Arial"/>
                <w:noProof/>
                <w:sz w:val="24"/>
                <w:szCs w:val="24"/>
              </w:rPr>
              <w:t>riterios financieros para cambiar de afore</w:t>
            </w:r>
            <w:r w:rsidR="00634AB2" w:rsidRPr="00634AB2">
              <w:rPr>
                <w:rFonts w:ascii="Arial" w:hAnsi="Arial" w:cs="Arial"/>
                <w:noProof/>
                <w:webHidden/>
                <w:sz w:val="24"/>
                <w:szCs w:val="24"/>
              </w:rPr>
              <w:tab/>
            </w:r>
            <w:r w:rsidR="00422485" w:rsidRPr="00634AB2">
              <w:rPr>
                <w:rFonts w:ascii="Arial" w:hAnsi="Arial" w:cs="Arial"/>
                <w:noProof/>
                <w:webHidden/>
                <w:sz w:val="24"/>
                <w:szCs w:val="24"/>
              </w:rPr>
              <w:fldChar w:fldCharType="begin"/>
            </w:r>
            <w:r w:rsidR="00634AB2" w:rsidRPr="00634AB2">
              <w:rPr>
                <w:rFonts w:ascii="Arial" w:hAnsi="Arial" w:cs="Arial"/>
                <w:noProof/>
                <w:webHidden/>
                <w:sz w:val="24"/>
                <w:szCs w:val="24"/>
              </w:rPr>
              <w:instrText xml:space="preserve"> PAGEREF _Toc402948937 \h </w:instrText>
            </w:r>
            <w:r w:rsidR="00422485" w:rsidRPr="00634AB2">
              <w:rPr>
                <w:rFonts w:ascii="Arial" w:hAnsi="Arial" w:cs="Arial"/>
                <w:noProof/>
                <w:webHidden/>
                <w:sz w:val="24"/>
                <w:szCs w:val="24"/>
              </w:rPr>
            </w:r>
            <w:r w:rsidR="00422485" w:rsidRPr="00634AB2">
              <w:rPr>
                <w:rFonts w:ascii="Arial" w:hAnsi="Arial" w:cs="Arial"/>
                <w:noProof/>
                <w:webHidden/>
                <w:sz w:val="24"/>
                <w:szCs w:val="24"/>
              </w:rPr>
              <w:fldChar w:fldCharType="separate"/>
            </w:r>
            <w:r w:rsidR="00CB5318">
              <w:rPr>
                <w:rFonts w:ascii="Arial" w:hAnsi="Arial" w:cs="Arial"/>
                <w:noProof/>
                <w:webHidden/>
                <w:sz w:val="24"/>
                <w:szCs w:val="24"/>
              </w:rPr>
              <w:t>31</w:t>
            </w:r>
            <w:r w:rsidR="00422485" w:rsidRPr="00634AB2">
              <w:rPr>
                <w:rFonts w:ascii="Arial" w:hAnsi="Arial" w:cs="Arial"/>
                <w:noProof/>
                <w:webHidden/>
                <w:sz w:val="24"/>
                <w:szCs w:val="24"/>
              </w:rPr>
              <w:fldChar w:fldCharType="end"/>
            </w:r>
          </w:hyperlink>
        </w:p>
        <w:p w:rsidR="00634AB2" w:rsidRPr="00CC3D48" w:rsidRDefault="009E6570" w:rsidP="00634AB2">
          <w:pPr>
            <w:pStyle w:val="TDC1"/>
            <w:tabs>
              <w:tab w:val="left" w:pos="1100"/>
            </w:tabs>
            <w:jc w:val="left"/>
            <w:rPr>
              <w:rFonts w:ascii="Arial" w:eastAsiaTheme="minorEastAsia" w:hAnsi="Arial" w:cs="Arial"/>
              <w:noProof/>
              <w:sz w:val="24"/>
              <w:szCs w:val="24"/>
              <w:lang w:eastAsia="es-MX"/>
            </w:rPr>
          </w:pPr>
          <w:hyperlink w:anchor="_Toc402948938" w:history="1">
            <w:r w:rsidR="00634AB2" w:rsidRPr="00CC3D48">
              <w:rPr>
                <w:rStyle w:val="Hipervnculo"/>
                <w:rFonts w:ascii="Arial" w:hAnsi="Arial" w:cs="Arial"/>
                <w:noProof/>
                <w:sz w:val="24"/>
                <w:szCs w:val="24"/>
              </w:rPr>
              <w:t>VI.</w:t>
            </w:r>
            <w:r w:rsidR="00634AB2" w:rsidRPr="00CC3D48">
              <w:rPr>
                <w:rFonts w:ascii="Arial" w:eastAsiaTheme="minorEastAsia" w:hAnsi="Arial" w:cs="Arial"/>
                <w:noProof/>
                <w:sz w:val="24"/>
                <w:szCs w:val="24"/>
                <w:lang w:eastAsia="es-MX"/>
              </w:rPr>
              <w:tab/>
            </w:r>
            <w:r w:rsidR="008F25DA" w:rsidRPr="00CC3D48">
              <w:rPr>
                <w:rStyle w:val="Hipervnculo"/>
                <w:rFonts w:ascii="Arial" w:hAnsi="Arial" w:cs="Arial"/>
                <w:noProof/>
                <w:sz w:val="24"/>
                <w:szCs w:val="24"/>
              </w:rPr>
              <w:t>Las empresas financieras se han volcado por la gestión de los fondos de    pensiones</w:t>
            </w:r>
            <w:r w:rsidR="00634AB2" w:rsidRPr="00CC3D48">
              <w:rPr>
                <w:rStyle w:val="Hipervnculo"/>
                <w:rFonts w:ascii="Arial" w:hAnsi="Arial" w:cs="Arial"/>
                <w:noProof/>
                <w:sz w:val="24"/>
                <w:szCs w:val="24"/>
              </w:rPr>
              <w:t>…………………………………………………………………………………</w:t>
            </w:r>
            <w:r w:rsidR="00422485" w:rsidRPr="00CC3D48">
              <w:rPr>
                <w:rFonts w:ascii="Arial" w:hAnsi="Arial" w:cs="Arial"/>
                <w:noProof/>
                <w:webHidden/>
                <w:sz w:val="24"/>
                <w:szCs w:val="24"/>
              </w:rPr>
              <w:fldChar w:fldCharType="begin"/>
            </w:r>
            <w:r w:rsidR="00634AB2" w:rsidRPr="00CC3D48">
              <w:rPr>
                <w:rFonts w:ascii="Arial" w:hAnsi="Arial" w:cs="Arial"/>
                <w:noProof/>
                <w:webHidden/>
                <w:sz w:val="24"/>
                <w:szCs w:val="24"/>
              </w:rPr>
              <w:instrText xml:space="preserve"> PAGEREF _Toc402948938 \h </w:instrText>
            </w:r>
            <w:r w:rsidR="00422485" w:rsidRPr="00CC3D48">
              <w:rPr>
                <w:rFonts w:ascii="Arial" w:hAnsi="Arial" w:cs="Arial"/>
                <w:noProof/>
                <w:webHidden/>
                <w:sz w:val="24"/>
                <w:szCs w:val="24"/>
              </w:rPr>
            </w:r>
            <w:r w:rsidR="00422485" w:rsidRPr="00CC3D48">
              <w:rPr>
                <w:rFonts w:ascii="Arial" w:hAnsi="Arial" w:cs="Arial"/>
                <w:noProof/>
                <w:webHidden/>
                <w:sz w:val="24"/>
                <w:szCs w:val="24"/>
              </w:rPr>
              <w:fldChar w:fldCharType="separate"/>
            </w:r>
            <w:r w:rsidR="00CB5318">
              <w:rPr>
                <w:rFonts w:ascii="Arial" w:hAnsi="Arial" w:cs="Arial"/>
                <w:noProof/>
                <w:webHidden/>
                <w:sz w:val="24"/>
                <w:szCs w:val="24"/>
              </w:rPr>
              <w:t>32</w:t>
            </w:r>
            <w:r w:rsidR="00422485" w:rsidRPr="00CC3D48">
              <w:rPr>
                <w:rFonts w:ascii="Arial" w:hAnsi="Arial" w:cs="Arial"/>
                <w:noProof/>
                <w:webHidden/>
                <w:sz w:val="24"/>
                <w:szCs w:val="24"/>
              </w:rPr>
              <w:fldChar w:fldCharType="end"/>
            </w:r>
          </w:hyperlink>
        </w:p>
        <w:p w:rsidR="00634AB2" w:rsidRPr="00634AB2" w:rsidRDefault="009E6570" w:rsidP="00634AB2">
          <w:pPr>
            <w:pStyle w:val="TDC1"/>
            <w:tabs>
              <w:tab w:val="left" w:pos="1320"/>
            </w:tabs>
            <w:jc w:val="left"/>
            <w:rPr>
              <w:rFonts w:ascii="Arial" w:eastAsiaTheme="minorEastAsia" w:hAnsi="Arial" w:cs="Arial"/>
              <w:noProof/>
              <w:sz w:val="24"/>
              <w:szCs w:val="24"/>
              <w:lang w:eastAsia="es-MX"/>
            </w:rPr>
          </w:pPr>
          <w:hyperlink w:anchor="_Toc402948939" w:history="1">
            <w:r w:rsidR="00634AB2" w:rsidRPr="00CC3D48">
              <w:rPr>
                <w:rStyle w:val="Hipervnculo"/>
                <w:rFonts w:ascii="Arial" w:hAnsi="Arial" w:cs="Arial"/>
                <w:noProof/>
                <w:sz w:val="24"/>
                <w:szCs w:val="24"/>
              </w:rPr>
              <w:t>VII.</w:t>
            </w:r>
            <w:r w:rsidR="00634AB2" w:rsidRPr="00CC3D48">
              <w:rPr>
                <w:rFonts w:ascii="Arial" w:eastAsiaTheme="minorEastAsia" w:hAnsi="Arial" w:cs="Arial"/>
                <w:noProof/>
                <w:sz w:val="24"/>
                <w:szCs w:val="24"/>
                <w:lang w:eastAsia="es-MX"/>
              </w:rPr>
              <w:tab/>
            </w:r>
            <w:r w:rsidR="00634AB2" w:rsidRPr="00CC3D48">
              <w:rPr>
                <w:rStyle w:val="Hipervnculo"/>
                <w:rFonts w:ascii="Arial" w:hAnsi="Arial" w:cs="Arial"/>
                <w:noProof/>
                <w:sz w:val="24"/>
                <w:szCs w:val="24"/>
              </w:rPr>
              <w:t>L</w:t>
            </w:r>
            <w:r w:rsidR="008F25DA" w:rsidRPr="00CC3D48">
              <w:rPr>
                <w:rStyle w:val="Hipervnculo"/>
                <w:rFonts w:ascii="Arial" w:hAnsi="Arial" w:cs="Arial"/>
                <w:noProof/>
                <w:sz w:val="24"/>
                <w:szCs w:val="24"/>
              </w:rPr>
              <w:t>a gestión de los fondos de pensiones por las empresas</w:t>
            </w:r>
            <w:r w:rsidR="00634AB2" w:rsidRPr="00CC3D48">
              <w:rPr>
                <w:rStyle w:val="Hipervnculo"/>
                <w:rFonts w:ascii="Arial" w:hAnsi="Arial" w:cs="Arial"/>
                <w:noProof/>
                <w:sz w:val="24"/>
                <w:szCs w:val="24"/>
              </w:rPr>
              <w:t xml:space="preserve"> </w:t>
            </w:r>
            <w:r w:rsidR="008F25DA" w:rsidRPr="00CC3D48">
              <w:rPr>
                <w:rStyle w:val="Hipervnculo"/>
                <w:rFonts w:ascii="Arial" w:hAnsi="Arial" w:cs="Arial"/>
                <w:noProof/>
                <w:sz w:val="24"/>
                <w:szCs w:val="24"/>
              </w:rPr>
              <w:t>financieras multinacionales en los países latinoamericanos</w:t>
            </w:r>
            <w:r w:rsidR="00634AB2" w:rsidRPr="00CC3D48">
              <w:rPr>
                <w:rFonts w:ascii="Arial" w:hAnsi="Arial" w:cs="Arial"/>
                <w:noProof/>
                <w:webHidden/>
                <w:sz w:val="24"/>
                <w:szCs w:val="24"/>
              </w:rPr>
              <w:tab/>
            </w:r>
            <w:r w:rsidR="00422485" w:rsidRPr="00CC3D48">
              <w:rPr>
                <w:rFonts w:ascii="Arial" w:hAnsi="Arial" w:cs="Arial"/>
                <w:noProof/>
                <w:webHidden/>
                <w:sz w:val="24"/>
                <w:szCs w:val="24"/>
              </w:rPr>
              <w:fldChar w:fldCharType="begin"/>
            </w:r>
            <w:r w:rsidR="00634AB2" w:rsidRPr="00CC3D48">
              <w:rPr>
                <w:rFonts w:ascii="Arial" w:hAnsi="Arial" w:cs="Arial"/>
                <w:noProof/>
                <w:webHidden/>
                <w:sz w:val="24"/>
                <w:szCs w:val="24"/>
              </w:rPr>
              <w:instrText xml:space="preserve"> PAGEREF _Toc402948939 \h </w:instrText>
            </w:r>
            <w:r w:rsidR="00422485" w:rsidRPr="00CC3D48">
              <w:rPr>
                <w:rFonts w:ascii="Arial" w:hAnsi="Arial" w:cs="Arial"/>
                <w:noProof/>
                <w:webHidden/>
                <w:sz w:val="24"/>
                <w:szCs w:val="24"/>
              </w:rPr>
            </w:r>
            <w:r w:rsidR="00422485" w:rsidRPr="00CC3D48">
              <w:rPr>
                <w:rFonts w:ascii="Arial" w:hAnsi="Arial" w:cs="Arial"/>
                <w:noProof/>
                <w:webHidden/>
                <w:sz w:val="24"/>
                <w:szCs w:val="24"/>
              </w:rPr>
              <w:fldChar w:fldCharType="separate"/>
            </w:r>
            <w:r w:rsidR="00CB5318">
              <w:rPr>
                <w:rFonts w:ascii="Arial" w:hAnsi="Arial" w:cs="Arial"/>
                <w:noProof/>
                <w:webHidden/>
                <w:sz w:val="24"/>
                <w:szCs w:val="24"/>
              </w:rPr>
              <w:t>40</w:t>
            </w:r>
            <w:r w:rsidR="00422485" w:rsidRPr="00CC3D48">
              <w:rPr>
                <w:rFonts w:ascii="Arial" w:hAnsi="Arial" w:cs="Arial"/>
                <w:noProof/>
                <w:webHidden/>
                <w:sz w:val="24"/>
                <w:szCs w:val="24"/>
              </w:rPr>
              <w:fldChar w:fldCharType="end"/>
            </w:r>
          </w:hyperlink>
        </w:p>
        <w:p w:rsidR="00634AB2" w:rsidRPr="00634AB2" w:rsidRDefault="009E6570">
          <w:pPr>
            <w:pStyle w:val="TDC1"/>
            <w:rPr>
              <w:rFonts w:ascii="Arial" w:eastAsiaTheme="minorEastAsia" w:hAnsi="Arial" w:cs="Arial"/>
              <w:noProof/>
              <w:sz w:val="24"/>
              <w:szCs w:val="24"/>
              <w:lang w:eastAsia="es-MX"/>
            </w:rPr>
          </w:pPr>
          <w:hyperlink w:anchor="_Toc402948940" w:history="1">
            <w:r w:rsidR="00634AB2" w:rsidRPr="00634AB2">
              <w:rPr>
                <w:rStyle w:val="Hipervnculo"/>
                <w:rFonts w:ascii="Arial" w:hAnsi="Arial" w:cs="Arial"/>
                <w:noProof/>
                <w:sz w:val="24"/>
                <w:szCs w:val="24"/>
              </w:rPr>
              <w:t>VIII.</w:t>
            </w:r>
            <w:r w:rsidR="00634AB2" w:rsidRPr="00634AB2">
              <w:rPr>
                <w:rFonts w:ascii="Arial" w:eastAsiaTheme="minorEastAsia" w:hAnsi="Arial" w:cs="Arial"/>
                <w:noProof/>
                <w:sz w:val="24"/>
                <w:szCs w:val="24"/>
                <w:lang w:eastAsia="es-MX"/>
              </w:rPr>
              <w:tab/>
            </w:r>
            <w:r w:rsidR="00634AB2" w:rsidRPr="00634AB2">
              <w:rPr>
                <w:rStyle w:val="Hipervnculo"/>
                <w:rFonts w:ascii="Arial" w:hAnsi="Arial" w:cs="Arial"/>
                <w:noProof/>
                <w:sz w:val="24"/>
                <w:szCs w:val="24"/>
              </w:rPr>
              <w:t>D</w:t>
            </w:r>
            <w:r w:rsidR="008F25DA" w:rsidRPr="00634AB2">
              <w:rPr>
                <w:rStyle w:val="Hipervnculo"/>
                <w:rFonts w:ascii="Arial" w:hAnsi="Arial" w:cs="Arial"/>
                <w:noProof/>
                <w:sz w:val="24"/>
                <w:szCs w:val="24"/>
              </w:rPr>
              <w:t>e</w:t>
            </w:r>
            <w:r w:rsidR="008F25DA">
              <w:rPr>
                <w:rStyle w:val="Hipervnculo"/>
                <w:rFonts w:ascii="Arial" w:hAnsi="Arial" w:cs="Arial"/>
                <w:noProof/>
                <w:sz w:val="24"/>
                <w:szCs w:val="24"/>
              </w:rPr>
              <w:t>sempeño financiero de las AFOREs</w:t>
            </w:r>
            <w:r w:rsidR="00634AB2" w:rsidRPr="00634AB2">
              <w:rPr>
                <w:rFonts w:ascii="Arial" w:hAnsi="Arial" w:cs="Arial"/>
                <w:noProof/>
                <w:webHidden/>
                <w:sz w:val="24"/>
                <w:szCs w:val="24"/>
              </w:rPr>
              <w:tab/>
            </w:r>
            <w:r w:rsidR="00422485" w:rsidRPr="00634AB2">
              <w:rPr>
                <w:rFonts w:ascii="Arial" w:hAnsi="Arial" w:cs="Arial"/>
                <w:noProof/>
                <w:webHidden/>
                <w:sz w:val="24"/>
                <w:szCs w:val="24"/>
              </w:rPr>
              <w:fldChar w:fldCharType="begin"/>
            </w:r>
            <w:r w:rsidR="00634AB2" w:rsidRPr="00634AB2">
              <w:rPr>
                <w:rFonts w:ascii="Arial" w:hAnsi="Arial" w:cs="Arial"/>
                <w:noProof/>
                <w:webHidden/>
                <w:sz w:val="24"/>
                <w:szCs w:val="24"/>
              </w:rPr>
              <w:instrText xml:space="preserve"> PAGEREF _Toc402948940 \h </w:instrText>
            </w:r>
            <w:r w:rsidR="00422485" w:rsidRPr="00634AB2">
              <w:rPr>
                <w:rFonts w:ascii="Arial" w:hAnsi="Arial" w:cs="Arial"/>
                <w:noProof/>
                <w:webHidden/>
                <w:sz w:val="24"/>
                <w:szCs w:val="24"/>
              </w:rPr>
            </w:r>
            <w:r w:rsidR="00422485" w:rsidRPr="00634AB2">
              <w:rPr>
                <w:rFonts w:ascii="Arial" w:hAnsi="Arial" w:cs="Arial"/>
                <w:noProof/>
                <w:webHidden/>
                <w:sz w:val="24"/>
                <w:szCs w:val="24"/>
              </w:rPr>
              <w:fldChar w:fldCharType="separate"/>
            </w:r>
            <w:r w:rsidR="00CB5318">
              <w:rPr>
                <w:rFonts w:ascii="Arial" w:hAnsi="Arial" w:cs="Arial"/>
                <w:noProof/>
                <w:webHidden/>
                <w:sz w:val="24"/>
                <w:szCs w:val="24"/>
              </w:rPr>
              <w:t>45</w:t>
            </w:r>
            <w:r w:rsidR="00422485" w:rsidRPr="00634AB2">
              <w:rPr>
                <w:rFonts w:ascii="Arial" w:hAnsi="Arial" w:cs="Arial"/>
                <w:noProof/>
                <w:webHidden/>
                <w:sz w:val="24"/>
                <w:szCs w:val="24"/>
              </w:rPr>
              <w:fldChar w:fldCharType="end"/>
            </w:r>
          </w:hyperlink>
        </w:p>
        <w:p w:rsidR="00634AB2" w:rsidRPr="00634AB2" w:rsidRDefault="009E6570">
          <w:pPr>
            <w:pStyle w:val="TDC1"/>
            <w:rPr>
              <w:rFonts w:ascii="Arial" w:eastAsiaTheme="minorEastAsia" w:hAnsi="Arial" w:cs="Arial"/>
              <w:noProof/>
              <w:sz w:val="24"/>
              <w:szCs w:val="24"/>
              <w:lang w:eastAsia="es-MX"/>
            </w:rPr>
          </w:pPr>
          <w:hyperlink w:anchor="_Toc402948941" w:history="1">
            <w:r w:rsidR="00634AB2" w:rsidRPr="00634AB2">
              <w:rPr>
                <w:rStyle w:val="Hipervnculo"/>
                <w:rFonts w:ascii="Arial" w:hAnsi="Arial" w:cs="Arial"/>
                <w:noProof/>
                <w:sz w:val="24"/>
                <w:szCs w:val="24"/>
                <w:lang w:val="es-ES"/>
              </w:rPr>
              <w:t>IX.</w:t>
            </w:r>
            <w:r w:rsidR="00634AB2" w:rsidRPr="00634AB2">
              <w:rPr>
                <w:rFonts w:ascii="Arial" w:eastAsiaTheme="minorEastAsia" w:hAnsi="Arial" w:cs="Arial"/>
                <w:noProof/>
                <w:sz w:val="24"/>
                <w:szCs w:val="24"/>
                <w:lang w:eastAsia="es-MX"/>
              </w:rPr>
              <w:tab/>
            </w:r>
            <w:r w:rsidR="00634AB2" w:rsidRPr="00634AB2">
              <w:rPr>
                <w:rStyle w:val="Hipervnculo"/>
                <w:rFonts w:ascii="Arial" w:hAnsi="Arial" w:cs="Arial"/>
                <w:noProof/>
                <w:sz w:val="24"/>
                <w:szCs w:val="24"/>
                <w:lang w:val="es-ES"/>
              </w:rPr>
              <w:t>D</w:t>
            </w:r>
            <w:r w:rsidR="008F25DA" w:rsidRPr="00634AB2">
              <w:rPr>
                <w:rStyle w:val="Hipervnculo"/>
                <w:rFonts w:ascii="Arial" w:hAnsi="Arial" w:cs="Arial"/>
                <w:noProof/>
                <w:sz w:val="24"/>
                <w:szCs w:val="24"/>
                <w:lang w:val="es-ES"/>
              </w:rPr>
              <w:t>esempeño de los traspasos</w:t>
            </w:r>
            <w:r w:rsidR="00634AB2" w:rsidRPr="00634AB2">
              <w:rPr>
                <w:rFonts w:ascii="Arial" w:hAnsi="Arial" w:cs="Arial"/>
                <w:noProof/>
                <w:webHidden/>
                <w:sz w:val="24"/>
                <w:szCs w:val="24"/>
              </w:rPr>
              <w:tab/>
            </w:r>
            <w:r w:rsidR="00422485" w:rsidRPr="00634AB2">
              <w:rPr>
                <w:rFonts w:ascii="Arial" w:hAnsi="Arial" w:cs="Arial"/>
                <w:noProof/>
                <w:webHidden/>
                <w:sz w:val="24"/>
                <w:szCs w:val="24"/>
              </w:rPr>
              <w:fldChar w:fldCharType="begin"/>
            </w:r>
            <w:r w:rsidR="00634AB2" w:rsidRPr="00634AB2">
              <w:rPr>
                <w:rFonts w:ascii="Arial" w:hAnsi="Arial" w:cs="Arial"/>
                <w:noProof/>
                <w:webHidden/>
                <w:sz w:val="24"/>
                <w:szCs w:val="24"/>
              </w:rPr>
              <w:instrText xml:space="preserve"> PAGEREF _Toc402948941 \h </w:instrText>
            </w:r>
            <w:r w:rsidR="00422485" w:rsidRPr="00634AB2">
              <w:rPr>
                <w:rFonts w:ascii="Arial" w:hAnsi="Arial" w:cs="Arial"/>
                <w:noProof/>
                <w:webHidden/>
                <w:sz w:val="24"/>
                <w:szCs w:val="24"/>
              </w:rPr>
            </w:r>
            <w:r w:rsidR="00422485" w:rsidRPr="00634AB2">
              <w:rPr>
                <w:rFonts w:ascii="Arial" w:hAnsi="Arial" w:cs="Arial"/>
                <w:noProof/>
                <w:webHidden/>
                <w:sz w:val="24"/>
                <w:szCs w:val="24"/>
              </w:rPr>
              <w:fldChar w:fldCharType="separate"/>
            </w:r>
            <w:r w:rsidR="00CB5318">
              <w:rPr>
                <w:rFonts w:ascii="Arial" w:hAnsi="Arial" w:cs="Arial"/>
                <w:noProof/>
                <w:webHidden/>
                <w:sz w:val="24"/>
                <w:szCs w:val="24"/>
              </w:rPr>
              <w:t>50</w:t>
            </w:r>
            <w:r w:rsidR="00422485" w:rsidRPr="00634AB2">
              <w:rPr>
                <w:rFonts w:ascii="Arial" w:hAnsi="Arial" w:cs="Arial"/>
                <w:noProof/>
                <w:webHidden/>
                <w:sz w:val="24"/>
                <w:szCs w:val="24"/>
              </w:rPr>
              <w:fldChar w:fldCharType="end"/>
            </w:r>
          </w:hyperlink>
        </w:p>
        <w:p w:rsidR="00634AB2" w:rsidRPr="00634AB2" w:rsidRDefault="009E6570">
          <w:pPr>
            <w:pStyle w:val="TDC1"/>
            <w:rPr>
              <w:rFonts w:ascii="Arial" w:eastAsiaTheme="minorEastAsia" w:hAnsi="Arial" w:cs="Arial"/>
              <w:noProof/>
              <w:sz w:val="24"/>
              <w:szCs w:val="24"/>
              <w:lang w:eastAsia="es-MX"/>
            </w:rPr>
          </w:pPr>
          <w:hyperlink w:anchor="_Toc402948942" w:history="1">
            <w:r w:rsidR="00634AB2" w:rsidRPr="00634AB2">
              <w:rPr>
                <w:rStyle w:val="Hipervnculo"/>
                <w:rFonts w:ascii="Arial" w:hAnsi="Arial" w:cs="Arial"/>
                <w:noProof/>
                <w:sz w:val="24"/>
                <w:szCs w:val="24"/>
              </w:rPr>
              <w:t>X.</w:t>
            </w:r>
            <w:r w:rsidR="00634AB2" w:rsidRPr="00634AB2">
              <w:rPr>
                <w:rFonts w:ascii="Arial" w:eastAsiaTheme="minorEastAsia" w:hAnsi="Arial" w:cs="Arial"/>
                <w:noProof/>
                <w:sz w:val="24"/>
                <w:szCs w:val="24"/>
                <w:lang w:eastAsia="es-MX"/>
              </w:rPr>
              <w:tab/>
            </w:r>
            <w:r w:rsidR="00634AB2" w:rsidRPr="00634AB2">
              <w:rPr>
                <w:rStyle w:val="Hipervnculo"/>
                <w:rFonts w:ascii="Arial" w:hAnsi="Arial" w:cs="Arial"/>
                <w:noProof/>
                <w:sz w:val="24"/>
                <w:szCs w:val="24"/>
              </w:rPr>
              <w:t>E</w:t>
            </w:r>
            <w:r w:rsidR="008F25DA" w:rsidRPr="00634AB2">
              <w:rPr>
                <w:rStyle w:val="Hipervnculo"/>
                <w:rFonts w:ascii="Arial" w:hAnsi="Arial" w:cs="Arial"/>
                <w:noProof/>
                <w:sz w:val="24"/>
                <w:szCs w:val="24"/>
              </w:rPr>
              <w:t>videncia empírica de los traspasos</w:t>
            </w:r>
            <w:r w:rsidR="00634AB2" w:rsidRPr="00634AB2">
              <w:rPr>
                <w:rFonts w:ascii="Arial" w:hAnsi="Arial" w:cs="Arial"/>
                <w:noProof/>
                <w:webHidden/>
                <w:sz w:val="24"/>
                <w:szCs w:val="24"/>
              </w:rPr>
              <w:tab/>
            </w:r>
            <w:r w:rsidR="00422485" w:rsidRPr="00634AB2">
              <w:rPr>
                <w:rFonts w:ascii="Arial" w:hAnsi="Arial" w:cs="Arial"/>
                <w:noProof/>
                <w:webHidden/>
                <w:sz w:val="24"/>
                <w:szCs w:val="24"/>
              </w:rPr>
              <w:fldChar w:fldCharType="begin"/>
            </w:r>
            <w:r w:rsidR="00634AB2" w:rsidRPr="00634AB2">
              <w:rPr>
                <w:rFonts w:ascii="Arial" w:hAnsi="Arial" w:cs="Arial"/>
                <w:noProof/>
                <w:webHidden/>
                <w:sz w:val="24"/>
                <w:szCs w:val="24"/>
              </w:rPr>
              <w:instrText xml:space="preserve"> PAGEREF _Toc402948942 \h </w:instrText>
            </w:r>
            <w:r w:rsidR="00422485" w:rsidRPr="00634AB2">
              <w:rPr>
                <w:rFonts w:ascii="Arial" w:hAnsi="Arial" w:cs="Arial"/>
                <w:noProof/>
                <w:webHidden/>
                <w:sz w:val="24"/>
                <w:szCs w:val="24"/>
              </w:rPr>
            </w:r>
            <w:r w:rsidR="00422485" w:rsidRPr="00634AB2">
              <w:rPr>
                <w:rFonts w:ascii="Arial" w:hAnsi="Arial" w:cs="Arial"/>
                <w:noProof/>
                <w:webHidden/>
                <w:sz w:val="24"/>
                <w:szCs w:val="24"/>
              </w:rPr>
              <w:fldChar w:fldCharType="separate"/>
            </w:r>
            <w:r w:rsidR="00CB5318">
              <w:rPr>
                <w:rFonts w:ascii="Arial" w:hAnsi="Arial" w:cs="Arial"/>
                <w:noProof/>
                <w:webHidden/>
                <w:sz w:val="24"/>
                <w:szCs w:val="24"/>
              </w:rPr>
              <w:t>57</w:t>
            </w:r>
            <w:r w:rsidR="00422485" w:rsidRPr="00634AB2">
              <w:rPr>
                <w:rFonts w:ascii="Arial" w:hAnsi="Arial" w:cs="Arial"/>
                <w:noProof/>
                <w:webHidden/>
                <w:sz w:val="24"/>
                <w:szCs w:val="24"/>
              </w:rPr>
              <w:fldChar w:fldCharType="end"/>
            </w:r>
          </w:hyperlink>
        </w:p>
        <w:p w:rsidR="00634AB2" w:rsidRPr="00634AB2" w:rsidRDefault="009E6570">
          <w:pPr>
            <w:pStyle w:val="TDC2"/>
            <w:rPr>
              <w:rFonts w:ascii="Arial" w:eastAsiaTheme="minorEastAsia" w:hAnsi="Arial" w:cs="Arial"/>
              <w:noProof/>
              <w:sz w:val="24"/>
              <w:szCs w:val="24"/>
              <w:lang w:eastAsia="es-MX"/>
            </w:rPr>
          </w:pPr>
          <w:hyperlink w:anchor="_Toc402948943" w:history="1">
            <w:r w:rsidR="00634AB2" w:rsidRPr="00634AB2">
              <w:rPr>
                <w:rStyle w:val="Hipervnculo"/>
                <w:rFonts w:ascii="Arial" w:hAnsi="Arial" w:cs="Arial"/>
                <w:noProof/>
                <w:sz w:val="24"/>
                <w:szCs w:val="24"/>
              </w:rPr>
              <w:t>Metodología</w:t>
            </w:r>
            <w:r w:rsidR="00634AB2" w:rsidRPr="00634AB2">
              <w:rPr>
                <w:rFonts w:ascii="Arial" w:hAnsi="Arial" w:cs="Arial"/>
                <w:noProof/>
                <w:webHidden/>
                <w:sz w:val="24"/>
                <w:szCs w:val="24"/>
              </w:rPr>
              <w:tab/>
            </w:r>
            <w:r w:rsidR="00422485" w:rsidRPr="00634AB2">
              <w:rPr>
                <w:rFonts w:ascii="Arial" w:hAnsi="Arial" w:cs="Arial"/>
                <w:noProof/>
                <w:webHidden/>
                <w:sz w:val="24"/>
                <w:szCs w:val="24"/>
              </w:rPr>
              <w:fldChar w:fldCharType="begin"/>
            </w:r>
            <w:r w:rsidR="00634AB2" w:rsidRPr="00634AB2">
              <w:rPr>
                <w:rFonts w:ascii="Arial" w:hAnsi="Arial" w:cs="Arial"/>
                <w:noProof/>
                <w:webHidden/>
                <w:sz w:val="24"/>
                <w:szCs w:val="24"/>
              </w:rPr>
              <w:instrText xml:space="preserve"> PAGEREF _Toc402948943 \h </w:instrText>
            </w:r>
            <w:r w:rsidR="00422485" w:rsidRPr="00634AB2">
              <w:rPr>
                <w:rFonts w:ascii="Arial" w:hAnsi="Arial" w:cs="Arial"/>
                <w:noProof/>
                <w:webHidden/>
                <w:sz w:val="24"/>
                <w:szCs w:val="24"/>
              </w:rPr>
            </w:r>
            <w:r w:rsidR="00422485" w:rsidRPr="00634AB2">
              <w:rPr>
                <w:rFonts w:ascii="Arial" w:hAnsi="Arial" w:cs="Arial"/>
                <w:noProof/>
                <w:webHidden/>
                <w:sz w:val="24"/>
                <w:szCs w:val="24"/>
              </w:rPr>
              <w:fldChar w:fldCharType="separate"/>
            </w:r>
            <w:r w:rsidR="00CB5318">
              <w:rPr>
                <w:rFonts w:ascii="Arial" w:hAnsi="Arial" w:cs="Arial"/>
                <w:noProof/>
                <w:webHidden/>
                <w:sz w:val="24"/>
                <w:szCs w:val="24"/>
              </w:rPr>
              <w:t>57</w:t>
            </w:r>
            <w:r w:rsidR="00422485" w:rsidRPr="00634AB2">
              <w:rPr>
                <w:rFonts w:ascii="Arial" w:hAnsi="Arial" w:cs="Arial"/>
                <w:noProof/>
                <w:webHidden/>
                <w:sz w:val="24"/>
                <w:szCs w:val="24"/>
              </w:rPr>
              <w:fldChar w:fldCharType="end"/>
            </w:r>
          </w:hyperlink>
        </w:p>
        <w:p w:rsidR="00634AB2" w:rsidRPr="00634AB2" w:rsidRDefault="009E6570">
          <w:pPr>
            <w:pStyle w:val="TDC1"/>
            <w:rPr>
              <w:rFonts w:ascii="Arial" w:eastAsiaTheme="minorEastAsia" w:hAnsi="Arial" w:cs="Arial"/>
              <w:noProof/>
              <w:sz w:val="24"/>
              <w:szCs w:val="24"/>
              <w:lang w:eastAsia="es-MX"/>
            </w:rPr>
          </w:pPr>
          <w:hyperlink w:anchor="_Toc402948944" w:history="1">
            <w:r w:rsidR="00634AB2" w:rsidRPr="00634AB2">
              <w:rPr>
                <w:rStyle w:val="Hipervnculo"/>
                <w:rFonts w:ascii="Arial" w:hAnsi="Arial" w:cs="Arial"/>
                <w:noProof/>
                <w:sz w:val="24"/>
                <w:szCs w:val="24"/>
              </w:rPr>
              <w:t>C</w:t>
            </w:r>
            <w:r w:rsidR="008F25DA" w:rsidRPr="00634AB2">
              <w:rPr>
                <w:rStyle w:val="Hipervnculo"/>
                <w:rFonts w:ascii="Arial" w:hAnsi="Arial" w:cs="Arial"/>
                <w:noProof/>
                <w:sz w:val="24"/>
                <w:szCs w:val="24"/>
              </w:rPr>
              <w:t>onclusiones</w:t>
            </w:r>
            <w:r w:rsidR="00634AB2" w:rsidRPr="00634AB2">
              <w:rPr>
                <w:rFonts w:ascii="Arial" w:hAnsi="Arial" w:cs="Arial"/>
                <w:noProof/>
                <w:webHidden/>
                <w:sz w:val="24"/>
                <w:szCs w:val="24"/>
              </w:rPr>
              <w:tab/>
            </w:r>
            <w:r w:rsidR="00422485" w:rsidRPr="00634AB2">
              <w:rPr>
                <w:rFonts w:ascii="Arial" w:hAnsi="Arial" w:cs="Arial"/>
                <w:noProof/>
                <w:webHidden/>
                <w:sz w:val="24"/>
                <w:szCs w:val="24"/>
              </w:rPr>
              <w:fldChar w:fldCharType="begin"/>
            </w:r>
            <w:r w:rsidR="00634AB2" w:rsidRPr="00634AB2">
              <w:rPr>
                <w:rFonts w:ascii="Arial" w:hAnsi="Arial" w:cs="Arial"/>
                <w:noProof/>
                <w:webHidden/>
                <w:sz w:val="24"/>
                <w:szCs w:val="24"/>
              </w:rPr>
              <w:instrText xml:space="preserve"> PAGEREF _Toc402948944 \h </w:instrText>
            </w:r>
            <w:r w:rsidR="00422485" w:rsidRPr="00634AB2">
              <w:rPr>
                <w:rFonts w:ascii="Arial" w:hAnsi="Arial" w:cs="Arial"/>
                <w:noProof/>
                <w:webHidden/>
                <w:sz w:val="24"/>
                <w:szCs w:val="24"/>
              </w:rPr>
            </w:r>
            <w:r w:rsidR="00422485" w:rsidRPr="00634AB2">
              <w:rPr>
                <w:rFonts w:ascii="Arial" w:hAnsi="Arial" w:cs="Arial"/>
                <w:noProof/>
                <w:webHidden/>
                <w:sz w:val="24"/>
                <w:szCs w:val="24"/>
              </w:rPr>
              <w:fldChar w:fldCharType="separate"/>
            </w:r>
            <w:r w:rsidR="00CB5318">
              <w:rPr>
                <w:rFonts w:ascii="Arial" w:hAnsi="Arial" w:cs="Arial"/>
                <w:noProof/>
                <w:webHidden/>
                <w:sz w:val="24"/>
                <w:szCs w:val="24"/>
              </w:rPr>
              <w:t>62</w:t>
            </w:r>
            <w:r w:rsidR="00422485" w:rsidRPr="00634AB2">
              <w:rPr>
                <w:rFonts w:ascii="Arial" w:hAnsi="Arial" w:cs="Arial"/>
                <w:noProof/>
                <w:webHidden/>
                <w:sz w:val="24"/>
                <w:szCs w:val="24"/>
              </w:rPr>
              <w:fldChar w:fldCharType="end"/>
            </w:r>
          </w:hyperlink>
        </w:p>
        <w:p w:rsidR="00634AB2" w:rsidRDefault="009E6570">
          <w:pPr>
            <w:pStyle w:val="TDC1"/>
            <w:rPr>
              <w:rFonts w:eastAsiaTheme="minorEastAsia"/>
              <w:noProof/>
              <w:lang w:eastAsia="es-MX"/>
            </w:rPr>
          </w:pPr>
          <w:hyperlink w:anchor="_Toc402948945" w:history="1">
            <w:r w:rsidR="00634AB2" w:rsidRPr="00634AB2">
              <w:rPr>
                <w:rStyle w:val="Hipervnculo"/>
                <w:rFonts w:ascii="Arial" w:eastAsia="Times New Roman" w:hAnsi="Arial" w:cs="Arial"/>
                <w:noProof/>
                <w:sz w:val="24"/>
                <w:szCs w:val="24"/>
                <w:lang w:eastAsia="es-MX"/>
              </w:rPr>
              <w:t>Bibliografía</w:t>
            </w:r>
            <w:r w:rsidR="00634AB2" w:rsidRPr="00634AB2">
              <w:rPr>
                <w:rFonts w:ascii="Arial" w:hAnsi="Arial" w:cs="Arial"/>
                <w:noProof/>
                <w:webHidden/>
                <w:sz w:val="24"/>
                <w:szCs w:val="24"/>
              </w:rPr>
              <w:tab/>
            </w:r>
            <w:r w:rsidR="00422485" w:rsidRPr="00634AB2">
              <w:rPr>
                <w:rFonts w:ascii="Arial" w:hAnsi="Arial" w:cs="Arial"/>
                <w:noProof/>
                <w:webHidden/>
                <w:sz w:val="24"/>
                <w:szCs w:val="24"/>
              </w:rPr>
              <w:fldChar w:fldCharType="begin"/>
            </w:r>
            <w:r w:rsidR="00634AB2" w:rsidRPr="00634AB2">
              <w:rPr>
                <w:rFonts w:ascii="Arial" w:hAnsi="Arial" w:cs="Arial"/>
                <w:noProof/>
                <w:webHidden/>
                <w:sz w:val="24"/>
                <w:szCs w:val="24"/>
              </w:rPr>
              <w:instrText xml:space="preserve"> PAGEREF _Toc402948945 \h </w:instrText>
            </w:r>
            <w:r w:rsidR="00422485" w:rsidRPr="00634AB2">
              <w:rPr>
                <w:rFonts w:ascii="Arial" w:hAnsi="Arial" w:cs="Arial"/>
                <w:noProof/>
                <w:webHidden/>
                <w:sz w:val="24"/>
                <w:szCs w:val="24"/>
              </w:rPr>
            </w:r>
            <w:r w:rsidR="00422485" w:rsidRPr="00634AB2">
              <w:rPr>
                <w:rFonts w:ascii="Arial" w:hAnsi="Arial" w:cs="Arial"/>
                <w:noProof/>
                <w:webHidden/>
                <w:sz w:val="24"/>
                <w:szCs w:val="24"/>
              </w:rPr>
              <w:fldChar w:fldCharType="separate"/>
            </w:r>
            <w:r w:rsidR="00CB5318">
              <w:rPr>
                <w:rFonts w:ascii="Arial" w:hAnsi="Arial" w:cs="Arial"/>
                <w:noProof/>
                <w:webHidden/>
                <w:sz w:val="24"/>
                <w:szCs w:val="24"/>
              </w:rPr>
              <w:t>65</w:t>
            </w:r>
            <w:r w:rsidR="00422485" w:rsidRPr="00634AB2">
              <w:rPr>
                <w:rFonts w:ascii="Arial" w:hAnsi="Arial" w:cs="Arial"/>
                <w:noProof/>
                <w:webHidden/>
                <w:sz w:val="24"/>
                <w:szCs w:val="24"/>
              </w:rPr>
              <w:fldChar w:fldCharType="end"/>
            </w:r>
          </w:hyperlink>
        </w:p>
        <w:p w:rsidR="00A9740C" w:rsidRDefault="00422485">
          <w:r w:rsidRPr="00BB1286">
            <w:rPr>
              <w:rFonts w:ascii="Arial" w:hAnsi="Arial" w:cs="Arial"/>
              <w:b/>
              <w:bCs/>
              <w:sz w:val="24"/>
              <w:szCs w:val="24"/>
              <w:lang w:val="es-ES"/>
            </w:rPr>
            <w:fldChar w:fldCharType="end"/>
          </w:r>
        </w:p>
      </w:sdtContent>
    </w:sdt>
    <w:p w:rsidR="00A9740C" w:rsidRDefault="00A9740C">
      <w:pPr>
        <w:pStyle w:val="TDC3"/>
        <w:ind w:left="446"/>
      </w:pPr>
    </w:p>
    <w:p w:rsidR="00B5511B" w:rsidRDefault="00B5511B"/>
    <w:p w:rsidR="00566B4D" w:rsidRDefault="00566B4D"/>
    <w:p w:rsidR="00566B4D" w:rsidRDefault="00566B4D"/>
    <w:p w:rsidR="00566B4D" w:rsidRDefault="00566B4D"/>
    <w:p w:rsidR="00B422C1" w:rsidRDefault="003109B9" w:rsidP="002619FC">
      <w:pPr>
        <w:pStyle w:val="Ttulo1"/>
        <w:spacing w:after="400"/>
        <w:rPr>
          <w:noProof/>
        </w:rPr>
      </w:pPr>
      <w:bookmarkStart w:id="2" w:name="_Toc401585997"/>
      <w:bookmarkStart w:id="3" w:name="_Toc402948927"/>
      <w:r>
        <w:rPr>
          <w:lang w:eastAsia="es-MX"/>
        </w:rPr>
        <w:lastRenderedPageBreak/>
        <w:t>Índice de cuadr</w:t>
      </w:r>
      <w:bookmarkEnd w:id="2"/>
      <w:r w:rsidR="00BA6870">
        <w:rPr>
          <w:lang w:eastAsia="es-MX"/>
        </w:rPr>
        <w:t>os</w:t>
      </w:r>
      <w:bookmarkEnd w:id="3"/>
      <w:r w:rsidR="00422485">
        <w:rPr>
          <w:b w:val="0"/>
          <w:sz w:val="20"/>
          <w:lang w:eastAsia="es-MX"/>
        </w:rPr>
        <w:fldChar w:fldCharType="begin"/>
      </w:r>
      <w:r w:rsidR="00BA6870">
        <w:rPr>
          <w:b w:val="0"/>
          <w:sz w:val="20"/>
          <w:lang w:eastAsia="es-MX"/>
        </w:rPr>
        <w:instrText xml:space="preserve"> TOC \h \z \c "Cuadro" </w:instrText>
      </w:r>
      <w:r w:rsidR="00422485">
        <w:rPr>
          <w:b w:val="0"/>
          <w:sz w:val="20"/>
          <w:lang w:eastAsia="es-MX"/>
        </w:rPr>
        <w:fldChar w:fldCharType="separate"/>
      </w:r>
    </w:p>
    <w:p w:rsidR="00B422C1" w:rsidRDefault="009E6570">
      <w:pPr>
        <w:pStyle w:val="Tabladeilustraciones"/>
        <w:tabs>
          <w:tab w:val="right" w:leader="dot" w:pos="8828"/>
        </w:tabs>
        <w:rPr>
          <w:rFonts w:asciiTheme="minorHAnsi" w:eastAsiaTheme="minorEastAsia" w:hAnsiTheme="minorHAnsi"/>
          <w:bCs w:val="0"/>
          <w:noProof/>
          <w:sz w:val="22"/>
          <w:szCs w:val="22"/>
          <w:lang w:eastAsia="es-MX"/>
        </w:rPr>
      </w:pPr>
      <w:hyperlink w:anchor="_Toc402963898" w:history="1">
        <w:r w:rsidR="00B422C1" w:rsidRPr="00092855">
          <w:rPr>
            <w:rStyle w:val="Hipervnculo"/>
            <w:b/>
            <w:noProof/>
          </w:rPr>
          <w:t>Cuadro 1.</w:t>
        </w:r>
        <w:r w:rsidR="00B422C1" w:rsidRPr="001D30CC">
          <w:rPr>
            <w:rStyle w:val="Hipervnculo"/>
            <w:noProof/>
          </w:rPr>
          <w:t xml:space="preserve"> Entidades reguladoras de los sistemas y empresas financieras administradoras de los fondos de pensiones</w:t>
        </w:r>
        <w:r w:rsidR="00B422C1">
          <w:rPr>
            <w:noProof/>
            <w:webHidden/>
          </w:rPr>
          <w:tab/>
        </w:r>
        <w:r w:rsidR="00422485">
          <w:rPr>
            <w:noProof/>
            <w:webHidden/>
          </w:rPr>
          <w:fldChar w:fldCharType="begin"/>
        </w:r>
        <w:r w:rsidR="00B422C1">
          <w:rPr>
            <w:noProof/>
            <w:webHidden/>
          </w:rPr>
          <w:instrText xml:space="preserve"> PAGEREF _Toc402963898 \h </w:instrText>
        </w:r>
        <w:r w:rsidR="00422485">
          <w:rPr>
            <w:noProof/>
            <w:webHidden/>
          </w:rPr>
        </w:r>
        <w:r w:rsidR="00422485">
          <w:rPr>
            <w:noProof/>
            <w:webHidden/>
          </w:rPr>
          <w:fldChar w:fldCharType="separate"/>
        </w:r>
        <w:r w:rsidR="00CB5318">
          <w:rPr>
            <w:noProof/>
            <w:webHidden/>
          </w:rPr>
          <w:t>26</w:t>
        </w:r>
        <w:r w:rsidR="00422485">
          <w:rPr>
            <w:noProof/>
            <w:webHidden/>
          </w:rPr>
          <w:fldChar w:fldCharType="end"/>
        </w:r>
      </w:hyperlink>
    </w:p>
    <w:p w:rsidR="00B422C1" w:rsidRDefault="009E6570">
      <w:pPr>
        <w:pStyle w:val="Tabladeilustraciones"/>
        <w:tabs>
          <w:tab w:val="right" w:leader="dot" w:pos="8828"/>
        </w:tabs>
        <w:rPr>
          <w:rFonts w:asciiTheme="minorHAnsi" w:eastAsiaTheme="minorEastAsia" w:hAnsiTheme="minorHAnsi"/>
          <w:bCs w:val="0"/>
          <w:noProof/>
          <w:sz w:val="22"/>
          <w:szCs w:val="22"/>
          <w:lang w:eastAsia="es-MX"/>
        </w:rPr>
      </w:pPr>
      <w:hyperlink w:anchor="_Toc402963899" w:history="1">
        <w:r w:rsidR="00B422C1" w:rsidRPr="00092855">
          <w:rPr>
            <w:rStyle w:val="Hipervnculo"/>
            <w:b/>
            <w:noProof/>
          </w:rPr>
          <w:t>Cuadro 2</w:t>
        </w:r>
        <w:r w:rsidR="00B422C1" w:rsidRPr="00092855">
          <w:rPr>
            <w:rStyle w:val="Hipervnculo"/>
            <w:rFonts w:cs="Arial"/>
            <w:b/>
            <w:noProof/>
          </w:rPr>
          <w:t>.</w:t>
        </w:r>
        <w:r w:rsidR="00B422C1" w:rsidRPr="001D30CC">
          <w:rPr>
            <w:rStyle w:val="Hipervnculo"/>
            <w:rFonts w:cs="Arial"/>
            <w:noProof/>
          </w:rPr>
          <w:t xml:space="preserve"> </w:t>
        </w:r>
        <w:r w:rsidR="00B422C1" w:rsidRPr="001D30CC">
          <w:rPr>
            <w:rStyle w:val="Hipervnculo"/>
            <w:noProof/>
          </w:rPr>
          <w:t>Estructura de mercado de las principales administradoras</w:t>
        </w:r>
        <w:r w:rsidR="00B422C1">
          <w:rPr>
            <w:noProof/>
            <w:webHidden/>
          </w:rPr>
          <w:tab/>
        </w:r>
        <w:r w:rsidR="00422485">
          <w:rPr>
            <w:noProof/>
            <w:webHidden/>
          </w:rPr>
          <w:fldChar w:fldCharType="begin"/>
        </w:r>
        <w:r w:rsidR="00B422C1">
          <w:rPr>
            <w:noProof/>
            <w:webHidden/>
          </w:rPr>
          <w:instrText xml:space="preserve"> PAGEREF _Toc402963899 \h </w:instrText>
        </w:r>
        <w:r w:rsidR="00422485">
          <w:rPr>
            <w:noProof/>
            <w:webHidden/>
          </w:rPr>
        </w:r>
        <w:r w:rsidR="00422485">
          <w:rPr>
            <w:noProof/>
            <w:webHidden/>
          </w:rPr>
          <w:fldChar w:fldCharType="separate"/>
        </w:r>
        <w:r w:rsidR="00CB5318">
          <w:rPr>
            <w:noProof/>
            <w:webHidden/>
          </w:rPr>
          <w:t>34</w:t>
        </w:r>
        <w:r w:rsidR="00422485">
          <w:rPr>
            <w:noProof/>
            <w:webHidden/>
          </w:rPr>
          <w:fldChar w:fldCharType="end"/>
        </w:r>
      </w:hyperlink>
    </w:p>
    <w:p w:rsidR="00B422C1" w:rsidRDefault="009E6570">
      <w:pPr>
        <w:pStyle w:val="Tabladeilustraciones"/>
        <w:tabs>
          <w:tab w:val="right" w:leader="dot" w:pos="8828"/>
        </w:tabs>
        <w:rPr>
          <w:rFonts w:asciiTheme="minorHAnsi" w:eastAsiaTheme="minorEastAsia" w:hAnsiTheme="minorHAnsi"/>
          <w:bCs w:val="0"/>
          <w:noProof/>
          <w:sz w:val="22"/>
          <w:szCs w:val="22"/>
          <w:lang w:eastAsia="es-MX"/>
        </w:rPr>
      </w:pPr>
      <w:hyperlink w:anchor="_Toc402963900" w:history="1">
        <w:r w:rsidR="00B422C1" w:rsidRPr="00092855">
          <w:rPr>
            <w:rStyle w:val="Hipervnculo"/>
            <w:b/>
            <w:noProof/>
          </w:rPr>
          <w:t>Cuadro 3</w:t>
        </w:r>
        <w:r w:rsidR="00B422C1" w:rsidRPr="001D30CC">
          <w:rPr>
            <w:rStyle w:val="Hipervnculo"/>
            <w:rFonts w:cs="Arial"/>
            <w:noProof/>
          </w:rPr>
          <w:t xml:space="preserve">. </w:t>
        </w:r>
        <w:r w:rsidR="00B422C1" w:rsidRPr="001D30CC">
          <w:rPr>
            <w:rStyle w:val="Hipervnculo"/>
            <w:noProof/>
          </w:rPr>
          <w:t>Total de AFOREs, 2005-2014</w:t>
        </w:r>
        <w:r w:rsidR="00B422C1">
          <w:rPr>
            <w:noProof/>
            <w:webHidden/>
          </w:rPr>
          <w:tab/>
        </w:r>
        <w:r w:rsidR="00422485">
          <w:rPr>
            <w:noProof/>
            <w:webHidden/>
          </w:rPr>
          <w:fldChar w:fldCharType="begin"/>
        </w:r>
        <w:r w:rsidR="00B422C1">
          <w:rPr>
            <w:noProof/>
            <w:webHidden/>
          </w:rPr>
          <w:instrText xml:space="preserve"> PAGEREF _Toc402963900 \h </w:instrText>
        </w:r>
        <w:r w:rsidR="00422485">
          <w:rPr>
            <w:noProof/>
            <w:webHidden/>
          </w:rPr>
        </w:r>
        <w:r w:rsidR="00422485">
          <w:rPr>
            <w:noProof/>
            <w:webHidden/>
          </w:rPr>
          <w:fldChar w:fldCharType="separate"/>
        </w:r>
        <w:r w:rsidR="00CB5318">
          <w:rPr>
            <w:noProof/>
            <w:webHidden/>
          </w:rPr>
          <w:t>35</w:t>
        </w:r>
        <w:r w:rsidR="00422485">
          <w:rPr>
            <w:noProof/>
            <w:webHidden/>
          </w:rPr>
          <w:fldChar w:fldCharType="end"/>
        </w:r>
      </w:hyperlink>
    </w:p>
    <w:p w:rsidR="00B422C1" w:rsidRDefault="009E6570">
      <w:pPr>
        <w:pStyle w:val="Tabladeilustraciones"/>
        <w:tabs>
          <w:tab w:val="right" w:leader="dot" w:pos="8828"/>
        </w:tabs>
        <w:rPr>
          <w:rFonts w:asciiTheme="minorHAnsi" w:eastAsiaTheme="minorEastAsia" w:hAnsiTheme="minorHAnsi"/>
          <w:bCs w:val="0"/>
          <w:noProof/>
          <w:sz w:val="22"/>
          <w:szCs w:val="22"/>
          <w:lang w:eastAsia="es-MX"/>
        </w:rPr>
      </w:pPr>
      <w:hyperlink w:anchor="_Toc402963901" w:history="1">
        <w:r w:rsidR="00B422C1" w:rsidRPr="00092855">
          <w:rPr>
            <w:rStyle w:val="Hipervnculo"/>
            <w:b/>
            <w:noProof/>
          </w:rPr>
          <w:t>Cuadro 4.</w:t>
        </w:r>
        <w:r w:rsidR="00B422C1" w:rsidRPr="00B422C1">
          <w:rPr>
            <w:rStyle w:val="Hipervnculo"/>
            <w:noProof/>
          </w:rPr>
          <w:t xml:space="preserve"> </w:t>
        </w:r>
        <w:r w:rsidR="00B422C1" w:rsidRPr="00B422C1">
          <w:rPr>
            <w:rStyle w:val="Hipervnculo"/>
            <w:noProof/>
            <w:lang w:val="es-ES"/>
          </w:rPr>
          <w:t>Número de AFPs por país latinoamericano, 2012</w:t>
        </w:r>
        <w:r w:rsidR="00B422C1">
          <w:rPr>
            <w:noProof/>
            <w:webHidden/>
          </w:rPr>
          <w:tab/>
        </w:r>
        <w:r w:rsidR="00422485">
          <w:rPr>
            <w:noProof/>
            <w:webHidden/>
          </w:rPr>
          <w:fldChar w:fldCharType="begin"/>
        </w:r>
        <w:r w:rsidR="00B422C1">
          <w:rPr>
            <w:noProof/>
            <w:webHidden/>
          </w:rPr>
          <w:instrText xml:space="preserve"> PAGEREF _Toc402963901 \h </w:instrText>
        </w:r>
        <w:r w:rsidR="00422485">
          <w:rPr>
            <w:noProof/>
            <w:webHidden/>
          </w:rPr>
        </w:r>
        <w:r w:rsidR="00422485">
          <w:rPr>
            <w:noProof/>
            <w:webHidden/>
          </w:rPr>
          <w:fldChar w:fldCharType="separate"/>
        </w:r>
        <w:r w:rsidR="00CB5318">
          <w:rPr>
            <w:noProof/>
            <w:webHidden/>
          </w:rPr>
          <w:t>40</w:t>
        </w:r>
        <w:r w:rsidR="00422485">
          <w:rPr>
            <w:noProof/>
            <w:webHidden/>
          </w:rPr>
          <w:fldChar w:fldCharType="end"/>
        </w:r>
      </w:hyperlink>
    </w:p>
    <w:p w:rsidR="00B422C1" w:rsidRDefault="009E6570">
      <w:pPr>
        <w:pStyle w:val="Tabladeilustraciones"/>
        <w:tabs>
          <w:tab w:val="right" w:leader="dot" w:pos="8828"/>
        </w:tabs>
        <w:rPr>
          <w:rFonts w:asciiTheme="minorHAnsi" w:eastAsiaTheme="minorEastAsia" w:hAnsiTheme="minorHAnsi"/>
          <w:bCs w:val="0"/>
          <w:noProof/>
          <w:sz w:val="22"/>
          <w:szCs w:val="22"/>
          <w:lang w:eastAsia="es-MX"/>
        </w:rPr>
      </w:pPr>
      <w:hyperlink w:anchor="_Toc402963902" w:history="1">
        <w:r w:rsidR="00B422C1" w:rsidRPr="00092855">
          <w:rPr>
            <w:rStyle w:val="Hipervnculo"/>
            <w:b/>
            <w:noProof/>
          </w:rPr>
          <w:t>Cuadro 5</w:t>
        </w:r>
        <w:r w:rsidR="00B422C1" w:rsidRPr="001D30CC">
          <w:rPr>
            <w:rStyle w:val="Hipervnculo"/>
            <w:noProof/>
          </w:rPr>
          <w:t>. Desempeño financiero de las AFPs por país latinoamericano, 2012</w:t>
        </w:r>
        <w:r w:rsidR="00B422C1">
          <w:rPr>
            <w:noProof/>
            <w:webHidden/>
          </w:rPr>
          <w:tab/>
        </w:r>
        <w:r w:rsidR="00422485">
          <w:rPr>
            <w:noProof/>
            <w:webHidden/>
          </w:rPr>
          <w:fldChar w:fldCharType="begin"/>
        </w:r>
        <w:r w:rsidR="00B422C1">
          <w:rPr>
            <w:noProof/>
            <w:webHidden/>
          </w:rPr>
          <w:instrText xml:space="preserve"> PAGEREF _Toc402963902 \h </w:instrText>
        </w:r>
        <w:r w:rsidR="00422485">
          <w:rPr>
            <w:noProof/>
            <w:webHidden/>
          </w:rPr>
        </w:r>
        <w:r w:rsidR="00422485">
          <w:rPr>
            <w:noProof/>
            <w:webHidden/>
          </w:rPr>
          <w:fldChar w:fldCharType="separate"/>
        </w:r>
        <w:r w:rsidR="00CB5318">
          <w:rPr>
            <w:noProof/>
            <w:webHidden/>
          </w:rPr>
          <w:t>41</w:t>
        </w:r>
        <w:r w:rsidR="00422485">
          <w:rPr>
            <w:noProof/>
            <w:webHidden/>
          </w:rPr>
          <w:fldChar w:fldCharType="end"/>
        </w:r>
      </w:hyperlink>
    </w:p>
    <w:p w:rsidR="00B422C1" w:rsidRDefault="009E6570">
      <w:pPr>
        <w:pStyle w:val="Tabladeilustraciones"/>
        <w:tabs>
          <w:tab w:val="right" w:leader="dot" w:pos="8828"/>
        </w:tabs>
        <w:rPr>
          <w:rFonts w:asciiTheme="minorHAnsi" w:eastAsiaTheme="minorEastAsia" w:hAnsiTheme="minorHAnsi"/>
          <w:bCs w:val="0"/>
          <w:noProof/>
          <w:sz w:val="22"/>
          <w:szCs w:val="22"/>
          <w:lang w:eastAsia="es-MX"/>
        </w:rPr>
      </w:pPr>
      <w:hyperlink w:anchor="_Toc402963903" w:history="1">
        <w:r w:rsidR="00B422C1" w:rsidRPr="00092855">
          <w:rPr>
            <w:rStyle w:val="Hipervnculo"/>
            <w:b/>
            <w:noProof/>
          </w:rPr>
          <w:t>Cuadro 6.</w:t>
        </w:r>
        <w:r w:rsidR="00B422C1" w:rsidRPr="001D30CC">
          <w:rPr>
            <w:rStyle w:val="Hipervnculo"/>
            <w:noProof/>
          </w:rPr>
          <w:t xml:space="preserve"> Desempeño financiero de las AFOREs, 2014</w:t>
        </w:r>
        <w:r w:rsidR="00B422C1">
          <w:rPr>
            <w:noProof/>
            <w:webHidden/>
          </w:rPr>
          <w:tab/>
        </w:r>
        <w:r w:rsidR="00422485">
          <w:rPr>
            <w:noProof/>
            <w:webHidden/>
          </w:rPr>
          <w:fldChar w:fldCharType="begin"/>
        </w:r>
        <w:r w:rsidR="00B422C1">
          <w:rPr>
            <w:noProof/>
            <w:webHidden/>
          </w:rPr>
          <w:instrText xml:space="preserve"> PAGEREF _Toc402963903 \h </w:instrText>
        </w:r>
        <w:r w:rsidR="00422485">
          <w:rPr>
            <w:noProof/>
            <w:webHidden/>
          </w:rPr>
        </w:r>
        <w:r w:rsidR="00422485">
          <w:rPr>
            <w:noProof/>
            <w:webHidden/>
          </w:rPr>
          <w:fldChar w:fldCharType="separate"/>
        </w:r>
        <w:r w:rsidR="00CB5318">
          <w:rPr>
            <w:noProof/>
            <w:webHidden/>
          </w:rPr>
          <w:t>43</w:t>
        </w:r>
        <w:r w:rsidR="00422485">
          <w:rPr>
            <w:noProof/>
            <w:webHidden/>
          </w:rPr>
          <w:fldChar w:fldCharType="end"/>
        </w:r>
      </w:hyperlink>
    </w:p>
    <w:p w:rsidR="00B422C1" w:rsidRDefault="009E6570">
      <w:pPr>
        <w:pStyle w:val="Tabladeilustraciones"/>
        <w:tabs>
          <w:tab w:val="right" w:leader="dot" w:pos="8828"/>
        </w:tabs>
        <w:rPr>
          <w:rFonts w:asciiTheme="minorHAnsi" w:eastAsiaTheme="minorEastAsia" w:hAnsiTheme="minorHAnsi"/>
          <w:bCs w:val="0"/>
          <w:noProof/>
          <w:sz w:val="22"/>
          <w:szCs w:val="22"/>
          <w:lang w:eastAsia="es-MX"/>
        </w:rPr>
      </w:pPr>
      <w:hyperlink w:anchor="_Toc402963904" w:history="1">
        <w:r w:rsidR="00B422C1" w:rsidRPr="00092855">
          <w:rPr>
            <w:rStyle w:val="Hipervnculo"/>
            <w:b/>
            <w:noProof/>
          </w:rPr>
          <w:t>Cuadro 7</w:t>
        </w:r>
        <w:r w:rsidR="00B422C1" w:rsidRPr="001D30CC">
          <w:rPr>
            <w:rStyle w:val="Hipervnculo"/>
            <w:noProof/>
          </w:rPr>
          <w:t>. Rendimiento neto alcanzado por las AFOREs</w:t>
        </w:r>
        <w:r w:rsidR="00B422C1">
          <w:rPr>
            <w:noProof/>
            <w:webHidden/>
          </w:rPr>
          <w:tab/>
        </w:r>
        <w:r w:rsidR="00422485">
          <w:rPr>
            <w:noProof/>
            <w:webHidden/>
          </w:rPr>
          <w:fldChar w:fldCharType="begin"/>
        </w:r>
        <w:r w:rsidR="00B422C1">
          <w:rPr>
            <w:noProof/>
            <w:webHidden/>
          </w:rPr>
          <w:instrText xml:space="preserve"> PAGEREF _Toc402963904 \h </w:instrText>
        </w:r>
        <w:r w:rsidR="00422485">
          <w:rPr>
            <w:noProof/>
            <w:webHidden/>
          </w:rPr>
        </w:r>
        <w:r w:rsidR="00422485">
          <w:rPr>
            <w:noProof/>
            <w:webHidden/>
          </w:rPr>
          <w:fldChar w:fldCharType="separate"/>
        </w:r>
        <w:r w:rsidR="00CB5318">
          <w:rPr>
            <w:noProof/>
            <w:webHidden/>
          </w:rPr>
          <w:t>44</w:t>
        </w:r>
        <w:r w:rsidR="00422485">
          <w:rPr>
            <w:noProof/>
            <w:webHidden/>
          </w:rPr>
          <w:fldChar w:fldCharType="end"/>
        </w:r>
      </w:hyperlink>
    </w:p>
    <w:p w:rsidR="00B422C1" w:rsidRDefault="009E6570">
      <w:pPr>
        <w:pStyle w:val="Tabladeilustraciones"/>
        <w:tabs>
          <w:tab w:val="right" w:leader="dot" w:pos="8828"/>
        </w:tabs>
        <w:rPr>
          <w:rFonts w:asciiTheme="minorHAnsi" w:eastAsiaTheme="minorEastAsia" w:hAnsiTheme="minorHAnsi"/>
          <w:bCs w:val="0"/>
          <w:noProof/>
          <w:sz w:val="22"/>
          <w:szCs w:val="22"/>
          <w:lang w:eastAsia="es-MX"/>
        </w:rPr>
      </w:pPr>
      <w:hyperlink w:anchor="_Toc402963905" w:history="1">
        <w:r w:rsidR="00B422C1" w:rsidRPr="00092855">
          <w:rPr>
            <w:rStyle w:val="Hipervnculo"/>
            <w:b/>
            <w:noProof/>
          </w:rPr>
          <w:t>Cuadro 8</w:t>
        </w:r>
        <w:r w:rsidR="00B422C1" w:rsidRPr="001D30CC">
          <w:rPr>
            <w:rStyle w:val="Hipervnculo"/>
            <w:noProof/>
          </w:rPr>
          <w:t xml:space="preserve">. </w:t>
        </w:r>
        <w:r w:rsidR="00B422C1" w:rsidRPr="001D30CC">
          <w:rPr>
            <w:rStyle w:val="Hipervnculo"/>
            <w:noProof/>
            <w:lang w:val="es-ES"/>
          </w:rPr>
          <w:t>Número de cuentas administradas, cotizantes permanentes y total de activos, por AFORE (2005-2014)</w:t>
        </w:r>
        <w:r w:rsidR="00B422C1">
          <w:rPr>
            <w:noProof/>
            <w:webHidden/>
          </w:rPr>
          <w:tab/>
        </w:r>
        <w:r w:rsidR="00422485">
          <w:rPr>
            <w:noProof/>
            <w:webHidden/>
          </w:rPr>
          <w:fldChar w:fldCharType="begin"/>
        </w:r>
        <w:r w:rsidR="00B422C1">
          <w:rPr>
            <w:noProof/>
            <w:webHidden/>
          </w:rPr>
          <w:instrText xml:space="preserve"> PAGEREF _Toc402963905 \h </w:instrText>
        </w:r>
        <w:r w:rsidR="00422485">
          <w:rPr>
            <w:noProof/>
            <w:webHidden/>
          </w:rPr>
        </w:r>
        <w:r w:rsidR="00422485">
          <w:rPr>
            <w:noProof/>
            <w:webHidden/>
          </w:rPr>
          <w:fldChar w:fldCharType="separate"/>
        </w:r>
        <w:r w:rsidR="00CB5318">
          <w:rPr>
            <w:noProof/>
            <w:webHidden/>
          </w:rPr>
          <w:t>48</w:t>
        </w:r>
        <w:r w:rsidR="00422485">
          <w:rPr>
            <w:noProof/>
            <w:webHidden/>
          </w:rPr>
          <w:fldChar w:fldCharType="end"/>
        </w:r>
      </w:hyperlink>
    </w:p>
    <w:p w:rsidR="00B422C1" w:rsidRDefault="009E6570">
      <w:pPr>
        <w:pStyle w:val="Tabladeilustraciones"/>
        <w:tabs>
          <w:tab w:val="right" w:leader="dot" w:pos="8828"/>
        </w:tabs>
        <w:rPr>
          <w:rFonts w:asciiTheme="minorHAnsi" w:eastAsiaTheme="minorEastAsia" w:hAnsiTheme="minorHAnsi"/>
          <w:bCs w:val="0"/>
          <w:noProof/>
          <w:sz w:val="22"/>
          <w:szCs w:val="22"/>
          <w:lang w:eastAsia="es-MX"/>
        </w:rPr>
      </w:pPr>
      <w:hyperlink w:anchor="_Toc402963906" w:history="1">
        <w:r w:rsidR="00B422C1" w:rsidRPr="00092855">
          <w:rPr>
            <w:rStyle w:val="Hipervnculo"/>
            <w:b/>
            <w:noProof/>
          </w:rPr>
          <w:t>Cuadro 9.</w:t>
        </w:r>
        <w:r w:rsidR="00B422C1" w:rsidRPr="001D30CC">
          <w:rPr>
            <w:rStyle w:val="Hipervnculo"/>
            <w:noProof/>
          </w:rPr>
          <w:t xml:space="preserve"> Total de cuentas recibidas por AFORE, 2005-2014</w:t>
        </w:r>
        <w:r w:rsidR="00B422C1">
          <w:rPr>
            <w:noProof/>
            <w:webHidden/>
          </w:rPr>
          <w:tab/>
        </w:r>
        <w:r w:rsidR="00422485">
          <w:rPr>
            <w:noProof/>
            <w:webHidden/>
          </w:rPr>
          <w:fldChar w:fldCharType="begin"/>
        </w:r>
        <w:r w:rsidR="00B422C1">
          <w:rPr>
            <w:noProof/>
            <w:webHidden/>
          </w:rPr>
          <w:instrText xml:space="preserve"> PAGEREF _Toc402963906 \h </w:instrText>
        </w:r>
        <w:r w:rsidR="00422485">
          <w:rPr>
            <w:noProof/>
            <w:webHidden/>
          </w:rPr>
        </w:r>
        <w:r w:rsidR="00422485">
          <w:rPr>
            <w:noProof/>
            <w:webHidden/>
          </w:rPr>
          <w:fldChar w:fldCharType="separate"/>
        </w:r>
        <w:r w:rsidR="00CB5318">
          <w:rPr>
            <w:noProof/>
            <w:webHidden/>
          </w:rPr>
          <w:t>52</w:t>
        </w:r>
        <w:r w:rsidR="00422485">
          <w:rPr>
            <w:noProof/>
            <w:webHidden/>
          </w:rPr>
          <w:fldChar w:fldCharType="end"/>
        </w:r>
      </w:hyperlink>
    </w:p>
    <w:p w:rsidR="00B422C1" w:rsidRDefault="009E6570">
      <w:pPr>
        <w:pStyle w:val="Tabladeilustraciones"/>
        <w:tabs>
          <w:tab w:val="right" w:leader="dot" w:pos="8828"/>
        </w:tabs>
        <w:rPr>
          <w:rFonts w:asciiTheme="minorHAnsi" w:eastAsiaTheme="minorEastAsia" w:hAnsiTheme="minorHAnsi"/>
          <w:bCs w:val="0"/>
          <w:noProof/>
          <w:sz w:val="22"/>
          <w:szCs w:val="22"/>
          <w:lang w:eastAsia="es-MX"/>
        </w:rPr>
      </w:pPr>
      <w:hyperlink w:anchor="_Toc402963907" w:history="1">
        <w:r w:rsidR="00B422C1" w:rsidRPr="00092855">
          <w:rPr>
            <w:rStyle w:val="Hipervnculo"/>
            <w:b/>
            <w:noProof/>
          </w:rPr>
          <w:t>Cuadro 10</w:t>
        </w:r>
        <w:r w:rsidR="00B422C1" w:rsidRPr="00092855">
          <w:rPr>
            <w:rStyle w:val="Hipervnculo"/>
            <w:b/>
            <w:noProof/>
            <w:lang w:val="es-ES"/>
          </w:rPr>
          <w:t>.</w:t>
        </w:r>
        <w:r w:rsidR="00B422C1" w:rsidRPr="001D30CC">
          <w:rPr>
            <w:rStyle w:val="Hipervnculo"/>
            <w:noProof/>
            <w:lang w:val="es-ES"/>
          </w:rPr>
          <w:t xml:space="preserve"> </w:t>
        </w:r>
        <w:r w:rsidR="00B422C1" w:rsidRPr="001D30CC">
          <w:rPr>
            <w:rStyle w:val="Hipervnculo"/>
            <w:noProof/>
          </w:rPr>
          <w:t>Total de cuentas cedidas por AFORE, 2005-2014</w:t>
        </w:r>
        <w:r w:rsidR="00B422C1">
          <w:rPr>
            <w:noProof/>
            <w:webHidden/>
          </w:rPr>
          <w:tab/>
        </w:r>
        <w:r w:rsidR="00422485">
          <w:rPr>
            <w:noProof/>
            <w:webHidden/>
          </w:rPr>
          <w:fldChar w:fldCharType="begin"/>
        </w:r>
        <w:r w:rsidR="00B422C1">
          <w:rPr>
            <w:noProof/>
            <w:webHidden/>
          </w:rPr>
          <w:instrText xml:space="preserve"> PAGEREF _Toc402963907 \h </w:instrText>
        </w:r>
        <w:r w:rsidR="00422485">
          <w:rPr>
            <w:noProof/>
            <w:webHidden/>
          </w:rPr>
        </w:r>
        <w:r w:rsidR="00422485">
          <w:rPr>
            <w:noProof/>
            <w:webHidden/>
          </w:rPr>
          <w:fldChar w:fldCharType="separate"/>
        </w:r>
        <w:r w:rsidR="00CB5318">
          <w:rPr>
            <w:noProof/>
            <w:webHidden/>
          </w:rPr>
          <w:t>54</w:t>
        </w:r>
        <w:r w:rsidR="00422485">
          <w:rPr>
            <w:noProof/>
            <w:webHidden/>
          </w:rPr>
          <w:fldChar w:fldCharType="end"/>
        </w:r>
      </w:hyperlink>
    </w:p>
    <w:p w:rsidR="00B422C1" w:rsidRDefault="009E6570">
      <w:pPr>
        <w:pStyle w:val="Tabladeilustraciones"/>
        <w:tabs>
          <w:tab w:val="right" w:leader="dot" w:pos="8828"/>
        </w:tabs>
        <w:rPr>
          <w:rFonts w:asciiTheme="minorHAnsi" w:eastAsiaTheme="minorEastAsia" w:hAnsiTheme="minorHAnsi"/>
          <w:bCs w:val="0"/>
          <w:noProof/>
          <w:sz w:val="22"/>
          <w:szCs w:val="22"/>
          <w:lang w:eastAsia="es-MX"/>
        </w:rPr>
      </w:pPr>
      <w:hyperlink w:anchor="_Toc402963908" w:history="1">
        <w:r w:rsidR="00B422C1" w:rsidRPr="00092855">
          <w:rPr>
            <w:rStyle w:val="Hipervnculo"/>
            <w:b/>
            <w:noProof/>
          </w:rPr>
          <w:t>Cuadro 11</w:t>
        </w:r>
        <w:r w:rsidR="00B422C1" w:rsidRPr="001D30CC">
          <w:rPr>
            <w:rStyle w:val="Hipervnculo"/>
            <w:noProof/>
            <w:lang w:val="es-ES"/>
          </w:rPr>
          <w:t xml:space="preserve">. </w:t>
        </w:r>
        <w:r w:rsidR="00B422C1" w:rsidRPr="001D30CC">
          <w:rPr>
            <w:rStyle w:val="Hipervnculo"/>
            <w:noProof/>
          </w:rPr>
          <w:t>Total de traspasos netos por AFORE, 2005-2014</w:t>
        </w:r>
        <w:r w:rsidR="00B422C1">
          <w:rPr>
            <w:noProof/>
            <w:webHidden/>
          </w:rPr>
          <w:tab/>
        </w:r>
        <w:r w:rsidR="00422485">
          <w:rPr>
            <w:noProof/>
            <w:webHidden/>
          </w:rPr>
          <w:fldChar w:fldCharType="begin"/>
        </w:r>
        <w:r w:rsidR="00B422C1">
          <w:rPr>
            <w:noProof/>
            <w:webHidden/>
          </w:rPr>
          <w:instrText xml:space="preserve"> PAGEREF _Toc402963908 \h </w:instrText>
        </w:r>
        <w:r w:rsidR="00422485">
          <w:rPr>
            <w:noProof/>
            <w:webHidden/>
          </w:rPr>
        </w:r>
        <w:r w:rsidR="00422485">
          <w:rPr>
            <w:noProof/>
            <w:webHidden/>
          </w:rPr>
          <w:fldChar w:fldCharType="separate"/>
        </w:r>
        <w:r w:rsidR="00CB5318">
          <w:rPr>
            <w:noProof/>
            <w:webHidden/>
          </w:rPr>
          <w:t>56</w:t>
        </w:r>
        <w:r w:rsidR="00422485">
          <w:rPr>
            <w:noProof/>
            <w:webHidden/>
          </w:rPr>
          <w:fldChar w:fldCharType="end"/>
        </w:r>
      </w:hyperlink>
    </w:p>
    <w:p w:rsidR="00D766DA" w:rsidRPr="00D766DA" w:rsidRDefault="00422485" w:rsidP="00BA6870">
      <w:pPr>
        <w:pStyle w:val="Tabladeilustraciones"/>
        <w:tabs>
          <w:tab w:val="right" w:leader="dot" w:pos="8828"/>
        </w:tabs>
        <w:ind w:left="0"/>
        <w:rPr>
          <w:lang w:eastAsia="es-MX"/>
        </w:rPr>
      </w:pPr>
      <w:r>
        <w:rPr>
          <w:b/>
          <w:sz w:val="20"/>
          <w:lang w:eastAsia="es-MX"/>
        </w:rPr>
        <w:fldChar w:fldCharType="end"/>
      </w:r>
    </w:p>
    <w:p w:rsidR="00D766DA" w:rsidRDefault="00D766DA" w:rsidP="00D766DA">
      <w:pPr>
        <w:pStyle w:val="Ttulo1"/>
        <w:rPr>
          <w:lang w:eastAsia="es-MX"/>
        </w:rPr>
      </w:pPr>
    </w:p>
    <w:p w:rsidR="003109B9" w:rsidRDefault="00BA6870" w:rsidP="002619FC">
      <w:pPr>
        <w:pStyle w:val="Ttulo1"/>
        <w:spacing w:after="400"/>
        <w:rPr>
          <w:lang w:eastAsia="es-MX"/>
        </w:rPr>
      </w:pPr>
      <w:bookmarkStart w:id="4" w:name="_Toc402948928"/>
      <w:r>
        <w:rPr>
          <w:lang w:eastAsia="es-MX"/>
        </w:rPr>
        <w:t>Í</w:t>
      </w:r>
      <w:r w:rsidR="003109B9">
        <w:rPr>
          <w:lang w:eastAsia="es-MX"/>
        </w:rPr>
        <w:t>NDICE DE FIGURAS</w:t>
      </w:r>
      <w:bookmarkStart w:id="5" w:name="_Toc401577557"/>
      <w:bookmarkStart w:id="6" w:name="_Toc401578504"/>
      <w:bookmarkStart w:id="7" w:name="_Toc401580968"/>
      <w:bookmarkStart w:id="8" w:name="_Toc401581457"/>
      <w:bookmarkEnd w:id="4"/>
    </w:p>
    <w:p w:rsidR="00BA6870" w:rsidRDefault="00422485">
      <w:pPr>
        <w:pStyle w:val="Tabladeilustraciones"/>
        <w:tabs>
          <w:tab w:val="right" w:leader="dot" w:pos="8828"/>
        </w:tabs>
        <w:rPr>
          <w:rFonts w:asciiTheme="minorHAnsi" w:eastAsiaTheme="minorEastAsia" w:hAnsiTheme="minorHAnsi"/>
          <w:bCs w:val="0"/>
          <w:noProof/>
          <w:sz w:val="22"/>
          <w:szCs w:val="22"/>
          <w:lang w:eastAsia="es-MX"/>
        </w:rPr>
      </w:pPr>
      <w:r>
        <w:rPr>
          <w:lang w:eastAsia="es-MX"/>
        </w:rPr>
        <w:fldChar w:fldCharType="begin"/>
      </w:r>
      <w:r w:rsidR="00BA6870">
        <w:rPr>
          <w:lang w:eastAsia="es-MX"/>
        </w:rPr>
        <w:instrText xml:space="preserve"> TOC \c "Figura" </w:instrText>
      </w:r>
      <w:r>
        <w:rPr>
          <w:lang w:eastAsia="es-MX"/>
        </w:rPr>
        <w:fldChar w:fldCharType="separate"/>
      </w:r>
      <w:r w:rsidR="00BA6870" w:rsidRPr="0087211A">
        <w:rPr>
          <w:b/>
          <w:noProof/>
        </w:rPr>
        <w:t>Figura 1</w:t>
      </w:r>
      <w:r w:rsidR="00BB1286" w:rsidRPr="0087211A">
        <w:rPr>
          <w:b/>
          <w:noProof/>
        </w:rPr>
        <w:t>.</w:t>
      </w:r>
      <w:r w:rsidR="00BB1286">
        <w:rPr>
          <w:noProof/>
        </w:rPr>
        <w:t xml:space="preserve"> </w:t>
      </w:r>
      <w:r w:rsidR="00BA6870">
        <w:rPr>
          <w:noProof/>
        </w:rPr>
        <w:t>Activos de fondos de pensiones por regiones seleccionadas</w:t>
      </w:r>
      <w:r w:rsidR="00BA6870">
        <w:rPr>
          <w:noProof/>
        </w:rPr>
        <w:tab/>
      </w:r>
      <w:r>
        <w:rPr>
          <w:noProof/>
        </w:rPr>
        <w:fldChar w:fldCharType="begin"/>
      </w:r>
      <w:r w:rsidR="00BA6870">
        <w:rPr>
          <w:noProof/>
        </w:rPr>
        <w:instrText xml:space="preserve"> PAGEREF _Toc401589883 \h </w:instrText>
      </w:r>
      <w:r>
        <w:rPr>
          <w:noProof/>
        </w:rPr>
      </w:r>
      <w:r>
        <w:rPr>
          <w:noProof/>
        </w:rPr>
        <w:fldChar w:fldCharType="separate"/>
      </w:r>
      <w:r w:rsidR="00CB5318">
        <w:rPr>
          <w:noProof/>
        </w:rPr>
        <w:t>11</w:t>
      </w:r>
      <w:r>
        <w:rPr>
          <w:noProof/>
        </w:rPr>
        <w:fldChar w:fldCharType="end"/>
      </w:r>
    </w:p>
    <w:p w:rsidR="00BA6870" w:rsidRDefault="00BA6870">
      <w:pPr>
        <w:pStyle w:val="Tabladeilustraciones"/>
        <w:tabs>
          <w:tab w:val="right" w:leader="dot" w:pos="8828"/>
        </w:tabs>
        <w:rPr>
          <w:rFonts w:asciiTheme="minorHAnsi" w:eastAsiaTheme="minorEastAsia" w:hAnsiTheme="minorHAnsi"/>
          <w:bCs w:val="0"/>
          <w:noProof/>
          <w:sz w:val="22"/>
          <w:szCs w:val="22"/>
          <w:lang w:eastAsia="es-MX"/>
        </w:rPr>
      </w:pPr>
      <w:r w:rsidRPr="0087211A">
        <w:rPr>
          <w:b/>
          <w:noProof/>
        </w:rPr>
        <w:t>Figura 2</w:t>
      </w:r>
      <w:r w:rsidR="00BB1286" w:rsidRPr="0087211A">
        <w:rPr>
          <w:b/>
          <w:noProof/>
        </w:rPr>
        <w:t>.</w:t>
      </w:r>
      <w:r>
        <w:rPr>
          <w:noProof/>
        </w:rPr>
        <w:t xml:space="preserve"> Activos totales por tipo de inversores institucionales en la OCDE, </w:t>
      </w:r>
      <w:r w:rsidR="0087211A">
        <w:rPr>
          <w:noProof/>
        </w:rPr>
        <w:t xml:space="preserve">    </w:t>
      </w:r>
      <w:r>
        <w:rPr>
          <w:noProof/>
        </w:rPr>
        <w:t>1995-2012</w:t>
      </w:r>
      <w:r>
        <w:rPr>
          <w:noProof/>
        </w:rPr>
        <w:tab/>
      </w:r>
      <w:r w:rsidR="00422485">
        <w:rPr>
          <w:noProof/>
        </w:rPr>
        <w:fldChar w:fldCharType="begin"/>
      </w:r>
      <w:r>
        <w:rPr>
          <w:noProof/>
        </w:rPr>
        <w:instrText xml:space="preserve"> PAGEREF _Toc401589884 \h </w:instrText>
      </w:r>
      <w:r w:rsidR="00422485">
        <w:rPr>
          <w:noProof/>
        </w:rPr>
      </w:r>
      <w:r w:rsidR="00422485">
        <w:rPr>
          <w:noProof/>
        </w:rPr>
        <w:fldChar w:fldCharType="separate"/>
      </w:r>
      <w:r w:rsidR="00CB5318">
        <w:rPr>
          <w:noProof/>
        </w:rPr>
        <w:t>13</w:t>
      </w:r>
      <w:r w:rsidR="00422485">
        <w:rPr>
          <w:noProof/>
        </w:rPr>
        <w:fldChar w:fldCharType="end"/>
      </w:r>
    </w:p>
    <w:p w:rsidR="00BA6870" w:rsidRDefault="00BA6870">
      <w:pPr>
        <w:pStyle w:val="Tabladeilustraciones"/>
        <w:tabs>
          <w:tab w:val="right" w:leader="dot" w:pos="8828"/>
        </w:tabs>
        <w:rPr>
          <w:rFonts w:asciiTheme="minorHAnsi" w:eastAsiaTheme="minorEastAsia" w:hAnsiTheme="minorHAnsi"/>
          <w:bCs w:val="0"/>
          <w:noProof/>
          <w:sz w:val="22"/>
          <w:szCs w:val="22"/>
          <w:lang w:eastAsia="es-MX"/>
        </w:rPr>
      </w:pPr>
      <w:r w:rsidRPr="0087211A">
        <w:rPr>
          <w:b/>
          <w:noProof/>
        </w:rPr>
        <w:t>Figura 3</w:t>
      </w:r>
      <w:r w:rsidR="00BB1286" w:rsidRPr="0087211A">
        <w:rPr>
          <w:b/>
          <w:noProof/>
        </w:rPr>
        <w:t>.</w:t>
      </w:r>
      <w:r>
        <w:rPr>
          <w:noProof/>
        </w:rPr>
        <w:t xml:space="preserve"> Importancia de los fondos de pensiones en relación con el tamaño de la economía en los países seleccionados OCDE, 2012</w:t>
      </w:r>
      <w:r>
        <w:rPr>
          <w:noProof/>
        </w:rPr>
        <w:tab/>
      </w:r>
      <w:r w:rsidR="00422485">
        <w:rPr>
          <w:noProof/>
        </w:rPr>
        <w:fldChar w:fldCharType="begin"/>
      </w:r>
      <w:r>
        <w:rPr>
          <w:noProof/>
        </w:rPr>
        <w:instrText xml:space="preserve"> PAGEREF _Toc401589885 \h </w:instrText>
      </w:r>
      <w:r w:rsidR="00422485">
        <w:rPr>
          <w:noProof/>
        </w:rPr>
      </w:r>
      <w:r w:rsidR="00422485">
        <w:rPr>
          <w:noProof/>
        </w:rPr>
        <w:fldChar w:fldCharType="separate"/>
      </w:r>
      <w:r w:rsidR="00CB5318">
        <w:rPr>
          <w:noProof/>
        </w:rPr>
        <w:t>14</w:t>
      </w:r>
      <w:r w:rsidR="00422485">
        <w:rPr>
          <w:noProof/>
        </w:rPr>
        <w:fldChar w:fldCharType="end"/>
      </w:r>
    </w:p>
    <w:p w:rsidR="00BA6870" w:rsidRDefault="00BA6870">
      <w:pPr>
        <w:pStyle w:val="Tabladeilustraciones"/>
        <w:tabs>
          <w:tab w:val="right" w:leader="dot" w:pos="8828"/>
        </w:tabs>
        <w:rPr>
          <w:rFonts w:asciiTheme="minorHAnsi" w:eastAsiaTheme="minorEastAsia" w:hAnsiTheme="minorHAnsi"/>
          <w:bCs w:val="0"/>
          <w:noProof/>
          <w:sz w:val="22"/>
          <w:szCs w:val="22"/>
          <w:lang w:eastAsia="es-MX"/>
        </w:rPr>
      </w:pPr>
      <w:r w:rsidRPr="0087211A">
        <w:rPr>
          <w:b/>
          <w:noProof/>
        </w:rPr>
        <w:t>Figura 4</w:t>
      </w:r>
      <w:r w:rsidR="00BB1286" w:rsidRPr="0087211A">
        <w:rPr>
          <w:b/>
          <w:noProof/>
        </w:rPr>
        <w:t>.</w:t>
      </w:r>
      <w:r>
        <w:rPr>
          <w:noProof/>
        </w:rPr>
        <w:t xml:space="preserve"> Asignación de activos de fondos de pensiones para las categorías de inversión  en países seleccionados de la OCDE, 2013</w:t>
      </w:r>
      <w:r>
        <w:rPr>
          <w:noProof/>
        </w:rPr>
        <w:tab/>
      </w:r>
      <w:r w:rsidR="00422485">
        <w:rPr>
          <w:noProof/>
        </w:rPr>
        <w:fldChar w:fldCharType="begin"/>
      </w:r>
      <w:r>
        <w:rPr>
          <w:noProof/>
        </w:rPr>
        <w:instrText xml:space="preserve"> PAGEREF _Toc401589886 \h </w:instrText>
      </w:r>
      <w:r w:rsidR="00422485">
        <w:rPr>
          <w:noProof/>
        </w:rPr>
      </w:r>
      <w:r w:rsidR="00422485">
        <w:rPr>
          <w:noProof/>
        </w:rPr>
        <w:fldChar w:fldCharType="separate"/>
      </w:r>
      <w:r w:rsidR="00CB5318">
        <w:rPr>
          <w:noProof/>
        </w:rPr>
        <w:t>20</w:t>
      </w:r>
      <w:r w:rsidR="00422485">
        <w:rPr>
          <w:noProof/>
        </w:rPr>
        <w:fldChar w:fldCharType="end"/>
      </w:r>
    </w:p>
    <w:p w:rsidR="00BA6870" w:rsidRDefault="00BA6870">
      <w:pPr>
        <w:pStyle w:val="Tabladeilustraciones"/>
        <w:tabs>
          <w:tab w:val="right" w:leader="dot" w:pos="8828"/>
        </w:tabs>
        <w:rPr>
          <w:rFonts w:asciiTheme="minorHAnsi" w:eastAsiaTheme="minorEastAsia" w:hAnsiTheme="minorHAnsi"/>
          <w:bCs w:val="0"/>
          <w:noProof/>
          <w:sz w:val="22"/>
          <w:szCs w:val="22"/>
          <w:lang w:eastAsia="es-MX"/>
        </w:rPr>
      </w:pPr>
      <w:r w:rsidRPr="0087211A">
        <w:rPr>
          <w:b/>
          <w:noProof/>
        </w:rPr>
        <w:t>Figura 5</w:t>
      </w:r>
      <w:r w:rsidR="00BB1286" w:rsidRPr="0087211A">
        <w:rPr>
          <w:b/>
          <w:noProof/>
        </w:rPr>
        <w:t>.</w:t>
      </w:r>
      <w:r>
        <w:rPr>
          <w:noProof/>
        </w:rPr>
        <w:t xml:space="preserve"> Asignación de activos de fondos de pensiones para las categorías de inversión  en países seleccionados no miembros de la OCDE, </w:t>
      </w:r>
      <w:r w:rsidR="0087211A">
        <w:rPr>
          <w:rFonts w:cs="Arial"/>
          <w:noProof/>
          <w:color w:val="222222"/>
          <w:lang w:val="es-ES"/>
        </w:rPr>
        <w:t xml:space="preserve">2012 </w:t>
      </w:r>
      <w:r>
        <w:rPr>
          <w:noProof/>
        </w:rPr>
        <w:tab/>
      </w:r>
      <w:r w:rsidR="00422485">
        <w:rPr>
          <w:noProof/>
        </w:rPr>
        <w:fldChar w:fldCharType="begin"/>
      </w:r>
      <w:r>
        <w:rPr>
          <w:noProof/>
        </w:rPr>
        <w:instrText xml:space="preserve"> PAGEREF _Toc401589887 \h </w:instrText>
      </w:r>
      <w:r w:rsidR="00422485">
        <w:rPr>
          <w:noProof/>
        </w:rPr>
      </w:r>
      <w:r w:rsidR="00422485">
        <w:rPr>
          <w:noProof/>
        </w:rPr>
        <w:fldChar w:fldCharType="separate"/>
      </w:r>
      <w:r w:rsidR="00CB5318">
        <w:rPr>
          <w:noProof/>
        </w:rPr>
        <w:t>21</w:t>
      </w:r>
      <w:r w:rsidR="00422485">
        <w:rPr>
          <w:noProof/>
        </w:rPr>
        <w:fldChar w:fldCharType="end"/>
      </w:r>
    </w:p>
    <w:p w:rsidR="00BA6870" w:rsidRDefault="00BA6870">
      <w:pPr>
        <w:pStyle w:val="Tabladeilustraciones"/>
        <w:tabs>
          <w:tab w:val="right" w:leader="dot" w:pos="8828"/>
        </w:tabs>
        <w:rPr>
          <w:rFonts w:asciiTheme="minorHAnsi" w:eastAsiaTheme="minorEastAsia" w:hAnsiTheme="minorHAnsi"/>
          <w:bCs w:val="0"/>
          <w:noProof/>
          <w:sz w:val="22"/>
          <w:szCs w:val="22"/>
          <w:lang w:eastAsia="es-MX"/>
        </w:rPr>
      </w:pPr>
      <w:r w:rsidRPr="0087211A">
        <w:rPr>
          <w:b/>
          <w:noProof/>
        </w:rPr>
        <w:t>Figura 6</w:t>
      </w:r>
      <w:r w:rsidR="00BB1286" w:rsidRPr="0087211A">
        <w:rPr>
          <w:b/>
          <w:noProof/>
        </w:rPr>
        <w:t>.</w:t>
      </w:r>
      <w:r>
        <w:rPr>
          <w:noProof/>
        </w:rPr>
        <w:t xml:space="preserve"> Recursos administrados como participación del PIB, 2003-2014</w:t>
      </w:r>
      <w:r>
        <w:rPr>
          <w:noProof/>
        </w:rPr>
        <w:tab/>
      </w:r>
      <w:r w:rsidR="00422485">
        <w:rPr>
          <w:noProof/>
        </w:rPr>
        <w:fldChar w:fldCharType="begin"/>
      </w:r>
      <w:r>
        <w:rPr>
          <w:noProof/>
        </w:rPr>
        <w:instrText xml:space="preserve"> PAGEREF _Toc401589888 \h </w:instrText>
      </w:r>
      <w:r w:rsidR="00422485">
        <w:rPr>
          <w:noProof/>
        </w:rPr>
      </w:r>
      <w:r w:rsidR="00422485">
        <w:rPr>
          <w:noProof/>
        </w:rPr>
        <w:fldChar w:fldCharType="separate"/>
      </w:r>
      <w:r w:rsidR="00CB5318">
        <w:rPr>
          <w:noProof/>
        </w:rPr>
        <w:t>37</w:t>
      </w:r>
      <w:r w:rsidR="00422485">
        <w:rPr>
          <w:noProof/>
        </w:rPr>
        <w:fldChar w:fldCharType="end"/>
      </w:r>
    </w:p>
    <w:p w:rsidR="00BA6870" w:rsidRDefault="00BA6870">
      <w:pPr>
        <w:pStyle w:val="Tabladeilustraciones"/>
        <w:tabs>
          <w:tab w:val="right" w:leader="dot" w:pos="8828"/>
        </w:tabs>
        <w:rPr>
          <w:rFonts w:asciiTheme="minorHAnsi" w:eastAsiaTheme="minorEastAsia" w:hAnsiTheme="minorHAnsi"/>
          <w:bCs w:val="0"/>
          <w:noProof/>
          <w:sz w:val="22"/>
          <w:szCs w:val="22"/>
          <w:lang w:eastAsia="es-MX"/>
        </w:rPr>
      </w:pPr>
      <w:r w:rsidRPr="0087211A">
        <w:rPr>
          <w:b/>
          <w:noProof/>
        </w:rPr>
        <w:t>Figura 7</w:t>
      </w:r>
      <w:r w:rsidR="00BB1286" w:rsidRPr="0087211A">
        <w:rPr>
          <w:b/>
          <w:noProof/>
        </w:rPr>
        <w:t>.</w:t>
      </w:r>
      <w:r>
        <w:rPr>
          <w:noProof/>
        </w:rPr>
        <w:t xml:space="preserve"> Trabajadores aportantes por nivel de ingresos</w:t>
      </w:r>
      <w:r>
        <w:rPr>
          <w:noProof/>
        </w:rPr>
        <w:tab/>
      </w:r>
      <w:r w:rsidR="00422485">
        <w:rPr>
          <w:noProof/>
        </w:rPr>
        <w:fldChar w:fldCharType="begin"/>
      </w:r>
      <w:r>
        <w:rPr>
          <w:noProof/>
        </w:rPr>
        <w:instrText xml:space="preserve"> PAGEREF _Toc401589889 \h </w:instrText>
      </w:r>
      <w:r w:rsidR="00422485">
        <w:rPr>
          <w:noProof/>
        </w:rPr>
      </w:r>
      <w:r w:rsidR="00422485">
        <w:rPr>
          <w:noProof/>
        </w:rPr>
        <w:fldChar w:fldCharType="separate"/>
      </w:r>
      <w:r w:rsidR="00CB5318">
        <w:rPr>
          <w:noProof/>
        </w:rPr>
        <w:t>39</w:t>
      </w:r>
      <w:r w:rsidR="00422485">
        <w:rPr>
          <w:noProof/>
        </w:rPr>
        <w:fldChar w:fldCharType="end"/>
      </w:r>
    </w:p>
    <w:p w:rsidR="00AC2CC4" w:rsidRDefault="00422485" w:rsidP="00D766DA">
      <w:pPr>
        <w:rPr>
          <w:lang w:eastAsia="es-MX"/>
        </w:rPr>
        <w:sectPr w:rsidR="00AC2CC4" w:rsidSect="00AC2CC4">
          <w:footerReference w:type="default" r:id="rId8"/>
          <w:pgSz w:w="12240" w:h="15840"/>
          <w:pgMar w:top="1418" w:right="1701" w:bottom="1418" w:left="1701" w:header="709" w:footer="709" w:gutter="0"/>
          <w:cols w:space="708"/>
          <w:docGrid w:linePitch="360"/>
        </w:sectPr>
      </w:pPr>
      <w:r>
        <w:rPr>
          <w:lang w:eastAsia="es-MX"/>
        </w:rPr>
        <w:fldChar w:fldCharType="end"/>
      </w:r>
      <w:bookmarkStart w:id="9" w:name="_Toc401585998"/>
    </w:p>
    <w:p w:rsidR="008E51BC" w:rsidRDefault="004449F1" w:rsidP="00A9740C">
      <w:pPr>
        <w:pStyle w:val="Ttulo1"/>
      </w:pPr>
      <w:bookmarkStart w:id="10" w:name="_Toc402948929"/>
      <w:r w:rsidRPr="00A9740C">
        <w:lastRenderedPageBreak/>
        <w:t>Introducción</w:t>
      </w:r>
      <w:bookmarkEnd w:id="0"/>
      <w:bookmarkEnd w:id="5"/>
      <w:bookmarkEnd w:id="6"/>
      <w:bookmarkEnd w:id="7"/>
      <w:bookmarkEnd w:id="8"/>
      <w:bookmarkEnd w:id="9"/>
      <w:bookmarkEnd w:id="10"/>
    </w:p>
    <w:p w:rsidR="00260C23" w:rsidRPr="00260C23" w:rsidRDefault="00260C23" w:rsidP="00260C23">
      <w:pPr>
        <w:spacing w:after="0" w:line="480" w:lineRule="auto"/>
        <w:ind w:firstLine="708"/>
        <w:jc w:val="both"/>
        <w:rPr>
          <w:rFonts w:ascii="Arial" w:hAnsi="Arial" w:cs="Arial"/>
          <w:color w:val="000000" w:themeColor="text1"/>
          <w:sz w:val="24"/>
          <w:szCs w:val="24"/>
        </w:rPr>
      </w:pPr>
      <w:r w:rsidRPr="00260C23">
        <w:rPr>
          <w:rFonts w:ascii="Arial" w:hAnsi="Arial" w:cs="Arial"/>
          <w:color w:val="000000" w:themeColor="text1"/>
          <w:sz w:val="24"/>
          <w:szCs w:val="24"/>
        </w:rPr>
        <w:t xml:space="preserve">Este trabajo tiene plena vigencia por el hecho que profundiza sobre una de las variables menos estudiadas de los sistemas de pensiones como lo es los traspasos. En su mayoría los estudios se centran en estudiar las cuentas individuales de pensiones, los activos, los rendimientos, las comisiones, por países. También abundan los estudios de las reformas y los objetivos de estos sistemas, pero no encontramos, aparte de la legislación por país, trabajos que analicen particularmente los traspasos y las causales financieras, laborales y económicas que las dinamizan. Esta investigación se sumaría a la escasa bibliografía del tema. </w:t>
      </w:r>
    </w:p>
    <w:p w:rsidR="00260C23" w:rsidRPr="00260C23" w:rsidRDefault="00260C23" w:rsidP="00AC2CC4">
      <w:pPr>
        <w:spacing w:after="0" w:line="480" w:lineRule="auto"/>
        <w:ind w:firstLine="709"/>
        <w:jc w:val="both"/>
        <w:rPr>
          <w:rFonts w:ascii="Arial" w:hAnsi="Arial" w:cs="Arial"/>
          <w:color w:val="000000" w:themeColor="text1"/>
          <w:sz w:val="24"/>
          <w:szCs w:val="24"/>
        </w:rPr>
      </w:pPr>
      <w:r w:rsidRPr="00260C23">
        <w:rPr>
          <w:rFonts w:ascii="Arial" w:hAnsi="Arial" w:cs="Arial"/>
          <w:color w:val="000000" w:themeColor="text1"/>
          <w:sz w:val="24"/>
          <w:szCs w:val="24"/>
        </w:rPr>
        <w:t xml:space="preserve">Debemos decir, que este proyecto también se sumaría a la bibliografía que venimos construyendo con libros; artículos internacionales; artículos nacionales;  subcapítulos de libro; material didáctico; tesis de licenciatura, maestría y doctorado, y difusión del tema en varias universidades del país y del extranjero. Asimismo, los productos derivados de varias investigaciones potencian la bibliografía de los cursos de seguridad social y pensiones privadas que impartimos en la carrera de actuaría de la facultad.  </w:t>
      </w:r>
    </w:p>
    <w:p w:rsidR="00260C23" w:rsidRPr="00260C23" w:rsidRDefault="00260C23" w:rsidP="00260C23">
      <w:pPr>
        <w:spacing w:after="0" w:line="480" w:lineRule="auto"/>
        <w:ind w:firstLine="709"/>
        <w:jc w:val="both"/>
        <w:rPr>
          <w:rFonts w:ascii="Arial" w:hAnsi="Arial" w:cs="Arial"/>
          <w:color w:val="000000" w:themeColor="text1"/>
          <w:sz w:val="24"/>
          <w:szCs w:val="24"/>
        </w:rPr>
      </w:pPr>
      <w:r w:rsidRPr="00260C23">
        <w:rPr>
          <w:rFonts w:ascii="Arial" w:hAnsi="Arial" w:cs="Arial"/>
          <w:color w:val="000000" w:themeColor="text1"/>
          <w:sz w:val="24"/>
          <w:szCs w:val="24"/>
        </w:rPr>
        <w:t xml:space="preserve">En efecto, al analizar la evolución que han seguido los fondos de pensiones en el plano internacional, encontramos que se han convertido en uno de los mecanismos complementarios al que han recurrido los estados para sortear la carga financiera que suponen las pensiones de los sistemas de reparto, cuyo financiamiento es significativo para los gobiernos, provocando con ello presiones presupuestales por el aumento del número de trabajadores retirados, hecho que </w:t>
      </w:r>
      <w:r w:rsidRPr="00260C23">
        <w:rPr>
          <w:rFonts w:ascii="Arial" w:hAnsi="Arial" w:cs="Arial"/>
          <w:color w:val="000000" w:themeColor="text1"/>
          <w:sz w:val="24"/>
          <w:szCs w:val="24"/>
        </w:rPr>
        <w:lastRenderedPageBreak/>
        <w:t>ha crecido de manera importante, y hasta espectacular; notable es el universo de personas jubiladas en los países más industrializados.</w:t>
      </w:r>
    </w:p>
    <w:p w:rsidR="00260C23" w:rsidRPr="00260C23" w:rsidRDefault="00260C23" w:rsidP="00260C23">
      <w:pPr>
        <w:spacing w:after="0" w:line="480" w:lineRule="auto"/>
        <w:ind w:firstLine="709"/>
        <w:jc w:val="both"/>
        <w:rPr>
          <w:rFonts w:ascii="Arial" w:hAnsi="Arial" w:cs="Arial"/>
          <w:color w:val="000000" w:themeColor="text1"/>
          <w:sz w:val="24"/>
          <w:szCs w:val="24"/>
        </w:rPr>
      </w:pPr>
      <w:r w:rsidRPr="00260C23">
        <w:rPr>
          <w:rFonts w:ascii="Arial" w:hAnsi="Arial" w:cs="Arial"/>
          <w:color w:val="000000" w:themeColor="text1"/>
          <w:sz w:val="24"/>
          <w:szCs w:val="24"/>
        </w:rPr>
        <w:t xml:space="preserve">El mecanismo mediante el cual fomentan el ahorro tiene que ver con lo que conocemos como ahorro “forzoso” para el retiro, por el hecho que lo determina la Ley de pensiones y no propiamente el trabajador, con la finalidad de que sean ellos mismos quienes acumulen activos  para financiar sus pensiones en los años de inactividad productiva. Es decir, su propósito es financiar el consumo durante los años de la vejez y/o jubilación, mientras que en los años de actividad económica se acumula, sacrificando consumo, hasta por 3 ó 4 décadas. En el fondo los gobiernos transfieren la responsabilidad laboral y financiera a los trabajadores para proveer sus propias pensiones.  En los últimos años la edad de jubilación en prácticamente todos los países del mundo se ha elevado tanto para los hombres como para las mujeres, precisamente para aumentar el ahorro y la viabilidad financiera de los sistemas.          </w:t>
      </w:r>
    </w:p>
    <w:p w:rsidR="00260C23" w:rsidRDefault="00260C23" w:rsidP="00260C23">
      <w:pPr>
        <w:spacing w:after="0" w:line="480" w:lineRule="auto"/>
        <w:ind w:firstLine="709"/>
        <w:jc w:val="both"/>
        <w:rPr>
          <w:rFonts w:ascii="Arial" w:hAnsi="Arial" w:cs="Arial"/>
          <w:color w:val="000000" w:themeColor="text1"/>
          <w:sz w:val="24"/>
          <w:szCs w:val="24"/>
        </w:rPr>
      </w:pPr>
      <w:r w:rsidRPr="00260C23">
        <w:rPr>
          <w:rFonts w:ascii="Arial" w:hAnsi="Arial" w:cs="Arial"/>
          <w:color w:val="000000" w:themeColor="text1"/>
          <w:sz w:val="24"/>
          <w:szCs w:val="24"/>
        </w:rPr>
        <w:t>Otros principios que encierran los sistemas de capitalización individual tienen que ver con la libertad económica manifiesta en la presencia de los mercados financieros, los intermediarios financieros gestores de los fondos, libre elección de la AFORE  o AFP por parte del trabajador y empleador y, precisamente, la prerrogativa de poder cambiar de empresa financiera, a lo largo del historial laboral,  tantas veces como lo establezca la reglamentación respectiva de cada país. Este último movimiento de traspaso AFORE-AFORE  o AFP-AFP es notable en México y otros países como Chile o Polonia; aunque en general todos los sistemas de pensiones observan constantes y hasta crecientes número de  traspasos año con año.</w:t>
      </w:r>
    </w:p>
    <w:p w:rsidR="00F639E1" w:rsidRDefault="004449F1" w:rsidP="002619FC">
      <w:pPr>
        <w:pStyle w:val="Ttulo1"/>
        <w:spacing w:before="400" w:after="400"/>
        <w:rPr>
          <w:rFonts w:eastAsia="Times New Roman"/>
          <w:lang w:eastAsia="es-MX"/>
        </w:rPr>
      </w:pPr>
      <w:bookmarkStart w:id="11" w:name="_Toc401571167"/>
      <w:bookmarkStart w:id="12" w:name="_Toc401577558"/>
      <w:bookmarkStart w:id="13" w:name="_Toc401578505"/>
      <w:bookmarkStart w:id="14" w:name="_Toc401580969"/>
      <w:bookmarkStart w:id="15" w:name="_Toc401581458"/>
      <w:bookmarkStart w:id="16" w:name="_Toc401585999"/>
      <w:bookmarkStart w:id="17" w:name="_Toc402948930"/>
      <w:r>
        <w:rPr>
          <w:rFonts w:eastAsia="Times New Roman"/>
          <w:lang w:eastAsia="es-MX"/>
        </w:rPr>
        <w:lastRenderedPageBreak/>
        <w:t>Hipótesis</w:t>
      </w:r>
      <w:bookmarkEnd w:id="11"/>
      <w:bookmarkEnd w:id="12"/>
      <w:bookmarkEnd w:id="13"/>
      <w:bookmarkEnd w:id="14"/>
      <w:bookmarkEnd w:id="15"/>
      <w:bookmarkEnd w:id="16"/>
      <w:bookmarkEnd w:id="17"/>
    </w:p>
    <w:p w:rsidR="008E51BC" w:rsidRPr="00A93228" w:rsidRDefault="008E51BC" w:rsidP="002619FC">
      <w:pPr>
        <w:spacing w:before="400" w:after="400" w:line="480" w:lineRule="auto"/>
        <w:jc w:val="both"/>
        <w:rPr>
          <w:rFonts w:ascii="Arial" w:eastAsia="Times New Roman" w:hAnsi="Arial" w:cs="Arial"/>
          <w:color w:val="000000" w:themeColor="text1"/>
          <w:sz w:val="24"/>
          <w:szCs w:val="24"/>
          <w:lang w:eastAsia="es-MX"/>
        </w:rPr>
      </w:pPr>
      <w:r w:rsidRPr="00A93228">
        <w:rPr>
          <w:rFonts w:ascii="Arial" w:hAnsi="Arial" w:cs="Arial"/>
          <w:color w:val="000000" w:themeColor="text1"/>
          <w:sz w:val="24"/>
          <w:szCs w:val="24"/>
        </w:rPr>
        <w:t>El extraordinario cambio de AFORE que los trabajadores llevan a cabo año con año indica que sus iniciativas por emigrar a otra no se basan en criterios financieros ni económicos, ya que sus decisiones  no guardan  relación  con el rendimiento que ofrece la empresa receptora ni tampoco la comisión que cobra la misma. Los datos, en un primer momento, no permiten apreciar que los trabajadores al emigrar de AFORE a otra busquen, como lo indica la teoría financiera, maximizar sus beneficios a través del rendimiento y aminorar sus costos mediante comisiones bajas como ocurre con consumidores racionales en cualquier mercado.  El mercado de fondos de pensiones encierra otras modalidades, prácticas e iniciativas que las empresas llevan a cabo para atraer a los trabajadores afiliados.</w:t>
      </w:r>
      <w:r w:rsidRPr="00A93228">
        <w:rPr>
          <w:rFonts w:ascii="Arial" w:eastAsia="Times New Roman" w:hAnsi="Arial" w:cs="Arial"/>
          <w:color w:val="000000" w:themeColor="text1"/>
          <w:sz w:val="24"/>
          <w:szCs w:val="24"/>
          <w:lang w:eastAsia="es-MX"/>
        </w:rPr>
        <w:t xml:space="preserve">   </w:t>
      </w:r>
    </w:p>
    <w:p w:rsidR="002619FC" w:rsidRPr="002619FC" w:rsidRDefault="004449F1" w:rsidP="002619FC">
      <w:pPr>
        <w:pStyle w:val="Ttulo1"/>
        <w:spacing w:after="400"/>
        <w:rPr>
          <w:rFonts w:eastAsia="Times New Roman"/>
          <w:lang w:eastAsia="es-MX"/>
        </w:rPr>
      </w:pPr>
      <w:bookmarkStart w:id="18" w:name="_Toc401571168"/>
      <w:bookmarkStart w:id="19" w:name="_Toc401577559"/>
      <w:bookmarkStart w:id="20" w:name="_Toc401578506"/>
      <w:bookmarkStart w:id="21" w:name="_Toc401580970"/>
      <w:bookmarkStart w:id="22" w:name="_Toc401581459"/>
      <w:bookmarkStart w:id="23" w:name="_Toc401586000"/>
      <w:bookmarkStart w:id="24" w:name="_Toc402948931"/>
      <w:r>
        <w:rPr>
          <w:rFonts w:eastAsia="Times New Roman"/>
          <w:lang w:eastAsia="es-MX"/>
        </w:rPr>
        <w:t>Objetivo</w:t>
      </w:r>
      <w:bookmarkEnd w:id="18"/>
      <w:bookmarkEnd w:id="19"/>
      <w:bookmarkEnd w:id="20"/>
      <w:bookmarkEnd w:id="21"/>
      <w:bookmarkEnd w:id="22"/>
      <w:bookmarkEnd w:id="23"/>
      <w:bookmarkEnd w:id="24"/>
    </w:p>
    <w:p w:rsidR="009F01A3" w:rsidRPr="00A93228" w:rsidRDefault="008E51BC" w:rsidP="002619FC">
      <w:pPr>
        <w:spacing w:after="400" w:line="480" w:lineRule="auto"/>
        <w:jc w:val="both"/>
        <w:rPr>
          <w:rFonts w:ascii="Arial" w:hAnsi="Arial" w:cs="Arial"/>
          <w:color w:val="000000" w:themeColor="text1"/>
          <w:sz w:val="24"/>
          <w:szCs w:val="24"/>
        </w:rPr>
      </w:pPr>
      <w:r w:rsidRPr="00A93228">
        <w:rPr>
          <w:rFonts w:ascii="Arial" w:hAnsi="Arial" w:cs="Arial"/>
          <w:color w:val="000000" w:themeColor="text1"/>
          <w:sz w:val="24"/>
          <w:szCs w:val="24"/>
        </w:rPr>
        <w:t>Su propósito principal es encontrar las causales que explican la volatilidad de los traspasos entre las 13 empresas financieras que operan los fondos de pensione</w:t>
      </w:r>
      <w:r w:rsidR="00566B4D">
        <w:rPr>
          <w:rFonts w:ascii="Arial" w:hAnsi="Arial" w:cs="Arial"/>
          <w:color w:val="000000" w:themeColor="text1"/>
          <w:sz w:val="24"/>
          <w:szCs w:val="24"/>
        </w:rPr>
        <w:t>s durante el periodo 2005-2012.</w:t>
      </w:r>
    </w:p>
    <w:p w:rsidR="001B7F25" w:rsidRPr="00A93228" w:rsidRDefault="008E51BC" w:rsidP="000370F9">
      <w:pPr>
        <w:pStyle w:val="Ttulo2"/>
      </w:pPr>
      <w:bookmarkStart w:id="25" w:name="_Toc401571169"/>
      <w:bookmarkStart w:id="26" w:name="_Toc401577560"/>
      <w:bookmarkStart w:id="27" w:name="_Toc401578507"/>
      <w:bookmarkStart w:id="28" w:name="_Toc401580971"/>
      <w:bookmarkStart w:id="29" w:name="_Toc401581460"/>
      <w:bookmarkStart w:id="30" w:name="_Toc401586001"/>
      <w:bookmarkStart w:id="31" w:name="_Toc402948932"/>
      <w:r w:rsidRPr="00A93228">
        <w:t>Objetivos Específicos</w:t>
      </w:r>
      <w:bookmarkEnd w:id="25"/>
      <w:bookmarkEnd w:id="26"/>
      <w:bookmarkEnd w:id="27"/>
      <w:bookmarkEnd w:id="28"/>
      <w:bookmarkEnd w:id="29"/>
      <w:bookmarkEnd w:id="30"/>
      <w:bookmarkEnd w:id="31"/>
    </w:p>
    <w:p w:rsidR="008E51BC" w:rsidRPr="00185951" w:rsidRDefault="008E51BC" w:rsidP="00185951">
      <w:pPr>
        <w:pStyle w:val="Prrafodelista"/>
        <w:numPr>
          <w:ilvl w:val="0"/>
          <w:numId w:val="4"/>
        </w:numPr>
        <w:spacing w:line="480" w:lineRule="auto"/>
        <w:jc w:val="both"/>
        <w:rPr>
          <w:rFonts w:ascii="Arial" w:hAnsi="Arial" w:cs="Arial"/>
          <w:color w:val="000000" w:themeColor="text1"/>
        </w:rPr>
      </w:pPr>
      <w:r w:rsidRPr="00185951">
        <w:rPr>
          <w:rFonts w:ascii="Arial" w:hAnsi="Arial" w:cs="Arial"/>
          <w:color w:val="000000" w:themeColor="text1"/>
        </w:rPr>
        <w:t>Analizar las empresas que reciben mayor número de traspasos, las empresas que más trabajadores liberan, su número de promotores, los rendimiento y comisiones de ellas, así como el número de cuentas gestionadas y el total de activos financieros gestionados.</w:t>
      </w:r>
    </w:p>
    <w:p w:rsidR="00C622BB" w:rsidRPr="00BB5D95" w:rsidRDefault="008E51BC" w:rsidP="002619FC">
      <w:pPr>
        <w:pStyle w:val="Prrafodelista"/>
        <w:numPr>
          <w:ilvl w:val="0"/>
          <w:numId w:val="4"/>
        </w:numPr>
        <w:spacing w:before="240" w:after="240" w:line="480" w:lineRule="auto"/>
        <w:jc w:val="both"/>
        <w:rPr>
          <w:rFonts w:ascii="Arial" w:hAnsi="Arial" w:cs="Arial"/>
          <w:color w:val="000000" w:themeColor="text1"/>
        </w:rPr>
      </w:pPr>
      <w:r w:rsidRPr="00185951">
        <w:rPr>
          <w:rFonts w:ascii="Arial" w:hAnsi="Arial" w:cs="Arial"/>
          <w:color w:val="000000" w:themeColor="text1"/>
        </w:rPr>
        <w:lastRenderedPageBreak/>
        <w:t>Contrastar el desempeño de los traspasos del sistema de capitalización individual de México con el resto de los sistemas de la región latinoamericana y Europa</w:t>
      </w:r>
      <w:r w:rsidR="00185951">
        <w:rPr>
          <w:rFonts w:ascii="Arial" w:hAnsi="Arial" w:cs="Arial"/>
          <w:color w:val="000000" w:themeColor="text1"/>
        </w:rPr>
        <w:t>.</w:t>
      </w:r>
    </w:p>
    <w:p w:rsidR="002619FC" w:rsidRPr="002619FC" w:rsidRDefault="00271E9F" w:rsidP="00B923F3">
      <w:pPr>
        <w:pStyle w:val="Ttulo1"/>
        <w:numPr>
          <w:ilvl w:val="0"/>
          <w:numId w:val="11"/>
        </w:numPr>
        <w:spacing w:before="400" w:after="400"/>
        <w:ind w:left="1077" w:hanging="357"/>
        <w:jc w:val="both"/>
        <w:rPr>
          <w:rFonts w:eastAsia="Times New Roman"/>
          <w:lang w:eastAsia="es-MX"/>
        </w:rPr>
      </w:pPr>
      <w:bookmarkStart w:id="32" w:name="_Toc401571170"/>
      <w:bookmarkStart w:id="33" w:name="_Toc401577561"/>
      <w:bookmarkStart w:id="34" w:name="_Toc401578508"/>
      <w:bookmarkStart w:id="35" w:name="_Toc401580972"/>
      <w:bookmarkStart w:id="36" w:name="_Toc401581461"/>
      <w:bookmarkStart w:id="37" w:name="_Toc401586002"/>
      <w:bookmarkStart w:id="38" w:name="_Toc402948933"/>
      <w:r w:rsidRPr="00A93228">
        <w:rPr>
          <w:rFonts w:eastAsia="Times New Roman"/>
          <w:lang w:eastAsia="es-MX"/>
        </w:rPr>
        <w:t>LA COMPETENCIA POR LA GESTIÓN DE</w:t>
      </w:r>
      <w:r w:rsidR="009B367E" w:rsidRPr="00A93228">
        <w:rPr>
          <w:rFonts w:eastAsia="Times New Roman"/>
          <w:lang w:eastAsia="es-MX"/>
        </w:rPr>
        <w:t xml:space="preserve"> </w:t>
      </w:r>
      <w:r w:rsidR="005F5BEA" w:rsidRPr="00A93228">
        <w:rPr>
          <w:rFonts w:eastAsia="Times New Roman"/>
          <w:lang w:eastAsia="es-MX"/>
        </w:rPr>
        <w:t>LOS FONDOS DE PENSIONES</w:t>
      </w:r>
      <w:bookmarkEnd w:id="32"/>
      <w:bookmarkEnd w:id="33"/>
      <w:bookmarkEnd w:id="34"/>
      <w:bookmarkEnd w:id="35"/>
      <w:bookmarkEnd w:id="36"/>
      <w:bookmarkEnd w:id="37"/>
      <w:bookmarkEnd w:id="38"/>
      <w:r w:rsidR="005F5BEA" w:rsidRPr="00A93228">
        <w:rPr>
          <w:rFonts w:eastAsia="Times New Roman"/>
          <w:lang w:eastAsia="es-MX"/>
        </w:rPr>
        <w:t xml:space="preserve"> </w:t>
      </w:r>
    </w:p>
    <w:p w:rsidR="004F2984" w:rsidRDefault="003E2831" w:rsidP="00B923F3">
      <w:pPr>
        <w:pStyle w:val="Prrafodelista"/>
        <w:spacing w:before="240" w:line="480" w:lineRule="auto"/>
        <w:ind w:left="0" w:firstLine="709"/>
        <w:jc w:val="both"/>
        <w:rPr>
          <w:rFonts w:ascii="Arial" w:hAnsi="Arial" w:cs="Arial"/>
        </w:rPr>
      </w:pPr>
      <w:r w:rsidRPr="00A93228">
        <w:rPr>
          <w:rFonts w:ascii="Arial" w:hAnsi="Arial" w:cs="Arial"/>
        </w:rPr>
        <w:t>Según fuentes internacionales (OCDE, 2009) los fondos de pensiones se han convertido en las últimas tres décadas en la Principal Fuente de Ahorro en el Mundo, derivado de factores relativos a la economía (crecimiento), a los mercados laborales (crecimiento de la PEA), a la sofisticación de los sistemas financieros (diversificación nacional e internacional), por la globalización de las economías y los circuitos financieros (liberalización de las fronteras y despegue de los mercados emergentes) y, por supuesto, a los cambios demográficos que observan todos los países (env</w:t>
      </w:r>
      <w:r w:rsidR="0067472B">
        <w:rPr>
          <w:rFonts w:ascii="Arial" w:hAnsi="Arial" w:cs="Arial"/>
        </w:rPr>
        <w:t xml:space="preserve">ejecimiento de la población).  </w:t>
      </w:r>
    </w:p>
    <w:p w:rsidR="003E2831" w:rsidRPr="00A93228" w:rsidRDefault="003E2831" w:rsidP="004F2984">
      <w:pPr>
        <w:pStyle w:val="Prrafodelista"/>
        <w:spacing w:before="240" w:after="240" w:line="480" w:lineRule="auto"/>
        <w:ind w:left="0" w:firstLine="708"/>
        <w:jc w:val="both"/>
        <w:rPr>
          <w:rFonts w:ascii="Arial" w:hAnsi="Arial" w:cs="Arial"/>
        </w:rPr>
      </w:pPr>
      <w:r w:rsidRPr="00A93228">
        <w:rPr>
          <w:rFonts w:ascii="Arial" w:hAnsi="Arial" w:cs="Arial"/>
        </w:rPr>
        <w:t>Esto es, los llamados sistemas de pensiones privadas, de capitalización individual, planes de empresa o también llamados de contribuciones definidas que operan prácticamente en todos los países concentran los mayores activos financieros de la historia y su volumen crece año con año en prácticamente todos los mercados financieros domésticos e internacionales. Las dimensiones financieras que han cobrado ponen de relieve su importancia en vari</w:t>
      </w:r>
      <w:r w:rsidR="0067472B">
        <w:rPr>
          <w:rFonts w:ascii="Arial" w:hAnsi="Arial" w:cs="Arial"/>
        </w:rPr>
        <w:t>os campos, como los siguientes:</w:t>
      </w:r>
    </w:p>
    <w:p w:rsidR="003E2831" w:rsidRPr="00A93228" w:rsidRDefault="003E2831" w:rsidP="006E10B9">
      <w:pPr>
        <w:pStyle w:val="Prrafodelista"/>
        <w:numPr>
          <w:ilvl w:val="0"/>
          <w:numId w:val="1"/>
        </w:numPr>
        <w:spacing w:line="480" w:lineRule="auto"/>
        <w:ind w:left="720"/>
        <w:jc w:val="both"/>
        <w:rPr>
          <w:rFonts w:ascii="Arial" w:hAnsi="Arial" w:cs="Arial"/>
        </w:rPr>
      </w:pPr>
      <w:r w:rsidRPr="00A93228">
        <w:rPr>
          <w:rFonts w:ascii="Arial" w:hAnsi="Arial" w:cs="Arial"/>
        </w:rPr>
        <w:t>Son la principal fuente de ahorro para financiar las pensiones de los trabajadores.</w:t>
      </w:r>
    </w:p>
    <w:p w:rsidR="003E2831" w:rsidRPr="00A93228" w:rsidRDefault="003E2831" w:rsidP="006E10B9">
      <w:pPr>
        <w:pStyle w:val="Prrafodelista"/>
        <w:numPr>
          <w:ilvl w:val="0"/>
          <w:numId w:val="1"/>
        </w:numPr>
        <w:spacing w:line="480" w:lineRule="auto"/>
        <w:ind w:left="720"/>
        <w:jc w:val="both"/>
        <w:rPr>
          <w:rFonts w:ascii="Arial" w:hAnsi="Arial" w:cs="Arial"/>
        </w:rPr>
      </w:pPr>
      <w:r w:rsidRPr="00A93228">
        <w:rPr>
          <w:rFonts w:ascii="Arial" w:hAnsi="Arial" w:cs="Arial"/>
        </w:rPr>
        <w:lastRenderedPageBreak/>
        <w:t>Son activos que financian el crecimiento económico de los países.</w:t>
      </w:r>
    </w:p>
    <w:p w:rsidR="003E2831" w:rsidRPr="00A93228" w:rsidRDefault="003E2831" w:rsidP="006E10B9">
      <w:pPr>
        <w:pStyle w:val="Prrafodelista"/>
        <w:numPr>
          <w:ilvl w:val="0"/>
          <w:numId w:val="1"/>
        </w:numPr>
        <w:spacing w:line="480" w:lineRule="auto"/>
        <w:ind w:left="720"/>
        <w:jc w:val="both"/>
        <w:rPr>
          <w:rFonts w:ascii="Arial" w:hAnsi="Arial" w:cs="Arial"/>
        </w:rPr>
      </w:pPr>
      <w:r w:rsidRPr="00A93228">
        <w:rPr>
          <w:rFonts w:ascii="Arial" w:hAnsi="Arial" w:cs="Arial"/>
        </w:rPr>
        <w:t>Representan una importante fuente de financiamiento para las empresas.</w:t>
      </w:r>
    </w:p>
    <w:p w:rsidR="003E2831" w:rsidRPr="00A93228" w:rsidRDefault="003E2831" w:rsidP="006E10B9">
      <w:pPr>
        <w:pStyle w:val="Prrafodelista"/>
        <w:numPr>
          <w:ilvl w:val="0"/>
          <w:numId w:val="1"/>
        </w:numPr>
        <w:spacing w:line="480" w:lineRule="auto"/>
        <w:ind w:left="720"/>
        <w:jc w:val="both"/>
        <w:rPr>
          <w:rFonts w:ascii="Arial" w:hAnsi="Arial" w:cs="Arial"/>
        </w:rPr>
      </w:pPr>
      <w:r w:rsidRPr="00A93228">
        <w:rPr>
          <w:rFonts w:ascii="Arial" w:hAnsi="Arial" w:cs="Arial"/>
        </w:rPr>
        <w:t>Estos sistemas fueron diseñados para enfrentar de forma más eficiente los agudos cambios demográficos que observan todas las sociedades del mundo.</w:t>
      </w:r>
    </w:p>
    <w:p w:rsidR="003E2831" w:rsidRPr="0067472B" w:rsidRDefault="003E2831" w:rsidP="0067472B">
      <w:pPr>
        <w:pStyle w:val="Prrafodelista"/>
        <w:numPr>
          <w:ilvl w:val="0"/>
          <w:numId w:val="1"/>
        </w:numPr>
        <w:spacing w:line="480" w:lineRule="auto"/>
        <w:ind w:left="714" w:hanging="357"/>
        <w:jc w:val="both"/>
        <w:rPr>
          <w:rFonts w:ascii="Arial" w:hAnsi="Arial" w:cs="Arial"/>
        </w:rPr>
      </w:pPr>
      <w:r w:rsidRPr="00A93228">
        <w:rPr>
          <w:rFonts w:ascii="Arial" w:hAnsi="Arial" w:cs="Arial"/>
        </w:rPr>
        <w:t xml:space="preserve"> Asimismo, se instrumentaron para evitar que los trabajadores adelanten sus jubilaciones y pensiones. </w:t>
      </w:r>
    </w:p>
    <w:p w:rsidR="003E2831" w:rsidRPr="00A93228" w:rsidRDefault="003E2831" w:rsidP="0067472B">
      <w:pPr>
        <w:spacing w:line="480" w:lineRule="auto"/>
        <w:ind w:firstLine="709"/>
        <w:jc w:val="both"/>
        <w:rPr>
          <w:rFonts w:ascii="Arial" w:hAnsi="Arial" w:cs="Arial"/>
          <w:sz w:val="24"/>
          <w:szCs w:val="24"/>
        </w:rPr>
      </w:pPr>
      <w:r w:rsidRPr="00A93228">
        <w:rPr>
          <w:rFonts w:ascii="Arial" w:hAnsi="Arial" w:cs="Arial"/>
          <w:sz w:val="24"/>
          <w:szCs w:val="24"/>
        </w:rPr>
        <w:t>Estos sistemas, entonces, se concibieron para financiar las pensiones de los trabajadores: son una fuente de ahorro “forzoso “a favor de los trabajadores, por el hecho que está determinado por las Leyes de Seguridad Social o Laborales, o de ambas</w:t>
      </w:r>
      <w:r w:rsidR="0067472B">
        <w:rPr>
          <w:rFonts w:ascii="Arial" w:hAnsi="Arial" w:cs="Arial"/>
          <w:sz w:val="24"/>
          <w:szCs w:val="24"/>
        </w:rPr>
        <w:t>. Su mecanismo es el siguiente:</w:t>
      </w:r>
    </w:p>
    <w:p w:rsidR="003E2831" w:rsidRPr="00A93228" w:rsidRDefault="003E2831" w:rsidP="006E10B9">
      <w:pPr>
        <w:pStyle w:val="Prrafodelista"/>
        <w:numPr>
          <w:ilvl w:val="0"/>
          <w:numId w:val="2"/>
        </w:numPr>
        <w:spacing w:line="480" w:lineRule="auto"/>
        <w:ind w:left="714" w:hanging="357"/>
        <w:jc w:val="both"/>
        <w:rPr>
          <w:rFonts w:ascii="Arial" w:hAnsi="Arial" w:cs="Arial"/>
        </w:rPr>
      </w:pPr>
      <w:r w:rsidRPr="00A93228">
        <w:rPr>
          <w:rFonts w:ascii="Arial" w:hAnsi="Arial" w:cs="Arial"/>
        </w:rPr>
        <w:t>El empleador lleva a cabo cotizaciones a favor del fondo de pensión de cada trabajador.</w:t>
      </w:r>
    </w:p>
    <w:p w:rsidR="003E2831" w:rsidRPr="00A93228" w:rsidRDefault="003E2831" w:rsidP="006E10B9">
      <w:pPr>
        <w:pStyle w:val="Prrafodelista"/>
        <w:numPr>
          <w:ilvl w:val="0"/>
          <w:numId w:val="2"/>
        </w:numPr>
        <w:spacing w:line="480" w:lineRule="auto"/>
        <w:ind w:left="714" w:hanging="357"/>
        <w:jc w:val="both"/>
        <w:rPr>
          <w:rFonts w:ascii="Arial" w:hAnsi="Arial" w:cs="Arial"/>
        </w:rPr>
      </w:pPr>
      <w:r w:rsidRPr="00A93228">
        <w:rPr>
          <w:rFonts w:ascii="Arial" w:hAnsi="Arial" w:cs="Arial"/>
        </w:rPr>
        <w:t>El trabajador, por su parte, cotiza periódicamente de cara a la jubilación.</w:t>
      </w:r>
    </w:p>
    <w:p w:rsidR="003E2831" w:rsidRPr="00A93228" w:rsidRDefault="003E2831" w:rsidP="006E10B9">
      <w:pPr>
        <w:pStyle w:val="Prrafodelista"/>
        <w:numPr>
          <w:ilvl w:val="0"/>
          <w:numId w:val="2"/>
        </w:numPr>
        <w:spacing w:line="480" w:lineRule="auto"/>
        <w:ind w:left="714" w:hanging="357"/>
        <w:jc w:val="both"/>
        <w:rPr>
          <w:rFonts w:ascii="Arial" w:hAnsi="Arial" w:cs="Arial"/>
        </w:rPr>
      </w:pPr>
      <w:r w:rsidRPr="00A93228">
        <w:rPr>
          <w:rFonts w:ascii="Arial" w:hAnsi="Arial" w:cs="Arial"/>
        </w:rPr>
        <w:t>El gobierno, dependiendo del país, suele aportan otra parte para formar las pensiones de los trabajadores.</w:t>
      </w:r>
    </w:p>
    <w:p w:rsidR="003E2831" w:rsidRPr="00A93228" w:rsidRDefault="003E2831" w:rsidP="006E10B9">
      <w:pPr>
        <w:pStyle w:val="Prrafodelista"/>
        <w:numPr>
          <w:ilvl w:val="0"/>
          <w:numId w:val="2"/>
        </w:numPr>
        <w:spacing w:line="480" w:lineRule="auto"/>
        <w:ind w:left="714" w:hanging="357"/>
        <w:jc w:val="both"/>
        <w:rPr>
          <w:rFonts w:ascii="Arial" w:hAnsi="Arial" w:cs="Arial"/>
        </w:rPr>
      </w:pPr>
      <w:r w:rsidRPr="00A93228">
        <w:rPr>
          <w:rFonts w:ascii="Arial" w:hAnsi="Arial" w:cs="Arial"/>
        </w:rPr>
        <w:t>Se abren cuentas individuales, una para cada trabajador.</w:t>
      </w:r>
    </w:p>
    <w:p w:rsidR="003E2831" w:rsidRPr="00A93228" w:rsidRDefault="003E2831" w:rsidP="006E10B9">
      <w:pPr>
        <w:pStyle w:val="Prrafodelista"/>
        <w:numPr>
          <w:ilvl w:val="0"/>
          <w:numId w:val="2"/>
        </w:numPr>
        <w:spacing w:line="480" w:lineRule="auto"/>
        <w:ind w:left="714" w:hanging="357"/>
        <w:jc w:val="both"/>
        <w:rPr>
          <w:rFonts w:ascii="Arial" w:hAnsi="Arial" w:cs="Arial"/>
        </w:rPr>
      </w:pPr>
      <w:r w:rsidRPr="00A93228">
        <w:rPr>
          <w:rFonts w:ascii="Arial" w:hAnsi="Arial" w:cs="Arial"/>
        </w:rPr>
        <w:t>Los activos son gestionados por empresas financieras especializadas en el manejo de fondos de pensiones.</w:t>
      </w:r>
    </w:p>
    <w:p w:rsidR="00174E66" w:rsidRDefault="003E2831" w:rsidP="004767F4">
      <w:pPr>
        <w:pStyle w:val="Prrafodelista"/>
        <w:numPr>
          <w:ilvl w:val="0"/>
          <w:numId w:val="2"/>
        </w:numPr>
        <w:spacing w:line="480" w:lineRule="auto"/>
        <w:ind w:left="714" w:hanging="357"/>
        <w:jc w:val="both"/>
        <w:rPr>
          <w:rFonts w:ascii="Arial" w:hAnsi="Arial" w:cs="Arial"/>
        </w:rPr>
      </w:pPr>
      <w:r w:rsidRPr="00A93228">
        <w:rPr>
          <w:rFonts w:ascii="Arial" w:hAnsi="Arial" w:cs="Arial"/>
        </w:rPr>
        <w:t xml:space="preserve">Derivado del financiamiento que llevan a cabo los fondos de pensiones, ofrecen un rendimiento que </w:t>
      </w:r>
      <w:r w:rsidR="00FE425A" w:rsidRPr="00A93228">
        <w:rPr>
          <w:rFonts w:ascii="Arial" w:hAnsi="Arial" w:cs="Arial"/>
        </w:rPr>
        <w:t>acrecienta</w:t>
      </w:r>
      <w:r w:rsidRPr="00A93228">
        <w:rPr>
          <w:rFonts w:ascii="Arial" w:hAnsi="Arial" w:cs="Arial"/>
        </w:rPr>
        <w:t xml:space="preserve"> el monto de las cuentas individuales.</w:t>
      </w:r>
    </w:p>
    <w:p w:rsidR="004767F4" w:rsidRPr="004767F4" w:rsidRDefault="004767F4" w:rsidP="004767F4">
      <w:pPr>
        <w:pStyle w:val="Prrafodelista"/>
        <w:spacing w:line="480" w:lineRule="auto"/>
        <w:ind w:left="714"/>
        <w:jc w:val="both"/>
        <w:rPr>
          <w:rFonts w:ascii="Arial" w:hAnsi="Arial" w:cs="Arial"/>
        </w:rPr>
      </w:pPr>
    </w:p>
    <w:p w:rsidR="00A81575" w:rsidRPr="00A93228" w:rsidRDefault="00A81575" w:rsidP="00837F11">
      <w:pPr>
        <w:spacing w:line="480" w:lineRule="auto"/>
        <w:jc w:val="both"/>
        <w:rPr>
          <w:rFonts w:ascii="Arial" w:eastAsia="Times New Roman" w:hAnsi="Arial" w:cs="Arial"/>
          <w:color w:val="000000" w:themeColor="text1"/>
          <w:sz w:val="24"/>
          <w:szCs w:val="24"/>
          <w:lang w:eastAsia="es-MX"/>
        </w:rPr>
      </w:pPr>
    </w:p>
    <w:p w:rsidR="00BB5D95" w:rsidRDefault="00E0625C" w:rsidP="00E0625C">
      <w:pPr>
        <w:pStyle w:val="Puesto"/>
      </w:pPr>
      <w:bookmarkStart w:id="39" w:name="_Toc401589884"/>
      <w:r>
        <w:lastRenderedPageBreak/>
        <w:t xml:space="preserve">Figura </w:t>
      </w:r>
      <w:r w:rsidR="00422485">
        <w:fldChar w:fldCharType="begin"/>
      </w:r>
      <w:r w:rsidR="00010E8C">
        <w:instrText xml:space="preserve"> SEQ Figura \* ARABIC </w:instrText>
      </w:r>
      <w:r w:rsidR="00422485">
        <w:fldChar w:fldCharType="separate"/>
      </w:r>
      <w:r>
        <w:rPr>
          <w:noProof/>
        </w:rPr>
        <w:t>2</w:t>
      </w:r>
      <w:r w:rsidR="00422485">
        <w:rPr>
          <w:noProof/>
        </w:rPr>
        <w:fldChar w:fldCharType="end"/>
      </w:r>
      <w:r w:rsidR="00464BB0">
        <w:t xml:space="preserve"> </w:t>
      </w:r>
    </w:p>
    <w:p w:rsidR="00464BB0" w:rsidRPr="00657362" w:rsidRDefault="00464BB0" w:rsidP="00E0625C">
      <w:pPr>
        <w:pStyle w:val="Puesto"/>
        <w:rPr>
          <w:rStyle w:val="hps"/>
        </w:rPr>
      </w:pPr>
      <w:r>
        <w:t>Activos totales por tipo de inversores institucionales en la OCDE, 1995-2012</w:t>
      </w:r>
      <w:bookmarkEnd w:id="39"/>
    </w:p>
    <w:p w:rsidR="00EE79C9" w:rsidRPr="000845B9" w:rsidRDefault="00464BB0" w:rsidP="006E10B9">
      <w:pPr>
        <w:spacing w:line="480" w:lineRule="auto"/>
        <w:jc w:val="center"/>
        <w:rPr>
          <w:rFonts w:ascii="Arial" w:hAnsi="Arial" w:cs="Arial"/>
          <w:color w:val="000000" w:themeColor="text1"/>
          <w:sz w:val="24"/>
          <w:szCs w:val="24"/>
        </w:rPr>
      </w:pPr>
      <w:r w:rsidRPr="000845B9">
        <w:rPr>
          <w:rFonts w:ascii="Arial" w:hAnsi="Arial" w:cs="Arial"/>
          <w:color w:val="000000" w:themeColor="text1"/>
          <w:sz w:val="24"/>
          <w:szCs w:val="24"/>
        </w:rPr>
        <w:t xml:space="preserve"> </w:t>
      </w:r>
      <w:r w:rsidR="00C40933" w:rsidRPr="000845B9">
        <w:rPr>
          <w:rFonts w:ascii="Arial" w:hAnsi="Arial" w:cs="Arial"/>
          <w:color w:val="000000" w:themeColor="text1"/>
          <w:sz w:val="24"/>
          <w:szCs w:val="24"/>
        </w:rPr>
        <w:t>(</w:t>
      </w:r>
      <w:r w:rsidR="00EE79C9" w:rsidRPr="000845B9">
        <w:rPr>
          <w:rFonts w:ascii="Arial" w:hAnsi="Arial" w:cs="Arial"/>
          <w:color w:val="000000" w:themeColor="text1"/>
          <w:sz w:val="24"/>
          <w:szCs w:val="24"/>
        </w:rPr>
        <w:t>En billones de USD</w:t>
      </w:r>
      <w:r w:rsidR="00C40933" w:rsidRPr="000845B9">
        <w:rPr>
          <w:rFonts w:ascii="Arial" w:hAnsi="Arial" w:cs="Arial"/>
          <w:color w:val="000000" w:themeColor="text1"/>
          <w:sz w:val="24"/>
          <w:szCs w:val="24"/>
        </w:rPr>
        <w:t>)</w:t>
      </w:r>
    </w:p>
    <w:p w:rsidR="00EE79C9" w:rsidRPr="00A93228" w:rsidRDefault="002B3768" w:rsidP="006E10B9">
      <w:pPr>
        <w:spacing w:line="480" w:lineRule="auto"/>
        <w:rPr>
          <w:rFonts w:ascii="Arial" w:hAnsi="Arial" w:cs="Arial"/>
          <w:sz w:val="24"/>
          <w:szCs w:val="24"/>
        </w:rPr>
      </w:pPr>
      <w:r w:rsidRPr="00A93228">
        <w:rPr>
          <w:rFonts w:ascii="Arial" w:hAnsi="Arial" w:cs="Arial"/>
          <w:noProof/>
          <w:sz w:val="24"/>
          <w:szCs w:val="24"/>
          <w:lang w:eastAsia="es-MX"/>
        </w:rPr>
        <w:drawing>
          <wp:inline distT="0" distB="0" distL="0" distR="0">
            <wp:extent cx="5612130" cy="3015615"/>
            <wp:effectExtent l="19050" t="0" r="26670" b="0"/>
            <wp:docPr id="4"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E79C9" w:rsidRPr="00765C7C" w:rsidRDefault="00EE79C9" w:rsidP="006E10B9">
      <w:pPr>
        <w:spacing w:line="480" w:lineRule="auto"/>
        <w:jc w:val="both"/>
        <w:rPr>
          <w:rFonts w:ascii="Arial" w:hAnsi="Arial" w:cs="Arial"/>
          <w:sz w:val="20"/>
          <w:szCs w:val="20"/>
        </w:rPr>
      </w:pPr>
      <w:r w:rsidRPr="00765C7C">
        <w:rPr>
          <w:rFonts w:ascii="Arial" w:hAnsi="Arial" w:cs="Arial"/>
          <w:sz w:val="20"/>
          <w:szCs w:val="20"/>
        </w:rPr>
        <w:t>Fuente: OCDE, Estadísticas Globales de Pensiones, Estadísticas Globales de Seguros y Base de Datos de Inversores Institucionales, y estimaciones del personal técnico de la OCDE.</w:t>
      </w:r>
    </w:p>
    <w:p w:rsidR="00566B4D" w:rsidRPr="00BA65F3" w:rsidRDefault="00207F01" w:rsidP="00BA65F3">
      <w:pPr>
        <w:spacing w:line="480" w:lineRule="auto"/>
        <w:ind w:firstLine="708"/>
        <w:jc w:val="both"/>
        <w:rPr>
          <w:rFonts w:ascii="Arial" w:hAnsi="Arial" w:cs="Arial"/>
          <w:color w:val="222222"/>
          <w:sz w:val="24"/>
          <w:szCs w:val="24"/>
          <w:lang w:val="es-ES"/>
        </w:rPr>
      </w:pPr>
      <w:r w:rsidRPr="00A93228">
        <w:rPr>
          <w:rStyle w:val="hps"/>
          <w:rFonts w:ascii="Arial" w:hAnsi="Arial" w:cs="Arial"/>
          <w:color w:val="222222"/>
          <w:sz w:val="24"/>
          <w:szCs w:val="24"/>
          <w:lang w:val="es-ES"/>
        </w:rPr>
        <w:t>Las dimensiones financieras que han cobrado los fondos de pensiones en la globalización son verdaderamente destacadas y están a la par con otros instrumentos financieros tradicionales difundidos desde los años setentas y ochentas</w:t>
      </w:r>
      <w:r w:rsidR="0009504B" w:rsidRPr="00A93228">
        <w:rPr>
          <w:rStyle w:val="hps"/>
          <w:rFonts w:ascii="Arial" w:hAnsi="Arial" w:cs="Arial"/>
          <w:color w:val="222222"/>
          <w:sz w:val="24"/>
          <w:szCs w:val="24"/>
          <w:lang w:val="es-ES"/>
        </w:rPr>
        <w:t xml:space="preserve"> ya que su relación con el tamaño de las economías aumenta año con año. Veamos algunos indicadores: </w:t>
      </w:r>
      <w:r w:rsidR="002D0B34" w:rsidRPr="00A93228">
        <w:rPr>
          <w:rStyle w:val="hps"/>
          <w:rFonts w:ascii="Arial" w:hAnsi="Arial" w:cs="Arial"/>
          <w:color w:val="222222"/>
          <w:sz w:val="24"/>
          <w:szCs w:val="24"/>
          <w:lang w:val="es-ES"/>
        </w:rPr>
        <w:t xml:space="preserve">Tres países tienen una relación con su PIB mayor al 100%,  Países Bajos 160.2, Islandia 141% y Suiza 114%; la relación del Reino Unido es del 96%, de Australia 92% y para Finlandia del 79.3%; mientras que los Estados Unidos  con un 75% y Canadá un 67.3%; Chile con un 60% y México del 12.3% (figura 2). </w:t>
      </w:r>
    </w:p>
    <w:p w:rsidR="00BB5D95" w:rsidRPr="00BB5D95" w:rsidRDefault="00445C4D" w:rsidP="004F2984">
      <w:pPr>
        <w:pStyle w:val="Ttulo1"/>
        <w:numPr>
          <w:ilvl w:val="0"/>
          <w:numId w:val="11"/>
        </w:numPr>
        <w:spacing w:before="0" w:after="400"/>
        <w:ind w:left="1077" w:hanging="357"/>
      </w:pPr>
      <w:bookmarkStart w:id="40" w:name="_Toc401571171"/>
      <w:bookmarkStart w:id="41" w:name="_Toc401577562"/>
      <w:bookmarkStart w:id="42" w:name="_Toc401578509"/>
      <w:bookmarkStart w:id="43" w:name="_Toc401580973"/>
      <w:bookmarkStart w:id="44" w:name="_Toc401581462"/>
      <w:bookmarkStart w:id="45" w:name="_Toc401586003"/>
      <w:bookmarkStart w:id="46" w:name="_Toc402948934"/>
      <w:r w:rsidRPr="00A93228">
        <w:lastRenderedPageBreak/>
        <w:t>LA INGENIERÍA FINANCIERA DE LOS PLANES DE PENSIONES</w:t>
      </w:r>
      <w:bookmarkEnd w:id="40"/>
      <w:bookmarkEnd w:id="41"/>
      <w:bookmarkEnd w:id="42"/>
      <w:bookmarkEnd w:id="43"/>
      <w:bookmarkEnd w:id="44"/>
      <w:bookmarkEnd w:id="45"/>
      <w:bookmarkEnd w:id="46"/>
    </w:p>
    <w:p w:rsidR="004F2984" w:rsidRDefault="00445C4D" w:rsidP="00B923F3">
      <w:pPr>
        <w:pStyle w:val="Sangradetextonormal"/>
        <w:spacing w:before="240" w:line="480" w:lineRule="auto"/>
        <w:ind w:left="0" w:firstLine="709"/>
        <w:jc w:val="both"/>
        <w:rPr>
          <w:rFonts w:ascii="Arial" w:hAnsi="Arial" w:cs="Arial"/>
          <w:szCs w:val="24"/>
        </w:rPr>
      </w:pPr>
      <w:r w:rsidRPr="00A93228">
        <w:rPr>
          <w:rFonts w:ascii="Arial" w:hAnsi="Arial" w:cs="Arial"/>
          <w:szCs w:val="24"/>
        </w:rPr>
        <w:t xml:space="preserve">La importancia que han cobrado los fondos de pensiones por el mundo </w:t>
      </w:r>
      <w:r w:rsidR="00387347" w:rsidRPr="00A93228">
        <w:rPr>
          <w:rFonts w:ascii="Arial" w:hAnsi="Arial" w:cs="Arial"/>
          <w:szCs w:val="24"/>
        </w:rPr>
        <w:t>ha</w:t>
      </w:r>
      <w:r w:rsidRPr="00A93228">
        <w:rPr>
          <w:rFonts w:ascii="Arial" w:hAnsi="Arial" w:cs="Arial"/>
          <w:szCs w:val="24"/>
        </w:rPr>
        <w:t xml:space="preserve"> requerido de una amplia y diversificada gama  de instrumentos financieros dentro de las economías domésticas pero también en el plano internacional. Los gobiernos, las empresas, los intermediarios financieros y los trabajadores cada vez más elevan su interés y su conocimiento por los fondos de pensiones resultado de su amplia difusión por el mundo y por las dimensiones financieras que han venido cobrando desde los años setentas; primeramente en los países de la OCDE y más tarde en las economías emergentes y países del este de Europa.</w:t>
      </w:r>
    </w:p>
    <w:p w:rsidR="00445C4D" w:rsidRPr="00A93228" w:rsidRDefault="00445C4D" w:rsidP="004F2984">
      <w:pPr>
        <w:pStyle w:val="Sangradetextonormal"/>
        <w:spacing w:line="480" w:lineRule="auto"/>
        <w:ind w:left="0" w:firstLine="709"/>
        <w:jc w:val="both"/>
        <w:rPr>
          <w:rFonts w:ascii="Arial" w:hAnsi="Arial" w:cs="Arial"/>
          <w:szCs w:val="24"/>
        </w:rPr>
      </w:pPr>
      <w:r w:rsidRPr="00A93228">
        <w:rPr>
          <w:rFonts w:ascii="Arial" w:hAnsi="Arial" w:cs="Arial"/>
          <w:szCs w:val="24"/>
        </w:rPr>
        <w:t xml:space="preserve">Independientemente de que los fondos encierran la finalidad de complementar las pensiones de los trabajadores durante su retiro o bien se crearon como una opción para que ciertos grupos de trabajadores financiaran sus propias pensiones de cara a su jubilación, se encuentran sumamente vinculados a los  sistemas financieros hasta el punto que en los últimos tiempos han contribuido a diversificar y aun de transformar la composición de éstos en prácticamente en todos los sitios donde operan.  Como ya se indicó, los fondos en su mayoría son gestionados por empresas especializadas que operan a nivel nacional e internacional captando su ahorro y llevando a cabo sus inversiones en   varios mercados, con el objetivo de aumentar el ahorro de los trabajadores que finalmente se convertirán en rentas durante su retiro de la actividad productiva, pero también animadas por  acrecentar sus extraordinarias utilidades.  </w:t>
      </w:r>
    </w:p>
    <w:p w:rsidR="00445C4D" w:rsidRPr="00A93228" w:rsidRDefault="00445C4D" w:rsidP="00E007B3">
      <w:pPr>
        <w:pStyle w:val="Sangradetextonormal"/>
        <w:spacing w:line="480" w:lineRule="auto"/>
        <w:ind w:left="0" w:firstLine="709"/>
        <w:jc w:val="both"/>
        <w:rPr>
          <w:rFonts w:ascii="Arial" w:hAnsi="Arial" w:cs="Arial"/>
          <w:szCs w:val="24"/>
        </w:rPr>
      </w:pPr>
      <w:r w:rsidRPr="00A93228">
        <w:rPr>
          <w:rFonts w:ascii="Arial" w:hAnsi="Arial" w:cs="Arial"/>
          <w:szCs w:val="24"/>
        </w:rPr>
        <w:t xml:space="preserve">En este sentido, los sistemas financieros se han volcado por estos activos cuya singularidad financiera es que crecen año con año en todos los países donde </w:t>
      </w:r>
      <w:r w:rsidRPr="00A93228">
        <w:rPr>
          <w:rFonts w:ascii="Arial" w:hAnsi="Arial" w:cs="Arial"/>
          <w:szCs w:val="24"/>
        </w:rPr>
        <w:lastRenderedPageBreak/>
        <w:t>operan y su volumen seguirá creciendo en las décadas por venir. Frente a ello los gobiernos que han conducido su seguridad social por la vía de los sistemas de capitalización individual han tenido que adecuar sus respectivas Leyes, su marco normativo, su vigilancia, su transparencia y, en general, estableciendo  mecanismos regulatorios  que garanticen el uso eficiente de los fondos de pensiones propiedad de los trabajadores. Estos y otros elementos que rodean a los fondos de pensiones provocaron diversificar los mecanismos de inversión al tiempo que idearon nuevos instrumentos financieros acrecentando con ello la oferta financiera en los mercado</w:t>
      </w:r>
      <w:r w:rsidR="00E007B3">
        <w:rPr>
          <w:rFonts w:ascii="Arial" w:hAnsi="Arial" w:cs="Arial"/>
          <w:szCs w:val="24"/>
        </w:rPr>
        <w:t>s nacionales e internacionales.</w:t>
      </w:r>
    </w:p>
    <w:p w:rsidR="00445C4D" w:rsidRPr="00A93228" w:rsidRDefault="00445C4D" w:rsidP="00E007B3">
      <w:pPr>
        <w:pStyle w:val="Sangradetextonormal"/>
        <w:spacing w:line="480" w:lineRule="auto"/>
        <w:ind w:left="0" w:firstLine="709"/>
        <w:jc w:val="both"/>
        <w:rPr>
          <w:rFonts w:ascii="Arial" w:hAnsi="Arial" w:cs="Arial"/>
          <w:szCs w:val="24"/>
        </w:rPr>
      </w:pPr>
      <w:r w:rsidRPr="00A93228">
        <w:rPr>
          <w:rFonts w:ascii="Arial" w:hAnsi="Arial" w:cs="Arial"/>
          <w:szCs w:val="24"/>
        </w:rPr>
        <w:t>Es decir, la globalización financiera y su desregulación en prácticamente todos los países del mundo ha permitido que una parte de los fondos de pensiones de un país se inviertan en otras economías bien sea comprando deuda pública o bien fondeando a las empresas, practica financiera que se ha difundido de manera extraordinaria en las últimas dos décadas. Al igual que ocurre con otros instrumentos financieros los fondos de pensiones representan grandes utilidades a la hora de diversificar sus inversiones, buscando siempre las tasas más rentables que dicho sea de paso ofrecen por lo reg</w:t>
      </w:r>
      <w:r w:rsidR="00E007B3">
        <w:rPr>
          <w:rFonts w:ascii="Arial" w:hAnsi="Arial" w:cs="Arial"/>
          <w:szCs w:val="24"/>
        </w:rPr>
        <w:t xml:space="preserve">ular los mercados  emergentes. </w:t>
      </w:r>
    </w:p>
    <w:p w:rsidR="00445C4D" w:rsidRPr="00A93228" w:rsidRDefault="00445C4D" w:rsidP="00E007B3">
      <w:pPr>
        <w:pStyle w:val="Sangradetextonormal"/>
        <w:spacing w:line="480" w:lineRule="auto"/>
        <w:ind w:left="0" w:firstLine="709"/>
        <w:jc w:val="both"/>
        <w:rPr>
          <w:rFonts w:ascii="Arial" w:hAnsi="Arial" w:cs="Arial"/>
          <w:szCs w:val="24"/>
        </w:rPr>
      </w:pPr>
      <w:r w:rsidRPr="00A93228">
        <w:rPr>
          <w:rFonts w:ascii="Arial" w:hAnsi="Arial" w:cs="Arial"/>
          <w:szCs w:val="24"/>
        </w:rPr>
        <w:t>Ahora bien, los instrumentos financieros más comunes en que se invierten los fondos de pensiones o, de otra manera, los fondos de pensiones que gestionan los intermediarios financieros y que invierten en los diferentes mercados financieros,  encontramos  los sig</w:t>
      </w:r>
      <w:r w:rsidR="00E007B3">
        <w:rPr>
          <w:rFonts w:ascii="Arial" w:hAnsi="Arial" w:cs="Arial"/>
          <w:szCs w:val="24"/>
        </w:rPr>
        <w:t>uientes:</w:t>
      </w:r>
    </w:p>
    <w:p w:rsidR="00445C4D" w:rsidRPr="00A93228" w:rsidRDefault="00445C4D" w:rsidP="00E007B3">
      <w:pPr>
        <w:pStyle w:val="Sangradetextonormal"/>
        <w:numPr>
          <w:ilvl w:val="0"/>
          <w:numId w:val="7"/>
        </w:numPr>
        <w:spacing w:line="480" w:lineRule="auto"/>
        <w:jc w:val="both"/>
        <w:rPr>
          <w:rFonts w:ascii="Arial" w:hAnsi="Arial" w:cs="Arial"/>
          <w:szCs w:val="24"/>
        </w:rPr>
      </w:pPr>
      <w:r w:rsidRPr="00A93228">
        <w:rPr>
          <w:rFonts w:ascii="Arial" w:hAnsi="Arial" w:cs="Arial"/>
          <w:szCs w:val="24"/>
        </w:rPr>
        <w:t>Compra de deuda pública nacional, mercado de dinero al que acuden los intermediarios financieros  por ser uno de los más seguros y rentables, también por el hecho de que las legislaciones así lo establecen.</w:t>
      </w:r>
    </w:p>
    <w:p w:rsidR="00445C4D" w:rsidRPr="00293E9B" w:rsidRDefault="00445C4D" w:rsidP="00293E9B">
      <w:pPr>
        <w:pStyle w:val="Sangradetextonormal"/>
        <w:numPr>
          <w:ilvl w:val="0"/>
          <w:numId w:val="7"/>
        </w:numPr>
        <w:spacing w:line="480" w:lineRule="auto"/>
        <w:jc w:val="both"/>
        <w:rPr>
          <w:rFonts w:ascii="Arial" w:hAnsi="Arial" w:cs="Arial"/>
          <w:szCs w:val="24"/>
        </w:rPr>
      </w:pPr>
      <w:r w:rsidRPr="00A93228">
        <w:rPr>
          <w:rFonts w:ascii="Arial" w:hAnsi="Arial" w:cs="Arial"/>
          <w:szCs w:val="24"/>
        </w:rPr>
        <w:lastRenderedPageBreak/>
        <w:t>Compra de deuda pública de otros países, mercado al que recurren las empresas financieras especializadas en el manejo de los fondos de pensiones, por lo regular las provenientes de los países con mayor experiencia y tradición en su manejo, así como por su capacidad financiera e infraestructura para operar en varios mercados internacionales.</w:t>
      </w:r>
    </w:p>
    <w:p w:rsidR="00445C4D" w:rsidRPr="00A93228" w:rsidRDefault="00445C4D" w:rsidP="00E007B3">
      <w:pPr>
        <w:pStyle w:val="Sangradetextonormal"/>
        <w:numPr>
          <w:ilvl w:val="0"/>
          <w:numId w:val="7"/>
        </w:numPr>
        <w:spacing w:line="480" w:lineRule="auto"/>
        <w:jc w:val="both"/>
        <w:rPr>
          <w:rFonts w:ascii="Arial" w:hAnsi="Arial" w:cs="Arial"/>
          <w:szCs w:val="24"/>
        </w:rPr>
      </w:pPr>
      <w:r w:rsidRPr="00A93228">
        <w:rPr>
          <w:rFonts w:ascii="Arial" w:hAnsi="Arial" w:cs="Arial"/>
          <w:szCs w:val="24"/>
        </w:rPr>
        <w:t>Invierten en proyectos productivos y/o sociales de gobiernos nacionales o foráneos, cuyo aval son los propios gobiernos.</w:t>
      </w:r>
    </w:p>
    <w:p w:rsidR="00445C4D" w:rsidRPr="00A93228" w:rsidRDefault="00445C4D" w:rsidP="00E007B3">
      <w:pPr>
        <w:pStyle w:val="Sangradetextonormal"/>
        <w:numPr>
          <w:ilvl w:val="0"/>
          <w:numId w:val="7"/>
        </w:numPr>
        <w:spacing w:line="480" w:lineRule="auto"/>
        <w:jc w:val="both"/>
        <w:rPr>
          <w:rFonts w:ascii="Arial" w:hAnsi="Arial" w:cs="Arial"/>
          <w:szCs w:val="24"/>
        </w:rPr>
      </w:pPr>
      <w:r w:rsidRPr="00A93228">
        <w:rPr>
          <w:rFonts w:ascii="Arial" w:hAnsi="Arial" w:cs="Arial"/>
          <w:szCs w:val="24"/>
        </w:rPr>
        <w:t>Las empresas que patrocinan los fondos de pensiones también se benefician de los activos para financiar su crecimiento, por lo que recurren a ellos por ser abundantes, constantes y a costos menores.</w:t>
      </w:r>
    </w:p>
    <w:p w:rsidR="00445C4D" w:rsidRPr="00A93228" w:rsidRDefault="00445C4D" w:rsidP="00E007B3">
      <w:pPr>
        <w:pStyle w:val="Sangradetextonormal"/>
        <w:numPr>
          <w:ilvl w:val="0"/>
          <w:numId w:val="7"/>
        </w:numPr>
        <w:spacing w:line="480" w:lineRule="auto"/>
        <w:jc w:val="both"/>
        <w:rPr>
          <w:rFonts w:ascii="Arial" w:hAnsi="Arial" w:cs="Arial"/>
          <w:szCs w:val="24"/>
        </w:rPr>
      </w:pPr>
      <w:r w:rsidRPr="00A93228">
        <w:rPr>
          <w:rFonts w:ascii="Arial" w:hAnsi="Arial" w:cs="Arial"/>
          <w:szCs w:val="24"/>
        </w:rPr>
        <w:t>Los intermediarios financieros también expanden las inversiones al fondear a otras empresas de una misma economía y/o de otros países, generalmente de las líderes en su ramo y de los monopolios privados.</w:t>
      </w:r>
    </w:p>
    <w:p w:rsidR="00445C4D" w:rsidRPr="00A93228" w:rsidRDefault="00445C4D" w:rsidP="00E007B3">
      <w:pPr>
        <w:pStyle w:val="Sangradetextonormal"/>
        <w:numPr>
          <w:ilvl w:val="0"/>
          <w:numId w:val="7"/>
        </w:numPr>
        <w:spacing w:line="480" w:lineRule="auto"/>
        <w:jc w:val="both"/>
        <w:rPr>
          <w:rFonts w:ascii="Arial" w:hAnsi="Arial" w:cs="Arial"/>
          <w:szCs w:val="24"/>
        </w:rPr>
      </w:pPr>
      <w:r w:rsidRPr="00A93228">
        <w:rPr>
          <w:rFonts w:ascii="Arial" w:hAnsi="Arial" w:cs="Arial"/>
          <w:szCs w:val="24"/>
        </w:rPr>
        <w:t xml:space="preserve">Patrocinan activos como ciertos inmuebles y  vivienda  a nivel nacional y de otras economías, generalmente en las economías menos desarrolladas pero también en algunas de la OCDE. </w:t>
      </w:r>
    </w:p>
    <w:p w:rsidR="00445C4D" w:rsidRPr="00A93228" w:rsidRDefault="00445C4D" w:rsidP="00E007B3">
      <w:pPr>
        <w:pStyle w:val="Sangradetextonormal"/>
        <w:numPr>
          <w:ilvl w:val="0"/>
          <w:numId w:val="7"/>
        </w:numPr>
        <w:spacing w:line="480" w:lineRule="auto"/>
        <w:jc w:val="both"/>
        <w:rPr>
          <w:rFonts w:ascii="Arial" w:hAnsi="Arial" w:cs="Arial"/>
          <w:szCs w:val="24"/>
        </w:rPr>
      </w:pPr>
      <w:r w:rsidRPr="00A93228">
        <w:rPr>
          <w:rFonts w:ascii="Arial" w:hAnsi="Arial" w:cs="Arial"/>
          <w:szCs w:val="24"/>
        </w:rPr>
        <w:t>De igual forma financian a las propias empresas financieras que gestionan los fondos y de otras financieras que requieren expandirse nacional e internacionalmente.</w:t>
      </w:r>
    </w:p>
    <w:p w:rsidR="00C40933" w:rsidRPr="00A93228" w:rsidRDefault="00445C4D" w:rsidP="00E007B3">
      <w:pPr>
        <w:pStyle w:val="Sangradetextonormal"/>
        <w:numPr>
          <w:ilvl w:val="0"/>
          <w:numId w:val="7"/>
        </w:numPr>
        <w:spacing w:line="480" w:lineRule="auto"/>
        <w:jc w:val="both"/>
        <w:rPr>
          <w:rFonts w:ascii="Arial" w:hAnsi="Arial" w:cs="Arial"/>
          <w:szCs w:val="24"/>
        </w:rPr>
      </w:pPr>
      <w:r w:rsidRPr="00A93228">
        <w:rPr>
          <w:rFonts w:ascii="Arial" w:hAnsi="Arial" w:cs="Arial"/>
          <w:szCs w:val="24"/>
        </w:rPr>
        <w:t>Los grupos económicos nacionales más importantes  y hasta monopolios privados se han volcado por la gestión de los fondos de pensiones creando o comprando empresas financieras, aprovechando el número de trabajadores que emplean a nivel nacional e internacional.</w:t>
      </w:r>
    </w:p>
    <w:p w:rsidR="00EE79C9" w:rsidRPr="00A93228" w:rsidRDefault="00445C4D" w:rsidP="00BA65F3">
      <w:pPr>
        <w:pStyle w:val="Sangradetextonormal"/>
        <w:spacing w:line="480" w:lineRule="auto"/>
        <w:ind w:left="0" w:firstLine="709"/>
        <w:jc w:val="both"/>
        <w:rPr>
          <w:rFonts w:ascii="Arial" w:hAnsi="Arial" w:cs="Arial"/>
          <w:szCs w:val="24"/>
        </w:rPr>
      </w:pPr>
      <w:r w:rsidRPr="00A93228">
        <w:rPr>
          <w:rFonts w:ascii="Arial" w:hAnsi="Arial" w:cs="Arial"/>
          <w:szCs w:val="24"/>
        </w:rPr>
        <w:lastRenderedPageBreak/>
        <w:t xml:space="preserve">En </w:t>
      </w:r>
      <w:r w:rsidR="00423319">
        <w:rPr>
          <w:rFonts w:ascii="Arial" w:hAnsi="Arial" w:cs="Arial"/>
          <w:szCs w:val="24"/>
        </w:rPr>
        <w:t>la figura 4</w:t>
      </w:r>
      <w:r w:rsidR="0039590E" w:rsidRPr="00A93228">
        <w:rPr>
          <w:rFonts w:ascii="Arial" w:hAnsi="Arial" w:cs="Arial"/>
          <w:szCs w:val="24"/>
        </w:rPr>
        <w:t xml:space="preserve"> </w:t>
      </w:r>
      <w:r w:rsidRPr="00A93228">
        <w:rPr>
          <w:rFonts w:ascii="Arial" w:hAnsi="Arial" w:cs="Arial"/>
          <w:szCs w:val="24"/>
        </w:rPr>
        <w:t xml:space="preserve">aparecen los  </w:t>
      </w:r>
      <w:r w:rsidR="005225FF" w:rsidRPr="00A93228">
        <w:rPr>
          <w:rFonts w:ascii="Arial" w:hAnsi="Arial" w:cs="Arial"/>
          <w:szCs w:val="24"/>
        </w:rPr>
        <w:t>países y tipos de inversión de los fondos de pensiones reportado por la OCDE en el año 2013.</w:t>
      </w:r>
      <w:r w:rsidR="007255E2" w:rsidRPr="00A93228">
        <w:rPr>
          <w:rFonts w:ascii="Arial" w:hAnsi="Arial" w:cs="Arial"/>
          <w:szCs w:val="24"/>
        </w:rPr>
        <w:t xml:space="preserve"> </w:t>
      </w:r>
      <w:r w:rsidR="00686B13" w:rsidRPr="00A93228">
        <w:rPr>
          <w:rFonts w:ascii="Arial" w:hAnsi="Arial" w:cs="Arial"/>
          <w:szCs w:val="24"/>
        </w:rPr>
        <w:t>Así tenemos que los Estados Unidos, Australia y Chile son los países cuyos fondos de pensiones se colocan en los mercados de renta variable, una relación superior al 40%.</w:t>
      </w:r>
      <w:r w:rsidR="008549CC" w:rsidRPr="00A93228">
        <w:rPr>
          <w:rFonts w:ascii="Arial" w:hAnsi="Arial" w:cs="Arial"/>
          <w:szCs w:val="24"/>
        </w:rPr>
        <w:t xml:space="preserve"> Los siguientes siete países lo hacen por arriba del 30%, mientras que México guarda una relación del 18%, que indi</w:t>
      </w:r>
      <w:r w:rsidR="00E062F8" w:rsidRPr="00A93228">
        <w:rPr>
          <w:rFonts w:ascii="Arial" w:hAnsi="Arial" w:cs="Arial"/>
          <w:szCs w:val="24"/>
        </w:rPr>
        <w:t>ca una proporción</w:t>
      </w:r>
      <w:r w:rsidR="00E007B3">
        <w:rPr>
          <w:rFonts w:ascii="Arial" w:hAnsi="Arial" w:cs="Arial"/>
          <w:szCs w:val="24"/>
        </w:rPr>
        <w:t xml:space="preserve"> superior del 82% en renta fija.</w:t>
      </w:r>
    </w:p>
    <w:p w:rsidR="00423319" w:rsidRPr="004F2984" w:rsidRDefault="000926ED" w:rsidP="00AC2CC4">
      <w:pPr>
        <w:spacing w:after="0" w:line="480" w:lineRule="auto"/>
        <w:ind w:firstLine="709"/>
        <w:jc w:val="both"/>
        <w:rPr>
          <w:rFonts w:ascii="Arial" w:hAnsi="Arial" w:cs="Arial"/>
          <w:sz w:val="20"/>
          <w:szCs w:val="20"/>
        </w:rPr>
      </w:pPr>
      <w:r w:rsidRPr="00A93228">
        <w:rPr>
          <w:rFonts w:ascii="Arial" w:hAnsi="Arial" w:cs="Arial"/>
          <w:sz w:val="24"/>
          <w:szCs w:val="24"/>
        </w:rPr>
        <w:t>Con respecto a los países no miembros de la OCDE Hong Kong es el que mantiene la inversión en renta variable más alta, por arriba del 57%. Perú y Colombia con el 38 y 35% respectivamente, mientras que Costa Rica totaliza el 100% en renta fija, prácticament</w:t>
      </w:r>
      <w:r w:rsidR="00423319">
        <w:rPr>
          <w:rFonts w:ascii="Arial" w:hAnsi="Arial" w:cs="Arial"/>
          <w:sz w:val="24"/>
          <w:szCs w:val="24"/>
        </w:rPr>
        <w:t>e deuda pública (figura 5</w:t>
      </w:r>
      <w:r w:rsidRPr="00A93228">
        <w:rPr>
          <w:rFonts w:ascii="Arial" w:hAnsi="Arial" w:cs="Arial"/>
          <w:sz w:val="24"/>
          <w:szCs w:val="24"/>
        </w:rPr>
        <w:t xml:space="preserve">).  </w:t>
      </w:r>
    </w:p>
    <w:p w:rsidR="00BA65F3" w:rsidRDefault="00BA65F3" w:rsidP="00E0625C">
      <w:pPr>
        <w:pStyle w:val="Puesto"/>
      </w:pPr>
      <w:bookmarkStart w:id="47" w:name="_Toc401589887"/>
    </w:p>
    <w:p w:rsidR="00BA65F3" w:rsidRDefault="00BA65F3" w:rsidP="00E0625C">
      <w:pPr>
        <w:pStyle w:val="Puesto"/>
      </w:pPr>
    </w:p>
    <w:p w:rsidR="00BA65F3" w:rsidRDefault="00BA65F3" w:rsidP="00E0625C">
      <w:pPr>
        <w:pStyle w:val="Puesto"/>
      </w:pPr>
    </w:p>
    <w:p w:rsidR="00BA65F3" w:rsidRDefault="00BA65F3" w:rsidP="00E0625C">
      <w:pPr>
        <w:pStyle w:val="Puesto"/>
      </w:pPr>
    </w:p>
    <w:p w:rsidR="00BA65F3" w:rsidRDefault="00BA65F3" w:rsidP="00E0625C">
      <w:pPr>
        <w:pStyle w:val="Puesto"/>
      </w:pPr>
    </w:p>
    <w:p w:rsidR="00BA65F3" w:rsidRDefault="00BA65F3" w:rsidP="00E0625C">
      <w:pPr>
        <w:pStyle w:val="Puesto"/>
      </w:pPr>
    </w:p>
    <w:p w:rsidR="00BA65F3" w:rsidRDefault="00BA65F3" w:rsidP="00E0625C">
      <w:pPr>
        <w:pStyle w:val="Puesto"/>
      </w:pPr>
    </w:p>
    <w:p w:rsidR="00BA65F3" w:rsidRDefault="00BA65F3" w:rsidP="00E0625C">
      <w:pPr>
        <w:pStyle w:val="Puesto"/>
      </w:pPr>
    </w:p>
    <w:p w:rsidR="00BA65F3" w:rsidRDefault="00BA65F3" w:rsidP="00E0625C">
      <w:pPr>
        <w:pStyle w:val="Puesto"/>
      </w:pPr>
    </w:p>
    <w:p w:rsidR="00BA65F3" w:rsidRDefault="00BA65F3" w:rsidP="00E0625C">
      <w:pPr>
        <w:pStyle w:val="Puesto"/>
      </w:pPr>
    </w:p>
    <w:p w:rsidR="00BA65F3" w:rsidRDefault="00BA65F3" w:rsidP="00E0625C">
      <w:pPr>
        <w:pStyle w:val="Puesto"/>
      </w:pPr>
    </w:p>
    <w:p w:rsidR="00BA65F3" w:rsidRDefault="00BA65F3" w:rsidP="00E0625C">
      <w:pPr>
        <w:pStyle w:val="Puesto"/>
      </w:pPr>
    </w:p>
    <w:p w:rsidR="00BA65F3" w:rsidRDefault="00BA65F3" w:rsidP="00E0625C">
      <w:pPr>
        <w:pStyle w:val="Puesto"/>
      </w:pPr>
    </w:p>
    <w:p w:rsidR="00BA65F3" w:rsidRDefault="00BA65F3" w:rsidP="00E0625C">
      <w:pPr>
        <w:pStyle w:val="Puesto"/>
      </w:pPr>
    </w:p>
    <w:p w:rsidR="00BA65F3" w:rsidRDefault="00BA65F3" w:rsidP="00E0625C">
      <w:pPr>
        <w:pStyle w:val="Puesto"/>
      </w:pPr>
    </w:p>
    <w:p w:rsidR="00BA65F3" w:rsidRDefault="00BA65F3" w:rsidP="00E0625C">
      <w:pPr>
        <w:pStyle w:val="Puesto"/>
      </w:pPr>
    </w:p>
    <w:p w:rsidR="00BA65F3" w:rsidRDefault="00BA65F3" w:rsidP="00E0625C">
      <w:pPr>
        <w:pStyle w:val="Puesto"/>
      </w:pPr>
    </w:p>
    <w:p w:rsidR="00BA65F3" w:rsidRDefault="00BA65F3" w:rsidP="00E0625C">
      <w:pPr>
        <w:pStyle w:val="Puesto"/>
      </w:pPr>
    </w:p>
    <w:p w:rsidR="002619FC" w:rsidRDefault="00E0625C" w:rsidP="00E0625C">
      <w:pPr>
        <w:pStyle w:val="Puesto"/>
      </w:pPr>
      <w:r>
        <w:lastRenderedPageBreak/>
        <w:t xml:space="preserve">Figura </w:t>
      </w:r>
      <w:r w:rsidR="00422485">
        <w:fldChar w:fldCharType="begin"/>
      </w:r>
      <w:r w:rsidR="00010E8C">
        <w:instrText xml:space="preserve"> SEQ Figura \* ARABIC </w:instrText>
      </w:r>
      <w:r w:rsidR="00422485">
        <w:fldChar w:fldCharType="separate"/>
      </w:r>
      <w:r>
        <w:rPr>
          <w:noProof/>
        </w:rPr>
        <w:t>5</w:t>
      </w:r>
      <w:r w:rsidR="00422485">
        <w:rPr>
          <w:noProof/>
        </w:rPr>
        <w:fldChar w:fldCharType="end"/>
      </w:r>
    </w:p>
    <w:p w:rsidR="000673BE" w:rsidRPr="003A18B1" w:rsidRDefault="00E0625C" w:rsidP="00E0625C">
      <w:pPr>
        <w:pStyle w:val="Puesto"/>
      </w:pPr>
      <w:r>
        <w:t xml:space="preserve"> </w:t>
      </w:r>
      <w:r w:rsidR="000673BE" w:rsidRPr="003A18B1">
        <w:rPr>
          <w:rStyle w:val="hps"/>
        </w:rPr>
        <w:t>Asignación de activos</w:t>
      </w:r>
      <w:r w:rsidR="000673BE" w:rsidRPr="003A18B1">
        <w:t xml:space="preserve"> </w:t>
      </w:r>
      <w:r w:rsidR="000673BE" w:rsidRPr="003A18B1">
        <w:rPr>
          <w:rStyle w:val="hps"/>
        </w:rPr>
        <w:t>de fondos de pensiones</w:t>
      </w:r>
      <w:r w:rsidR="000673BE" w:rsidRPr="003A18B1">
        <w:t xml:space="preserve"> </w:t>
      </w:r>
      <w:r w:rsidR="000673BE" w:rsidRPr="003A18B1">
        <w:rPr>
          <w:rStyle w:val="hps"/>
        </w:rPr>
        <w:t>para las categorías</w:t>
      </w:r>
      <w:r w:rsidR="000673BE" w:rsidRPr="003A18B1">
        <w:t xml:space="preserve"> </w:t>
      </w:r>
      <w:r w:rsidR="00E007B3" w:rsidRPr="003A18B1">
        <w:rPr>
          <w:rStyle w:val="hps"/>
        </w:rPr>
        <w:t xml:space="preserve">de </w:t>
      </w:r>
      <w:r w:rsidR="00877C70">
        <w:rPr>
          <w:rStyle w:val="hps"/>
        </w:rPr>
        <w:t xml:space="preserve">inversión </w:t>
      </w:r>
      <w:r w:rsidR="000673BE" w:rsidRPr="003A18B1">
        <w:t xml:space="preserve"> </w:t>
      </w:r>
      <w:r w:rsidR="000673BE" w:rsidRPr="003A18B1">
        <w:rPr>
          <w:rStyle w:val="hps"/>
        </w:rPr>
        <w:t>en</w:t>
      </w:r>
      <w:r w:rsidR="000673BE" w:rsidRPr="003A18B1">
        <w:t xml:space="preserve"> </w:t>
      </w:r>
      <w:r w:rsidR="000673BE" w:rsidRPr="003A18B1">
        <w:rPr>
          <w:rStyle w:val="hps"/>
        </w:rPr>
        <w:t>países</w:t>
      </w:r>
      <w:r w:rsidR="000673BE" w:rsidRPr="003A18B1">
        <w:t xml:space="preserve"> </w:t>
      </w:r>
      <w:r w:rsidR="000673BE" w:rsidRPr="003A18B1">
        <w:rPr>
          <w:rStyle w:val="hps"/>
        </w:rPr>
        <w:t>seleccionados no miembros de la OCDE</w:t>
      </w:r>
      <w:r w:rsidR="00423319" w:rsidRPr="003A18B1">
        <w:t>,</w:t>
      </w:r>
      <w:r w:rsidR="003A18B1" w:rsidRPr="003A18B1">
        <w:t xml:space="preserve"> </w:t>
      </w:r>
      <w:r w:rsidR="000673BE" w:rsidRPr="003A18B1">
        <w:rPr>
          <w:rStyle w:val="hps"/>
          <w:rFonts w:cs="Arial"/>
          <w:color w:val="222222"/>
          <w:szCs w:val="24"/>
          <w:lang w:val="es-ES"/>
        </w:rPr>
        <w:t>2012</w:t>
      </w:r>
      <w:r w:rsidR="000673BE" w:rsidRPr="00A93228">
        <w:rPr>
          <w:rFonts w:cs="Arial"/>
          <w:color w:val="222222"/>
          <w:szCs w:val="24"/>
          <w:lang w:val="es-ES"/>
        </w:rPr>
        <w:t xml:space="preserve"> </w:t>
      </w:r>
      <w:r w:rsidR="000673BE" w:rsidRPr="00A93228">
        <w:rPr>
          <w:rFonts w:cs="Arial"/>
          <w:color w:val="222222"/>
          <w:szCs w:val="24"/>
          <w:lang w:val="es-ES"/>
        </w:rPr>
        <w:br/>
      </w:r>
      <w:r w:rsidR="00423319" w:rsidRPr="003A18B1">
        <w:rPr>
          <w:rStyle w:val="hps"/>
          <w:rFonts w:cs="Arial"/>
          <w:b w:val="0"/>
          <w:color w:val="222222"/>
          <w:szCs w:val="24"/>
          <w:lang w:val="es-ES"/>
        </w:rPr>
        <w:t>(P</w:t>
      </w:r>
      <w:r w:rsidR="000673BE" w:rsidRPr="003A18B1">
        <w:rPr>
          <w:rStyle w:val="hps"/>
          <w:rFonts w:cs="Arial"/>
          <w:b w:val="0"/>
          <w:color w:val="222222"/>
          <w:szCs w:val="24"/>
          <w:lang w:val="es-ES"/>
        </w:rPr>
        <w:t>orcentaje</w:t>
      </w:r>
      <w:r w:rsidR="000673BE" w:rsidRPr="003A18B1">
        <w:rPr>
          <w:rFonts w:cs="Arial"/>
          <w:color w:val="222222"/>
          <w:szCs w:val="24"/>
          <w:lang w:val="es-ES"/>
        </w:rPr>
        <w:t xml:space="preserve"> </w:t>
      </w:r>
      <w:r w:rsidR="00E007B3" w:rsidRPr="003A18B1">
        <w:rPr>
          <w:rStyle w:val="hps"/>
          <w:rFonts w:cs="Arial"/>
          <w:b w:val="0"/>
          <w:color w:val="222222"/>
          <w:szCs w:val="24"/>
          <w:lang w:val="es-ES"/>
        </w:rPr>
        <w:t>de la inversión total)</w:t>
      </w:r>
      <w:bookmarkEnd w:id="47"/>
    </w:p>
    <w:p w:rsidR="000673BE" w:rsidRPr="00A93228" w:rsidRDefault="000673BE" w:rsidP="006E10B9">
      <w:pPr>
        <w:spacing w:line="480" w:lineRule="auto"/>
        <w:jc w:val="both"/>
        <w:rPr>
          <w:rFonts w:ascii="Arial" w:hAnsi="Arial" w:cs="Arial"/>
          <w:sz w:val="24"/>
          <w:szCs w:val="24"/>
        </w:rPr>
      </w:pPr>
      <w:r w:rsidRPr="00A93228">
        <w:rPr>
          <w:rFonts w:ascii="Arial" w:hAnsi="Arial" w:cs="Arial"/>
          <w:noProof/>
          <w:sz w:val="24"/>
          <w:szCs w:val="24"/>
          <w:lang w:eastAsia="es-MX"/>
        </w:rPr>
        <w:drawing>
          <wp:inline distT="0" distB="0" distL="0" distR="0">
            <wp:extent cx="5612130" cy="4065905"/>
            <wp:effectExtent l="0" t="0" r="7620" b="10795"/>
            <wp:docPr id="14"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673BE" w:rsidRPr="00E007B3" w:rsidRDefault="000673BE" w:rsidP="006E10B9">
      <w:pPr>
        <w:spacing w:line="480" w:lineRule="auto"/>
        <w:jc w:val="both"/>
        <w:rPr>
          <w:rFonts w:ascii="Arial" w:hAnsi="Arial" w:cs="Arial"/>
          <w:sz w:val="20"/>
          <w:szCs w:val="20"/>
        </w:rPr>
      </w:pPr>
      <w:r w:rsidRPr="00E007B3">
        <w:rPr>
          <w:rFonts w:ascii="Arial" w:hAnsi="Arial" w:cs="Arial"/>
          <w:sz w:val="20"/>
          <w:szCs w:val="20"/>
        </w:rPr>
        <w:t>Fuente: OCDE, Estadísticas Globales de Pensiones 2014.</w:t>
      </w:r>
    </w:p>
    <w:p w:rsidR="0023713E" w:rsidRPr="004F2984" w:rsidRDefault="004A0692" w:rsidP="008970F9">
      <w:pPr>
        <w:pStyle w:val="Ttulo1"/>
        <w:numPr>
          <w:ilvl w:val="0"/>
          <w:numId w:val="11"/>
        </w:numPr>
        <w:spacing w:before="400" w:after="400"/>
        <w:ind w:left="1077" w:hanging="357"/>
        <w:rPr>
          <w:rStyle w:val="Textoennegrita"/>
          <w:b/>
          <w:bCs/>
        </w:rPr>
      </w:pPr>
      <w:bookmarkStart w:id="48" w:name="_Toc401571172"/>
      <w:bookmarkStart w:id="49" w:name="_Toc401577563"/>
      <w:bookmarkStart w:id="50" w:name="_Toc401578510"/>
      <w:bookmarkStart w:id="51" w:name="_Toc401580974"/>
      <w:bookmarkStart w:id="52" w:name="_Toc401581463"/>
      <w:bookmarkStart w:id="53" w:name="_Toc401586004"/>
      <w:bookmarkStart w:id="54" w:name="_Toc402948935"/>
      <w:r w:rsidRPr="00A93228">
        <w:t>REGULACIÓN DE LOS SISTEMAS DE PENSIONES PRIVADOS</w:t>
      </w:r>
      <w:bookmarkEnd w:id="48"/>
      <w:bookmarkEnd w:id="49"/>
      <w:bookmarkEnd w:id="50"/>
      <w:bookmarkEnd w:id="51"/>
      <w:bookmarkEnd w:id="52"/>
      <w:bookmarkEnd w:id="53"/>
      <w:bookmarkEnd w:id="54"/>
    </w:p>
    <w:p w:rsidR="0023713E" w:rsidRPr="00A93228" w:rsidRDefault="0023713E" w:rsidP="00B923F3">
      <w:pPr>
        <w:pStyle w:val="Sangradetextonormal"/>
        <w:spacing w:line="480" w:lineRule="auto"/>
        <w:ind w:left="0" w:firstLine="720"/>
        <w:jc w:val="both"/>
        <w:rPr>
          <w:rFonts w:ascii="Arial" w:hAnsi="Arial" w:cs="Arial"/>
          <w:szCs w:val="24"/>
        </w:rPr>
      </w:pPr>
      <w:r w:rsidRPr="00A93228">
        <w:rPr>
          <w:rFonts w:ascii="Arial" w:hAnsi="Arial" w:cs="Arial"/>
          <w:szCs w:val="24"/>
        </w:rPr>
        <w:t xml:space="preserve">Como todos los programas que se relacionan con la seguridad social de los individuos, los planes de pensiones privados también cuentan con una particular normatividad que se encuentran, generalmente, establecidas en Legislaciones, Decretos o Apartados Específicos del ramo en cada país. En  todos ellos, los sistemas en referencia, gozan de regulaciones sumamente estrictas y agudas por </w:t>
      </w:r>
      <w:r w:rsidRPr="00A93228">
        <w:rPr>
          <w:rFonts w:ascii="Arial" w:hAnsi="Arial" w:cs="Arial"/>
          <w:szCs w:val="24"/>
        </w:rPr>
        <w:lastRenderedPageBreak/>
        <w:t>su naturaleza y por factores que tienen que ver con los objetivos que persiguen y por el valor monetario que representan tanto para sus tenedores como para la economía en su conjunto. De ahí que su tratamiento observe mecanismos de regulación, fiscalización y seguimiento estricto tanto por lo que respecta al ámbito de sus patrocinadores y gesto</w:t>
      </w:r>
      <w:r w:rsidR="00E007B3">
        <w:rPr>
          <w:rFonts w:ascii="Arial" w:hAnsi="Arial" w:cs="Arial"/>
          <w:szCs w:val="24"/>
        </w:rPr>
        <w:t xml:space="preserve">res como al de sus  tenedores. </w:t>
      </w:r>
    </w:p>
    <w:p w:rsidR="0023713E" w:rsidRPr="00A93228" w:rsidRDefault="0023713E" w:rsidP="0031126D">
      <w:pPr>
        <w:pStyle w:val="Sangradetextonormal"/>
        <w:spacing w:line="480" w:lineRule="auto"/>
        <w:ind w:left="0" w:firstLine="720"/>
        <w:jc w:val="both"/>
        <w:rPr>
          <w:rFonts w:ascii="Arial" w:hAnsi="Arial" w:cs="Arial"/>
          <w:szCs w:val="24"/>
        </w:rPr>
      </w:pPr>
      <w:r w:rsidRPr="00A93228">
        <w:rPr>
          <w:rFonts w:ascii="Arial" w:hAnsi="Arial" w:cs="Arial"/>
          <w:szCs w:val="24"/>
        </w:rPr>
        <w:t xml:space="preserve">Los renglones principales que las diferentes legislaciones establecen los podemos agrupar en tres rubros  específicos; lo que no implica de modo alguno que en cada una de ellas existan variantes de acuerdo a su importancia y tratamiento dentro de todo el esquema de seguridad social. Por lo demás los principios y los actores que engloba son por lo general los mismos: en el primer caso,  complementar el valor de las pensiones de ciertos grupos de asegurados; mientras que en el segundo, los patrocinadores o empleadores, los trabajadores y los intermediarios financieros, en algunos casos complementado por los propios gobiernos. </w:t>
      </w:r>
    </w:p>
    <w:p w:rsidR="0023713E" w:rsidRPr="00A93228" w:rsidRDefault="0023713E" w:rsidP="0031126D">
      <w:pPr>
        <w:pStyle w:val="Sangradetextonormal"/>
        <w:spacing w:line="480" w:lineRule="auto"/>
        <w:ind w:left="0" w:firstLine="720"/>
        <w:jc w:val="both"/>
        <w:rPr>
          <w:rFonts w:ascii="Arial" w:hAnsi="Arial" w:cs="Arial"/>
          <w:szCs w:val="24"/>
        </w:rPr>
      </w:pPr>
      <w:r w:rsidRPr="00A93228">
        <w:rPr>
          <w:rFonts w:ascii="Arial" w:hAnsi="Arial" w:cs="Arial"/>
          <w:szCs w:val="24"/>
        </w:rPr>
        <w:t>El primero de ellos, tiene que ver con la necesidad de regular la finalidad exclusiva de las pensiones privadas como podrían ser sus objetivos, los diferentes tipos de planes, cobertura de los beneficios, los requisitos  para poder participar, prestaciones que ofrecen,  el horizonte de tiem</w:t>
      </w:r>
      <w:r w:rsidR="0031126D">
        <w:rPr>
          <w:rFonts w:ascii="Arial" w:hAnsi="Arial" w:cs="Arial"/>
          <w:szCs w:val="24"/>
        </w:rPr>
        <w:t>po que comprenden, entre otros.</w:t>
      </w:r>
    </w:p>
    <w:p w:rsidR="0023713E" w:rsidRPr="00A93228" w:rsidRDefault="0023713E" w:rsidP="0031126D">
      <w:pPr>
        <w:pStyle w:val="Sangradetextonormal"/>
        <w:spacing w:line="480" w:lineRule="auto"/>
        <w:ind w:left="0" w:firstLine="720"/>
        <w:jc w:val="both"/>
        <w:rPr>
          <w:rFonts w:ascii="Arial" w:hAnsi="Arial" w:cs="Arial"/>
          <w:szCs w:val="24"/>
        </w:rPr>
      </w:pPr>
      <w:r w:rsidRPr="00A93228">
        <w:rPr>
          <w:rFonts w:ascii="Arial" w:hAnsi="Arial" w:cs="Arial"/>
          <w:szCs w:val="24"/>
        </w:rPr>
        <w:t xml:space="preserve">El segundo de ellos, suele establecer los sectores de trabajadores a los que están dirigidos; los sectores laborales, empresariales y financieros que participan; el papel del estado en el financiamiento de las pensiones;  los derechos y obligaciones de cada uno de ellos; las contribuciones y cotizaciones para el financiamiento de las pensiones de cada sector y, los beneficiarios directos e </w:t>
      </w:r>
      <w:r w:rsidRPr="00A93228">
        <w:rPr>
          <w:rFonts w:ascii="Arial" w:hAnsi="Arial" w:cs="Arial"/>
          <w:szCs w:val="24"/>
        </w:rPr>
        <w:lastRenderedPageBreak/>
        <w:t>indirectos. En si suelen definir a través de las legislaciones los sectores y agentes que part</w:t>
      </w:r>
      <w:r w:rsidR="0031126D">
        <w:rPr>
          <w:rFonts w:ascii="Arial" w:hAnsi="Arial" w:cs="Arial"/>
          <w:szCs w:val="24"/>
        </w:rPr>
        <w:t xml:space="preserve">icipan dentro de los sistemas. </w:t>
      </w:r>
    </w:p>
    <w:p w:rsidR="008970F9" w:rsidRDefault="0023713E" w:rsidP="00C627CD">
      <w:pPr>
        <w:pStyle w:val="Sangradetextonormal"/>
        <w:spacing w:line="480" w:lineRule="auto"/>
        <w:ind w:left="0" w:firstLine="720"/>
        <w:jc w:val="both"/>
        <w:rPr>
          <w:rFonts w:ascii="Arial" w:hAnsi="Arial" w:cs="Arial"/>
          <w:szCs w:val="24"/>
        </w:rPr>
      </w:pPr>
      <w:r w:rsidRPr="00A93228">
        <w:rPr>
          <w:rFonts w:ascii="Arial" w:hAnsi="Arial" w:cs="Arial"/>
          <w:szCs w:val="24"/>
        </w:rPr>
        <w:t xml:space="preserve">Un tercer renglón, define los intermediarios financieros que gestionan los fondos como empresas financieras especializadas, aseguradoras, cajas de ahorro o también los sindicatos. En este caso, las legislaciones marcan nítidamente las obligaciones y beneficios a que están sujetos. Asimismo, la normatividad respectiva define los tipos de inversión que pueden llevar a cabo, los mercados en que pueden participar, el número de empresas y tipos de empresas que pueden participar, los diferentes servicios que están obligadas a ofrecer, la infraestructura con la que deben contar, la transparencia y probidad con que se deben de conducir, los activos  financieros que las respaldan y, la información financiera que deben reportar permanentemente al estado y los trabajadores. En  general, todos aquellos aspectos que tienen que ver con el manejo de los fondos y las garantías financieras relativas a los agentes financieros </w:t>
      </w:r>
      <w:r w:rsidR="00087836">
        <w:rPr>
          <w:rFonts w:ascii="Arial" w:hAnsi="Arial" w:cs="Arial"/>
          <w:szCs w:val="24"/>
        </w:rPr>
        <w:t>reconocidos institucionalmente.</w:t>
      </w:r>
    </w:p>
    <w:p w:rsidR="00C213DA" w:rsidRDefault="00C213DA" w:rsidP="00C627CD">
      <w:pPr>
        <w:pStyle w:val="Sangradetextonormal"/>
        <w:spacing w:line="480" w:lineRule="auto"/>
        <w:ind w:left="0" w:firstLine="720"/>
        <w:jc w:val="both"/>
        <w:rPr>
          <w:rFonts w:ascii="Arial" w:hAnsi="Arial" w:cs="Arial"/>
          <w:szCs w:val="24"/>
        </w:rPr>
      </w:pPr>
    </w:p>
    <w:p w:rsidR="00C213DA" w:rsidRDefault="00C213DA" w:rsidP="00C627CD">
      <w:pPr>
        <w:pStyle w:val="Sangradetextonormal"/>
        <w:spacing w:line="480" w:lineRule="auto"/>
        <w:ind w:left="0" w:firstLine="720"/>
        <w:jc w:val="both"/>
        <w:rPr>
          <w:rFonts w:ascii="Arial" w:hAnsi="Arial" w:cs="Arial"/>
          <w:szCs w:val="24"/>
        </w:rPr>
      </w:pPr>
    </w:p>
    <w:p w:rsidR="00C213DA" w:rsidRDefault="00C213DA" w:rsidP="00C627CD">
      <w:pPr>
        <w:pStyle w:val="Sangradetextonormal"/>
        <w:spacing w:line="480" w:lineRule="auto"/>
        <w:ind w:left="0" w:firstLine="720"/>
        <w:jc w:val="both"/>
        <w:rPr>
          <w:rFonts w:ascii="Arial" w:hAnsi="Arial" w:cs="Arial"/>
          <w:szCs w:val="24"/>
        </w:rPr>
      </w:pPr>
    </w:p>
    <w:p w:rsidR="00C213DA" w:rsidRDefault="00C213DA" w:rsidP="00C627CD">
      <w:pPr>
        <w:pStyle w:val="Sangradetextonormal"/>
        <w:spacing w:line="480" w:lineRule="auto"/>
        <w:ind w:left="0" w:firstLine="720"/>
        <w:jc w:val="both"/>
        <w:rPr>
          <w:rFonts w:ascii="Arial" w:hAnsi="Arial" w:cs="Arial"/>
          <w:szCs w:val="24"/>
        </w:rPr>
      </w:pPr>
    </w:p>
    <w:p w:rsidR="00C213DA" w:rsidRDefault="00C213DA" w:rsidP="00C627CD">
      <w:pPr>
        <w:pStyle w:val="Sangradetextonormal"/>
        <w:spacing w:line="480" w:lineRule="auto"/>
        <w:ind w:left="0" w:firstLine="720"/>
        <w:jc w:val="both"/>
        <w:rPr>
          <w:rFonts w:ascii="Arial" w:hAnsi="Arial" w:cs="Arial"/>
          <w:szCs w:val="24"/>
        </w:rPr>
      </w:pPr>
    </w:p>
    <w:p w:rsidR="00C213DA" w:rsidRDefault="00C213DA" w:rsidP="00C627CD">
      <w:pPr>
        <w:pStyle w:val="Sangradetextonormal"/>
        <w:spacing w:line="480" w:lineRule="auto"/>
        <w:ind w:left="0" w:firstLine="720"/>
        <w:jc w:val="both"/>
        <w:rPr>
          <w:rFonts w:ascii="Arial" w:hAnsi="Arial" w:cs="Arial"/>
          <w:szCs w:val="24"/>
        </w:rPr>
      </w:pPr>
    </w:p>
    <w:p w:rsidR="00C213DA" w:rsidRDefault="00C213DA" w:rsidP="00C627CD">
      <w:pPr>
        <w:pStyle w:val="Sangradetextonormal"/>
        <w:spacing w:line="480" w:lineRule="auto"/>
        <w:ind w:left="0" w:firstLine="720"/>
        <w:jc w:val="both"/>
        <w:rPr>
          <w:rFonts w:ascii="Arial" w:hAnsi="Arial" w:cs="Arial"/>
          <w:szCs w:val="24"/>
        </w:rPr>
      </w:pPr>
    </w:p>
    <w:p w:rsidR="00C213DA" w:rsidRDefault="00C213DA" w:rsidP="00C627CD">
      <w:pPr>
        <w:pStyle w:val="Sangradetextonormal"/>
        <w:spacing w:line="480" w:lineRule="auto"/>
        <w:ind w:left="0" w:firstLine="720"/>
        <w:jc w:val="both"/>
        <w:rPr>
          <w:rFonts w:ascii="Arial" w:hAnsi="Arial" w:cs="Arial"/>
          <w:szCs w:val="24"/>
        </w:rPr>
      </w:pPr>
    </w:p>
    <w:p w:rsidR="00C213DA" w:rsidRDefault="00C213DA" w:rsidP="00C627CD">
      <w:pPr>
        <w:pStyle w:val="Sangradetextonormal"/>
        <w:spacing w:line="480" w:lineRule="auto"/>
        <w:ind w:left="0" w:firstLine="720"/>
        <w:jc w:val="both"/>
        <w:rPr>
          <w:rFonts w:ascii="Arial" w:hAnsi="Arial" w:cs="Arial"/>
          <w:szCs w:val="24"/>
        </w:rPr>
      </w:pPr>
    </w:p>
    <w:p w:rsidR="00C213DA" w:rsidRPr="004A3D67" w:rsidRDefault="00C213DA" w:rsidP="00C627CD">
      <w:pPr>
        <w:pStyle w:val="Sangradetextonormal"/>
        <w:spacing w:line="480" w:lineRule="auto"/>
        <w:ind w:left="0" w:firstLine="720"/>
        <w:jc w:val="both"/>
        <w:rPr>
          <w:rFonts w:ascii="Arial" w:hAnsi="Arial" w:cs="Arial"/>
          <w:szCs w:val="24"/>
        </w:rPr>
      </w:pPr>
    </w:p>
    <w:p w:rsidR="00702451" w:rsidRDefault="00087836" w:rsidP="00B422C1">
      <w:pPr>
        <w:pStyle w:val="Puesto"/>
        <w:rPr>
          <w:noProof/>
        </w:rPr>
      </w:pPr>
      <w:bookmarkStart w:id="55" w:name="_Toc401585958"/>
      <w:bookmarkStart w:id="56" w:name="_Toc402963898"/>
      <w:r>
        <w:lastRenderedPageBreak/>
        <w:t xml:space="preserve">Cuadro </w:t>
      </w:r>
      <w:r w:rsidR="00422485">
        <w:fldChar w:fldCharType="begin"/>
      </w:r>
      <w:r w:rsidR="00010E8C">
        <w:instrText xml:space="preserve"> SEQ Cuadro \* ARABIC </w:instrText>
      </w:r>
      <w:r w:rsidR="00422485">
        <w:fldChar w:fldCharType="separate"/>
      </w:r>
      <w:r w:rsidR="00CC3D48">
        <w:rPr>
          <w:noProof/>
        </w:rPr>
        <w:t>1</w:t>
      </w:r>
      <w:bookmarkEnd w:id="55"/>
      <w:r w:rsidR="00422485">
        <w:rPr>
          <w:noProof/>
        </w:rPr>
        <w:fldChar w:fldCharType="end"/>
      </w:r>
    </w:p>
    <w:p w:rsidR="00E62255" w:rsidRPr="00A93228" w:rsidRDefault="004F25A5" w:rsidP="00B422C1">
      <w:pPr>
        <w:pStyle w:val="Puesto"/>
        <w:rPr>
          <w:noProof/>
        </w:rPr>
      </w:pPr>
      <w:r w:rsidRPr="004F25A5">
        <w:t>Entidades reguladoras de los sistemas y empresas</w:t>
      </w:r>
      <w:r>
        <w:t xml:space="preserve"> </w:t>
      </w:r>
      <w:r w:rsidRPr="004F25A5">
        <w:t>financieras administradoras de los fondos de pensiones</w:t>
      </w:r>
      <w:bookmarkEnd w:id="56"/>
    </w:p>
    <w:tbl>
      <w:tblPr>
        <w:tblW w:w="8600" w:type="dxa"/>
        <w:jc w:val="center"/>
        <w:tblCellMar>
          <w:left w:w="70" w:type="dxa"/>
          <w:right w:w="70" w:type="dxa"/>
        </w:tblCellMar>
        <w:tblLook w:val="04A0" w:firstRow="1" w:lastRow="0" w:firstColumn="1" w:lastColumn="0" w:noHBand="0" w:noVBand="1"/>
      </w:tblPr>
      <w:tblGrid>
        <w:gridCol w:w="2140"/>
        <w:gridCol w:w="3480"/>
        <w:gridCol w:w="2980"/>
      </w:tblGrid>
      <w:tr w:rsidR="00E62255" w:rsidRPr="004F2984" w:rsidTr="00A90559">
        <w:trPr>
          <w:trHeight w:val="975"/>
          <w:jc w:val="center"/>
        </w:trPr>
        <w:tc>
          <w:tcPr>
            <w:tcW w:w="2140" w:type="dxa"/>
            <w:tcBorders>
              <w:top w:val="single" w:sz="4" w:space="0" w:color="auto"/>
              <w:left w:val="single" w:sz="4" w:space="0" w:color="auto"/>
              <w:bottom w:val="single" w:sz="4" w:space="0" w:color="auto"/>
              <w:right w:val="single" w:sz="4" w:space="0" w:color="auto"/>
            </w:tcBorders>
            <w:shd w:val="clear" w:color="000000" w:fill="1D1B10"/>
            <w:vAlign w:val="center"/>
            <w:hideMark/>
          </w:tcPr>
          <w:p w:rsidR="00E62255" w:rsidRPr="004F2984" w:rsidRDefault="00E62255" w:rsidP="00612773">
            <w:pPr>
              <w:spacing w:after="0"/>
              <w:jc w:val="center"/>
              <w:rPr>
                <w:rFonts w:ascii="Arial" w:eastAsia="Times New Roman" w:hAnsi="Arial" w:cs="Arial"/>
                <w:b/>
                <w:bCs/>
                <w:color w:val="F2F2F2"/>
                <w:lang w:eastAsia="es-MX"/>
              </w:rPr>
            </w:pPr>
            <w:r w:rsidRPr="004F2984">
              <w:rPr>
                <w:rFonts w:ascii="Arial" w:eastAsia="Times New Roman" w:hAnsi="Arial" w:cs="Arial"/>
                <w:b/>
                <w:bCs/>
                <w:color w:val="F2F2F2"/>
                <w:lang w:eastAsia="es-MX"/>
              </w:rPr>
              <w:t>País</w:t>
            </w:r>
          </w:p>
        </w:tc>
        <w:tc>
          <w:tcPr>
            <w:tcW w:w="3480" w:type="dxa"/>
            <w:tcBorders>
              <w:top w:val="single" w:sz="4" w:space="0" w:color="auto"/>
              <w:left w:val="nil"/>
              <w:bottom w:val="single" w:sz="4" w:space="0" w:color="auto"/>
              <w:right w:val="single" w:sz="4" w:space="0" w:color="auto"/>
            </w:tcBorders>
            <w:shd w:val="clear" w:color="000000" w:fill="1D1B10"/>
            <w:vAlign w:val="center"/>
            <w:hideMark/>
          </w:tcPr>
          <w:p w:rsidR="00E62255" w:rsidRPr="004F2984" w:rsidRDefault="00E62255" w:rsidP="00612773">
            <w:pPr>
              <w:spacing w:after="0"/>
              <w:jc w:val="center"/>
              <w:rPr>
                <w:rFonts w:ascii="Arial" w:eastAsia="Times New Roman" w:hAnsi="Arial" w:cs="Arial"/>
                <w:b/>
                <w:bCs/>
                <w:color w:val="F2F2F2"/>
                <w:lang w:eastAsia="es-MX"/>
              </w:rPr>
            </w:pPr>
            <w:r w:rsidRPr="004F2984">
              <w:rPr>
                <w:rFonts w:ascii="Arial" w:eastAsia="Times New Roman" w:hAnsi="Arial" w:cs="Arial"/>
                <w:b/>
                <w:bCs/>
                <w:color w:val="F2F2F2"/>
                <w:lang w:eastAsia="es-MX"/>
              </w:rPr>
              <w:t>Entidad pública reguladora</w:t>
            </w:r>
          </w:p>
        </w:tc>
        <w:tc>
          <w:tcPr>
            <w:tcW w:w="2980" w:type="dxa"/>
            <w:tcBorders>
              <w:top w:val="single" w:sz="4" w:space="0" w:color="auto"/>
              <w:left w:val="nil"/>
              <w:bottom w:val="single" w:sz="4" w:space="0" w:color="auto"/>
              <w:right w:val="single" w:sz="4" w:space="0" w:color="auto"/>
            </w:tcBorders>
            <w:shd w:val="clear" w:color="000000" w:fill="1D1B10"/>
            <w:vAlign w:val="center"/>
            <w:hideMark/>
          </w:tcPr>
          <w:p w:rsidR="00E62255" w:rsidRPr="004F2984" w:rsidRDefault="00E62255" w:rsidP="00612773">
            <w:pPr>
              <w:spacing w:after="0"/>
              <w:jc w:val="center"/>
              <w:rPr>
                <w:rFonts w:ascii="Arial" w:eastAsia="Times New Roman" w:hAnsi="Arial" w:cs="Arial"/>
                <w:b/>
                <w:bCs/>
                <w:color w:val="F2F2F2"/>
                <w:lang w:eastAsia="es-MX"/>
              </w:rPr>
            </w:pPr>
            <w:r w:rsidRPr="004F2984">
              <w:rPr>
                <w:rFonts w:ascii="Arial" w:eastAsia="Times New Roman" w:hAnsi="Arial" w:cs="Arial"/>
                <w:b/>
                <w:bCs/>
                <w:color w:val="F2F2F2"/>
                <w:lang w:eastAsia="es-MX"/>
              </w:rPr>
              <w:t>Empresas administradoras</w:t>
            </w:r>
          </w:p>
        </w:tc>
      </w:tr>
      <w:tr w:rsidR="00E62255" w:rsidRPr="004F2984" w:rsidTr="00A90559">
        <w:trPr>
          <w:trHeight w:val="900"/>
          <w:jc w:val="center"/>
        </w:trPr>
        <w:tc>
          <w:tcPr>
            <w:tcW w:w="2140" w:type="dxa"/>
            <w:tcBorders>
              <w:top w:val="nil"/>
              <w:left w:val="single" w:sz="4" w:space="0" w:color="auto"/>
              <w:bottom w:val="single" w:sz="4" w:space="0" w:color="auto"/>
              <w:right w:val="single" w:sz="4" w:space="0" w:color="auto"/>
            </w:tcBorders>
            <w:shd w:val="clear" w:color="000000" w:fill="948A54"/>
            <w:vAlign w:val="center"/>
            <w:hideMark/>
          </w:tcPr>
          <w:p w:rsidR="00E62255" w:rsidRPr="004F2984" w:rsidRDefault="00E62255"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Argentina</w:t>
            </w:r>
          </w:p>
        </w:tc>
        <w:tc>
          <w:tcPr>
            <w:tcW w:w="3480" w:type="dxa"/>
            <w:tcBorders>
              <w:top w:val="nil"/>
              <w:left w:val="nil"/>
              <w:bottom w:val="single" w:sz="4" w:space="0" w:color="auto"/>
              <w:right w:val="single" w:sz="4" w:space="0" w:color="auto"/>
            </w:tcBorders>
            <w:shd w:val="clear" w:color="000000" w:fill="948A54"/>
            <w:vAlign w:val="center"/>
            <w:hideMark/>
          </w:tcPr>
          <w:p w:rsidR="00E62255" w:rsidRPr="004F2984" w:rsidRDefault="00E62255"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Superintendencia de Administradoras de Fondos, Jubilaciones y Pensiones.</w:t>
            </w:r>
          </w:p>
        </w:tc>
        <w:tc>
          <w:tcPr>
            <w:tcW w:w="2980" w:type="dxa"/>
            <w:tcBorders>
              <w:top w:val="nil"/>
              <w:left w:val="nil"/>
              <w:bottom w:val="single" w:sz="4" w:space="0" w:color="auto"/>
              <w:right w:val="single" w:sz="4" w:space="0" w:color="auto"/>
            </w:tcBorders>
            <w:shd w:val="clear" w:color="000000" w:fill="948A54"/>
            <w:vAlign w:val="center"/>
            <w:hideMark/>
          </w:tcPr>
          <w:p w:rsidR="00E62255" w:rsidRPr="004F2984" w:rsidRDefault="00E62255"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Administradora de Fondos de Jubilaciones y Pensiones.</w:t>
            </w:r>
          </w:p>
        </w:tc>
      </w:tr>
      <w:tr w:rsidR="004A3D67" w:rsidRPr="004F2984" w:rsidTr="004A3D67">
        <w:trPr>
          <w:trHeight w:val="900"/>
          <w:jc w:val="center"/>
        </w:trPr>
        <w:tc>
          <w:tcPr>
            <w:tcW w:w="2140" w:type="dxa"/>
            <w:tcBorders>
              <w:top w:val="nil"/>
              <w:left w:val="single" w:sz="4" w:space="0" w:color="auto"/>
              <w:bottom w:val="single" w:sz="4" w:space="0" w:color="auto"/>
              <w:right w:val="single" w:sz="4" w:space="0" w:color="auto"/>
            </w:tcBorders>
            <w:shd w:val="clear" w:color="000000" w:fill="494529"/>
            <w:vAlign w:val="center"/>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Bolivia</w:t>
            </w:r>
          </w:p>
        </w:tc>
        <w:tc>
          <w:tcPr>
            <w:tcW w:w="3480" w:type="dxa"/>
            <w:tcBorders>
              <w:top w:val="nil"/>
              <w:left w:val="nil"/>
              <w:bottom w:val="single" w:sz="4" w:space="0" w:color="auto"/>
              <w:right w:val="single" w:sz="4" w:space="0" w:color="auto"/>
            </w:tcBorders>
            <w:shd w:val="clear" w:color="000000" w:fill="494529"/>
            <w:vAlign w:val="center"/>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Súper Intendencia de Pensiones, Valores y Seguros.</w:t>
            </w:r>
          </w:p>
        </w:tc>
        <w:tc>
          <w:tcPr>
            <w:tcW w:w="2980" w:type="dxa"/>
            <w:tcBorders>
              <w:top w:val="nil"/>
              <w:left w:val="nil"/>
              <w:bottom w:val="single" w:sz="4" w:space="0" w:color="auto"/>
              <w:right w:val="single" w:sz="4" w:space="0" w:color="auto"/>
            </w:tcBorders>
            <w:shd w:val="clear" w:color="000000" w:fill="494529"/>
            <w:vAlign w:val="center"/>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Administradora de Fondos de Pensiones.</w:t>
            </w:r>
          </w:p>
        </w:tc>
      </w:tr>
      <w:tr w:rsidR="004A3D67" w:rsidRPr="004F2984" w:rsidTr="004A3D67">
        <w:trPr>
          <w:trHeight w:val="600"/>
          <w:jc w:val="center"/>
        </w:trPr>
        <w:tc>
          <w:tcPr>
            <w:tcW w:w="2140" w:type="dxa"/>
            <w:tcBorders>
              <w:top w:val="nil"/>
              <w:left w:val="single" w:sz="4" w:space="0" w:color="auto"/>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Bulgaria</w:t>
            </w:r>
          </w:p>
        </w:tc>
        <w:tc>
          <w:tcPr>
            <w:tcW w:w="3480" w:type="dxa"/>
            <w:tcBorders>
              <w:top w:val="nil"/>
              <w:left w:val="nil"/>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Comisión de Supervisión Financiera.</w:t>
            </w:r>
          </w:p>
        </w:tc>
        <w:tc>
          <w:tcPr>
            <w:tcW w:w="2980" w:type="dxa"/>
            <w:tcBorders>
              <w:top w:val="nil"/>
              <w:left w:val="nil"/>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Empresas Privadas de Provisión de Pensiones.</w:t>
            </w:r>
          </w:p>
        </w:tc>
      </w:tr>
      <w:tr w:rsidR="004A3D67" w:rsidRPr="004F2984" w:rsidTr="004A3D67">
        <w:trPr>
          <w:trHeight w:val="600"/>
          <w:jc w:val="center"/>
        </w:trPr>
        <w:tc>
          <w:tcPr>
            <w:tcW w:w="2140" w:type="dxa"/>
            <w:tcBorders>
              <w:top w:val="nil"/>
              <w:left w:val="single" w:sz="4" w:space="0" w:color="auto"/>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Chile</w:t>
            </w:r>
          </w:p>
        </w:tc>
        <w:tc>
          <w:tcPr>
            <w:tcW w:w="3480" w:type="dxa"/>
            <w:tcBorders>
              <w:top w:val="nil"/>
              <w:left w:val="nil"/>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Superintendencia de Administradores de Fondos de Pensiones.</w:t>
            </w:r>
          </w:p>
        </w:tc>
        <w:tc>
          <w:tcPr>
            <w:tcW w:w="2980" w:type="dxa"/>
            <w:tcBorders>
              <w:top w:val="nil"/>
              <w:left w:val="nil"/>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Administradoras y Fondos de Pensiones.</w:t>
            </w:r>
          </w:p>
        </w:tc>
      </w:tr>
      <w:tr w:rsidR="004A3D67" w:rsidRPr="004F2984" w:rsidTr="004A3D67">
        <w:trPr>
          <w:trHeight w:val="900"/>
          <w:jc w:val="center"/>
        </w:trPr>
        <w:tc>
          <w:tcPr>
            <w:tcW w:w="2140" w:type="dxa"/>
            <w:tcBorders>
              <w:top w:val="nil"/>
              <w:left w:val="single" w:sz="4" w:space="0" w:color="auto"/>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Colombia</w:t>
            </w:r>
          </w:p>
        </w:tc>
        <w:tc>
          <w:tcPr>
            <w:tcW w:w="3480" w:type="dxa"/>
            <w:tcBorders>
              <w:top w:val="nil"/>
              <w:left w:val="nil"/>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Superintendencia Financiera.</w:t>
            </w:r>
          </w:p>
        </w:tc>
        <w:tc>
          <w:tcPr>
            <w:tcW w:w="2980" w:type="dxa"/>
            <w:tcBorders>
              <w:top w:val="nil"/>
              <w:left w:val="nil"/>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Sociedad Administradora de Fondos de Pensiones y Cesantía.</w:t>
            </w:r>
          </w:p>
        </w:tc>
      </w:tr>
      <w:tr w:rsidR="004A3D67" w:rsidRPr="004F2984" w:rsidTr="004A3D67">
        <w:trPr>
          <w:trHeight w:val="900"/>
          <w:jc w:val="center"/>
        </w:trPr>
        <w:tc>
          <w:tcPr>
            <w:tcW w:w="2140" w:type="dxa"/>
            <w:tcBorders>
              <w:top w:val="nil"/>
              <w:left w:val="single" w:sz="4" w:space="0" w:color="auto"/>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Costa Rica</w:t>
            </w:r>
          </w:p>
        </w:tc>
        <w:tc>
          <w:tcPr>
            <w:tcW w:w="3480" w:type="dxa"/>
            <w:tcBorders>
              <w:top w:val="nil"/>
              <w:left w:val="nil"/>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Superintendencia de Pensiones.</w:t>
            </w:r>
          </w:p>
        </w:tc>
        <w:tc>
          <w:tcPr>
            <w:tcW w:w="2980" w:type="dxa"/>
            <w:tcBorders>
              <w:top w:val="nil"/>
              <w:left w:val="nil"/>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Operadora de Pensiones.</w:t>
            </w:r>
          </w:p>
        </w:tc>
      </w:tr>
      <w:tr w:rsidR="004A3D67" w:rsidRPr="004F2984" w:rsidTr="004A3D67">
        <w:trPr>
          <w:trHeight w:val="600"/>
          <w:jc w:val="center"/>
        </w:trPr>
        <w:tc>
          <w:tcPr>
            <w:tcW w:w="2140" w:type="dxa"/>
            <w:tcBorders>
              <w:top w:val="nil"/>
              <w:left w:val="single" w:sz="4" w:space="0" w:color="auto"/>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Croacia</w:t>
            </w:r>
          </w:p>
        </w:tc>
        <w:tc>
          <w:tcPr>
            <w:tcW w:w="3480" w:type="dxa"/>
            <w:tcBorders>
              <w:top w:val="nil"/>
              <w:left w:val="nil"/>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Agencia de Supervisión de Fondos de Pensiones y Seguros.</w:t>
            </w:r>
          </w:p>
        </w:tc>
        <w:tc>
          <w:tcPr>
            <w:tcW w:w="2980" w:type="dxa"/>
            <w:tcBorders>
              <w:top w:val="nil"/>
              <w:left w:val="nil"/>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Compañías Administradoras de Fondos Privados de Pensiones.</w:t>
            </w:r>
          </w:p>
        </w:tc>
      </w:tr>
      <w:tr w:rsidR="004A3D67" w:rsidRPr="004F2984" w:rsidTr="004A3D67">
        <w:trPr>
          <w:trHeight w:val="1200"/>
          <w:jc w:val="center"/>
        </w:trPr>
        <w:tc>
          <w:tcPr>
            <w:tcW w:w="2140" w:type="dxa"/>
            <w:tcBorders>
              <w:top w:val="nil"/>
              <w:left w:val="single" w:sz="4" w:space="0" w:color="auto"/>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El Salvador</w:t>
            </w:r>
          </w:p>
        </w:tc>
        <w:tc>
          <w:tcPr>
            <w:tcW w:w="3480" w:type="dxa"/>
            <w:tcBorders>
              <w:top w:val="nil"/>
              <w:left w:val="nil"/>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Superintendencia de Pensiones.</w:t>
            </w:r>
          </w:p>
        </w:tc>
        <w:tc>
          <w:tcPr>
            <w:tcW w:w="2980" w:type="dxa"/>
            <w:tcBorders>
              <w:top w:val="nil"/>
              <w:left w:val="nil"/>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Institución Administradora de Fondos de Pensiones.</w:t>
            </w:r>
          </w:p>
        </w:tc>
      </w:tr>
      <w:tr w:rsidR="004A3D67" w:rsidRPr="004F2984" w:rsidTr="004A3D67">
        <w:trPr>
          <w:trHeight w:val="600"/>
          <w:jc w:val="center"/>
        </w:trPr>
        <w:tc>
          <w:tcPr>
            <w:tcW w:w="2140" w:type="dxa"/>
            <w:tcBorders>
              <w:top w:val="nil"/>
              <w:left w:val="single" w:sz="4" w:space="0" w:color="auto"/>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Eslovaquia</w:t>
            </w:r>
          </w:p>
        </w:tc>
        <w:tc>
          <w:tcPr>
            <w:tcW w:w="3480" w:type="dxa"/>
            <w:tcBorders>
              <w:top w:val="nil"/>
              <w:left w:val="nil"/>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Autoridad de Mercados Financieros.</w:t>
            </w:r>
          </w:p>
        </w:tc>
        <w:tc>
          <w:tcPr>
            <w:tcW w:w="2980" w:type="dxa"/>
            <w:tcBorders>
              <w:top w:val="nil"/>
              <w:left w:val="nil"/>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Compañías Administradoras de Pensiones.</w:t>
            </w:r>
          </w:p>
        </w:tc>
      </w:tr>
      <w:tr w:rsidR="004A3D67" w:rsidRPr="004F2984" w:rsidTr="004A3D67">
        <w:trPr>
          <w:trHeight w:val="900"/>
          <w:jc w:val="center"/>
        </w:trPr>
        <w:tc>
          <w:tcPr>
            <w:tcW w:w="2140" w:type="dxa"/>
            <w:tcBorders>
              <w:top w:val="nil"/>
              <w:left w:val="single" w:sz="4" w:space="0" w:color="auto"/>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Estonia</w:t>
            </w:r>
          </w:p>
        </w:tc>
        <w:tc>
          <w:tcPr>
            <w:tcW w:w="3480" w:type="dxa"/>
            <w:tcBorders>
              <w:top w:val="nil"/>
              <w:left w:val="nil"/>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Autoridad Supervisora Financiera.</w:t>
            </w:r>
          </w:p>
        </w:tc>
        <w:tc>
          <w:tcPr>
            <w:tcW w:w="2980" w:type="dxa"/>
            <w:tcBorders>
              <w:top w:val="nil"/>
              <w:left w:val="nil"/>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Administradoras de Fondos de Pensiones.</w:t>
            </w:r>
          </w:p>
        </w:tc>
      </w:tr>
      <w:tr w:rsidR="004A3D67" w:rsidRPr="004F2984" w:rsidTr="004A3D67">
        <w:trPr>
          <w:trHeight w:val="600"/>
          <w:jc w:val="center"/>
        </w:trPr>
        <w:tc>
          <w:tcPr>
            <w:tcW w:w="2140" w:type="dxa"/>
            <w:tcBorders>
              <w:top w:val="nil"/>
              <w:left w:val="single" w:sz="4" w:space="0" w:color="auto"/>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Hong Kong</w:t>
            </w:r>
          </w:p>
        </w:tc>
        <w:tc>
          <w:tcPr>
            <w:tcW w:w="3480" w:type="dxa"/>
            <w:tcBorders>
              <w:top w:val="nil"/>
              <w:left w:val="nil"/>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Autoridad para los Fondos de Pensión Obligatorios.</w:t>
            </w:r>
          </w:p>
        </w:tc>
        <w:tc>
          <w:tcPr>
            <w:tcW w:w="2980" w:type="dxa"/>
            <w:tcBorders>
              <w:top w:val="nil"/>
              <w:left w:val="nil"/>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Fideicomiso o Compañía de Seguros.</w:t>
            </w:r>
          </w:p>
        </w:tc>
      </w:tr>
      <w:tr w:rsidR="004A3D67" w:rsidRPr="004F2984" w:rsidTr="004A3D67">
        <w:trPr>
          <w:trHeight w:val="600"/>
          <w:jc w:val="center"/>
        </w:trPr>
        <w:tc>
          <w:tcPr>
            <w:tcW w:w="2140" w:type="dxa"/>
            <w:tcBorders>
              <w:top w:val="nil"/>
              <w:left w:val="single" w:sz="4" w:space="0" w:color="auto"/>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Hungría</w:t>
            </w:r>
          </w:p>
        </w:tc>
        <w:tc>
          <w:tcPr>
            <w:tcW w:w="3480" w:type="dxa"/>
            <w:tcBorders>
              <w:top w:val="nil"/>
              <w:left w:val="nil"/>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Autoridad Húngara de Supervisión Financiera.</w:t>
            </w:r>
          </w:p>
        </w:tc>
        <w:tc>
          <w:tcPr>
            <w:tcW w:w="2980" w:type="dxa"/>
            <w:tcBorders>
              <w:top w:val="nil"/>
              <w:left w:val="nil"/>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Fondos de Pensiones.</w:t>
            </w:r>
          </w:p>
        </w:tc>
      </w:tr>
      <w:tr w:rsidR="004A3D67" w:rsidRPr="004F2984" w:rsidTr="004A3D67">
        <w:trPr>
          <w:trHeight w:val="600"/>
          <w:jc w:val="center"/>
        </w:trPr>
        <w:tc>
          <w:tcPr>
            <w:tcW w:w="2140" w:type="dxa"/>
            <w:tcBorders>
              <w:top w:val="nil"/>
              <w:left w:val="single" w:sz="4" w:space="0" w:color="auto"/>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India</w:t>
            </w:r>
          </w:p>
        </w:tc>
        <w:tc>
          <w:tcPr>
            <w:tcW w:w="3480" w:type="dxa"/>
            <w:tcBorders>
              <w:top w:val="nil"/>
              <w:left w:val="nil"/>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 xml:space="preserve">Autoridad Reguladora y de Desarrollo de los Fondos de </w:t>
            </w:r>
            <w:r w:rsidRPr="004F2984">
              <w:rPr>
                <w:rFonts w:ascii="Arial" w:eastAsia="Times New Roman" w:hAnsi="Arial" w:cs="Arial"/>
                <w:color w:val="F2F2F2"/>
                <w:lang w:eastAsia="es-MX"/>
              </w:rPr>
              <w:lastRenderedPageBreak/>
              <w:t>Pensiones.</w:t>
            </w:r>
          </w:p>
        </w:tc>
        <w:tc>
          <w:tcPr>
            <w:tcW w:w="2980" w:type="dxa"/>
            <w:tcBorders>
              <w:top w:val="nil"/>
              <w:left w:val="nil"/>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lastRenderedPageBreak/>
              <w:t>Administradora de Fondos de Pensiones.</w:t>
            </w:r>
          </w:p>
        </w:tc>
      </w:tr>
      <w:tr w:rsidR="004A3D67" w:rsidRPr="004F2984" w:rsidTr="004A3D67">
        <w:trPr>
          <w:trHeight w:val="900"/>
          <w:jc w:val="center"/>
        </w:trPr>
        <w:tc>
          <w:tcPr>
            <w:tcW w:w="2140" w:type="dxa"/>
            <w:tcBorders>
              <w:top w:val="nil"/>
              <w:left w:val="single" w:sz="4" w:space="0" w:color="auto"/>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Kazajstán</w:t>
            </w:r>
          </w:p>
        </w:tc>
        <w:tc>
          <w:tcPr>
            <w:tcW w:w="3480" w:type="dxa"/>
            <w:tcBorders>
              <w:top w:val="nil"/>
              <w:left w:val="nil"/>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Agencia de Supervisión de Mercados financieros y Organizaciones Financieras.</w:t>
            </w:r>
          </w:p>
        </w:tc>
        <w:tc>
          <w:tcPr>
            <w:tcW w:w="2980" w:type="dxa"/>
            <w:tcBorders>
              <w:top w:val="nil"/>
              <w:left w:val="nil"/>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Fondos de Pensiones Estatales y no Estatales.</w:t>
            </w:r>
          </w:p>
        </w:tc>
      </w:tr>
      <w:tr w:rsidR="004A3D67" w:rsidRPr="004F2984" w:rsidTr="004A3D67">
        <w:trPr>
          <w:trHeight w:val="900"/>
          <w:jc w:val="center"/>
        </w:trPr>
        <w:tc>
          <w:tcPr>
            <w:tcW w:w="2140" w:type="dxa"/>
            <w:tcBorders>
              <w:top w:val="nil"/>
              <w:left w:val="single" w:sz="4" w:space="0" w:color="auto"/>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Kosovo</w:t>
            </w:r>
          </w:p>
        </w:tc>
        <w:tc>
          <w:tcPr>
            <w:tcW w:w="3480" w:type="dxa"/>
            <w:tcBorders>
              <w:top w:val="nil"/>
              <w:left w:val="nil"/>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Autoridad Bancaria y de Desembolsos.</w:t>
            </w:r>
          </w:p>
        </w:tc>
        <w:tc>
          <w:tcPr>
            <w:tcW w:w="2980" w:type="dxa"/>
            <w:tcBorders>
              <w:top w:val="nil"/>
              <w:left w:val="nil"/>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Sociedad Fiduciaria de Ahorros Previsionales.</w:t>
            </w:r>
          </w:p>
        </w:tc>
      </w:tr>
      <w:tr w:rsidR="004A3D67" w:rsidRPr="004F2984" w:rsidTr="004A3D67">
        <w:trPr>
          <w:trHeight w:val="600"/>
          <w:jc w:val="center"/>
        </w:trPr>
        <w:tc>
          <w:tcPr>
            <w:tcW w:w="2140" w:type="dxa"/>
            <w:tcBorders>
              <w:top w:val="nil"/>
              <w:left w:val="single" w:sz="4" w:space="0" w:color="auto"/>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Letonia</w:t>
            </w:r>
          </w:p>
        </w:tc>
        <w:tc>
          <w:tcPr>
            <w:tcW w:w="3480" w:type="dxa"/>
            <w:tcBorders>
              <w:top w:val="nil"/>
              <w:left w:val="nil"/>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Comisión de Finanzas y del Mercado de Capitales.</w:t>
            </w:r>
          </w:p>
        </w:tc>
        <w:tc>
          <w:tcPr>
            <w:tcW w:w="2980" w:type="dxa"/>
            <w:tcBorders>
              <w:top w:val="nil"/>
              <w:left w:val="nil"/>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Administradora de Fondos de Pensiones.</w:t>
            </w:r>
          </w:p>
        </w:tc>
      </w:tr>
      <w:tr w:rsidR="004A3D67" w:rsidRPr="004F2984" w:rsidTr="004A3D67">
        <w:trPr>
          <w:trHeight w:val="600"/>
          <w:jc w:val="center"/>
        </w:trPr>
        <w:tc>
          <w:tcPr>
            <w:tcW w:w="2140" w:type="dxa"/>
            <w:tcBorders>
              <w:top w:val="nil"/>
              <w:left w:val="single" w:sz="4" w:space="0" w:color="auto"/>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Lituania</w:t>
            </w:r>
          </w:p>
        </w:tc>
        <w:tc>
          <w:tcPr>
            <w:tcW w:w="3480" w:type="dxa"/>
            <w:tcBorders>
              <w:top w:val="nil"/>
              <w:left w:val="nil"/>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Comisión de Valores y Agencias Supervisoras de Seguros.</w:t>
            </w:r>
          </w:p>
        </w:tc>
        <w:tc>
          <w:tcPr>
            <w:tcW w:w="2980" w:type="dxa"/>
            <w:tcBorders>
              <w:top w:val="nil"/>
              <w:left w:val="nil"/>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Compañías de Fondos de Pensiones o Compañías de Seguro de Vida.</w:t>
            </w:r>
          </w:p>
        </w:tc>
      </w:tr>
      <w:tr w:rsidR="004A3D67" w:rsidRPr="004F2984" w:rsidTr="004A3D67">
        <w:trPr>
          <w:trHeight w:val="900"/>
          <w:jc w:val="center"/>
        </w:trPr>
        <w:tc>
          <w:tcPr>
            <w:tcW w:w="2140" w:type="dxa"/>
            <w:tcBorders>
              <w:top w:val="nil"/>
              <w:left w:val="single" w:sz="4" w:space="0" w:color="auto"/>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Macedonia</w:t>
            </w:r>
          </w:p>
        </w:tc>
        <w:tc>
          <w:tcPr>
            <w:tcW w:w="3480" w:type="dxa"/>
            <w:tcBorders>
              <w:top w:val="nil"/>
              <w:left w:val="nil"/>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Agencias Supervisoras del Seguro Financiado de Pensiones.</w:t>
            </w:r>
          </w:p>
        </w:tc>
        <w:tc>
          <w:tcPr>
            <w:tcW w:w="2980" w:type="dxa"/>
            <w:tcBorders>
              <w:top w:val="nil"/>
              <w:left w:val="nil"/>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Compañías de Pensiones.</w:t>
            </w:r>
          </w:p>
        </w:tc>
      </w:tr>
      <w:tr w:rsidR="004A3D67" w:rsidRPr="004F2984" w:rsidTr="004A3D67">
        <w:trPr>
          <w:trHeight w:val="900"/>
          <w:jc w:val="center"/>
        </w:trPr>
        <w:tc>
          <w:tcPr>
            <w:tcW w:w="2140" w:type="dxa"/>
            <w:tcBorders>
              <w:top w:val="nil"/>
              <w:left w:val="single" w:sz="4" w:space="0" w:color="auto"/>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México</w:t>
            </w:r>
          </w:p>
        </w:tc>
        <w:tc>
          <w:tcPr>
            <w:tcW w:w="3480" w:type="dxa"/>
            <w:tcBorders>
              <w:top w:val="nil"/>
              <w:left w:val="nil"/>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Comisión Nacional del Sistema de Ahorro para el Retiro.</w:t>
            </w:r>
          </w:p>
        </w:tc>
        <w:tc>
          <w:tcPr>
            <w:tcW w:w="2980" w:type="dxa"/>
            <w:tcBorders>
              <w:top w:val="nil"/>
              <w:left w:val="nil"/>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Administradora de Fondos para el Retiro.</w:t>
            </w:r>
          </w:p>
        </w:tc>
      </w:tr>
      <w:tr w:rsidR="004A3D67" w:rsidRPr="004F2984" w:rsidTr="004A3D67">
        <w:trPr>
          <w:trHeight w:val="600"/>
          <w:jc w:val="center"/>
        </w:trPr>
        <w:tc>
          <w:tcPr>
            <w:tcW w:w="2140" w:type="dxa"/>
            <w:tcBorders>
              <w:top w:val="nil"/>
              <w:left w:val="single" w:sz="4" w:space="0" w:color="auto"/>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Nigeria</w:t>
            </w:r>
          </w:p>
        </w:tc>
        <w:tc>
          <w:tcPr>
            <w:tcW w:w="3480" w:type="dxa"/>
            <w:tcBorders>
              <w:top w:val="nil"/>
              <w:left w:val="nil"/>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Comisión Nacional de Pensiones.</w:t>
            </w:r>
          </w:p>
        </w:tc>
        <w:tc>
          <w:tcPr>
            <w:tcW w:w="2980" w:type="dxa"/>
            <w:tcBorders>
              <w:top w:val="nil"/>
              <w:left w:val="nil"/>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Administradora de Fondos de Pensiones.</w:t>
            </w:r>
          </w:p>
        </w:tc>
      </w:tr>
      <w:tr w:rsidR="004A3D67" w:rsidRPr="004F2984" w:rsidTr="004A3D67">
        <w:trPr>
          <w:trHeight w:val="600"/>
          <w:jc w:val="center"/>
        </w:trPr>
        <w:tc>
          <w:tcPr>
            <w:tcW w:w="2140" w:type="dxa"/>
            <w:tcBorders>
              <w:top w:val="nil"/>
              <w:left w:val="single" w:sz="4" w:space="0" w:color="auto"/>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Perú</w:t>
            </w:r>
          </w:p>
        </w:tc>
        <w:tc>
          <w:tcPr>
            <w:tcW w:w="3480" w:type="dxa"/>
            <w:tcBorders>
              <w:top w:val="nil"/>
              <w:left w:val="nil"/>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Súper Intendencia de Banca y Seguros.</w:t>
            </w:r>
          </w:p>
        </w:tc>
        <w:tc>
          <w:tcPr>
            <w:tcW w:w="2980" w:type="dxa"/>
            <w:tcBorders>
              <w:top w:val="nil"/>
              <w:left w:val="nil"/>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Administradora de Fondos de Pensiones.</w:t>
            </w:r>
          </w:p>
        </w:tc>
      </w:tr>
      <w:tr w:rsidR="004A3D67" w:rsidRPr="004F2984" w:rsidTr="004A3D67">
        <w:trPr>
          <w:trHeight w:val="600"/>
          <w:jc w:val="center"/>
        </w:trPr>
        <w:tc>
          <w:tcPr>
            <w:tcW w:w="2140" w:type="dxa"/>
            <w:tcBorders>
              <w:top w:val="nil"/>
              <w:left w:val="single" w:sz="4" w:space="0" w:color="auto"/>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Polonia</w:t>
            </w:r>
          </w:p>
        </w:tc>
        <w:tc>
          <w:tcPr>
            <w:tcW w:w="3480" w:type="dxa"/>
            <w:tcBorders>
              <w:top w:val="nil"/>
              <w:left w:val="nil"/>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Comisión de Supervisión de Seguros y Fondos de Pensiones.</w:t>
            </w:r>
          </w:p>
        </w:tc>
        <w:tc>
          <w:tcPr>
            <w:tcW w:w="2980" w:type="dxa"/>
            <w:tcBorders>
              <w:top w:val="nil"/>
              <w:left w:val="nil"/>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Sociedades de Pensiones Universales.</w:t>
            </w:r>
          </w:p>
        </w:tc>
      </w:tr>
      <w:tr w:rsidR="004A3D67" w:rsidRPr="004F2984" w:rsidTr="004A3D67">
        <w:trPr>
          <w:trHeight w:val="900"/>
          <w:jc w:val="center"/>
        </w:trPr>
        <w:tc>
          <w:tcPr>
            <w:tcW w:w="2140" w:type="dxa"/>
            <w:tcBorders>
              <w:top w:val="nil"/>
              <w:left w:val="single" w:sz="4" w:space="0" w:color="auto"/>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Rep. Dominicana</w:t>
            </w:r>
          </w:p>
        </w:tc>
        <w:tc>
          <w:tcPr>
            <w:tcW w:w="3480" w:type="dxa"/>
            <w:tcBorders>
              <w:top w:val="nil"/>
              <w:left w:val="nil"/>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Superintendencia de Pensiones.</w:t>
            </w:r>
          </w:p>
        </w:tc>
        <w:tc>
          <w:tcPr>
            <w:tcW w:w="2980" w:type="dxa"/>
            <w:tcBorders>
              <w:top w:val="nil"/>
              <w:left w:val="nil"/>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Administradora de Fondos de Pensiones.</w:t>
            </w:r>
          </w:p>
        </w:tc>
      </w:tr>
      <w:tr w:rsidR="004A3D67" w:rsidRPr="004F2984" w:rsidTr="004A3D67">
        <w:trPr>
          <w:trHeight w:val="600"/>
          <w:jc w:val="center"/>
        </w:trPr>
        <w:tc>
          <w:tcPr>
            <w:tcW w:w="2140" w:type="dxa"/>
            <w:tcBorders>
              <w:top w:val="nil"/>
              <w:left w:val="single" w:sz="4" w:space="0" w:color="auto"/>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Rusia</w:t>
            </w:r>
          </w:p>
        </w:tc>
        <w:tc>
          <w:tcPr>
            <w:tcW w:w="3480" w:type="dxa"/>
            <w:tcBorders>
              <w:top w:val="nil"/>
              <w:left w:val="nil"/>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Servicio federal de Mercados Financieros.</w:t>
            </w:r>
          </w:p>
        </w:tc>
        <w:tc>
          <w:tcPr>
            <w:tcW w:w="2980" w:type="dxa"/>
            <w:tcBorders>
              <w:top w:val="nil"/>
              <w:left w:val="nil"/>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Fondos Corporativos y Planes de Pensiones Institucionales.</w:t>
            </w:r>
          </w:p>
        </w:tc>
      </w:tr>
      <w:tr w:rsidR="004A3D67" w:rsidRPr="004F2984" w:rsidTr="004A3D67">
        <w:trPr>
          <w:trHeight w:val="900"/>
          <w:jc w:val="center"/>
        </w:trPr>
        <w:tc>
          <w:tcPr>
            <w:tcW w:w="2140" w:type="dxa"/>
            <w:tcBorders>
              <w:top w:val="nil"/>
              <w:left w:val="single" w:sz="4" w:space="0" w:color="auto"/>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Suecia</w:t>
            </w:r>
          </w:p>
        </w:tc>
        <w:tc>
          <w:tcPr>
            <w:tcW w:w="3480" w:type="dxa"/>
            <w:tcBorders>
              <w:top w:val="nil"/>
              <w:left w:val="nil"/>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Autoridad Nacional de Servicios Financieros.</w:t>
            </w:r>
          </w:p>
        </w:tc>
        <w:tc>
          <w:tcPr>
            <w:tcW w:w="2980" w:type="dxa"/>
            <w:tcBorders>
              <w:top w:val="nil"/>
              <w:left w:val="nil"/>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Agencia Sueca del Seguro Social.</w:t>
            </w:r>
          </w:p>
        </w:tc>
      </w:tr>
      <w:tr w:rsidR="004A3D67" w:rsidRPr="004F2984" w:rsidTr="004A3D67">
        <w:trPr>
          <w:trHeight w:val="600"/>
          <w:jc w:val="center"/>
        </w:trPr>
        <w:tc>
          <w:tcPr>
            <w:tcW w:w="2140" w:type="dxa"/>
            <w:tcBorders>
              <w:top w:val="nil"/>
              <w:left w:val="single" w:sz="4" w:space="0" w:color="auto"/>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Ucrania</w:t>
            </w:r>
          </w:p>
        </w:tc>
        <w:tc>
          <w:tcPr>
            <w:tcW w:w="3480" w:type="dxa"/>
            <w:tcBorders>
              <w:top w:val="nil"/>
              <w:left w:val="nil"/>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Comisión Estatal reguladora del Mercado de Servicios Financieros.</w:t>
            </w:r>
          </w:p>
        </w:tc>
        <w:tc>
          <w:tcPr>
            <w:tcW w:w="2980" w:type="dxa"/>
            <w:tcBorders>
              <w:top w:val="nil"/>
              <w:left w:val="nil"/>
              <w:bottom w:val="single" w:sz="4" w:space="0" w:color="auto"/>
              <w:right w:val="single" w:sz="4" w:space="0" w:color="auto"/>
            </w:tcBorders>
            <w:shd w:val="clear" w:color="000000" w:fill="494529"/>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Administradora de Fondos de Pensiones.</w:t>
            </w:r>
          </w:p>
        </w:tc>
      </w:tr>
      <w:tr w:rsidR="004A3D67" w:rsidRPr="004F2984" w:rsidTr="004A3D67">
        <w:trPr>
          <w:trHeight w:val="900"/>
          <w:jc w:val="center"/>
        </w:trPr>
        <w:tc>
          <w:tcPr>
            <w:tcW w:w="2140" w:type="dxa"/>
            <w:tcBorders>
              <w:top w:val="nil"/>
              <w:left w:val="single" w:sz="4" w:space="0" w:color="auto"/>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Uruguay</w:t>
            </w:r>
          </w:p>
        </w:tc>
        <w:tc>
          <w:tcPr>
            <w:tcW w:w="3480" w:type="dxa"/>
            <w:tcBorders>
              <w:top w:val="nil"/>
              <w:left w:val="nil"/>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Banco Central/ División de Control de AFAP.</w:t>
            </w:r>
          </w:p>
        </w:tc>
        <w:tc>
          <w:tcPr>
            <w:tcW w:w="2980" w:type="dxa"/>
            <w:tcBorders>
              <w:top w:val="nil"/>
              <w:left w:val="nil"/>
              <w:bottom w:val="single" w:sz="4" w:space="0" w:color="auto"/>
              <w:right w:val="single" w:sz="4" w:space="0" w:color="auto"/>
            </w:tcBorders>
            <w:shd w:val="clear" w:color="000000" w:fill="948A54"/>
            <w:vAlign w:val="center"/>
            <w:hideMark/>
          </w:tcPr>
          <w:p w:rsidR="004A3D67" w:rsidRPr="004F2984" w:rsidRDefault="004A3D67" w:rsidP="00612773">
            <w:pPr>
              <w:spacing w:after="0"/>
              <w:jc w:val="center"/>
              <w:rPr>
                <w:rFonts w:ascii="Arial" w:eastAsia="Times New Roman" w:hAnsi="Arial" w:cs="Arial"/>
                <w:color w:val="F2F2F2"/>
                <w:lang w:eastAsia="es-MX"/>
              </w:rPr>
            </w:pPr>
            <w:r w:rsidRPr="004F2984">
              <w:rPr>
                <w:rFonts w:ascii="Arial" w:eastAsia="Times New Roman" w:hAnsi="Arial" w:cs="Arial"/>
                <w:color w:val="F2F2F2"/>
                <w:lang w:eastAsia="es-MX"/>
              </w:rPr>
              <w:t>Administradora de Fondos de Ahorro Provisional.</w:t>
            </w:r>
          </w:p>
        </w:tc>
      </w:tr>
    </w:tbl>
    <w:p w:rsidR="00E62255" w:rsidRPr="0031126D" w:rsidRDefault="00E62255" w:rsidP="006E10B9">
      <w:pPr>
        <w:spacing w:line="480" w:lineRule="auto"/>
        <w:rPr>
          <w:rFonts w:ascii="Arial" w:hAnsi="Arial" w:cs="Arial"/>
          <w:sz w:val="20"/>
          <w:szCs w:val="20"/>
        </w:rPr>
      </w:pPr>
    </w:p>
    <w:p w:rsidR="00612773" w:rsidRPr="00612773" w:rsidRDefault="00E62255" w:rsidP="004F2984">
      <w:pPr>
        <w:spacing w:line="480" w:lineRule="auto"/>
        <w:ind w:left="898" w:hanging="898"/>
        <w:jc w:val="both"/>
        <w:rPr>
          <w:rFonts w:ascii="Arial" w:hAnsi="Arial" w:cs="Arial"/>
          <w:color w:val="000000" w:themeColor="text1"/>
          <w:sz w:val="20"/>
          <w:szCs w:val="20"/>
        </w:rPr>
      </w:pPr>
      <w:r w:rsidRPr="0031126D">
        <w:rPr>
          <w:rFonts w:ascii="Arial" w:hAnsi="Arial" w:cs="Arial"/>
          <w:color w:val="000000" w:themeColor="text1"/>
          <w:sz w:val="20"/>
          <w:szCs w:val="20"/>
        </w:rPr>
        <w:lastRenderedPageBreak/>
        <w:t xml:space="preserve">Fuente: Elaboración propia con datos de Federación Internacional de Administradores de Fondos de Pensiones. </w:t>
      </w:r>
    </w:p>
    <w:p w:rsidR="003F35A7" w:rsidRPr="003F35A7" w:rsidRDefault="000C32C6" w:rsidP="008970F9">
      <w:pPr>
        <w:pStyle w:val="Ttulo1"/>
        <w:numPr>
          <w:ilvl w:val="0"/>
          <w:numId w:val="11"/>
        </w:numPr>
        <w:spacing w:before="400" w:after="400"/>
        <w:ind w:left="1077" w:hanging="357"/>
      </w:pPr>
      <w:bookmarkStart w:id="57" w:name="_Toc401571173"/>
      <w:bookmarkStart w:id="58" w:name="_Toc401577564"/>
      <w:bookmarkStart w:id="59" w:name="_Toc401578511"/>
      <w:bookmarkStart w:id="60" w:name="_Toc401580975"/>
      <w:bookmarkStart w:id="61" w:name="_Toc401581464"/>
      <w:bookmarkStart w:id="62" w:name="_Toc401586005"/>
      <w:bookmarkStart w:id="63" w:name="_Toc402948936"/>
      <w:r w:rsidRPr="00A93228">
        <w:t>REGULACIÓN DE LOS TRASPASOS</w:t>
      </w:r>
      <w:bookmarkEnd w:id="57"/>
      <w:bookmarkEnd w:id="58"/>
      <w:bookmarkEnd w:id="59"/>
      <w:bookmarkEnd w:id="60"/>
      <w:bookmarkEnd w:id="61"/>
      <w:bookmarkEnd w:id="62"/>
      <w:bookmarkEnd w:id="63"/>
      <w:r w:rsidRPr="00A93228">
        <w:t xml:space="preserve"> </w:t>
      </w:r>
    </w:p>
    <w:p w:rsidR="0023713E" w:rsidRPr="00A93228" w:rsidRDefault="00C567C7" w:rsidP="0031126D">
      <w:pPr>
        <w:pStyle w:val="Sangradetextonormal"/>
        <w:spacing w:line="480" w:lineRule="auto"/>
        <w:ind w:left="0" w:firstLine="360"/>
        <w:jc w:val="both"/>
        <w:rPr>
          <w:rStyle w:val="Textoennegrita"/>
          <w:rFonts w:ascii="Arial" w:hAnsi="Arial" w:cs="Arial"/>
          <w:b w:val="0"/>
          <w:szCs w:val="24"/>
        </w:rPr>
      </w:pPr>
      <w:r w:rsidRPr="00A93228">
        <w:rPr>
          <w:rStyle w:val="Textoennegrita"/>
          <w:rFonts w:ascii="Arial" w:hAnsi="Arial" w:cs="Arial"/>
          <w:b w:val="0"/>
          <w:szCs w:val="24"/>
        </w:rPr>
        <w:t>De acuerdo al objetivo que persigue este trabajo recuperamos la legislación relativa a los traspasos ya que nos permite comprender cómo y por qué se llevan a cabo los movimientos de cambio AFORE-AFORE. También plantemos la información financiera que la autoridad reguladora, CONSAR, ofrece a los trabajadores para llevar a cabo este derecho.</w:t>
      </w:r>
    </w:p>
    <w:p w:rsidR="00990084" w:rsidRPr="00A93228" w:rsidRDefault="00181D16" w:rsidP="0031126D">
      <w:pPr>
        <w:pStyle w:val="Sangradetextonormal"/>
        <w:spacing w:line="480" w:lineRule="auto"/>
        <w:ind w:left="0"/>
        <w:jc w:val="both"/>
        <w:rPr>
          <w:rStyle w:val="Textoennegrita"/>
          <w:rFonts w:ascii="Arial" w:hAnsi="Arial" w:cs="Arial"/>
          <w:b w:val="0"/>
          <w:szCs w:val="24"/>
        </w:rPr>
      </w:pPr>
      <w:r w:rsidRPr="00A93228">
        <w:rPr>
          <w:rStyle w:val="Textoennegrita"/>
          <w:rFonts w:ascii="Arial" w:hAnsi="Arial" w:cs="Arial"/>
          <w:b w:val="0"/>
          <w:szCs w:val="24"/>
        </w:rPr>
        <w:t>Las Cuentas Individuales</w:t>
      </w:r>
      <w:r w:rsidR="00990084" w:rsidRPr="00A93228">
        <w:rPr>
          <w:rStyle w:val="Textoennegrita"/>
          <w:rFonts w:ascii="Arial" w:hAnsi="Arial" w:cs="Arial"/>
          <w:b w:val="0"/>
          <w:szCs w:val="24"/>
        </w:rPr>
        <w:t>:</w:t>
      </w:r>
    </w:p>
    <w:p w:rsidR="00840CB9" w:rsidRPr="00A93228" w:rsidRDefault="004C2A95" w:rsidP="0031126D">
      <w:pPr>
        <w:pStyle w:val="Sangradetextonormal"/>
        <w:spacing w:line="480" w:lineRule="auto"/>
        <w:ind w:left="0" w:firstLine="708"/>
        <w:jc w:val="both"/>
        <w:rPr>
          <w:rStyle w:val="Textoennegrita"/>
          <w:rFonts w:ascii="Arial" w:hAnsi="Arial" w:cs="Arial"/>
          <w:b w:val="0"/>
          <w:color w:val="000000" w:themeColor="text1"/>
          <w:szCs w:val="24"/>
        </w:rPr>
      </w:pPr>
      <w:r w:rsidRPr="00A93228">
        <w:rPr>
          <w:rStyle w:val="Textoennegrita"/>
          <w:rFonts w:ascii="Arial" w:hAnsi="Arial" w:cs="Arial"/>
          <w:b w:val="0"/>
          <w:szCs w:val="24"/>
        </w:rPr>
        <w:t xml:space="preserve">Los sistemas de pensiones reformados del IMSS y del ISSSTE establecen que los trabajadores afiliados tienen derecho al registro de una cuenta individual en la AFORE que decidan, </w:t>
      </w:r>
      <w:r w:rsidR="00B85F0E" w:rsidRPr="00A93228">
        <w:rPr>
          <w:rStyle w:val="Textoennegrita"/>
          <w:rFonts w:ascii="Arial" w:hAnsi="Arial" w:cs="Arial"/>
          <w:b w:val="0"/>
          <w:szCs w:val="24"/>
        </w:rPr>
        <w:t xml:space="preserve">en la cual los empleadores depositarán las cuotas de manera periódica.  </w:t>
      </w:r>
      <w:r w:rsidR="00E17CF2" w:rsidRPr="00A93228">
        <w:rPr>
          <w:rStyle w:val="Textoennegrita"/>
          <w:rFonts w:ascii="Arial" w:hAnsi="Arial" w:cs="Arial"/>
          <w:b w:val="0"/>
          <w:color w:val="000000" w:themeColor="text1"/>
          <w:szCs w:val="24"/>
        </w:rPr>
        <w:t>La cuenta individual se compone de las aportaciones a Retiro, cesantía en edad avanzada y vejez;  Vivienda; Aportaciones Voluntarias, y Aportaciones Complementarias de Retiro</w:t>
      </w:r>
      <w:r w:rsidR="003C31C9" w:rsidRPr="00A93228">
        <w:rPr>
          <w:rStyle w:val="Textoennegrita"/>
          <w:rFonts w:ascii="Arial" w:hAnsi="Arial" w:cs="Arial"/>
          <w:b w:val="0"/>
          <w:color w:val="000000" w:themeColor="text1"/>
          <w:szCs w:val="24"/>
        </w:rPr>
        <w:t>. Exceptuando la subcuenta de vivienda el resto son para las pensiones</w:t>
      </w:r>
      <w:r w:rsidR="00860D01" w:rsidRPr="00A93228">
        <w:rPr>
          <w:rStyle w:val="Textoennegrita"/>
          <w:rFonts w:ascii="Arial" w:hAnsi="Arial" w:cs="Arial"/>
          <w:b w:val="0"/>
          <w:color w:val="000000" w:themeColor="text1"/>
          <w:szCs w:val="24"/>
        </w:rPr>
        <w:t xml:space="preserve"> de los trabajadores</w:t>
      </w:r>
      <w:r w:rsidR="00084DED" w:rsidRPr="00A93228">
        <w:rPr>
          <w:rStyle w:val="Textoennegrita"/>
          <w:rFonts w:ascii="Arial" w:hAnsi="Arial" w:cs="Arial"/>
          <w:b w:val="0"/>
          <w:color w:val="000000" w:themeColor="text1"/>
          <w:szCs w:val="24"/>
        </w:rPr>
        <w:t xml:space="preserve"> (CONSAR 2014</w:t>
      </w:r>
      <w:r w:rsidR="00112096" w:rsidRPr="00A93228">
        <w:rPr>
          <w:rStyle w:val="Textoennegrita"/>
          <w:rFonts w:ascii="Arial" w:hAnsi="Arial" w:cs="Arial"/>
          <w:b w:val="0"/>
          <w:color w:val="000000" w:themeColor="text1"/>
          <w:szCs w:val="24"/>
        </w:rPr>
        <w:t>, Cap. IV de la Ley</w:t>
      </w:r>
      <w:r w:rsidR="00084DED" w:rsidRPr="00A93228">
        <w:rPr>
          <w:rStyle w:val="Textoennegrita"/>
          <w:rFonts w:ascii="Arial" w:hAnsi="Arial" w:cs="Arial"/>
          <w:b w:val="0"/>
          <w:color w:val="000000" w:themeColor="text1"/>
          <w:szCs w:val="24"/>
        </w:rPr>
        <w:t>).</w:t>
      </w:r>
      <w:r w:rsidR="00E17CF2" w:rsidRPr="00A93228">
        <w:rPr>
          <w:rStyle w:val="Textoennegrita"/>
          <w:rFonts w:ascii="Arial" w:hAnsi="Arial" w:cs="Arial"/>
          <w:b w:val="0"/>
          <w:color w:val="000000" w:themeColor="text1"/>
          <w:szCs w:val="24"/>
        </w:rPr>
        <w:t xml:space="preserve">  </w:t>
      </w:r>
    </w:p>
    <w:p w:rsidR="00990084" w:rsidRPr="00A93228" w:rsidRDefault="00840CB9" w:rsidP="0031126D">
      <w:pPr>
        <w:pStyle w:val="Sangradetextonormal"/>
        <w:spacing w:line="480" w:lineRule="auto"/>
        <w:ind w:left="0"/>
        <w:jc w:val="both"/>
        <w:rPr>
          <w:rStyle w:val="Textoennegrita"/>
          <w:rFonts w:ascii="Arial" w:hAnsi="Arial" w:cs="Arial"/>
          <w:b w:val="0"/>
          <w:color w:val="000000" w:themeColor="text1"/>
          <w:szCs w:val="24"/>
        </w:rPr>
      </w:pPr>
      <w:r w:rsidRPr="00A93228">
        <w:rPr>
          <w:rStyle w:val="Textoennegrita"/>
          <w:rFonts w:ascii="Arial" w:hAnsi="Arial" w:cs="Arial"/>
          <w:b w:val="0"/>
          <w:color w:val="000000" w:themeColor="text1"/>
          <w:szCs w:val="24"/>
        </w:rPr>
        <w:t>Los Traspasos</w:t>
      </w:r>
      <w:r w:rsidR="00990084" w:rsidRPr="00A93228">
        <w:rPr>
          <w:rStyle w:val="Textoennegrita"/>
          <w:rFonts w:ascii="Arial" w:hAnsi="Arial" w:cs="Arial"/>
          <w:b w:val="0"/>
          <w:color w:val="000000" w:themeColor="text1"/>
          <w:szCs w:val="24"/>
        </w:rPr>
        <w:t>:</w:t>
      </w:r>
    </w:p>
    <w:p w:rsidR="005E1004" w:rsidRPr="00A93228" w:rsidRDefault="00F54875" w:rsidP="0031126D">
      <w:pPr>
        <w:pStyle w:val="Sangradetextonormal"/>
        <w:spacing w:line="480" w:lineRule="auto"/>
        <w:ind w:left="0" w:firstLine="567"/>
        <w:jc w:val="both"/>
        <w:rPr>
          <w:rStyle w:val="Textoennegrita"/>
          <w:rFonts w:ascii="Arial" w:hAnsi="Arial" w:cs="Arial"/>
          <w:b w:val="0"/>
          <w:color w:val="000000" w:themeColor="text1"/>
          <w:szCs w:val="24"/>
        </w:rPr>
      </w:pPr>
      <w:r w:rsidRPr="00A93228">
        <w:rPr>
          <w:rStyle w:val="Textoennegrita"/>
          <w:rFonts w:ascii="Arial" w:hAnsi="Arial" w:cs="Arial"/>
          <w:b w:val="0"/>
          <w:color w:val="000000" w:themeColor="text1"/>
          <w:szCs w:val="24"/>
        </w:rPr>
        <w:t>El sistema de pensiones permite que los trabajadores cambien de Administradora las cuales están obligadas a llevar a cabo el traspaso según lo indique el trabajador. La Administradora receptora registrara la cuenta individual recibiendo el total de fondos acumulados.</w:t>
      </w:r>
      <w:r w:rsidR="00872C33" w:rsidRPr="00A93228">
        <w:rPr>
          <w:rStyle w:val="Textoennegrita"/>
          <w:rFonts w:ascii="Arial" w:hAnsi="Arial" w:cs="Arial"/>
          <w:b w:val="0"/>
          <w:color w:val="000000" w:themeColor="text1"/>
          <w:szCs w:val="24"/>
        </w:rPr>
        <w:t xml:space="preserve"> Este derecho de los trabajadores, según </w:t>
      </w:r>
      <w:r w:rsidR="00872C33" w:rsidRPr="00A93228">
        <w:rPr>
          <w:rStyle w:val="Textoennegrita"/>
          <w:rFonts w:ascii="Arial" w:hAnsi="Arial" w:cs="Arial"/>
          <w:b w:val="0"/>
          <w:color w:val="000000" w:themeColor="text1"/>
          <w:szCs w:val="24"/>
        </w:rPr>
        <w:lastRenderedPageBreak/>
        <w:t>la CONSAR, es con la finalidad de que los afiliados emigren a la Administradora que alcance el mejor desempeño financiero y por tanto abandonar la que ofrece menores rendimientos. También persigue elevar la competitividad entre las Administradoras</w:t>
      </w:r>
      <w:r w:rsidR="00AC11D8" w:rsidRPr="00A93228">
        <w:rPr>
          <w:rStyle w:val="Textoennegrita"/>
          <w:rFonts w:ascii="Arial" w:hAnsi="Arial" w:cs="Arial"/>
          <w:b w:val="0"/>
          <w:color w:val="000000" w:themeColor="text1"/>
          <w:szCs w:val="24"/>
        </w:rPr>
        <w:t xml:space="preserve"> y con ello alcanzar un sistema más eficiente para los trabajadores mexicanos. </w:t>
      </w:r>
    </w:p>
    <w:p w:rsidR="00E10390" w:rsidRPr="0031126D" w:rsidRDefault="00990084" w:rsidP="00612773">
      <w:pPr>
        <w:pStyle w:val="Sangradetextonormal"/>
        <w:spacing w:line="480" w:lineRule="auto"/>
        <w:ind w:left="0" w:firstLine="567"/>
        <w:jc w:val="both"/>
        <w:rPr>
          <w:rStyle w:val="Textoennegrita"/>
          <w:rFonts w:ascii="Arial" w:hAnsi="Arial" w:cs="Arial"/>
          <w:b w:val="0"/>
          <w:color w:val="000000" w:themeColor="text1"/>
          <w:szCs w:val="24"/>
        </w:rPr>
      </w:pPr>
      <w:r w:rsidRPr="00A93228">
        <w:rPr>
          <w:rStyle w:val="Textoennegrita"/>
          <w:rFonts w:ascii="Arial" w:hAnsi="Arial" w:cs="Arial"/>
          <w:b w:val="0"/>
          <w:color w:val="000000" w:themeColor="text1"/>
          <w:szCs w:val="24"/>
        </w:rPr>
        <w:t xml:space="preserve">Además, establece que </w:t>
      </w:r>
      <w:r w:rsidR="00813B6C" w:rsidRPr="00A93228">
        <w:rPr>
          <w:rStyle w:val="Textoennegrita"/>
          <w:rFonts w:ascii="Arial" w:hAnsi="Arial" w:cs="Arial"/>
          <w:b w:val="0"/>
          <w:color w:val="000000" w:themeColor="text1"/>
          <w:szCs w:val="24"/>
        </w:rPr>
        <w:t>“</w:t>
      </w:r>
      <w:r w:rsidR="00E10390" w:rsidRPr="00A93228">
        <w:rPr>
          <w:rStyle w:val="Textoennegrita"/>
          <w:rFonts w:ascii="Arial" w:hAnsi="Arial" w:cs="Arial"/>
          <w:b w:val="0"/>
          <w:color w:val="000000" w:themeColor="text1"/>
          <w:szCs w:val="24"/>
        </w:rPr>
        <w:t xml:space="preserve">Los trabajadores tendrán derecho a traspasar su cuenta individual de una administradora a otra una vez transcurrido un año, contado a partir de que el trabajador se registró o de la última ocasión en que haya ejercitado su derecho al traspaso. Podrá hacerlo antes del año, cuando traspase su cuenta individual a una administradora cuyas sociedades de inversión hubieren registrado un mayor Rendimiento Neto, en el período de cálculo inmediato anterior. La Junta de Gobierno determinará el mínimo de diferencia que debe de haber entre los Rendimientos Netos observados para que se pueda ejercer el derecho de traspaso de una administradora a otra. (R) </w:t>
      </w:r>
      <w:r w:rsidR="0031126D">
        <w:rPr>
          <w:rStyle w:val="Refdenotaalpie"/>
          <w:rFonts w:ascii="Arial" w:hAnsi="Arial" w:cs="Arial"/>
          <w:bCs/>
          <w:color w:val="000000" w:themeColor="text1"/>
          <w:szCs w:val="24"/>
        </w:rPr>
        <w:footnoteReference w:id="1"/>
      </w:r>
      <w:r w:rsidR="0031126D">
        <w:rPr>
          <w:rStyle w:val="Textoennegrita"/>
          <w:rFonts w:ascii="Arial" w:hAnsi="Arial" w:cs="Arial"/>
          <w:b w:val="0"/>
          <w:color w:val="000000" w:themeColor="text1"/>
          <w:szCs w:val="24"/>
        </w:rPr>
        <w:t xml:space="preserve">  (…)</w:t>
      </w:r>
      <w:r w:rsidRPr="00A93228">
        <w:rPr>
          <w:rStyle w:val="Textoennegrita"/>
          <w:rFonts w:ascii="Arial" w:hAnsi="Arial" w:cs="Arial"/>
          <w:b w:val="0"/>
          <w:color w:val="000000" w:themeColor="text1"/>
          <w:szCs w:val="24"/>
          <w:vertAlign w:val="superscript"/>
        </w:rPr>
        <w:t xml:space="preserve"> </w:t>
      </w:r>
      <w:r w:rsidR="009643D2" w:rsidRPr="00A93228">
        <w:rPr>
          <w:rStyle w:val="Textoennegrita"/>
          <w:rFonts w:ascii="Arial" w:hAnsi="Arial" w:cs="Arial"/>
          <w:b w:val="0"/>
          <w:color w:val="000000" w:themeColor="text1"/>
          <w:szCs w:val="24"/>
        </w:rPr>
        <w:t>“</w:t>
      </w:r>
      <w:r w:rsidR="0031126D">
        <w:rPr>
          <w:rStyle w:val="Textoennegrita"/>
          <w:rFonts w:ascii="Arial" w:hAnsi="Arial" w:cs="Arial"/>
          <w:b w:val="0"/>
          <w:color w:val="000000" w:themeColor="text1"/>
          <w:szCs w:val="24"/>
        </w:rPr>
        <w:t xml:space="preserve">. </w:t>
      </w:r>
      <w:r w:rsidR="00E10390" w:rsidRPr="00A93228">
        <w:rPr>
          <w:rStyle w:val="Textoennegrita"/>
          <w:rFonts w:ascii="Arial" w:hAnsi="Arial" w:cs="Arial"/>
          <w:b w:val="0"/>
          <w:color w:val="000000" w:themeColor="text1"/>
          <w:szCs w:val="24"/>
        </w:rPr>
        <w:t>Los trabajadores que ejerzan su derecho de traspasar su cuenta individual de una administradora a otra que haya registrado un Rendimiento Neto mayor, deberán permanecer al menos doce meses en la última administradora elegida. (A)</w:t>
      </w:r>
      <w:r w:rsidR="0031126D">
        <w:rPr>
          <w:rStyle w:val="Refdenotaalpie"/>
          <w:rFonts w:ascii="Arial" w:hAnsi="Arial" w:cs="Arial"/>
          <w:bCs/>
          <w:color w:val="000000" w:themeColor="text1"/>
          <w:szCs w:val="24"/>
        </w:rPr>
        <w:footnoteReference w:id="2"/>
      </w:r>
      <w:r w:rsidR="0031126D">
        <w:rPr>
          <w:rStyle w:val="Textoennegrita"/>
          <w:rFonts w:ascii="Arial" w:hAnsi="Arial" w:cs="Arial"/>
          <w:b w:val="0"/>
          <w:color w:val="000000" w:themeColor="text1"/>
          <w:szCs w:val="24"/>
          <w:vertAlign w:val="superscript"/>
        </w:rPr>
        <w:t xml:space="preserve"> </w:t>
      </w:r>
      <w:r w:rsidRPr="00A93228">
        <w:rPr>
          <w:rStyle w:val="Textoennegrita"/>
          <w:rFonts w:ascii="Arial" w:hAnsi="Arial" w:cs="Arial"/>
          <w:b w:val="0"/>
          <w:color w:val="000000" w:themeColor="text1"/>
          <w:szCs w:val="24"/>
        </w:rPr>
        <w:t xml:space="preserve">(…) </w:t>
      </w:r>
      <w:r w:rsidR="009643D2" w:rsidRPr="00A93228">
        <w:rPr>
          <w:rStyle w:val="Textoennegrita"/>
          <w:rFonts w:ascii="Arial" w:hAnsi="Arial" w:cs="Arial"/>
          <w:b w:val="0"/>
          <w:color w:val="000000" w:themeColor="text1"/>
          <w:szCs w:val="24"/>
        </w:rPr>
        <w:t>“</w:t>
      </w:r>
      <w:r w:rsidR="00E10390" w:rsidRPr="00A93228">
        <w:rPr>
          <w:rStyle w:val="Textoennegrita"/>
          <w:rFonts w:ascii="Arial" w:hAnsi="Arial" w:cs="Arial"/>
          <w:b w:val="0"/>
          <w:color w:val="000000" w:themeColor="text1"/>
          <w:szCs w:val="24"/>
        </w:rPr>
        <w:t xml:space="preserve">Asimismo, los trabajadores afiliados podrán traspasar su cuenta individual cuando se modifique el régimen de inversión o de comisiones, o la administradora entre en estado de disolución, o se fusione con otra administradora. En el caso de fusión entre </w:t>
      </w:r>
      <w:r w:rsidR="00E10390" w:rsidRPr="00A93228">
        <w:rPr>
          <w:rStyle w:val="Textoennegrita"/>
          <w:rFonts w:ascii="Arial" w:hAnsi="Arial" w:cs="Arial"/>
          <w:b w:val="0"/>
          <w:color w:val="000000" w:themeColor="text1"/>
          <w:szCs w:val="24"/>
        </w:rPr>
        <w:lastRenderedPageBreak/>
        <w:t>administradoras, el derecho de traspaso sólo corresponderá a los trabajadores afiliados que se encuentren registrados en la administradora fusionada. (A)</w:t>
      </w:r>
      <w:r w:rsidR="0031126D">
        <w:rPr>
          <w:rStyle w:val="Refdenotaalpie"/>
          <w:rFonts w:ascii="Arial" w:hAnsi="Arial" w:cs="Arial"/>
          <w:bCs/>
          <w:color w:val="000000" w:themeColor="text1"/>
          <w:szCs w:val="24"/>
        </w:rPr>
        <w:footnoteReference w:id="3"/>
      </w:r>
      <w:r w:rsidR="0031126D">
        <w:rPr>
          <w:rStyle w:val="Textoennegrita"/>
          <w:rFonts w:ascii="Arial" w:hAnsi="Arial" w:cs="Arial"/>
          <w:b w:val="0"/>
          <w:color w:val="000000" w:themeColor="text1"/>
          <w:szCs w:val="24"/>
        </w:rPr>
        <w:t xml:space="preserve"> “.</w:t>
      </w:r>
    </w:p>
    <w:p w:rsidR="007E1F57" w:rsidRPr="00A93228" w:rsidRDefault="00E62D9E" w:rsidP="0031126D">
      <w:pPr>
        <w:pStyle w:val="Sangradetextonormal"/>
        <w:spacing w:line="480" w:lineRule="auto"/>
        <w:ind w:left="0" w:firstLine="708"/>
        <w:jc w:val="both"/>
        <w:rPr>
          <w:rStyle w:val="Textoennegrita"/>
          <w:rFonts w:ascii="Arial" w:hAnsi="Arial" w:cs="Arial"/>
          <w:b w:val="0"/>
          <w:szCs w:val="24"/>
        </w:rPr>
      </w:pPr>
      <w:r w:rsidRPr="00A93228">
        <w:rPr>
          <w:rStyle w:val="Textoennegrita"/>
          <w:rFonts w:ascii="Arial" w:hAnsi="Arial" w:cs="Arial"/>
          <w:b w:val="0"/>
          <w:szCs w:val="24"/>
        </w:rPr>
        <w:t>L</w:t>
      </w:r>
      <w:r w:rsidR="007614D7" w:rsidRPr="00A93228">
        <w:rPr>
          <w:rStyle w:val="Textoennegrita"/>
          <w:rFonts w:ascii="Arial" w:hAnsi="Arial" w:cs="Arial"/>
          <w:b w:val="0"/>
          <w:szCs w:val="24"/>
        </w:rPr>
        <w:t xml:space="preserve">a CONSAR </w:t>
      </w:r>
      <w:r w:rsidRPr="00A93228">
        <w:rPr>
          <w:rStyle w:val="Textoennegrita"/>
          <w:rFonts w:ascii="Arial" w:hAnsi="Arial" w:cs="Arial"/>
          <w:b w:val="0"/>
          <w:szCs w:val="24"/>
        </w:rPr>
        <w:t xml:space="preserve"> define el traspaso de AFORE </w:t>
      </w:r>
      <w:r w:rsidR="007614D7" w:rsidRPr="00A93228">
        <w:rPr>
          <w:rStyle w:val="Textoennegrita"/>
          <w:rFonts w:ascii="Arial" w:hAnsi="Arial" w:cs="Arial"/>
          <w:b w:val="0"/>
          <w:szCs w:val="24"/>
        </w:rPr>
        <w:t xml:space="preserve">como aquel cambio de Administradora a otra, que el trabajador decide. </w:t>
      </w:r>
      <w:r w:rsidR="00A15172" w:rsidRPr="00A93228">
        <w:rPr>
          <w:rStyle w:val="Textoennegrita"/>
          <w:rFonts w:ascii="Arial" w:hAnsi="Arial" w:cs="Arial"/>
          <w:b w:val="0"/>
          <w:szCs w:val="24"/>
        </w:rPr>
        <w:t xml:space="preserve">Este derecho lo puede ejercer una vez al año, </w:t>
      </w:r>
      <w:r w:rsidR="00D25C19" w:rsidRPr="00A93228">
        <w:rPr>
          <w:rStyle w:val="Textoennegrita"/>
          <w:rFonts w:ascii="Arial" w:hAnsi="Arial" w:cs="Arial"/>
          <w:b w:val="0"/>
          <w:szCs w:val="24"/>
        </w:rPr>
        <w:t>y una vez más (máximo dos veces al año) si la Administradora a lo largo del tiempo acumule mayores rendimientos. Después del segundo cambio, el trabajador debe esperar a uno nuevo</w:t>
      </w:r>
      <w:r w:rsidR="0031126D">
        <w:rPr>
          <w:rStyle w:val="Textoennegrita"/>
          <w:rFonts w:ascii="Arial" w:hAnsi="Arial" w:cs="Arial"/>
          <w:b w:val="0"/>
          <w:szCs w:val="24"/>
        </w:rPr>
        <w:t xml:space="preserve"> después de transcurrido un año.</w:t>
      </w:r>
    </w:p>
    <w:p w:rsidR="004E4E78" w:rsidRPr="00A93228" w:rsidRDefault="00691306" w:rsidP="0031126D">
      <w:pPr>
        <w:pStyle w:val="Sangradetextonormal"/>
        <w:spacing w:line="480" w:lineRule="auto"/>
        <w:ind w:left="0" w:firstLine="720"/>
        <w:jc w:val="both"/>
        <w:rPr>
          <w:rStyle w:val="Textoennegrita"/>
          <w:rFonts w:ascii="Arial" w:hAnsi="Arial" w:cs="Arial"/>
          <w:b w:val="0"/>
          <w:szCs w:val="24"/>
        </w:rPr>
      </w:pPr>
      <w:r w:rsidRPr="00A93228">
        <w:rPr>
          <w:rStyle w:val="Textoennegrita"/>
          <w:rFonts w:ascii="Arial" w:hAnsi="Arial" w:cs="Arial"/>
          <w:b w:val="0"/>
          <w:szCs w:val="24"/>
        </w:rPr>
        <w:t>El traspaso de SIEFORE</w:t>
      </w:r>
      <w:r w:rsidR="004F6A53" w:rsidRPr="00A93228">
        <w:rPr>
          <w:rStyle w:val="Textoennegrita"/>
          <w:rFonts w:ascii="Arial" w:hAnsi="Arial" w:cs="Arial"/>
          <w:b w:val="0"/>
          <w:szCs w:val="24"/>
        </w:rPr>
        <w:t xml:space="preserve"> </w:t>
      </w:r>
      <w:r w:rsidRPr="00A93228">
        <w:rPr>
          <w:rStyle w:val="Textoennegrita"/>
          <w:rFonts w:ascii="Arial" w:hAnsi="Arial" w:cs="Arial"/>
          <w:b w:val="0"/>
          <w:szCs w:val="24"/>
        </w:rPr>
        <w:t>tiene que ver con la edad del trabajador, al superar el rango de edad al que pertenece automáticamente pasa al siguiente</w:t>
      </w:r>
      <w:r w:rsidR="0031126D">
        <w:rPr>
          <w:rStyle w:val="Textoennegrita"/>
          <w:rFonts w:ascii="Arial" w:hAnsi="Arial" w:cs="Arial"/>
          <w:b w:val="0"/>
          <w:szCs w:val="24"/>
        </w:rPr>
        <w:t xml:space="preserve"> y así entre una edad y otra. </w:t>
      </w:r>
    </w:p>
    <w:p w:rsidR="001A30EC" w:rsidRDefault="00061141" w:rsidP="006E10B9">
      <w:pPr>
        <w:pStyle w:val="Sangradetextonormal"/>
        <w:spacing w:line="480" w:lineRule="auto"/>
        <w:ind w:left="0" w:firstLine="720"/>
        <w:jc w:val="both"/>
        <w:rPr>
          <w:rFonts w:ascii="Arial" w:eastAsiaTheme="minorHAnsi" w:hAnsi="Arial" w:cs="Arial"/>
          <w:color w:val="000000" w:themeColor="text1"/>
          <w:szCs w:val="24"/>
          <w:lang w:val="es-MX" w:eastAsia="en-US"/>
        </w:rPr>
      </w:pPr>
      <w:r w:rsidRPr="0031126D">
        <w:rPr>
          <w:rStyle w:val="Textoennegrita"/>
          <w:rFonts w:ascii="Arial" w:hAnsi="Arial" w:cs="Arial"/>
          <w:b w:val="0"/>
          <w:color w:val="000000" w:themeColor="text1"/>
          <w:szCs w:val="24"/>
        </w:rPr>
        <w:t xml:space="preserve">También existen los llamados traspasos indebidos que la CONSAR </w:t>
      </w:r>
      <w:r w:rsidR="00C1548D">
        <w:rPr>
          <w:rStyle w:val="Textoennegrita"/>
          <w:rFonts w:ascii="Arial" w:hAnsi="Arial" w:cs="Arial"/>
          <w:b w:val="0"/>
          <w:color w:val="000000" w:themeColor="text1"/>
          <w:szCs w:val="24"/>
        </w:rPr>
        <w:t xml:space="preserve"> los define como el movimiento de</w:t>
      </w:r>
      <w:r w:rsidR="001A30EC" w:rsidRPr="0031126D">
        <w:rPr>
          <w:rFonts w:ascii="Arial" w:eastAsiaTheme="minorHAnsi" w:hAnsi="Arial" w:cs="Arial"/>
          <w:color w:val="000000" w:themeColor="text1"/>
          <w:szCs w:val="24"/>
          <w:lang w:val="es-MX" w:eastAsia="en-US"/>
        </w:rPr>
        <w:t xml:space="preserve"> la </w:t>
      </w:r>
      <w:r w:rsidRPr="0031126D">
        <w:rPr>
          <w:rFonts w:ascii="Arial" w:eastAsiaTheme="minorHAnsi" w:hAnsi="Arial" w:cs="Arial"/>
          <w:color w:val="000000" w:themeColor="text1"/>
          <w:szCs w:val="24"/>
          <w:lang w:val="es-MX" w:eastAsia="en-US"/>
        </w:rPr>
        <w:t>“</w:t>
      </w:r>
      <w:r w:rsidR="001A30EC" w:rsidRPr="0031126D">
        <w:rPr>
          <w:rFonts w:ascii="Arial" w:eastAsiaTheme="minorHAnsi" w:hAnsi="Arial" w:cs="Arial"/>
          <w:color w:val="000000" w:themeColor="text1"/>
          <w:szCs w:val="24"/>
          <w:lang w:val="es-MX" w:eastAsia="en-US"/>
        </w:rPr>
        <w:t xml:space="preserve">cuenta individual del trabajador que se realice por una AFORE sin el consentimiento de éste; o cuando se haya obtenido el consentimiento del trabajador mediante engaño, coacción, intimidación, amenazas o cualquier otra conducta similar; o cuando el traspaso se lleve a cabo mediante la utilización de documentos falsos o alterados o mediante la falsificación de documentos o firmas; o en los casos en que la AFORE, actuando de común acuerdo con el patrón o con representantes de éste o con cualquier otra persona que pueda ejercer presión sobre el trabajador, obtenga su registro a cambio de la entrega de una cantidad de dinero, o de la prestación de algún servicio, o del otorgamiento de algún beneficio o contraprestación de cualquier naturaleza a favor del patrón o de sus representantes, así como en los casos en los que la AFORE obtenga el registro del trabajador a cambio de la entrega de una cantidad de </w:t>
      </w:r>
      <w:r w:rsidR="001A30EC" w:rsidRPr="0031126D">
        <w:rPr>
          <w:rFonts w:ascii="Arial" w:eastAsiaTheme="minorHAnsi" w:hAnsi="Arial" w:cs="Arial"/>
          <w:color w:val="000000" w:themeColor="text1"/>
          <w:szCs w:val="24"/>
          <w:lang w:val="es-MX" w:eastAsia="en-US"/>
        </w:rPr>
        <w:lastRenderedPageBreak/>
        <w:t>dinero, o de la prestación de algún servicio, o del otorgamiento de algún beneficio o contraprestación de cualquier naturaleza, contrarios a lo autorizado, a favor del mismo</w:t>
      </w:r>
      <w:r w:rsidRPr="0031126D">
        <w:rPr>
          <w:rFonts w:ascii="Arial" w:eastAsiaTheme="minorHAnsi" w:hAnsi="Arial" w:cs="Arial"/>
          <w:color w:val="000000" w:themeColor="text1"/>
          <w:szCs w:val="24"/>
          <w:lang w:val="es-MX" w:eastAsia="en-US"/>
        </w:rPr>
        <w:t>”</w:t>
      </w:r>
      <w:r w:rsidR="001A30EC" w:rsidRPr="0031126D">
        <w:rPr>
          <w:rFonts w:ascii="Arial" w:eastAsiaTheme="minorHAnsi" w:hAnsi="Arial" w:cs="Arial"/>
          <w:color w:val="000000" w:themeColor="text1"/>
          <w:szCs w:val="24"/>
          <w:lang w:val="es-MX" w:eastAsia="en-US"/>
        </w:rPr>
        <w:t>.</w:t>
      </w:r>
    </w:p>
    <w:p w:rsidR="004F2984" w:rsidRPr="0031126D" w:rsidRDefault="004F2984" w:rsidP="004A3D67">
      <w:pPr>
        <w:pStyle w:val="Sangradetextonormal"/>
        <w:spacing w:line="480" w:lineRule="auto"/>
        <w:ind w:left="0"/>
        <w:jc w:val="both"/>
        <w:rPr>
          <w:rStyle w:val="Textoennegrita"/>
          <w:rFonts w:ascii="Arial" w:hAnsi="Arial" w:cs="Arial"/>
          <w:b w:val="0"/>
          <w:color w:val="000000" w:themeColor="text1"/>
          <w:szCs w:val="24"/>
        </w:rPr>
      </w:pPr>
    </w:p>
    <w:p w:rsidR="0031126D" w:rsidRPr="004F2984" w:rsidRDefault="002D6871" w:rsidP="00634AB2">
      <w:pPr>
        <w:pStyle w:val="Ttulo1"/>
        <w:numPr>
          <w:ilvl w:val="0"/>
          <w:numId w:val="11"/>
        </w:numPr>
        <w:spacing w:after="400"/>
        <w:ind w:left="1077" w:hanging="357"/>
        <w:jc w:val="both"/>
        <w:rPr>
          <w:rFonts w:cs="Arial"/>
          <w:bCs w:val="0"/>
          <w:szCs w:val="24"/>
        </w:rPr>
      </w:pPr>
      <w:bookmarkStart w:id="64" w:name="_Toc401571174"/>
      <w:bookmarkStart w:id="65" w:name="_Toc401577565"/>
      <w:bookmarkStart w:id="66" w:name="_Toc401578512"/>
      <w:bookmarkStart w:id="67" w:name="_Toc401580976"/>
      <w:bookmarkStart w:id="68" w:name="_Toc401581465"/>
      <w:bookmarkStart w:id="69" w:name="_Toc401586006"/>
      <w:bookmarkStart w:id="70" w:name="_Toc402948937"/>
      <w:r w:rsidRPr="00A93228">
        <w:rPr>
          <w:rStyle w:val="Textoennegrita"/>
          <w:rFonts w:cs="Arial"/>
          <w:b/>
          <w:szCs w:val="24"/>
        </w:rPr>
        <w:t>CRITERIOS FINANCIEROS</w:t>
      </w:r>
      <w:r w:rsidR="00220F6A" w:rsidRPr="00A93228">
        <w:rPr>
          <w:rStyle w:val="Textoennegrita"/>
          <w:rFonts w:cs="Arial"/>
          <w:b/>
          <w:szCs w:val="24"/>
        </w:rPr>
        <w:t xml:space="preserve"> </w:t>
      </w:r>
      <w:r w:rsidRPr="00A93228">
        <w:rPr>
          <w:rStyle w:val="Textoennegrita"/>
          <w:rFonts w:cs="Arial"/>
          <w:b/>
          <w:szCs w:val="24"/>
        </w:rPr>
        <w:t>PARA CAMBIAR DE AFORE</w:t>
      </w:r>
      <w:bookmarkEnd w:id="64"/>
      <w:bookmarkEnd w:id="65"/>
      <w:bookmarkEnd w:id="66"/>
      <w:bookmarkEnd w:id="67"/>
      <w:bookmarkEnd w:id="68"/>
      <w:bookmarkEnd w:id="69"/>
      <w:bookmarkEnd w:id="70"/>
    </w:p>
    <w:p w:rsidR="002D6871" w:rsidRPr="00A93228" w:rsidRDefault="00B574FB" w:rsidP="008A05A9">
      <w:pPr>
        <w:pStyle w:val="Sangradetextonormal"/>
        <w:spacing w:line="480" w:lineRule="auto"/>
        <w:ind w:left="0" w:firstLine="708"/>
        <w:jc w:val="both"/>
        <w:rPr>
          <w:rStyle w:val="Textoennegrita"/>
          <w:rFonts w:ascii="Arial" w:hAnsi="Arial" w:cs="Arial"/>
          <w:b w:val="0"/>
          <w:szCs w:val="24"/>
        </w:rPr>
      </w:pPr>
      <w:r w:rsidRPr="00A93228">
        <w:rPr>
          <w:rStyle w:val="Textoennegrita"/>
          <w:rFonts w:ascii="Arial" w:hAnsi="Arial" w:cs="Arial"/>
          <w:b w:val="0"/>
          <w:szCs w:val="24"/>
        </w:rPr>
        <w:t>Después de haber repasado la reglamentación de los traspasos presentamos el principal argumento financiero que ofrece la CONSAR y las AFORES y SIEFORES  a los trabajadores para emigrar de una administradora a otra, ello con la finalidad de contrastar la legislación de los traspasos y los movimientos de cambio escandalosos que el sistema regis</w:t>
      </w:r>
      <w:r w:rsidR="008A05A9">
        <w:rPr>
          <w:rStyle w:val="Textoennegrita"/>
          <w:rFonts w:ascii="Arial" w:hAnsi="Arial" w:cs="Arial"/>
          <w:b w:val="0"/>
          <w:szCs w:val="24"/>
        </w:rPr>
        <w:t xml:space="preserve">tra desde la década pasada.    </w:t>
      </w:r>
    </w:p>
    <w:p w:rsidR="005F5190" w:rsidRPr="00A93228" w:rsidRDefault="004F6A53" w:rsidP="006E10B9">
      <w:pPr>
        <w:pStyle w:val="Sangradetextonormal"/>
        <w:spacing w:line="480" w:lineRule="auto"/>
        <w:ind w:left="0"/>
        <w:jc w:val="both"/>
        <w:rPr>
          <w:rStyle w:val="Textoennegrita"/>
          <w:rFonts w:ascii="Arial" w:hAnsi="Arial" w:cs="Arial"/>
          <w:b w:val="0"/>
          <w:szCs w:val="24"/>
        </w:rPr>
      </w:pPr>
      <w:r w:rsidRPr="00A93228">
        <w:rPr>
          <w:rStyle w:val="Textoennegrita"/>
          <w:rFonts w:ascii="Arial" w:hAnsi="Arial" w:cs="Arial"/>
          <w:b w:val="0"/>
          <w:szCs w:val="24"/>
        </w:rPr>
        <w:t xml:space="preserve"> </w:t>
      </w:r>
      <w:r w:rsidR="000C0888" w:rsidRPr="00A93228">
        <w:rPr>
          <w:rStyle w:val="Textoennegrita"/>
          <w:rFonts w:ascii="Arial" w:hAnsi="Arial" w:cs="Arial"/>
          <w:b w:val="0"/>
          <w:szCs w:val="24"/>
        </w:rPr>
        <w:tab/>
      </w:r>
      <w:r w:rsidR="00C95FD6" w:rsidRPr="00A93228">
        <w:rPr>
          <w:rStyle w:val="Textoennegrita"/>
          <w:rFonts w:ascii="Arial" w:hAnsi="Arial" w:cs="Arial"/>
          <w:b w:val="0"/>
          <w:szCs w:val="24"/>
        </w:rPr>
        <w:t>S</w:t>
      </w:r>
      <w:r w:rsidR="00BA14F1" w:rsidRPr="00A93228">
        <w:rPr>
          <w:rStyle w:val="Textoennegrita"/>
          <w:rFonts w:ascii="Arial" w:hAnsi="Arial" w:cs="Arial"/>
          <w:b w:val="0"/>
          <w:szCs w:val="24"/>
        </w:rPr>
        <w:t xml:space="preserve">egún la </w:t>
      </w:r>
      <w:r w:rsidR="00C95FD6" w:rsidRPr="00A93228">
        <w:rPr>
          <w:rStyle w:val="Textoennegrita"/>
          <w:rFonts w:ascii="Arial" w:hAnsi="Arial" w:cs="Arial"/>
          <w:b w:val="0"/>
          <w:szCs w:val="24"/>
        </w:rPr>
        <w:t xml:space="preserve">CONSAR </w:t>
      </w:r>
      <w:r w:rsidR="00BA14F1" w:rsidRPr="00A93228">
        <w:rPr>
          <w:rStyle w:val="Textoennegrita"/>
          <w:rFonts w:ascii="Arial" w:hAnsi="Arial" w:cs="Arial"/>
          <w:b w:val="0"/>
          <w:szCs w:val="24"/>
        </w:rPr>
        <w:t xml:space="preserve">el trabajador que decida emigrar de administradora debe tomar en cuenta básicamente el rendimiento neto que ofrecen el resto de las administradoras, que es la relación de rendimiento que ofrecen menos las comisiones por los servicios recibidos: la principal decisión financiera que un trabajador debe considerar para elevar el beneficio o valor de su fondo de pensión es precisamente el rendimiento neto, restando importancia a otras variables como la propia administradora, su origen, su historia o bien </w:t>
      </w:r>
      <w:r w:rsidR="001F1A6C" w:rsidRPr="00A93228">
        <w:rPr>
          <w:rStyle w:val="Textoennegrita"/>
          <w:rFonts w:ascii="Arial" w:hAnsi="Arial" w:cs="Arial"/>
          <w:b w:val="0"/>
          <w:szCs w:val="24"/>
        </w:rPr>
        <w:t>el monopolio y el marketing que despliegan en todo el mercado de pensiones.</w:t>
      </w:r>
    </w:p>
    <w:p w:rsidR="009A2FC1" w:rsidRPr="00A93228" w:rsidRDefault="005F5190" w:rsidP="00504ECD">
      <w:pPr>
        <w:pStyle w:val="Sangradetextonormal"/>
        <w:spacing w:line="480" w:lineRule="auto"/>
        <w:ind w:left="0" w:firstLine="708"/>
        <w:jc w:val="both"/>
        <w:rPr>
          <w:rStyle w:val="Textoennegrita"/>
          <w:rFonts w:ascii="Arial" w:hAnsi="Arial" w:cs="Arial"/>
          <w:b w:val="0"/>
          <w:szCs w:val="24"/>
        </w:rPr>
      </w:pPr>
      <w:r w:rsidRPr="00A93228">
        <w:rPr>
          <w:rStyle w:val="Textoennegrita"/>
          <w:rFonts w:ascii="Arial" w:hAnsi="Arial" w:cs="Arial"/>
          <w:b w:val="0"/>
          <w:szCs w:val="24"/>
        </w:rPr>
        <w:t>Desde 1997 hemos observado la evolución de las empresas que participan en el mercado de fondos de pensiones en México y los países de la América Latina. En nuestro pa</w:t>
      </w:r>
      <w:r w:rsidR="00F67441">
        <w:rPr>
          <w:rStyle w:val="Textoennegrita"/>
          <w:rFonts w:ascii="Arial" w:hAnsi="Arial" w:cs="Arial"/>
          <w:b w:val="0"/>
          <w:szCs w:val="24"/>
        </w:rPr>
        <w:t>ís su número ha pasado de las 21</w:t>
      </w:r>
      <w:r w:rsidRPr="00A93228">
        <w:rPr>
          <w:rStyle w:val="Textoennegrita"/>
          <w:rFonts w:ascii="Arial" w:hAnsi="Arial" w:cs="Arial"/>
          <w:b w:val="0"/>
          <w:szCs w:val="24"/>
        </w:rPr>
        <w:t xml:space="preserve"> administradoras en </w:t>
      </w:r>
      <w:r w:rsidR="00F67441">
        <w:rPr>
          <w:rStyle w:val="Textoennegrita"/>
          <w:rFonts w:ascii="Arial" w:hAnsi="Arial" w:cs="Arial"/>
          <w:b w:val="0"/>
          <w:szCs w:val="24"/>
        </w:rPr>
        <w:t xml:space="preserve">2006 </w:t>
      </w:r>
      <w:r w:rsidRPr="00F67441">
        <w:rPr>
          <w:rStyle w:val="Textoennegrita"/>
          <w:rFonts w:ascii="Arial" w:hAnsi="Arial" w:cs="Arial"/>
          <w:b w:val="0"/>
          <w:szCs w:val="24"/>
        </w:rPr>
        <w:t xml:space="preserve"> hasta las </w:t>
      </w:r>
      <w:r w:rsidR="00A81575" w:rsidRPr="00F67441">
        <w:rPr>
          <w:rStyle w:val="Textoennegrita"/>
          <w:rFonts w:ascii="Arial" w:hAnsi="Arial" w:cs="Arial"/>
          <w:b w:val="0"/>
          <w:szCs w:val="24"/>
        </w:rPr>
        <w:t>11</w:t>
      </w:r>
      <w:r w:rsidRPr="00F67441">
        <w:rPr>
          <w:rStyle w:val="Textoennegrita"/>
          <w:rFonts w:ascii="Arial" w:hAnsi="Arial" w:cs="Arial"/>
          <w:b w:val="0"/>
          <w:szCs w:val="24"/>
        </w:rPr>
        <w:t xml:space="preserve"> en el 2014</w:t>
      </w:r>
      <w:r w:rsidRPr="00A93228">
        <w:rPr>
          <w:rStyle w:val="Textoennegrita"/>
          <w:rFonts w:ascii="Arial" w:hAnsi="Arial" w:cs="Arial"/>
          <w:b w:val="0"/>
          <w:szCs w:val="24"/>
        </w:rPr>
        <w:t xml:space="preserve">, </w:t>
      </w:r>
      <w:r w:rsidR="008E1EBC" w:rsidRPr="00A93228">
        <w:rPr>
          <w:rStyle w:val="Textoennegrita"/>
          <w:rFonts w:ascii="Arial" w:hAnsi="Arial" w:cs="Arial"/>
          <w:b w:val="0"/>
          <w:szCs w:val="24"/>
        </w:rPr>
        <w:t xml:space="preserve">lo que indica que su número </w:t>
      </w:r>
      <w:r w:rsidRPr="00A93228">
        <w:rPr>
          <w:rStyle w:val="Textoennegrita"/>
          <w:rFonts w:ascii="Arial" w:hAnsi="Arial" w:cs="Arial"/>
          <w:b w:val="0"/>
          <w:szCs w:val="24"/>
        </w:rPr>
        <w:t xml:space="preserve">prácticamente </w:t>
      </w:r>
      <w:r w:rsidR="008E1EBC" w:rsidRPr="00A93228">
        <w:rPr>
          <w:rStyle w:val="Textoennegrita"/>
          <w:rFonts w:ascii="Arial" w:hAnsi="Arial" w:cs="Arial"/>
          <w:b w:val="0"/>
          <w:szCs w:val="24"/>
        </w:rPr>
        <w:t xml:space="preserve">se redujo </w:t>
      </w:r>
      <w:r w:rsidRPr="00A93228">
        <w:rPr>
          <w:rStyle w:val="Textoennegrita"/>
          <w:rFonts w:ascii="Arial" w:hAnsi="Arial" w:cs="Arial"/>
          <w:b w:val="0"/>
          <w:szCs w:val="24"/>
        </w:rPr>
        <w:t xml:space="preserve">a la </w:t>
      </w:r>
      <w:r w:rsidRPr="00A93228">
        <w:rPr>
          <w:rStyle w:val="Textoennegrita"/>
          <w:rFonts w:ascii="Arial" w:hAnsi="Arial" w:cs="Arial"/>
          <w:b w:val="0"/>
          <w:szCs w:val="24"/>
        </w:rPr>
        <w:lastRenderedPageBreak/>
        <w:t>mitad con respecto al primer año.</w:t>
      </w:r>
      <w:r w:rsidR="00CB2F5C" w:rsidRPr="00A93228">
        <w:rPr>
          <w:rStyle w:val="Textoennegrita"/>
          <w:rFonts w:ascii="Arial" w:hAnsi="Arial" w:cs="Arial"/>
          <w:b w:val="0"/>
          <w:szCs w:val="24"/>
        </w:rPr>
        <w:t xml:space="preserve"> También existe una marcada volatilidad entre las empresas financieras que gestionan los fondos de</w:t>
      </w:r>
      <w:r w:rsidR="005E1F77" w:rsidRPr="00A93228">
        <w:rPr>
          <w:rStyle w:val="Textoennegrita"/>
          <w:rFonts w:ascii="Arial" w:hAnsi="Arial" w:cs="Arial"/>
          <w:b w:val="0"/>
          <w:szCs w:val="24"/>
        </w:rPr>
        <w:t xml:space="preserve"> pensiones ya que su número varí</w:t>
      </w:r>
      <w:r w:rsidR="00CB2F5C" w:rsidRPr="00A93228">
        <w:rPr>
          <w:rStyle w:val="Textoennegrita"/>
          <w:rFonts w:ascii="Arial" w:hAnsi="Arial" w:cs="Arial"/>
          <w:b w:val="0"/>
          <w:szCs w:val="24"/>
        </w:rPr>
        <w:t>a considerablemente</w:t>
      </w:r>
      <w:r w:rsidR="005E1F77" w:rsidRPr="00A93228">
        <w:rPr>
          <w:rStyle w:val="Textoennegrita"/>
          <w:rFonts w:ascii="Arial" w:hAnsi="Arial" w:cs="Arial"/>
          <w:b w:val="0"/>
          <w:szCs w:val="24"/>
        </w:rPr>
        <w:t>, también entran y salen empresas a lo largo del periodo, otras han desaparecido, otras han sido vendidas, mientras que otras se han fusionado para formar verdaderos duopolios en este mercado, como ocurre en otras</w:t>
      </w:r>
      <w:r w:rsidR="00504ECD">
        <w:rPr>
          <w:rStyle w:val="Textoennegrita"/>
          <w:rFonts w:ascii="Arial" w:hAnsi="Arial" w:cs="Arial"/>
          <w:b w:val="0"/>
          <w:szCs w:val="24"/>
        </w:rPr>
        <w:t xml:space="preserve"> mercados de bienes y servicios.</w:t>
      </w:r>
    </w:p>
    <w:p w:rsidR="00612773" w:rsidRDefault="009A2FC1" w:rsidP="00634AB2">
      <w:pPr>
        <w:pStyle w:val="Sangradetextonormal"/>
        <w:spacing w:line="480" w:lineRule="auto"/>
        <w:ind w:left="0" w:firstLine="708"/>
        <w:jc w:val="both"/>
        <w:rPr>
          <w:rStyle w:val="Textoennegrita"/>
          <w:rFonts w:ascii="Arial" w:hAnsi="Arial" w:cs="Arial"/>
          <w:b w:val="0"/>
          <w:szCs w:val="24"/>
        </w:rPr>
      </w:pPr>
      <w:r w:rsidRPr="00A93228">
        <w:rPr>
          <w:rStyle w:val="Textoennegrita"/>
          <w:rFonts w:ascii="Arial" w:hAnsi="Arial" w:cs="Arial"/>
          <w:b w:val="0"/>
          <w:szCs w:val="24"/>
        </w:rPr>
        <w:t>Los fondos de pensiones en México son gestionados por empresas financieras, grupos económicos o comerciales de origen nacional, español, suizo, holandés, norteamericano, canadiense, inglés, alemán, chileno y hasta colombiano. Hasta hace dos años el monopolio lo mantenían las empresas financieras multinacionales donde las nacionales quedaban francamente subordinadas, como ocurre en el resto de los países de la región.</w:t>
      </w:r>
      <w:r w:rsidR="005E1F77" w:rsidRPr="00A93228">
        <w:rPr>
          <w:rStyle w:val="Textoennegrita"/>
          <w:rFonts w:ascii="Arial" w:hAnsi="Arial" w:cs="Arial"/>
          <w:b w:val="0"/>
          <w:szCs w:val="24"/>
        </w:rPr>
        <w:t xml:space="preserve"> </w:t>
      </w:r>
      <w:r w:rsidR="00CB2F5C" w:rsidRPr="00A93228">
        <w:rPr>
          <w:rStyle w:val="Textoennegrita"/>
          <w:rFonts w:ascii="Arial" w:hAnsi="Arial" w:cs="Arial"/>
          <w:b w:val="0"/>
          <w:szCs w:val="24"/>
        </w:rPr>
        <w:t xml:space="preserve"> </w:t>
      </w:r>
      <w:r w:rsidR="005F5190" w:rsidRPr="00A93228">
        <w:rPr>
          <w:rStyle w:val="Textoennegrita"/>
          <w:rFonts w:ascii="Arial" w:hAnsi="Arial" w:cs="Arial"/>
          <w:b w:val="0"/>
          <w:szCs w:val="24"/>
        </w:rPr>
        <w:t xml:space="preserve"> </w:t>
      </w:r>
    </w:p>
    <w:p w:rsidR="00634AB2" w:rsidRPr="00504ECD" w:rsidRDefault="00634AB2" w:rsidP="00634AB2">
      <w:pPr>
        <w:pStyle w:val="Sangradetextonormal"/>
        <w:spacing w:line="480" w:lineRule="auto"/>
        <w:ind w:left="0"/>
        <w:jc w:val="both"/>
        <w:rPr>
          <w:rFonts w:ascii="Arial" w:hAnsi="Arial" w:cs="Arial"/>
          <w:bCs/>
          <w:szCs w:val="24"/>
        </w:rPr>
      </w:pPr>
    </w:p>
    <w:p w:rsidR="00B923F3" w:rsidRPr="00B923F3" w:rsidRDefault="00A67F08" w:rsidP="00B923F3">
      <w:pPr>
        <w:pStyle w:val="Ttulo1"/>
        <w:numPr>
          <w:ilvl w:val="0"/>
          <w:numId w:val="11"/>
        </w:numPr>
        <w:spacing w:after="400"/>
        <w:ind w:left="1077" w:hanging="357"/>
        <w:jc w:val="both"/>
      </w:pPr>
      <w:bookmarkStart w:id="71" w:name="_Toc401571175"/>
      <w:bookmarkStart w:id="72" w:name="_Toc401577566"/>
      <w:bookmarkStart w:id="73" w:name="_Toc401578513"/>
      <w:bookmarkStart w:id="74" w:name="_Toc401580977"/>
      <w:bookmarkStart w:id="75" w:name="_Toc401581466"/>
      <w:bookmarkStart w:id="76" w:name="_Toc401586007"/>
      <w:bookmarkStart w:id="77" w:name="_Toc402948938"/>
      <w:r w:rsidRPr="00634AB2">
        <w:t>LAS EMPRESAS FINANCIERAS SE HAN VOLCADO POR LA GESTIÓN DE LOS FONDOS DE PENSIONE</w:t>
      </w:r>
      <w:bookmarkEnd w:id="71"/>
      <w:bookmarkEnd w:id="72"/>
      <w:bookmarkEnd w:id="73"/>
      <w:bookmarkEnd w:id="74"/>
      <w:bookmarkEnd w:id="75"/>
      <w:bookmarkEnd w:id="76"/>
      <w:r w:rsidR="008970F9" w:rsidRPr="00634AB2">
        <w:t>s</w:t>
      </w:r>
      <w:bookmarkEnd w:id="77"/>
    </w:p>
    <w:p w:rsidR="00A67F08" w:rsidRPr="00612773" w:rsidRDefault="00A67F08" w:rsidP="00B923F3">
      <w:pPr>
        <w:spacing w:after="0" w:line="480" w:lineRule="auto"/>
        <w:ind w:firstLine="720"/>
        <w:jc w:val="both"/>
        <w:rPr>
          <w:rFonts w:ascii="Arial" w:hAnsi="Arial" w:cs="Arial"/>
          <w:sz w:val="24"/>
          <w:szCs w:val="24"/>
        </w:rPr>
      </w:pPr>
      <w:r w:rsidRPr="00A93228">
        <w:rPr>
          <w:rFonts w:ascii="Arial" w:hAnsi="Arial" w:cs="Arial"/>
          <w:sz w:val="24"/>
          <w:szCs w:val="24"/>
        </w:rPr>
        <w:t xml:space="preserve">Concretamente ¿Por qué es fundamental para las empresas financieras nacionales y multinacionales operar los fondos de pensiones en los países de la América Latina? ¿Qué beneficios financieros esperan si las coberturas de cotizantes con respecto a la población trabajadora crece moderadamente? Y ¿Si los niveles de la PEA informal se </w:t>
      </w:r>
      <w:r w:rsidR="009B409B" w:rsidRPr="00A93228">
        <w:rPr>
          <w:rFonts w:ascii="Arial" w:hAnsi="Arial" w:cs="Arial"/>
          <w:sz w:val="24"/>
          <w:szCs w:val="24"/>
        </w:rPr>
        <w:t>mantienen</w:t>
      </w:r>
      <w:r w:rsidRPr="00A93228">
        <w:rPr>
          <w:rFonts w:ascii="Arial" w:hAnsi="Arial" w:cs="Arial"/>
          <w:sz w:val="24"/>
          <w:szCs w:val="24"/>
        </w:rPr>
        <w:t xml:space="preserve"> en niveles considerables? La respuesta hay que encontrarla en cuatro renglones específicos: al crecer los salarios crecen automáticamente las cotizaciones, crece el nivel de ahorro, crecen las inversiones en los mercados domésticos y en los internacionales y por lo tanto </w:t>
      </w:r>
      <w:r w:rsidRPr="00A93228">
        <w:rPr>
          <w:rFonts w:ascii="Arial" w:hAnsi="Arial" w:cs="Arial"/>
          <w:sz w:val="24"/>
          <w:szCs w:val="24"/>
        </w:rPr>
        <w:lastRenderedPageBreak/>
        <w:t>reciben más ingresos por concepto de gestión de las cuentas, por comisiones y rendimientos de las propias inversiones.</w:t>
      </w:r>
    </w:p>
    <w:p w:rsidR="0021771A" w:rsidRDefault="00A67F08" w:rsidP="00B923F3">
      <w:pPr>
        <w:spacing w:after="0" w:line="480" w:lineRule="auto"/>
        <w:ind w:firstLine="720"/>
        <w:jc w:val="both"/>
        <w:rPr>
          <w:rFonts w:ascii="Arial" w:hAnsi="Arial" w:cs="Arial"/>
          <w:sz w:val="24"/>
          <w:szCs w:val="24"/>
        </w:rPr>
      </w:pPr>
      <w:r w:rsidRPr="00A93228">
        <w:rPr>
          <w:rFonts w:ascii="Arial" w:hAnsi="Arial" w:cs="Arial"/>
          <w:sz w:val="24"/>
          <w:szCs w:val="24"/>
        </w:rPr>
        <w:t>Los fondos de pensiones son gestionados por empresas financieras casi todas ellas especializadas en el ramo y hay que decirlo que un número importante de ellas constituyen empresas financieras multinacionales o bien por grupos nacionales asociados a bancos y aseguradoras que operan en todos los continentes. También encontramos que algunos grupos económicos importantes han incursionado este mercado financiero aprovechando el número de trabajadores que emplean en sus respectivas empresas, que por cierto operan en varios sectores de la economía. El número de empresas que operan los fondos prácticamente se han mantenido a lo largo de la actual década y solamente en México han aumentado en estos últimos cinco años,  ya que operan en cada país un promedio de poco más de 6 empresas. Esta aparente estabilidad del número de empresas puede derivarse de su grado de especialización y su capacidad financiera dentro del mercado de fondos de pensiones. Consideramos que ambos hechos están fuertemente relacionados con los grupos financieros foráneos y con algunos nacionales. El caso de México destaca porque en su sistema operan más empresas y es al mismo tiempo uno de los sistemas donde más entra</w:t>
      </w:r>
      <w:r w:rsidR="0021771A">
        <w:rPr>
          <w:rFonts w:ascii="Arial" w:hAnsi="Arial" w:cs="Arial"/>
          <w:sz w:val="24"/>
          <w:szCs w:val="24"/>
        </w:rPr>
        <w:t>n y salen empresas del mercado.</w:t>
      </w:r>
    </w:p>
    <w:p w:rsidR="00480E1E" w:rsidRPr="00612773" w:rsidRDefault="00480E1E" w:rsidP="008970F9">
      <w:pPr>
        <w:spacing w:after="0" w:line="480" w:lineRule="auto"/>
        <w:ind w:firstLine="720"/>
        <w:jc w:val="both"/>
        <w:rPr>
          <w:rFonts w:ascii="Arial" w:hAnsi="Arial" w:cs="Arial"/>
          <w:sz w:val="24"/>
          <w:szCs w:val="24"/>
        </w:rPr>
      </w:pPr>
      <w:r w:rsidRPr="00A93228">
        <w:rPr>
          <w:rFonts w:ascii="Arial" w:hAnsi="Arial" w:cs="Arial"/>
          <w:sz w:val="24"/>
          <w:szCs w:val="24"/>
        </w:rPr>
        <w:t>Un dato que permite constatar la monopolización y/o oligopolización de los fondos de pensiones por parte de un número reducido de administradoras es que en México y en todos los países de la región dos intermediarios concentran más del 50% de las cuentas registradas, y en algunos casos su dominio sobrepasa el 75% como en Uruguay y hasta del 100% como en Panamá, El Salvador y Bolivia.</w:t>
      </w:r>
    </w:p>
    <w:p w:rsidR="000C0888" w:rsidRDefault="00552862" w:rsidP="00504ECD">
      <w:pPr>
        <w:pStyle w:val="Sangradetextonormal"/>
        <w:spacing w:line="480" w:lineRule="auto"/>
        <w:ind w:left="0" w:firstLine="708"/>
        <w:jc w:val="both"/>
        <w:rPr>
          <w:rFonts w:ascii="Arial" w:hAnsi="Arial" w:cs="Arial"/>
          <w:szCs w:val="24"/>
        </w:rPr>
      </w:pPr>
      <w:r w:rsidRPr="00A93228">
        <w:rPr>
          <w:rFonts w:ascii="Arial" w:hAnsi="Arial" w:cs="Arial"/>
          <w:szCs w:val="24"/>
        </w:rPr>
        <w:lastRenderedPageBreak/>
        <w:t xml:space="preserve">En nuestro país este indicador es del 48%, prácticamente es igual al que arrojan los países de la muestra. Si sumamos la tercera administradora con más cuentas concentradas este mismo indicador aumenta hasta el 60%, y dos de ellas Banamex y Sura son multinacionales. Estos indicadores refuerzan la idea de que el mercado de fondos de pensiones en nuestros países se caracteriza por una marcada concentración por parte de dos administradoras que en su mayoría son empresas financieras multinacionales (ver cuadro 2). </w:t>
      </w:r>
    </w:p>
    <w:p w:rsidR="00634AB2" w:rsidRPr="00A93228" w:rsidRDefault="00634AB2" w:rsidP="00EA5213">
      <w:pPr>
        <w:pStyle w:val="Sangradetextonormal"/>
        <w:spacing w:line="480" w:lineRule="auto"/>
        <w:ind w:left="0"/>
        <w:jc w:val="both"/>
        <w:rPr>
          <w:rFonts w:ascii="Arial" w:hAnsi="Arial" w:cs="Arial"/>
          <w:szCs w:val="24"/>
        </w:rPr>
      </w:pPr>
    </w:p>
    <w:p w:rsidR="00702451" w:rsidRDefault="004F25A5" w:rsidP="00B422C1">
      <w:pPr>
        <w:pStyle w:val="Puesto"/>
        <w:rPr>
          <w:rFonts w:cs="Arial"/>
          <w:color w:val="000000" w:themeColor="text1"/>
          <w:szCs w:val="24"/>
        </w:rPr>
      </w:pPr>
      <w:bookmarkStart w:id="78" w:name="_Toc401585959"/>
      <w:bookmarkStart w:id="79" w:name="_Toc402963899"/>
      <w:r>
        <w:t xml:space="preserve">Cuadro </w:t>
      </w:r>
      <w:r w:rsidR="00422485">
        <w:fldChar w:fldCharType="begin"/>
      </w:r>
      <w:r w:rsidR="00010E8C">
        <w:instrText xml:space="preserve"> SEQ Cuadro \* ARABIC </w:instrText>
      </w:r>
      <w:r w:rsidR="00422485">
        <w:fldChar w:fldCharType="separate"/>
      </w:r>
      <w:r w:rsidR="00CC3D48">
        <w:rPr>
          <w:noProof/>
        </w:rPr>
        <w:t>2</w:t>
      </w:r>
      <w:bookmarkEnd w:id="78"/>
      <w:r w:rsidR="00422485">
        <w:rPr>
          <w:noProof/>
        </w:rPr>
        <w:fldChar w:fldCharType="end"/>
      </w:r>
      <w:r>
        <w:rPr>
          <w:rFonts w:cs="Arial"/>
          <w:color w:val="000000" w:themeColor="text1"/>
          <w:szCs w:val="24"/>
        </w:rPr>
        <w:t xml:space="preserve"> </w:t>
      </w:r>
    </w:p>
    <w:p w:rsidR="00FA410D" w:rsidRPr="004F25A5" w:rsidRDefault="00B422C1" w:rsidP="00B422C1">
      <w:pPr>
        <w:pStyle w:val="Puesto"/>
        <w:rPr>
          <w:rFonts w:cs="Arial"/>
          <w:color w:val="000000" w:themeColor="text1"/>
          <w:szCs w:val="24"/>
        </w:rPr>
      </w:pPr>
      <w:r>
        <w:rPr>
          <w:rFonts w:cs="Arial"/>
          <w:color w:val="000000" w:themeColor="text1"/>
          <w:szCs w:val="24"/>
        </w:rPr>
        <w:t xml:space="preserve"> </w:t>
      </w:r>
      <w:r w:rsidR="004F25A5" w:rsidRPr="004F25A5">
        <w:t>Estructura de mercado de las principales administradoras</w:t>
      </w:r>
      <w:bookmarkEnd w:id="79"/>
    </w:p>
    <w:p w:rsidR="00504ECD" w:rsidRPr="00A93228" w:rsidRDefault="00FA410D" w:rsidP="00504ECD">
      <w:pPr>
        <w:spacing w:line="480" w:lineRule="auto"/>
        <w:jc w:val="center"/>
        <w:rPr>
          <w:rFonts w:ascii="Arial" w:hAnsi="Arial" w:cs="Arial"/>
          <w:b/>
          <w:bCs/>
          <w:color w:val="000000" w:themeColor="text1"/>
          <w:sz w:val="24"/>
          <w:szCs w:val="24"/>
        </w:rPr>
      </w:pPr>
      <w:r w:rsidRPr="00A93228">
        <w:rPr>
          <w:rFonts w:ascii="Arial" w:hAnsi="Arial" w:cs="Arial"/>
          <w:b/>
          <w:bCs/>
          <w:noProof/>
          <w:color w:val="000000" w:themeColor="text1"/>
          <w:sz w:val="24"/>
          <w:szCs w:val="24"/>
          <w:lang w:eastAsia="es-MX"/>
        </w:rPr>
        <w:drawing>
          <wp:inline distT="0" distB="0" distL="0" distR="0">
            <wp:extent cx="5612130" cy="2649147"/>
            <wp:effectExtent l="19050" t="0" r="7620" b="0"/>
            <wp:docPr id="1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612130" cy="2649147"/>
                    </a:xfrm>
                    <a:prstGeom prst="rect">
                      <a:avLst/>
                    </a:prstGeom>
                    <a:noFill/>
                    <a:ln>
                      <a:noFill/>
                    </a:ln>
                  </pic:spPr>
                </pic:pic>
              </a:graphicData>
            </a:graphic>
          </wp:inline>
        </w:drawing>
      </w:r>
    </w:p>
    <w:p w:rsidR="008970F9" w:rsidRDefault="00FA410D" w:rsidP="00EA5213">
      <w:pPr>
        <w:pStyle w:val="Sangradetextonormal"/>
        <w:spacing w:line="480" w:lineRule="auto"/>
        <w:ind w:left="0"/>
        <w:jc w:val="both"/>
        <w:rPr>
          <w:rFonts w:ascii="Arial" w:hAnsi="Arial" w:cs="Arial"/>
          <w:color w:val="000000" w:themeColor="text1"/>
          <w:sz w:val="20"/>
        </w:rPr>
      </w:pPr>
      <w:r w:rsidRPr="00504ECD">
        <w:rPr>
          <w:rFonts w:ascii="Arial" w:hAnsi="Arial" w:cs="Arial"/>
          <w:color w:val="000000" w:themeColor="text1"/>
          <w:sz w:val="20"/>
        </w:rPr>
        <w:t>Fuente: Asociación Internacional de Organismos de Supervisión de Fondos de Pensiones.</w:t>
      </w:r>
    </w:p>
    <w:p w:rsidR="00F7408A" w:rsidRDefault="00F7408A" w:rsidP="00EA5213">
      <w:pPr>
        <w:pStyle w:val="Sangradetextonormal"/>
        <w:spacing w:line="480" w:lineRule="auto"/>
        <w:ind w:left="0"/>
        <w:jc w:val="both"/>
        <w:rPr>
          <w:rFonts w:ascii="Arial" w:hAnsi="Arial" w:cs="Arial"/>
          <w:color w:val="000000" w:themeColor="text1"/>
          <w:sz w:val="20"/>
        </w:rPr>
      </w:pPr>
    </w:p>
    <w:p w:rsidR="00D65E15" w:rsidRDefault="00CC5B0A" w:rsidP="00D65E15">
      <w:pPr>
        <w:spacing w:line="480" w:lineRule="auto"/>
        <w:ind w:firstLine="708"/>
        <w:jc w:val="both"/>
        <w:rPr>
          <w:rFonts w:ascii="Arial" w:hAnsi="Arial" w:cs="Arial"/>
          <w:sz w:val="24"/>
          <w:szCs w:val="24"/>
        </w:rPr>
      </w:pPr>
      <w:r w:rsidRPr="00D14334">
        <w:rPr>
          <w:rFonts w:ascii="Arial" w:hAnsi="Arial" w:cs="Arial"/>
          <w:sz w:val="24"/>
          <w:szCs w:val="24"/>
        </w:rPr>
        <w:t xml:space="preserve">Resulta importante de destacar que de las 11 AFORES que operan actualmente en México 4 son multinacionales, y su número era mayor si revisamos años atrás. Éstas administradoras concentran el </w:t>
      </w:r>
      <w:r w:rsidR="00973E38" w:rsidRPr="00D14334">
        <w:rPr>
          <w:rFonts w:ascii="Arial" w:hAnsi="Arial" w:cs="Arial"/>
          <w:sz w:val="24"/>
          <w:szCs w:val="24"/>
        </w:rPr>
        <w:t>36.4</w:t>
      </w:r>
      <w:r w:rsidRPr="00D14334">
        <w:rPr>
          <w:rFonts w:ascii="Arial" w:hAnsi="Arial" w:cs="Arial"/>
          <w:sz w:val="24"/>
          <w:szCs w:val="24"/>
        </w:rPr>
        <w:t xml:space="preserve">% de las cuentas totales registradas y el </w:t>
      </w:r>
      <w:r w:rsidR="00034F4B" w:rsidRPr="00D14334">
        <w:rPr>
          <w:rFonts w:ascii="Arial" w:hAnsi="Arial" w:cs="Arial"/>
          <w:sz w:val="24"/>
          <w:szCs w:val="24"/>
        </w:rPr>
        <w:t>41.01</w:t>
      </w:r>
      <w:r w:rsidR="00973E38" w:rsidRPr="00D14334">
        <w:rPr>
          <w:rFonts w:ascii="Arial" w:hAnsi="Arial" w:cs="Arial"/>
          <w:sz w:val="24"/>
          <w:szCs w:val="24"/>
        </w:rPr>
        <w:t>%</w:t>
      </w:r>
      <w:r w:rsidRPr="00D14334">
        <w:rPr>
          <w:rFonts w:ascii="Arial" w:hAnsi="Arial" w:cs="Arial"/>
          <w:sz w:val="24"/>
          <w:szCs w:val="24"/>
        </w:rPr>
        <w:t xml:space="preserve"> de los activos financieros</w:t>
      </w:r>
      <w:r w:rsidR="000073B4">
        <w:rPr>
          <w:rFonts w:ascii="Arial" w:hAnsi="Arial" w:cs="Arial"/>
          <w:sz w:val="24"/>
          <w:szCs w:val="24"/>
        </w:rPr>
        <w:t xml:space="preserve"> </w:t>
      </w:r>
      <w:r w:rsidR="000073B4" w:rsidRPr="006C4D0A">
        <w:rPr>
          <w:rFonts w:ascii="Arial" w:hAnsi="Arial" w:cs="Arial"/>
          <w:sz w:val="24"/>
          <w:szCs w:val="24"/>
        </w:rPr>
        <w:t>(ver cuadro 4</w:t>
      </w:r>
      <w:r w:rsidR="002E68AD" w:rsidRPr="006C4D0A">
        <w:rPr>
          <w:rFonts w:ascii="Arial" w:hAnsi="Arial" w:cs="Arial"/>
          <w:sz w:val="24"/>
          <w:szCs w:val="24"/>
        </w:rPr>
        <w:t>)</w:t>
      </w:r>
      <w:r w:rsidRPr="006C4D0A">
        <w:rPr>
          <w:rFonts w:ascii="Arial" w:hAnsi="Arial" w:cs="Arial"/>
          <w:sz w:val="24"/>
          <w:szCs w:val="24"/>
        </w:rPr>
        <w:t>.</w:t>
      </w:r>
      <w:r w:rsidRPr="00A93228">
        <w:rPr>
          <w:rFonts w:ascii="Arial" w:hAnsi="Arial" w:cs="Arial"/>
          <w:sz w:val="24"/>
          <w:szCs w:val="24"/>
        </w:rPr>
        <w:t xml:space="preserve">  </w:t>
      </w:r>
    </w:p>
    <w:p w:rsidR="00B30A69" w:rsidRDefault="009E747C" w:rsidP="00D65E15">
      <w:pPr>
        <w:spacing w:line="480" w:lineRule="auto"/>
        <w:ind w:firstLine="708"/>
        <w:jc w:val="both"/>
        <w:rPr>
          <w:rFonts w:ascii="Arial" w:hAnsi="Arial" w:cs="Arial"/>
          <w:sz w:val="24"/>
          <w:szCs w:val="24"/>
        </w:rPr>
      </w:pPr>
      <w:r w:rsidRPr="00A93228">
        <w:rPr>
          <w:rFonts w:ascii="Arial" w:hAnsi="Arial" w:cs="Arial"/>
          <w:sz w:val="24"/>
          <w:szCs w:val="24"/>
        </w:rPr>
        <w:lastRenderedPageBreak/>
        <w:t xml:space="preserve">La administradora Banorte que registra el mayor número de cuentas y activos financieros es nacional, </w:t>
      </w:r>
      <w:r w:rsidR="00B0682D" w:rsidRPr="00A93228">
        <w:rPr>
          <w:rFonts w:ascii="Arial" w:hAnsi="Arial" w:cs="Arial"/>
          <w:sz w:val="24"/>
          <w:szCs w:val="24"/>
        </w:rPr>
        <w:t xml:space="preserve">es una empresa financiera mexicana que se ha venido consolidando en el mercado de fondos de pensiones. </w:t>
      </w:r>
      <w:r w:rsidR="005E0754" w:rsidRPr="00A93228">
        <w:rPr>
          <w:rFonts w:ascii="Arial" w:hAnsi="Arial" w:cs="Arial"/>
          <w:sz w:val="24"/>
          <w:szCs w:val="24"/>
        </w:rPr>
        <w:t xml:space="preserve">Su crecimiento es resultado de la compra de tres administradoras Ixe, Siglo XXI y Bancomer, estás dos últimas constituidas desde 1997. Podríamos decir que su liderazgo en el mercado es resultado de la estrategia de comprar administradoras y no de aforar a los trabajadores en las empresas, comercios, gobierno o servicios; han invertido en empresas financieras que ya no estaban interesadas en la gestión de fondos de pensiones.  </w:t>
      </w:r>
      <w:r w:rsidR="00B0682D" w:rsidRPr="00A93228">
        <w:rPr>
          <w:rFonts w:ascii="Arial" w:hAnsi="Arial" w:cs="Arial"/>
          <w:sz w:val="24"/>
          <w:szCs w:val="24"/>
        </w:rPr>
        <w:t xml:space="preserve"> </w:t>
      </w:r>
      <w:r w:rsidRPr="00A93228">
        <w:rPr>
          <w:rFonts w:ascii="Arial" w:hAnsi="Arial" w:cs="Arial"/>
          <w:sz w:val="24"/>
          <w:szCs w:val="24"/>
        </w:rPr>
        <w:t xml:space="preserve">  </w:t>
      </w:r>
    </w:p>
    <w:p w:rsidR="00D65E15" w:rsidRDefault="009345C3" w:rsidP="00D65E15">
      <w:pPr>
        <w:spacing w:after="0" w:line="480" w:lineRule="auto"/>
        <w:ind w:firstLine="709"/>
        <w:jc w:val="both"/>
        <w:rPr>
          <w:rFonts w:ascii="Arial" w:hAnsi="Arial" w:cs="Arial"/>
          <w:sz w:val="24"/>
          <w:szCs w:val="24"/>
        </w:rPr>
      </w:pPr>
      <w:r>
        <w:rPr>
          <w:rFonts w:ascii="Arial" w:hAnsi="Arial" w:cs="Arial"/>
          <w:sz w:val="24"/>
          <w:szCs w:val="24"/>
        </w:rPr>
        <w:t>En la figura 3</w:t>
      </w:r>
      <w:r w:rsidR="00D046A3" w:rsidRPr="00A93228">
        <w:rPr>
          <w:rFonts w:ascii="Arial" w:hAnsi="Arial" w:cs="Arial"/>
          <w:sz w:val="24"/>
          <w:szCs w:val="24"/>
        </w:rPr>
        <w:t xml:space="preserve"> </w:t>
      </w:r>
      <w:r w:rsidR="004A0E82" w:rsidRPr="00A93228">
        <w:rPr>
          <w:rFonts w:ascii="Arial" w:hAnsi="Arial" w:cs="Arial"/>
          <w:sz w:val="24"/>
          <w:szCs w:val="24"/>
        </w:rPr>
        <w:t xml:space="preserve">se describen </w:t>
      </w:r>
      <w:r w:rsidR="00D046A3" w:rsidRPr="00A93228">
        <w:rPr>
          <w:rFonts w:ascii="Arial" w:hAnsi="Arial" w:cs="Arial"/>
          <w:sz w:val="24"/>
          <w:szCs w:val="24"/>
        </w:rPr>
        <w:t xml:space="preserve">los países que registran la relación más alta entre los fondos de pensiones y el PIB, en donde por supuesto no aparece México. Sin embargo, </w:t>
      </w:r>
      <w:r w:rsidRPr="009345C3">
        <w:rPr>
          <w:rFonts w:ascii="Arial" w:hAnsi="Arial" w:cs="Arial"/>
          <w:sz w:val="24"/>
          <w:szCs w:val="24"/>
        </w:rPr>
        <w:t>en la figura 6</w:t>
      </w:r>
      <w:r w:rsidR="00D046A3" w:rsidRPr="009345C3">
        <w:rPr>
          <w:rFonts w:ascii="Arial" w:hAnsi="Arial" w:cs="Arial"/>
          <w:sz w:val="24"/>
          <w:szCs w:val="24"/>
        </w:rPr>
        <w:t xml:space="preserve"> vemos que este indicador ha evolucionado favorablemente desde el año 2003, hasta aproximarse al 14%  en lo que va de 2014</w:t>
      </w:r>
      <w:r w:rsidR="00D046A3" w:rsidRPr="00A93228">
        <w:rPr>
          <w:rFonts w:ascii="Arial" w:hAnsi="Arial" w:cs="Arial"/>
          <w:sz w:val="24"/>
          <w:szCs w:val="24"/>
        </w:rPr>
        <w:t xml:space="preserve">. Esta dinámica obedece a </w:t>
      </w:r>
      <w:r w:rsidR="00FC1544" w:rsidRPr="00A93228">
        <w:rPr>
          <w:rFonts w:ascii="Arial" w:hAnsi="Arial" w:cs="Arial"/>
          <w:sz w:val="24"/>
          <w:szCs w:val="24"/>
        </w:rPr>
        <w:t>cuatro</w:t>
      </w:r>
      <w:r w:rsidR="00D046A3" w:rsidRPr="00A93228">
        <w:rPr>
          <w:rFonts w:ascii="Arial" w:hAnsi="Arial" w:cs="Arial"/>
          <w:sz w:val="24"/>
          <w:szCs w:val="24"/>
        </w:rPr>
        <w:t xml:space="preserve"> razones de peso: </w:t>
      </w:r>
      <w:r w:rsidR="00FC1544" w:rsidRPr="00A93228">
        <w:rPr>
          <w:rFonts w:ascii="Arial" w:hAnsi="Arial" w:cs="Arial"/>
          <w:sz w:val="24"/>
          <w:szCs w:val="24"/>
        </w:rPr>
        <w:t xml:space="preserve">son activos que se acumulan año con año, es decir desde 1997; a la incorporación de trabajadores al sistema, aunque este rubro es significativamente precario; porque a los activos se les suma año con año los rendimientos, utilidades derivadas de las Siefores y a que la tasa de los pensionados es significativamente menor a la de los trabajadores en activo.  </w:t>
      </w:r>
    </w:p>
    <w:p w:rsidR="00482F96" w:rsidRPr="00B369A3" w:rsidRDefault="007A64AD" w:rsidP="00D65E15">
      <w:pPr>
        <w:spacing w:after="0" w:line="480" w:lineRule="auto"/>
        <w:ind w:firstLine="709"/>
        <w:jc w:val="both"/>
        <w:rPr>
          <w:rFonts w:ascii="Arial" w:hAnsi="Arial" w:cs="Arial"/>
          <w:sz w:val="24"/>
          <w:szCs w:val="24"/>
        </w:rPr>
      </w:pPr>
      <w:r w:rsidRPr="00A93228">
        <w:rPr>
          <w:rFonts w:ascii="Arial" w:hAnsi="Arial" w:cs="Arial"/>
          <w:sz w:val="24"/>
          <w:szCs w:val="24"/>
        </w:rPr>
        <w:t xml:space="preserve">Un indicador que permite comprobar objetivamente si el sistema en verdad fue diseñado para aumentar las pensiones de los trabajadores, así como el de la PEA con derechos a una pensión tiene que ver el número de cuentas registradas que al </w:t>
      </w:r>
      <w:r w:rsidRPr="00B369A3">
        <w:rPr>
          <w:rFonts w:ascii="Arial" w:hAnsi="Arial" w:cs="Arial"/>
          <w:sz w:val="24"/>
          <w:szCs w:val="24"/>
        </w:rPr>
        <w:t>2014 alcanzaban los 51</w:t>
      </w:r>
      <w:r w:rsidR="00817C77" w:rsidRPr="00B369A3">
        <w:rPr>
          <w:rFonts w:ascii="Arial" w:hAnsi="Arial" w:cs="Arial"/>
          <w:sz w:val="24"/>
          <w:szCs w:val="24"/>
        </w:rPr>
        <w:t xml:space="preserve"> </w:t>
      </w:r>
      <w:r w:rsidRPr="00B369A3">
        <w:rPr>
          <w:rFonts w:ascii="Arial" w:hAnsi="Arial" w:cs="Arial"/>
          <w:sz w:val="24"/>
          <w:szCs w:val="24"/>
        </w:rPr>
        <w:t xml:space="preserve">millones, </w:t>
      </w:r>
      <w:r w:rsidR="006C721F" w:rsidRPr="00B369A3">
        <w:rPr>
          <w:rFonts w:ascii="Arial" w:hAnsi="Arial" w:cs="Arial"/>
          <w:sz w:val="24"/>
          <w:szCs w:val="24"/>
        </w:rPr>
        <w:t xml:space="preserve">aunque solamente 12 millones de ellas se </w:t>
      </w:r>
      <w:r w:rsidR="006C721F" w:rsidRPr="00B369A3">
        <w:rPr>
          <w:rFonts w:ascii="Arial" w:hAnsi="Arial" w:cs="Arial"/>
          <w:sz w:val="24"/>
          <w:szCs w:val="24"/>
        </w:rPr>
        <w:lastRenderedPageBreak/>
        <w:t>consideran activas, que los trabajadores y sus empleadores cotizan semana a semana. Esto es,  la cifra de cuentas registradas en las A</w:t>
      </w:r>
      <w:r w:rsidR="004A0E82" w:rsidRPr="00B369A3">
        <w:rPr>
          <w:rFonts w:ascii="Arial" w:hAnsi="Arial" w:cs="Arial"/>
          <w:sz w:val="24"/>
          <w:szCs w:val="24"/>
        </w:rPr>
        <w:t>fores es sumamente espectacular</w:t>
      </w:r>
      <w:r w:rsidR="006C721F" w:rsidRPr="00B369A3">
        <w:rPr>
          <w:rFonts w:ascii="Arial" w:hAnsi="Arial" w:cs="Arial"/>
          <w:sz w:val="24"/>
          <w:szCs w:val="24"/>
        </w:rPr>
        <w:t xml:space="preserve">, más del 90% de la PEA tiene una cuenta y con ello derechos a una pensión; sin embargo, tan solo el </w:t>
      </w:r>
      <w:r w:rsidR="00817C77" w:rsidRPr="00B369A3">
        <w:rPr>
          <w:rFonts w:ascii="Arial" w:hAnsi="Arial" w:cs="Arial"/>
          <w:sz w:val="24"/>
          <w:szCs w:val="24"/>
        </w:rPr>
        <w:t>23.53</w:t>
      </w:r>
      <w:r w:rsidR="006C721F" w:rsidRPr="00B369A3">
        <w:rPr>
          <w:rFonts w:ascii="Arial" w:hAnsi="Arial" w:cs="Arial"/>
          <w:sz w:val="24"/>
          <w:szCs w:val="24"/>
        </w:rPr>
        <w:t xml:space="preserve">% mantiene activa su cuenta lo que significa que un </w:t>
      </w:r>
      <w:r w:rsidR="00817C77" w:rsidRPr="00B369A3">
        <w:rPr>
          <w:rFonts w:ascii="Arial" w:hAnsi="Arial" w:cs="Arial"/>
          <w:sz w:val="24"/>
          <w:szCs w:val="24"/>
        </w:rPr>
        <w:t>76.47</w:t>
      </w:r>
      <w:r w:rsidR="006C721F" w:rsidRPr="00B369A3">
        <w:rPr>
          <w:rFonts w:ascii="Arial" w:hAnsi="Arial" w:cs="Arial"/>
          <w:sz w:val="24"/>
          <w:szCs w:val="24"/>
        </w:rPr>
        <w:t xml:space="preserve">% de ella entra y sale del mercado por lo que es difícil que alcance una pensión.  </w:t>
      </w:r>
    </w:p>
    <w:p w:rsidR="00482F96" w:rsidRDefault="004A0E82" w:rsidP="008970F9">
      <w:pPr>
        <w:spacing w:after="0" w:line="480" w:lineRule="auto"/>
        <w:ind w:firstLine="709"/>
        <w:jc w:val="both"/>
        <w:rPr>
          <w:rFonts w:ascii="Arial" w:hAnsi="Arial" w:cs="Arial"/>
          <w:sz w:val="24"/>
          <w:szCs w:val="24"/>
        </w:rPr>
      </w:pPr>
      <w:r w:rsidRPr="00B369A3">
        <w:rPr>
          <w:rFonts w:ascii="Arial" w:hAnsi="Arial" w:cs="Arial"/>
          <w:sz w:val="24"/>
          <w:szCs w:val="24"/>
        </w:rPr>
        <w:t>Al comparar este indicador con el de otros países encontramos que la estructura entre los trabajadores afiliados y los trabajadores que cotizan permanentemente es sumamente desproporcional ya que en</w:t>
      </w:r>
      <w:r w:rsidR="00173CFA" w:rsidRPr="00A93228">
        <w:rPr>
          <w:rFonts w:ascii="Arial" w:hAnsi="Arial" w:cs="Arial"/>
          <w:sz w:val="24"/>
          <w:szCs w:val="24"/>
        </w:rPr>
        <w:t xml:space="preserve"> el año de 2004 los países de la muestra registraban un total de 62 millones de trabajadores afiliados y solamente 26 de ellos cotizaban para sus pensiones permanentemente, solo un 42% mantienen activas sus cuentas individuales. Para el 2012 el total de afiliados se </w:t>
      </w:r>
      <w:r w:rsidR="00EC00DF" w:rsidRPr="00A93228">
        <w:rPr>
          <w:rFonts w:ascii="Arial" w:hAnsi="Arial" w:cs="Arial"/>
          <w:sz w:val="24"/>
          <w:szCs w:val="24"/>
        </w:rPr>
        <w:t>elevó</w:t>
      </w:r>
      <w:r w:rsidR="00173CFA" w:rsidRPr="00A93228">
        <w:rPr>
          <w:rFonts w:ascii="Arial" w:hAnsi="Arial" w:cs="Arial"/>
          <w:sz w:val="24"/>
          <w:szCs w:val="24"/>
        </w:rPr>
        <w:t xml:space="preserve"> a los 80 millones de trabajadores y a 30 millones los cotizantes permanentes, su tasa disminuyó hasta el 37%. En un periodo de 8 años los afiliados totales se incrementaron en un 28%, mientras que los cotizantes en un 14% (</w:t>
      </w:r>
      <w:r w:rsidR="00482F96">
        <w:rPr>
          <w:rFonts w:ascii="Arial" w:hAnsi="Arial" w:cs="Arial"/>
          <w:sz w:val="24"/>
          <w:szCs w:val="24"/>
        </w:rPr>
        <w:t>AIOS</w:t>
      </w:r>
      <w:r w:rsidR="00173CFA" w:rsidRPr="00A93228">
        <w:rPr>
          <w:rFonts w:ascii="Arial" w:hAnsi="Arial" w:cs="Arial"/>
          <w:sz w:val="24"/>
          <w:szCs w:val="24"/>
        </w:rPr>
        <w:t xml:space="preserve">, 2014).  </w:t>
      </w:r>
    </w:p>
    <w:p w:rsidR="003116E6" w:rsidRPr="00A93228" w:rsidRDefault="003116E6" w:rsidP="008970F9">
      <w:pPr>
        <w:spacing w:after="0" w:line="480" w:lineRule="auto"/>
        <w:ind w:firstLine="709"/>
        <w:jc w:val="both"/>
        <w:rPr>
          <w:rFonts w:ascii="Arial" w:hAnsi="Arial" w:cs="Arial"/>
          <w:sz w:val="24"/>
          <w:szCs w:val="24"/>
        </w:rPr>
      </w:pPr>
      <w:r w:rsidRPr="00A93228">
        <w:rPr>
          <w:rFonts w:ascii="Arial" w:hAnsi="Arial" w:cs="Arial"/>
          <w:sz w:val="24"/>
          <w:szCs w:val="24"/>
        </w:rPr>
        <w:t xml:space="preserve">El Salvador y México mantienen la relación más baja entre trabajadores afiliados y cotizantes, 27% y 30% respectivamente. Por el contrario, Uruguay y Costa Rica registran el indicador más eficiente entre todos los países de la región, 67% y 65% respectivamente. </w:t>
      </w:r>
    </w:p>
    <w:p w:rsidR="00D65E15" w:rsidRPr="00A93228" w:rsidRDefault="006C721F" w:rsidP="00C213DA">
      <w:pPr>
        <w:spacing w:after="0" w:line="480" w:lineRule="auto"/>
        <w:ind w:firstLine="709"/>
        <w:jc w:val="both"/>
        <w:rPr>
          <w:rFonts w:ascii="Arial" w:hAnsi="Arial" w:cs="Arial"/>
          <w:sz w:val="24"/>
          <w:szCs w:val="24"/>
        </w:rPr>
      </w:pPr>
      <w:r w:rsidRPr="00A93228">
        <w:rPr>
          <w:rFonts w:ascii="Arial" w:hAnsi="Arial" w:cs="Arial"/>
          <w:sz w:val="24"/>
          <w:szCs w:val="24"/>
        </w:rPr>
        <w:t xml:space="preserve">De otro lado, vemos que el sistema ofrece crecientes beneficios a las administradoras: las cuentas que no registran un flujo constante de cuotas por parte de los trabajadores, </w:t>
      </w:r>
      <w:r w:rsidR="00A60E76" w:rsidRPr="00A93228">
        <w:rPr>
          <w:rFonts w:ascii="Arial" w:hAnsi="Arial" w:cs="Arial"/>
          <w:sz w:val="24"/>
          <w:szCs w:val="24"/>
        </w:rPr>
        <w:t>la administradora sigue cobrando comisión lo cual erosiona significativamente el monto del fondo.</w:t>
      </w:r>
      <w:r w:rsidRPr="00A93228">
        <w:rPr>
          <w:rFonts w:ascii="Arial" w:hAnsi="Arial" w:cs="Arial"/>
          <w:sz w:val="24"/>
          <w:szCs w:val="24"/>
        </w:rPr>
        <w:t xml:space="preserve">  </w:t>
      </w:r>
      <w:r w:rsidR="006C2875" w:rsidRPr="00A93228">
        <w:rPr>
          <w:rFonts w:ascii="Arial" w:hAnsi="Arial" w:cs="Arial"/>
          <w:sz w:val="24"/>
          <w:szCs w:val="24"/>
        </w:rPr>
        <w:t xml:space="preserve">También resulta importante de </w:t>
      </w:r>
      <w:r w:rsidR="006C2875" w:rsidRPr="00A93228">
        <w:rPr>
          <w:rFonts w:ascii="Arial" w:hAnsi="Arial" w:cs="Arial"/>
          <w:sz w:val="24"/>
          <w:szCs w:val="24"/>
        </w:rPr>
        <w:lastRenderedPageBreak/>
        <w:t>destacar que el grueso de los trabajadores percibe ingresos menores a los 5.5 salarios mínimos</w:t>
      </w:r>
      <w:r w:rsidR="00997EBF" w:rsidRPr="00A93228">
        <w:rPr>
          <w:rFonts w:ascii="Arial" w:hAnsi="Arial" w:cs="Arial"/>
          <w:sz w:val="24"/>
          <w:szCs w:val="24"/>
        </w:rPr>
        <w:t xml:space="preserve">, 79 %; un 12.2% alcanza </w:t>
      </w:r>
      <w:r w:rsidR="006C2875" w:rsidRPr="00A93228">
        <w:rPr>
          <w:rFonts w:ascii="Arial" w:hAnsi="Arial" w:cs="Arial"/>
          <w:sz w:val="24"/>
          <w:szCs w:val="24"/>
        </w:rPr>
        <w:t>solamente</w:t>
      </w:r>
      <w:r w:rsidR="00997EBF" w:rsidRPr="00A93228">
        <w:rPr>
          <w:rFonts w:ascii="Arial" w:hAnsi="Arial" w:cs="Arial"/>
          <w:sz w:val="24"/>
          <w:szCs w:val="24"/>
        </w:rPr>
        <w:t xml:space="preserve"> entre 5.5 y 10 salarios y tan solo el 8.6% percibe entre 10</w:t>
      </w:r>
      <w:r w:rsidR="009E41A5">
        <w:rPr>
          <w:rFonts w:ascii="Arial" w:hAnsi="Arial" w:cs="Arial"/>
          <w:sz w:val="24"/>
          <w:szCs w:val="24"/>
        </w:rPr>
        <w:t xml:space="preserve"> y 25 salarios mínimos (figura 7</w:t>
      </w:r>
      <w:r w:rsidR="00997EBF" w:rsidRPr="00A93228">
        <w:rPr>
          <w:rFonts w:ascii="Arial" w:hAnsi="Arial" w:cs="Arial"/>
          <w:sz w:val="24"/>
          <w:szCs w:val="24"/>
        </w:rPr>
        <w:t>).</w:t>
      </w:r>
      <w:r w:rsidR="007A64AD" w:rsidRPr="00A93228">
        <w:rPr>
          <w:rFonts w:ascii="Arial" w:hAnsi="Arial" w:cs="Arial"/>
          <w:sz w:val="24"/>
          <w:szCs w:val="24"/>
        </w:rPr>
        <w:t xml:space="preserve">  </w:t>
      </w:r>
      <w:r w:rsidR="00D046A3" w:rsidRPr="00A93228">
        <w:rPr>
          <w:rFonts w:ascii="Arial" w:hAnsi="Arial" w:cs="Arial"/>
          <w:sz w:val="24"/>
          <w:szCs w:val="24"/>
        </w:rPr>
        <w:t xml:space="preserve">     </w:t>
      </w:r>
    </w:p>
    <w:p w:rsidR="00332D4D" w:rsidRPr="00332D4D" w:rsidRDefault="009225D8" w:rsidP="00332D4D">
      <w:pPr>
        <w:spacing w:line="480" w:lineRule="auto"/>
        <w:ind w:firstLine="708"/>
        <w:jc w:val="both"/>
        <w:rPr>
          <w:rFonts w:ascii="Arial" w:hAnsi="Arial" w:cs="Arial"/>
          <w:sz w:val="24"/>
          <w:szCs w:val="24"/>
          <w:lang w:val="es-ES"/>
        </w:rPr>
      </w:pPr>
      <w:r w:rsidRPr="00A93228">
        <w:rPr>
          <w:rFonts w:ascii="Arial" w:hAnsi="Arial" w:cs="Arial"/>
          <w:sz w:val="24"/>
          <w:szCs w:val="24"/>
          <w:lang w:val="es-ES"/>
        </w:rPr>
        <w:t>Éstas administradoras también tienen la peculiaridad de pertenecer a grupos financieros importantes en lo nacional y lo internacional. Encontramos que las administradoras que operan en México también lo hacen en Chile o Colombia, antiguamente también en la Argentina</w:t>
      </w:r>
      <w:r w:rsidR="008701B6" w:rsidRPr="00A93228">
        <w:rPr>
          <w:rFonts w:ascii="Arial" w:hAnsi="Arial" w:cs="Arial"/>
          <w:sz w:val="24"/>
          <w:szCs w:val="24"/>
          <w:lang w:val="es-ES"/>
        </w:rPr>
        <w:t>. También se distinguen por ser empresas que entraron al sistema por las bondades y/o beneficios que establecen las legislaciones de cada país, ya que empezaron a operar y después salieron del mercado por la vía de la venta, asociación o por compra de las financieras más agresivas del mercado. De igual forma operaron administradoras pertenecientes a grupos no necesariamente financieros como los casos de Afore Coppel y Afore Azteca en México</w:t>
      </w:r>
      <w:r w:rsidR="008A4192">
        <w:rPr>
          <w:rFonts w:ascii="Arial" w:hAnsi="Arial" w:cs="Arial"/>
          <w:sz w:val="24"/>
          <w:szCs w:val="24"/>
          <w:lang w:val="es-ES"/>
        </w:rPr>
        <w:t xml:space="preserve"> </w:t>
      </w:r>
      <w:r w:rsidR="00332D4D" w:rsidRPr="00CB5318">
        <w:rPr>
          <w:rFonts w:ascii="Arial" w:hAnsi="Arial" w:cs="Arial"/>
          <w:sz w:val="24"/>
          <w:szCs w:val="24"/>
          <w:lang w:val="es-ES"/>
        </w:rPr>
        <w:t>(cuadro 4</w:t>
      </w:r>
      <w:r w:rsidR="003C0426" w:rsidRPr="00CB5318">
        <w:rPr>
          <w:rFonts w:ascii="Arial" w:hAnsi="Arial" w:cs="Arial"/>
          <w:sz w:val="24"/>
          <w:szCs w:val="24"/>
          <w:lang w:val="es-ES"/>
        </w:rPr>
        <w:t>).</w:t>
      </w:r>
    </w:p>
    <w:p w:rsidR="00AF5AF0" w:rsidRPr="00AF5AF0" w:rsidRDefault="00A0225C" w:rsidP="00B923F3">
      <w:pPr>
        <w:pStyle w:val="Ttulo1"/>
        <w:numPr>
          <w:ilvl w:val="0"/>
          <w:numId w:val="11"/>
        </w:numPr>
        <w:spacing w:after="400"/>
        <w:ind w:left="1077" w:hanging="357"/>
        <w:jc w:val="both"/>
        <w:rPr>
          <w:noProof/>
        </w:rPr>
      </w:pPr>
      <w:bookmarkStart w:id="80" w:name="_Toc402948939"/>
      <w:r w:rsidRPr="00740F6C">
        <w:rPr>
          <w:noProof/>
        </w:rPr>
        <w:t>LA GESTIÓN DE LOS FONDOS DE PENSIONES POR LAS EMPRESAS FINANCIERA</w:t>
      </w:r>
      <w:r w:rsidR="00634AB2">
        <w:rPr>
          <w:noProof/>
        </w:rPr>
        <w:t xml:space="preserve">S MULTINACIONALES EN LOS PAÍSEs </w:t>
      </w:r>
      <w:r w:rsidRPr="00740F6C">
        <w:rPr>
          <w:noProof/>
        </w:rPr>
        <w:t>LATINOAMERICANOS</w:t>
      </w:r>
      <w:bookmarkEnd w:id="80"/>
    </w:p>
    <w:p w:rsidR="00A0225C" w:rsidRPr="00A0225C" w:rsidRDefault="00A0225C" w:rsidP="00C84803">
      <w:pPr>
        <w:spacing w:line="480" w:lineRule="auto"/>
        <w:ind w:firstLine="708"/>
        <w:jc w:val="both"/>
        <w:rPr>
          <w:rFonts w:ascii="Arial" w:hAnsi="Arial" w:cs="Arial"/>
          <w:sz w:val="24"/>
          <w:szCs w:val="24"/>
        </w:rPr>
      </w:pPr>
      <w:r w:rsidRPr="00CB5318">
        <w:rPr>
          <w:rFonts w:ascii="Arial" w:hAnsi="Arial" w:cs="Arial"/>
          <w:sz w:val="24"/>
          <w:szCs w:val="24"/>
        </w:rPr>
        <w:t>El total de empresas financieras de fondos de pensiones registradas a diciembre del 2012 sumaban 48, siendo las 13 AFORES de México las más numerosas.  Mientras que 2 AFPs dominan el total del mercado de pensiones en Bolivia y el Salvador.</w:t>
      </w:r>
    </w:p>
    <w:p w:rsidR="00C84803" w:rsidRDefault="00C84803" w:rsidP="006E10B9">
      <w:pPr>
        <w:spacing w:line="480" w:lineRule="auto"/>
        <w:jc w:val="both"/>
        <w:rPr>
          <w:rFonts w:ascii="Arial" w:hAnsi="Arial" w:cs="Arial"/>
          <w:sz w:val="24"/>
          <w:szCs w:val="24"/>
        </w:rPr>
      </w:pPr>
    </w:p>
    <w:p w:rsidR="00B923F3" w:rsidRPr="00B923F3" w:rsidRDefault="00B923F3" w:rsidP="00B923F3">
      <w:bookmarkStart w:id="81" w:name="_Toc402963902"/>
    </w:p>
    <w:p w:rsidR="00702451" w:rsidRDefault="00CC3D48" w:rsidP="00CC3D48">
      <w:pPr>
        <w:pStyle w:val="Puesto"/>
      </w:pPr>
      <w:r>
        <w:lastRenderedPageBreak/>
        <w:t xml:space="preserve">Cuadro </w:t>
      </w:r>
      <w:r w:rsidR="009E6570">
        <w:fldChar w:fldCharType="begin"/>
      </w:r>
      <w:r w:rsidR="009E6570">
        <w:instrText xml:space="preserve"> SEQ Cuadro \* ARABIC </w:instrText>
      </w:r>
      <w:r w:rsidR="009E6570">
        <w:fldChar w:fldCharType="separate"/>
      </w:r>
      <w:r>
        <w:rPr>
          <w:noProof/>
        </w:rPr>
        <w:t>5</w:t>
      </w:r>
      <w:r w:rsidR="009E6570">
        <w:rPr>
          <w:noProof/>
        </w:rPr>
        <w:fldChar w:fldCharType="end"/>
      </w:r>
    </w:p>
    <w:p w:rsidR="00C84803" w:rsidRPr="00B30A69" w:rsidRDefault="00C84803" w:rsidP="00CC3D48">
      <w:pPr>
        <w:pStyle w:val="Puesto"/>
        <w:rPr>
          <w:rFonts w:cs="Arial"/>
          <w:szCs w:val="24"/>
        </w:rPr>
      </w:pPr>
      <w:r w:rsidRPr="002121F5">
        <w:t>Desempeño financiero de las AFPs por país latinoamericano, 2012</w:t>
      </w:r>
      <w:bookmarkEnd w:id="81"/>
    </w:p>
    <w:p w:rsidR="00C84803" w:rsidRDefault="00C84803" w:rsidP="00C84803">
      <w:pPr>
        <w:spacing w:line="480" w:lineRule="auto"/>
        <w:jc w:val="center"/>
        <w:rPr>
          <w:rFonts w:ascii="Arial" w:hAnsi="Arial" w:cs="Arial"/>
          <w:sz w:val="20"/>
          <w:szCs w:val="20"/>
        </w:rPr>
      </w:pPr>
      <w:r w:rsidRPr="000B65C4">
        <w:rPr>
          <w:noProof/>
          <w:lang w:eastAsia="es-MX"/>
        </w:rPr>
        <w:drawing>
          <wp:inline distT="0" distB="0" distL="0" distR="0">
            <wp:extent cx="5612130" cy="5639435"/>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12130" cy="5639435"/>
                    </a:xfrm>
                    <a:prstGeom prst="rect">
                      <a:avLst/>
                    </a:prstGeom>
                    <a:noFill/>
                    <a:ln>
                      <a:noFill/>
                    </a:ln>
                  </pic:spPr>
                </pic:pic>
              </a:graphicData>
            </a:graphic>
          </wp:inline>
        </w:drawing>
      </w:r>
    </w:p>
    <w:p w:rsidR="00A0225C" w:rsidRDefault="00C84803" w:rsidP="00C84803">
      <w:pPr>
        <w:spacing w:line="480" w:lineRule="auto"/>
        <w:rPr>
          <w:rFonts w:ascii="Arial" w:hAnsi="Arial" w:cs="Arial"/>
          <w:b/>
          <w:bCs/>
          <w:sz w:val="24"/>
          <w:szCs w:val="24"/>
        </w:rPr>
      </w:pPr>
      <w:r w:rsidRPr="000B65C4">
        <w:rPr>
          <w:rFonts w:ascii="Arial" w:hAnsi="Arial" w:cs="Arial"/>
          <w:sz w:val="20"/>
          <w:szCs w:val="20"/>
        </w:rPr>
        <w:t>Fuente: Elaboración propia con datos de la AIOS.</w:t>
      </w:r>
    </w:p>
    <w:p w:rsidR="00A0225C" w:rsidRPr="00A0225C" w:rsidRDefault="00A0225C" w:rsidP="00A0225C">
      <w:pPr>
        <w:spacing w:line="480" w:lineRule="auto"/>
        <w:jc w:val="both"/>
        <w:rPr>
          <w:rFonts w:ascii="Arial" w:hAnsi="Arial" w:cs="Arial"/>
          <w:sz w:val="24"/>
          <w:szCs w:val="24"/>
        </w:rPr>
      </w:pPr>
      <w:r w:rsidRPr="00A0225C">
        <w:rPr>
          <w:rFonts w:ascii="Arial" w:hAnsi="Arial" w:cs="Arial"/>
          <w:sz w:val="24"/>
          <w:szCs w:val="24"/>
        </w:rPr>
        <w:t>Así tenemos que:</w:t>
      </w:r>
    </w:p>
    <w:p w:rsidR="00A0225C" w:rsidRPr="00A0225C" w:rsidRDefault="00A0225C" w:rsidP="00A0225C">
      <w:pPr>
        <w:spacing w:line="480" w:lineRule="auto"/>
        <w:jc w:val="both"/>
        <w:rPr>
          <w:rFonts w:ascii="Arial" w:hAnsi="Arial" w:cs="Arial"/>
          <w:sz w:val="24"/>
          <w:szCs w:val="24"/>
        </w:rPr>
      </w:pPr>
      <w:r w:rsidRPr="00A0225C">
        <w:rPr>
          <w:rFonts w:ascii="Arial" w:hAnsi="Arial" w:cs="Arial"/>
          <w:sz w:val="24"/>
          <w:szCs w:val="24"/>
        </w:rPr>
        <w:t xml:space="preserve"> En Chile, cuyo sistema data del año de 1981, la AFP Capital pertenece al 100% al grupo financiero colombiano SURA; mientras que Provida combina un 26% de sus acciones con The Bank of New York y un 18% con Metlife. </w:t>
      </w:r>
    </w:p>
    <w:p w:rsidR="00C84803" w:rsidRDefault="00A0225C" w:rsidP="00C84803">
      <w:pPr>
        <w:spacing w:after="0" w:line="480" w:lineRule="auto"/>
        <w:ind w:firstLine="708"/>
        <w:jc w:val="both"/>
        <w:rPr>
          <w:rFonts w:ascii="Arial" w:hAnsi="Arial" w:cs="Arial"/>
          <w:sz w:val="24"/>
          <w:szCs w:val="24"/>
        </w:rPr>
      </w:pPr>
      <w:r w:rsidRPr="00A0225C">
        <w:rPr>
          <w:rFonts w:ascii="Arial" w:hAnsi="Arial" w:cs="Arial"/>
          <w:sz w:val="24"/>
          <w:szCs w:val="24"/>
        </w:rPr>
        <w:lastRenderedPageBreak/>
        <w:t>En Colombia aunque domina su multinacional SURA también participan intermediarios como Colfondos propiedad</w:t>
      </w:r>
      <w:r w:rsidR="00C84803">
        <w:rPr>
          <w:rFonts w:ascii="Arial" w:hAnsi="Arial" w:cs="Arial"/>
          <w:sz w:val="24"/>
          <w:szCs w:val="24"/>
        </w:rPr>
        <w:t xml:space="preserve"> de los canadienses Scotiabank.</w:t>
      </w:r>
    </w:p>
    <w:p w:rsidR="00A0225C" w:rsidRPr="00A0225C" w:rsidRDefault="00A0225C" w:rsidP="00C84803">
      <w:pPr>
        <w:spacing w:after="0" w:line="480" w:lineRule="auto"/>
        <w:ind w:firstLine="708"/>
        <w:jc w:val="both"/>
        <w:rPr>
          <w:rFonts w:ascii="Arial" w:hAnsi="Arial" w:cs="Arial"/>
          <w:sz w:val="24"/>
          <w:szCs w:val="24"/>
        </w:rPr>
      </w:pPr>
      <w:r w:rsidRPr="00A0225C">
        <w:rPr>
          <w:rFonts w:ascii="Arial" w:hAnsi="Arial" w:cs="Arial"/>
          <w:sz w:val="24"/>
          <w:szCs w:val="24"/>
        </w:rPr>
        <w:t>En Costa Rica también están representadas las multinacionales a través de Citigroup en la AFP Bac. San José, además de ser socia del Grupo Financiero Aval de Colombia, que lela posesiona como una de las administradoras más calificadas en la gestión de fondos de pensiones.</w:t>
      </w:r>
      <w:r w:rsidRPr="00A0225C">
        <w:rPr>
          <w:rFonts w:ascii="Arial" w:hAnsi="Arial" w:cs="Arial"/>
          <w:b/>
          <w:bCs/>
          <w:sz w:val="24"/>
          <w:szCs w:val="24"/>
        </w:rPr>
        <w:t xml:space="preserve"> </w:t>
      </w:r>
    </w:p>
    <w:p w:rsidR="00C84803" w:rsidRDefault="00A0225C" w:rsidP="00C84803">
      <w:pPr>
        <w:spacing w:after="0" w:line="480" w:lineRule="auto"/>
        <w:ind w:firstLine="709"/>
        <w:jc w:val="both"/>
        <w:rPr>
          <w:rFonts w:ascii="Arial" w:hAnsi="Arial" w:cs="Arial"/>
          <w:sz w:val="24"/>
          <w:szCs w:val="24"/>
        </w:rPr>
      </w:pPr>
      <w:r w:rsidRPr="00A0225C">
        <w:rPr>
          <w:rFonts w:ascii="Arial" w:hAnsi="Arial" w:cs="Arial"/>
          <w:sz w:val="24"/>
          <w:szCs w:val="24"/>
        </w:rPr>
        <w:t xml:space="preserve">La reforma previsional llevada a cabo por el Salvador fortaleció la penetración de las multinacionales financieras ya que las AFPs Confía pertenece al Citibank y Crecer a la colombiana Sura. </w:t>
      </w:r>
    </w:p>
    <w:p w:rsidR="00A0225C" w:rsidRPr="00A0225C" w:rsidRDefault="00A0225C" w:rsidP="00C84803">
      <w:pPr>
        <w:spacing w:after="0" w:line="480" w:lineRule="auto"/>
        <w:ind w:firstLine="709"/>
        <w:jc w:val="both"/>
        <w:rPr>
          <w:rFonts w:ascii="Arial" w:hAnsi="Arial" w:cs="Arial"/>
          <w:sz w:val="24"/>
          <w:szCs w:val="24"/>
        </w:rPr>
      </w:pPr>
      <w:r w:rsidRPr="00A0225C">
        <w:rPr>
          <w:rFonts w:ascii="Arial" w:hAnsi="Arial" w:cs="Arial"/>
          <w:sz w:val="24"/>
          <w:szCs w:val="24"/>
        </w:rPr>
        <w:t>Perú cuya economía viene creciendo a lo largo de la década y por consecuencia tiene aumentos importantes en la generación de empleo también es un nicho para las empresas en referencia. La AFP Habitat es de origen chileno, Integra a los colombianos Sura, mientras que Profuturo a Scotiabank. Esto significa que cuatro de los cinco gestores de fondos de pensiones son extranjeros, y tan solo uno de ellos nacional.</w:t>
      </w:r>
      <w:r w:rsidRPr="00A0225C">
        <w:rPr>
          <w:rFonts w:ascii="Arial" w:hAnsi="Arial" w:cs="Arial"/>
          <w:b/>
          <w:bCs/>
          <w:sz w:val="24"/>
          <w:szCs w:val="24"/>
        </w:rPr>
        <w:t xml:space="preserve"> </w:t>
      </w:r>
    </w:p>
    <w:p w:rsidR="00C84803" w:rsidRDefault="00A0225C" w:rsidP="00C84803">
      <w:pPr>
        <w:spacing w:after="0" w:line="480" w:lineRule="auto"/>
        <w:ind w:firstLine="709"/>
        <w:jc w:val="both"/>
        <w:rPr>
          <w:rFonts w:ascii="Arial" w:hAnsi="Arial" w:cs="Arial"/>
          <w:sz w:val="24"/>
          <w:szCs w:val="24"/>
        </w:rPr>
      </w:pPr>
      <w:r w:rsidRPr="00A0225C">
        <w:rPr>
          <w:rFonts w:ascii="Arial" w:hAnsi="Arial" w:cs="Arial"/>
          <w:sz w:val="24"/>
          <w:szCs w:val="24"/>
        </w:rPr>
        <w:t xml:space="preserve">En el Caribe latino las cosas no parecen ser muy diferentes ya que en República Dominicana cuatro de las cinco AFPs son multinacionales: la Popular guarda una asociación importante con financieros peruanos y Crecer con canadienses de Scotiabank. </w:t>
      </w:r>
    </w:p>
    <w:p w:rsidR="00C955AB" w:rsidRPr="00D65E15" w:rsidRDefault="00A0225C" w:rsidP="00D65E15">
      <w:pPr>
        <w:spacing w:after="0" w:line="480" w:lineRule="auto"/>
        <w:ind w:firstLine="709"/>
        <w:jc w:val="both"/>
        <w:rPr>
          <w:rFonts w:ascii="Arial" w:hAnsi="Arial" w:cs="Arial"/>
          <w:b/>
          <w:bCs/>
          <w:sz w:val="24"/>
          <w:szCs w:val="24"/>
        </w:rPr>
      </w:pPr>
      <w:r w:rsidRPr="00A0225C">
        <w:rPr>
          <w:rFonts w:ascii="Arial" w:hAnsi="Arial" w:cs="Arial"/>
          <w:sz w:val="24"/>
          <w:szCs w:val="24"/>
        </w:rPr>
        <w:t>Uruguay es otro caso destacado de la penetración foránea en su sistema de pensiones puesto que la AFPs  Afinidad es propiedad de Sura;  la AFP Integración del grupo Bandes lo es de venezolanos en un 77% y la Unión Capital del grupo Itaú es brasileña. Tres de las cuatro empresas que su sistema registra son extranjeras, aunque dos de ellas son de origen sudamericano.</w:t>
      </w:r>
      <w:r w:rsidRPr="00A0225C">
        <w:rPr>
          <w:rFonts w:ascii="Arial" w:hAnsi="Arial" w:cs="Arial"/>
          <w:b/>
          <w:bCs/>
          <w:sz w:val="24"/>
          <w:szCs w:val="24"/>
        </w:rPr>
        <w:t xml:space="preserve"> </w:t>
      </w:r>
    </w:p>
    <w:p w:rsidR="00D65E15" w:rsidRDefault="00A0225C" w:rsidP="00C213DA">
      <w:pPr>
        <w:spacing w:line="480" w:lineRule="auto"/>
        <w:ind w:firstLine="708"/>
        <w:jc w:val="both"/>
        <w:rPr>
          <w:rFonts w:ascii="Arial" w:hAnsi="Arial" w:cs="Arial"/>
          <w:sz w:val="24"/>
          <w:szCs w:val="24"/>
        </w:rPr>
      </w:pPr>
      <w:r w:rsidRPr="00A0225C">
        <w:rPr>
          <w:rFonts w:ascii="Arial" w:hAnsi="Arial" w:cs="Arial"/>
          <w:sz w:val="24"/>
          <w:szCs w:val="24"/>
        </w:rPr>
        <w:lastRenderedPageBreak/>
        <w:t xml:space="preserve">Las AFORES gestionan más de 51 millones de cuentas de las cuales un 40% corresponden a las multinacionales. Los fondos de pensiones acumulados por los trabajadores mexicanos alcanzan los 2.2 billones de pesos, equivalentes al 7% del PIB. De este total las multinacionales gestionan cerca del billón de pesos. Su desempeño desde el año de 1997 en ambos rubros se puede calificar como constante y notable.   </w:t>
      </w:r>
    </w:p>
    <w:p w:rsidR="00702451" w:rsidRDefault="00CC3D48" w:rsidP="00CC3D48">
      <w:pPr>
        <w:pStyle w:val="Puesto"/>
      </w:pPr>
      <w:bookmarkStart w:id="82" w:name="_Toc402963904"/>
      <w:r>
        <w:t xml:space="preserve">Cuadro </w:t>
      </w:r>
      <w:r w:rsidR="009E6570">
        <w:fldChar w:fldCharType="begin"/>
      </w:r>
      <w:r w:rsidR="009E6570">
        <w:instrText xml:space="preserve"> SEQ Cuadro \* ARABIC </w:instrText>
      </w:r>
      <w:r w:rsidR="009E6570">
        <w:fldChar w:fldCharType="separate"/>
      </w:r>
      <w:r>
        <w:rPr>
          <w:noProof/>
        </w:rPr>
        <w:t>7</w:t>
      </w:r>
      <w:r w:rsidR="009E6570">
        <w:rPr>
          <w:noProof/>
        </w:rPr>
        <w:fldChar w:fldCharType="end"/>
      </w:r>
    </w:p>
    <w:p w:rsidR="00E52678" w:rsidRPr="00E52678" w:rsidRDefault="00E52678" w:rsidP="00CC3D48">
      <w:pPr>
        <w:pStyle w:val="Puesto"/>
      </w:pPr>
      <w:r w:rsidRPr="00E52678">
        <w:t>Rendimiento neto alcanzado por las AFOREs</w:t>
      </w:r>
      <w:bookmarkEnd w:id="82"/>
    </w:p>
    <w:p w:rsidR="00A0225C" w:rsidRDefault="00A0225C" w:rsidP="00E52678">
      <w:pPr>
        <w:pStyle w:val="Puesto"/>
      </w:pPr>
      <w:r w:rsidRPr="00E52678">
        <w:t>(Cifras al cierre de Mayo de 2014)</w:t>
      </w:r>
    </w:p>
    <w:tbl>
      <w:tblPr>
        <w:tblW w:w="7160" w:type="dxa"/>
        <w:jc w:val="center"/>
        <w:tblCellMar>
          <w:left w:w="70" w:type="dxa"/>
          <w:right w:w="70" w:type="dxa"/>
        </w:tblCellMar>
        <w:tblLook w:val="04A0" w:firstRow="1" w:lastRow="0" w:firstColumn="1" w:lastColumn="0" w:noHBand="0" w:noVBand="1"/>
      </w:tblPr>
      <w:tblGrid>
        <w:gridCol w:w="1431"/>
        <w:gridCol w:w="1227"/>
        <w:gridCol w:w="1246"/>
        <w:gridCol w:w="1154"/>
        <w:gridCol w:w="1154"/>
        <w:gridCol w:w="1058"/>
      </w:tblGrid>
      <w:tr w:rsidR="00B52EE8" w:rsidRPr="00B52EE8" w:rsidTr="00B52EE8">
        <w:trPr>
          <w:trHeight w:val="315"/>
          <w:jc w:val="center"/>
        </w:trPr>
        <w:tc>
          <w:tcPr>
            <w:tcW w:w="1321" w:type="dxa"/>
            <w:vMerge w:val="restart"/>
            <w:tcBorders>
              <w:top w:val="single" w:sz="8" w:space="0" w:color="FFFFFF"/>
              <w:left w:val="single" w:sz="8" w:space="0" w:color="FFFFFF"/>
              <w:bottom w:val="single" w:sz="4" w:space="0" w:color="E4E3E3"/>
              <w:right w:val="single" w:sz="12" w:space="0" w:color="FFFFFF"/>
            </w:tcBorders>
            <w:shd w:val="clear" w:color="000000" w:fill="1D1B10"/>
            <w:noWrap/>
            <w:vAlign w:val="center"/>
            <w:hideMark/>
          </w:tcPr>
          <w:p w:rsidR="00B52EE8" w:rsidRPr="00B52EE8" w:rsidRDefault="00B52EE8" w:rsidP="00B52EE8">
            <w:pPr>
              <w:spacing w:after="0" w:line="240" w:lineRule="auto"/>
              <w:jc w:val="center"/>
              <w:rPr>
                <w:rFonts w:ascii="Arial" w:eastAsia="Times New Roman" w:hAnsi="Arial" w:cs="Arial"/>
                <w:b/>
                <w:bCs/>
                <w:color w:val="FFFFFF"/>
                <w:sz w:val="18"/>
                <w:szCs w:val="18"/>
                <w:lang w:eastAsia="es-MX"/>
              </w:rPr>
            </w:pPr>
            <w:r w:rsidRPr="00B52EE8">
              <w:rPr>
                <w:rFonts w:ascii="Arial" w:eastAsia="Times New Roman" w:hAnsi="Arial" w:cs="Arial"/>
                <w:b/>
                <w:bCs/>
                <w:color w:val="FFFFFF"/>
                <w:sz w:val="18"/>
                <w:szCs w:val="18"/>
                <w:lang w:eastAsia="es-MX"/>
              </w:rPr>
              <w:t>Afore</w:t>
            </w:r>
          </w:p>
        </w:tc>
        <w:tc>
          <w:tcPr>
            <w:tcW w:w="4781" w:type="dxa"/>
            <w:gridSpan w:val="4"/>
            <w:tcBorders>
              <w:top w:val="single" w:sz="8" w:space="0" w:color="FFFFFF"/>
              <w:left w:val="nil"/>
              <w:bottom w:val="single" w:sz="12" w:space="0" w:color="FFFFFF"/>
              <w:right w:val="nil"/>
            </w:tcBorders>
            <w:shd w:val="clear" w:color="000000" w:fill="1D1B10"/>
            <w:vAlign w:val="center"/>
            <w:hideMark/>
          </w:tcPr>
          <w:p w:rsidR="00B52EE8" w:rsidRPr="00B52EE8" w:rsidRDefault="00B52EE8" w:rsidP="00B52EE8">
            <w:pPr>
              <w:spacing w:after="0" w:line="240" w:lineRule="auto"/>
              <w:jc w:val="center"/>
              <w:rPr>
                <w:rFonts w:ascii="Arial" w:eastAsia="Times New Roman" w:hAnsi="Arial" w:cs="Arial"/>
                <w:b/>
                <w:bCs/>
                <w:color w:val="FFFFFF"/>
                <w:sz w:val="18"/>
                <w:szCs w:val="18"/>
                <w:lang w:eastAsia="es-MX"/>
              </w:rPr>
            </w:pPr>
            <w:r w:rsidRPr="00B52EE8">
              <w:rPr>
                <w:rFonts w:ascii="Arial" w:eastAsia="Times New Roman" w:hAnsi="Arial" w:cs="Arial"/>
                <w:b/>
                <w:bCs/>
                <w:color w:val="FFFFFF"/>
                <w:sz w:val="18"/>
                <w:szCs w:val="18"/>
                <w:lang w:eastAsia="es-MX"/>
              </w:rPr>
              <w:t>Rendimiento neto por rango de edad</w:t>
            </w:r>
          </w:p>
        </w:tc>
        <w:tc>
          <w:tcPr>
            <w:tcW w:w="1058" w:type="dxa"/>
            <w:vMerge w:val="restart"/>
            <w:tcBorders>
              <w:top w:val="single" w:sz="8" w:space="0" w:color="FFFFFF"/>
              <w:left w:val="single" w:sz="12" w:space="0" w:color="FFFFFF"/>
              <w:bottom w:val="single" w:sz="4" w:space="0" w:color="E4E3E3"/>
              <w:right w:val="nil"/>
            </w:tcBorders>
            <w:shd w:val="clear" w:color="000000" w:fill="1D1B10"/>
            <w:vAlign w:val="center"/>
            <w:hideMark/>
          </w:tcPr>
          <w:p w:rsidR="00B52EE8" w:rsidRPr="00B52EE8" w:rsidRDefault="00B52EE8" w:rsidP="00B52EE8">
            <w:pPr>
              <w:spacing w:after="0" w:line="240" w:lineRule="auto"/>
              <w:jc w:val="center"/>
              <w:rPr>
                <w:rFonts w:ascii="Arial" w:eastAsia="Times New Roman" w:hAnsi="Arial" w:cs="Arial"/>
                <w:b/>
                <w:bCs/>
                <w:color w:val="FFFFFF"/>
                <w:sz w:val="18"/>
                <w:szCs w:val="18"/>
                <w:lang w:eastAsia="es-MX"/>
              </w:rPr>
            </w:pPr>
            <w:r w:rsidRPr="00B52EE8">
              <w:rPr>
                <w:rFonts w:ascii="Arial" w:eastAsia="Times New Roman" w:hAnsi="Arial" w:cs="Arial"/>
                <w:b/>
                <w:bCs/>
                <w:color w:val="FFFFFF"/>
                <w:sz w:val="18"/>
                <w:szCs w:val="18"/>
                <w:lang w:eastAsia="es-MX"/>
              </w:rPr>
              <w:t>Promedio por AFORE</w:t>
            </w:r>
          </w:p>
        </w:tc>
      </w:tr>
      <w:tr w:rsidR="00B52EE8" w:rsidRPr="00B52EE8" w:rsidTr="00B52EE8">
        <w:trPr>
          <w:trHeight w:val="270"/>
          <w:jc w:val="center"/>
        </w:trPr>
        <w:tc>
          <w:tcPr>
            <w:tcW w:w="1321" w:type="dxa"/>
            <w:vMerge/>
            <w:tcBorders>
              <w:top w:val="single" w:sz="8" w:space="0" w:color="FFFFFF"/>
              <w:left w:val="single" w:sz="8" w:space="0" w:color="FFFFFF"/>
              <w:bottom w:val="single" w:sz="4" w:space="0" w:color="E4E3E3"/>
              <w:right w:val="single" w:sz="12" w:space="0" w:color="FFFFFF"/>
            </w:tcBorders>
            <w:vAlign w:val="center"/>
            <w:hideMark/>
          </w:tcPr>
          <w:p w:rsidR="00B52EE8" w:rsidRPr="00B52EE8" w:rsidRDefault="00B52EE8" w:rsidP="00B52EE8">
            <w:pPr>
              <w:spacing w:after="0" w:line="240" w:lineRule="auto"/>
              <w:rPr>
                <w:rFonts w:ascii="Arial" w:eastAsia="Times New Roman" w:hAnsi="Arial" w:cs="Arial"/>
                <w:b/>
                <w:bCs/>
                <w:color w:val="FFFFFF"/>
                <w:sz w:val="18"/>
                <w:szCs w:val="18"/>
                <w:lang w:eastAsia="es-MX"/>
              </w:rPr>
            </w:pPr>
          </w:p>
        </w:tc>
        <w:tc>
          <w:tcPr>
            <w:tcW w:w="1227" w:type="dxa"/>
            <w:vMerge w:val="restart"/>
            <w:tcBorders>
              <w:top w:val="nil"/>
              <w:left w:val="single" w:sz="12" w:space="0" w:color="FFFFFF"/>
              <w:bottom w:val="single" w:sz="4" w:space="0" w:color="E4E3E3"/>
              <w:right w:val="single" w:sz="12" w:space="0" w:color="FFFFFF"/>
            </w:tcBorders>
            <w:shd w:val="clear" w:color="000000" w:fill="1D1B10"/>
            <w:vAlign w:val="center"/>
            <w:hideMark/>
          </w:tcPr>
          <w:p w:rsidR="00B52EE8" w:rsidRPr="00B52EE8" w:rsidRDefault="00B52EE8" w:rsidP="00B52EE8">
            <w:pPr>
              <w:spacing w:after="0" w:line="240" w:lineRule="auto"/>
              <w:jc w:val="center"/>
              <w:rPr>
                <w:rFonts w:ascii="Arial" w:eastAsia="Times New Roman" w:hAnsi="Arial" w:cs="Arial"/>
                <w:b/>
                <w:bCs/>
                <w:color w:val="FFFFFF"/>
                <w:sz w:val="18"/>
                <w:szCs w:val="18"/>
                <w:lang w:eastAsia="es-MX"/>
              </w:rPr>
            </w:pPr>
            <w:r w:rsidRPr="00B52EE8">
              <w:rPr>
                <w:rFonts w:ascii="Arial" w:eastAsia="Times New Roman" w:hAnsi="Arial" w:cs="Arial"/>
                <w:b/>
                <w:bCs/>
                <w:color w:val="FFFFFF"/>
                <w:sz w:val="18"/>
                <w:szCs w:val="18"/>
                <w:lang w:eastAsia="es-MX"/>
              </w:rPr>
              <w:t>Para  personas de 36 años y menores</w:t>
            </w:r>
          </w:p>
        </w:tc>
        <w:tc>
          <w:tcPr>
            <w:tcW w:w="1246" w:type="dxa"/>
            <w:vMerge w:val="restart"/>
            <w:tcBorders>
              <w:top w:val="nil"/>
              <w:left w:val="single" w:sz="12" w:space="0" w:color="FFFFFF"/>
              <w:bottom w:val="single" w:sz="4" w:space="0" w:color="E4E3E3"/>
              <w:right w:val="single" w:sz="12" w:space="0" w:color="FFFFFF"/>
            </w:tcBorders>
            <w:shd w:val="clear" w:color="000000" w:fill="1D1B10"/>
            <w:vAlign w:val="center"/>
            <w:hideMark/>
          </w:tcPr>
          <w:p w:rsidR="00B52EE8" w:rsidRPr="00B52EE8" w:rsidRDefault="00B52EE8" w:rsidP="00B52EE8">
            <w:pPr>
              <w:spacing w:after="0" w:line="240" w:lineRule="auto"/>
              <w:jc w:val="center"/>
              <w:rPr>
                <w:rFonts w:ascii="Arial" w:eastAsia="Times New Roman" w:hAnsi="Arial" w:cs="Arial"/>
                <w:b/>
                <w:bCs/>
                <w:color w:val="FFFFFF"/>
                <w:sz w:val="18"/>
                <w:szCs w:val="18"/>
                <w:lang w:eastAsia="es-MX"/>
              </w:rPr>
            </w:pPr>
            <w:r w:rsidRPr="00B52EE8">
              <w:rPr>
                <w:rFonts w:ascii="Arial" w:eastAsia="Times New Roman" w:hAnsi="Arial" w:cs="Arial"/>
                <w:b/>
                <w:bCs/>
                <w:color w:val="FFFFFF"/>
                <w:sz w:val="18"/>
                <w:szCs w:val="18"/>
                <w:lang w:eastAsia="es-MX"/>
              </w:rPr>
              <w:t>Para personas entre 37 y 45 años</w:t>
            </w:r>
          </w:p>
        </w:tc>
        <w:tc>
          <w:tcPr>
            <w:tcW w:w="1154" w:type="dxa"/>
            <w:vMerge w:val="restart"/>
            <w:tcBorders>
              <w:top w:val="nil"/>
              <w:left w:val="single" w:sz="12" w:space="0" w:color="FFFFFF"/>
              <w:bottom w:val="single" w:sz="4" w:space="0" w:color="E4E3E3"/>
              <w:right w:val="single" w:sz="12" w:space="0" w:color="FFFFFF"/>
            </w:tcBorders>
            <w:shd w:val="clear" w:color="000000" w:fill="1D1B10"/>
            <w:vAlign w:val="center"/>
            <w:hideMark/>
          </w:tcPr>
          <w:p w:rsidR="00B52EE8" w:rsidRPr="00B52EE8" w:rsidRDefault="00B52EE8" w:rsidP="00B52EE8">
            <w:pPr>
              <w:spacing w:after="0" w:line="240" w:lineRule="auto"/>
              <w:jc w:val="center"/>
              <w:rPr>
                <w:rFonts w:ascii="Arial" w:eastAsia="Times New Roman" w:hAnsi="Arial" w:cs="Arial"/>
                <w:b/>
                <w:bCs/>
                <w:color w:val="FFFFFF"/>
                <w:sz w:val="18"/>
                <w:szCs w:val="18"/>
                <w:lang w:eastAsia="es-MX"/>
              </w:rPr>
            </w:pPr>
            <w:r w:rsidRPr="00B52EE8">
              <w:rPr>
                <w:rFonts w:ascii="Arial" w:eastAsia="Times New Roman" w:hAnsi="Arial" w:cs="Arial"/>
                <w:b/>
                <w:bCs/>
                <w:color w:val="FFFFFF"/>
                <w:sz w:val="18"/>
                <w:szCs w:val="18"/>
                <w:lang w:eastAsia="es-MX"/>
              </w:rPr>
              <w:t>Para personas entre 46 y 59 años</w:t>
            </w:r>
          </w:p>
        </w:tc>
        <w:tc>
          <w:tcPr>
            <w:tcW w:w="1154" w:type="dxa"/>
            <w:vMerge w:val="restart"/>
            <w:tcBorders>
              <w:top w:val="nil"/>
              <w:left w:val="single" w:sz="12" w:space="0" w:color="FFFFFF"/>
              <w:bottom w:val="single" w:sz="4" w:space="0" w:color="E4E3E3"/>
              <w:right w:val="single" w:sz="12" w:space="0" w:color="FFFFFF"/>
            </w:tcBorders>
            <w:shd w:val="clear" w:color="000000" w:fill="1D1B10"/>
            <w:vAlign w:val="center"/>
            <w:hideMark/>
          </w:tcPr>
          <w:p w:rsidR="00B52EE8" w:rsidRPr="00B52EE8" w:rsidRDefault="00B52EE8" w:rsidP="00B52EE8">
            <w:pPr>
              <w:spacing w:after="0" w:line="240" w:lineRule="auto"/>
              <w:jc w:val="center"/>
              <w:rPr>
                <w:rFonts w:ascii="Arial" w:eastAsia="Times New Roman" w:hAnsi="Arial" w:cs="Arial"/>
                <w:b/>
                <w:bCs/>
                <w:color w:val="FFFFFF"/>
                <w:sz w:val="18"/>
                <w:szCs w:val="18"/>
                <w:lang w:eastAsia="es-MX"/>
              </w:rPr>
            </w:pPr>
            <w:r w:rsidRPr="00B52EE8">
              <w:rPr>
                <w:rFonts w:ascii="Arial" w:eastAsia="Times New Roman" w:hAnsi="Arial" w:cs="Arial"/>
                <w:b/>
                <w:bCs/>
                <w:color w:val="FFFFFF"/>
                <w:sz w:val="18"/>
                <w:szCs w:val="18"/>
                <w:lang w:eastAsia="es-MX"/>
              </w:rPr>
              <w:t>Para personas de 60 años y mayores</w:t>
            </w:r>
          </w:p>
        </w:tc>
        <w:tc>
          <w:tcPr>
            <w:tcW w:w="1058" w:type="dxa"/>
            <w:vMerge/>
            <w:tcBorders>
              <w:top w:val="single" w:sz="8" w:space="0" w:color="FFFFFF"/>
              <w:left w:val="single" w:sz="12" w:space="0" w:color="FFFFFF"/>
              <w:bottom w:val="single" w:sz="4" w:space="0" w:color="E4E3E3"/>
              <w:right w:val="nil"/>
            </w:tcBorders>
            <w:vAlign w:val="center"/>
            <w:hideMark/>
          </w:tcPr>
          <w:p w:rsidR="00B52EE8" w:rsidRPr="00B52EE8" w:rsidRDefault="00B52EE8" w:rsidP="00B52EE8">
            <w:pPr>
              <w:spacing w:after="0" w:line="240" w:lineRule="auto"/>
              <w:rPr>
                <w:rFonts w:ascii="Arial" w:eastAsia="Times New Roman" w:hAnsi="Arial" w:cs="Arial"/>
                <w:b/>
                <w:bCs/>
                <w:color w:val="FFFFFF"/>
                <w:sz w:val="18"/>
                <w:szCs w:val="18"/>
                <w:lang w:eastAsia="es-MX"/>
              </w:rPr>
            </w:pPr>
          </w:p>
        </w:tc>
      </w:tr>
      <w:tr w:rsidR="00B52EE8" w:rsidRPr="00B52EE8" w:rsidTr="00B52EE8">
        <w:trPr>
          <w:trHeight w:val="750"/>
          <w:jc w:val="center"/>
        </w:trPr>
        <w:tc>
          <w:tcPr>
            <w:tcW w:w="1321" w:type="dxa"/>
            <w:vMerge/>
            <w:tcBorders>
              <w:top w:val="single" w:sz="8" w:space="0" w:color="FFFFFF"/>
              <w:left w:val="single" w:sz="8" w:space="0" w:color="FFFFFF"/>
              <w:bottom w:val="single" w:sz="4" w:space="0" w:color="E4E3E3"/>
              <w:right w:val="single" w:sz="12" w:space="0" w:color="FFFFFF"/>
            </w:tcBorders>
            <w:vAlign w:val="center"/>
            <w:hideMark/>
          </w:tcPr>
          <w:p w:rsidR="00B52EE8" w:rsidRPr="00B52EE8" w:rsidRDefault="00B52EE8" w:rsidP="00B52EE8">
            <w:pPr>
              <w:spacing w:after="0" w:line="240" w:lineRule="auto"/>
              <w:rPr>
                <w:rFonts w:ascii="Arial" w:eastAsia="Times New Roman" w:hAnsi="Arial" w:cs="Arial"/>
                <w:b/>
                <w:bCs/>
                <w:color w:val="FFFFFF"/>
                <w:sz w:val="18"/>
                <w:szCs w:val="18"/>
                <w:lang w:eastAsia="es-MX"/>
              </w:rPr>
            </w:pPr>
          </w:p>
        </w:tc>
        <w:tc>
          <w:tcPr>
            <w:tcW w:w="1227" w:type="dxa"/>
            <w:vMerge/>
            <w:tcBorders>
              <w:top w:val="nil"/>
              <w:left w:val="single" w:sz="12" w:space="0" w:color="FFFFFF"/>
              <w:bottom w:val="single" w:sz="4" w:space="0" w:color="E4E3E3"/>
              <w:right w:val="single" w:sz="12" w:space="0" w:color="FFFFFF"/>
            </w:tcBorders>
            <w:vAlign w:val="center"/>
            <w:hideMark/>
          </w:tcPr>
          <w:p w:rsidR="00B52EE8" w:rsidRPr="00B52EE8" w:rsidRDefault="00B52EE8" w:rsidP="00B52EE8">
            <w:pPr>
              <w:spacing w:after="0" w:line="240" w:lineRule="auto"/>
              <w:rPr>
                <w:rFonts w:ascii="Arial" w:eastAsia="Times New Roman" w:hAnsi="Arial" w:cs="Arial"/>
                <w:b/>
                <w:bCs/>
                <w:color w:val="FFFFFF"/>
                <w:sz w:val="18"/>
                <w:szCs w:val="18"/>
                <w:lang w:eastAsia="es-MX"/>
              </w:rPr>
            </w:pPr>
          </w:p>
        </w:tc>
        <w:tc>
          <w:tcPr>
            <w:tcW w:w="1246" w:type="dxa"/>
            <w:vMerge/>
            <w:tcBorders>
              <w:top w:val="nil"/>
              <w:left w:val="single" w:sz="12" w:space="0" w:color="FFFFFF"/>
              <w:bottom w:val="single" w:sz="4" w:space="0" w:color="E4E3E3"/>
              <w:right w:val="single" w:sz="12" w:space="0" w:color="FFFFFF"/>
            </w:tcBorders>
            <w:vAlign w:val="center"/>
            <w:hideMark/>
          </w:tcPr>
          <w:p w:rsidR="00B52EE8" w:rsidRPr="00B52EE8" w:rsidRDefault="00B52EE8" w:rsidP="00B52EE8">
            <w:pPr>
              <w:spacing w:after="0" w:line="240" w:lineRule="auto"/>
              <w:rPr>
                <w:rFonts w:ascii="Arial" w:eastAsia="Times New Roman" w:hAnsi="Arial" w:cs="Arial"/>
                <w:b/>
                <w:bCs/>
                <w:color w:val="FFFFFF"/>
                <w:sz w:val="18"/>
                <w:szCs w:val="18"/>
                <w:lang w:eastAsia="es-MX"/>
              </w:rPr>
            </w:pPr>
          </w:p>
        </w:tc>
        <w:tc>
          <w:tcPr>
            <w:tcW w:w="1154" w:type="dxa"/>
            <w:vMerge/>
            <w:tcBorders>
              <w:top w:val="nil"/>
              <w:left w:val="single" w:sz="12" w:space="0" w:color="FFFFFF"/>
              <w:bottom w:val="single" w:sz="4" w:space="0" w:color="E4E3E3"/>
              <w:right w:val="single" w:sz="12" w:space="0" w:color="FFFFFF"/>
            </w:tcBorders>
            <w:vAlign w:val="center"/>
            <w:hideMark/>
          </w:tcPr>
          <w:p w:rsidR="00B52EE8" w:rsidRPr="00B52EE8" w:rsidRDefault="00B52EE8" w:rsidP="00B52EE8">
            <w:pPr>
              <w:spacing w:after="0" w:line="240" w:lineRule="auto"/>
              <w:rPr>
                <w:rFonts w:ascii="Arial" w:eastAsia="Times New Roman" w:hAnsi="Arial" w:cs="Arial"/>
                <w:b/>
                <w:bCs/>
                <w:color w:val="FFFFFF"/>
                <w:sz w:val="18"/>
                <w:szCs w:val="18"/>
                <w:lang w:eastAsia="es-MX"/>
              </w:rPr>
            </w:pPr>
          </w:p>
        </w:tc>
        <w:tc>
          <w:tcPr>
            <w:tcW w:w="1154" w:type="dxa"/>
            <w:vMerge/>
            <w:tcBorders>
              <w:top w:val="nil"/>
              <w:left w:val="single" w:sz="12" w:space="0" w:color="FFFFFF"/>
              <w:bottom w:val="single" w:sz="4" w:space="0" w:color="E4E3E3"/>
              <w:right w:val="single" w:sz="12" w:space="0" w:color="FFFFFF"/>
            </w:tcBorders>
            <w:vAlign w:val="center"/>
            <w:hideMark/>
          </w:tcPr>
          <w:p w:rsidR="00B52EE8" w:rsidRPr="00B52EE8" w:rsidRDefault="00B52EE8" w:rsidP="00B52EE8">
            <w:pPr>
              <w:spacing w:after="0" w:line="240" w:lineRule="auto"/>
              <w:rPr>
                <w:rFonts w:ascii="Arial" w:eastAsia="Times New Roman" w:hAnsi="Arial" w:cs="Arial"/>
                <w:b/>
                <w:bCs/>
                <w:color w:val="FFFFFF"/>
                <w:sz w:val="18"/>
                <w:szCs w:val="18"/>
                <w:lang w:eastAsia="es-MX"/>
              </w:rPr>
            </w:pPr>
          </w:p>
        </w:tc>
        <w:tc>
          <w:tcPr>
            <w:tcW w:w="1058" w:type="dxa"/>
            <w:vMerge/>
            <w:tcBorders>
              <w:top w:val="single" w:sz="8" w:space="0" w:color="FFFFFF"/>
              <w:left w:val="single" w:sz="12" w:space="0" w:color="FFFFFF"/>
              <w:bottom w:val="single" w:sz="4" w:space="0" w:color="E4E3E3"/>
              <w:right w:val="nil"/>
            </w:tcBorders>
            <w:vAlign w:val="center"/>
            <w:hideMark/>
          </w:tcPr>
          <w:p w:rsidR="00B52EE8" w:rsidRPr="00B52EE8" w:rsidRDefault="00B52EE8" w:rsidP="00B52EE8">
            <w:pPr>
              <w:spacing w:after="0" w:line="240" w:lineRule="auto"/>
              <w:rPr>
                <w:rFonts w:ascii="Arial" w:eastAsia="Times New Roman" w:hAnsi="Arial" w:cs="Arial"/>
                <w:b/>
                <w:bCs/>
                <w:color w:val="FFFFFF"/>
                <w:sz w:val="18"/>
                <w:szCs w:val="18"/>
                <w:lang w:eastAsia="es-MX"/>
              </w:rPr>
            </w:pPr>
          </w:p>
        </w:tc>
      </w:tr>
      <w:tr w:rsidR="00B52EE8" w:rsidRPr="00B52EE8" w:rsidTr="00B52EE8">
        <w:trPr>
          <w:trHeight w:val="255"/>
          <w:jc w:val="center"/>
        </w:trPr>
        <w:tc>
          <w:tcPr>
            <w:tcW w:w="1321" w:type="dxa"/>
            <w:tcBorders>
              <w:top w:val="nil"/>
              <w:left w:val="nil"/>
              <w:bottom w:val="single" w:sz="4" w:space="0" w:color="E4E3E3"/>
              <w:right w:val="nil"/>
            </w:tcBorders>
            <w:shd w:val="clear" w:color="000000" w:fill="948A54"/>
            <w:noWrap/>
            <w:vAlign w:val="center"/>
            <w:hideMark/>
          </w:tcPr>
          <w:p w:rsidR="00B52EE8" w:rsidRPr="00B52EE8" w:rsidRDefault="00B52EE8" w:rsidP="00B52EE8">
            <w:pPr>
              <w:spacing w:after="0" w:line="240" w:lineRule="auto"/>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Azteca</w:t>
            </w:r>
          </w:p>
        </w:tc>
        <w:tc>
          <w:tcPr>
            <w:tcW w:w="1227" w:type="dxa"/>
            <w:tcBorders>
              <w:top w:val="nil"/>
              <w:left w:val="nil"/>
              <w:bottom w:val="single" w:sz="4" w:space="0" w:color="E4E3E3"/>
              <w:right w:val="nil"/>
            </w:tcBorders>
            <w:shd w:val="clear" w:color="000000" w:fill="948A54"/>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8.26%</w:t>
            </w:r>
          </w:p>
        </w:tc>
        <w:tc>
          <w:tcPr>
            <w:tcW w:w="1246" w:type="dxa"/>
            <w:tcBorders>
              <w:top w:val="nil"/>
              <w:left w:val="nil"/>
              <w:bottom w:val="single" w:sz="4" w:space="0" w:color="E4E3E3"/>
              <w:right w:val="nil"/>
            </w:tcBorders>
            <w:shd w:val="clear" w:color="000000" w:fill="948A54"/>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7.99%</w:t>
            </w:r>
          </w:p>
        </w:tc>
        <w:tc>
          <w:tcPr>
            <w:tcW w:w="1154" w:type="dxa"/>
            <w:tcBorders>
              <w:top w:val="nil"/>
              <w:left w:val="nil"/>
              <w:bottom w:val="single" w:sz="4" w:space="0" w:color="E4E3E3"/>
              <w:right w:val="nil"/>
            </w:tcBorders>
            <w:shd w:val="clear" w:color="000000" w:fill="948A54"/>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7.35%</w:t>
            </w:r>
          </w:p>
        </w:tc>
        <w:tc>
          <w:tcPr>
            <w:tcW w:w="1154" w:type="dxa"/>
            <w:tcBorders>
              <w:top w:val="nil"/>
              <w:left w:val="nil"/>
              <w:bottom w:val="single" w:sz="4" w:space="0" w:color="E4E3E3"/>
              <w:right w:val="nil"/>
            </w:tcBorders>
            <w:shd w:val="clear" w:color="000000" w:fill="948A54"/>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5.92%</w:t>
            </w:r>
          </w:p>
        </w:tc>
        <w:tc>
          <w:tcPr>
            <w:tcW w:w="1058" w:type="dxa"/>
            <w:tcBorders>
              <w:top w:val="nil"/>
              <w:left w:val="nil"/>
              <w:bottom w:val="single" w:sz="4" w:space="0" w:color="E4E3E3"/>
              <w:right w:val="nil"/>
            </w:tcBorders>
            <w:shd w:val="clear" w:color="000000" w:fill="948A54"/>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7.38%</w:t>
            </w:r>
          </w:p>
        </w:tc>
      </w:tr>
      <w:tr w:rsidR="00B52EE8" w:rsidRPr="00B52EE8" w:rsidTr="00B52EE8">
        <w:trPr>
          <w:trHeight w:val="255"/>
          <w:jc w:val="center"/>
        </w:trPr>
        <w:tc>
          <w:tcPr>
            <w:tcW w:w="1321" w:type="dxa"/>
            <w:tcBorders>
              <w:top w:val="nil"/>
              <w:left w:val="nil"/>
              <w:bottom w:val="single" w:sz="4" w:space="0" w:color="E4E3E3"/>
              <w:right w:val="nil"/>
            </w:tcBorders>
            <w:shd w:val="clear" w:color="000000" w:fill="494529"/>
            <w:noWrap/>
            <w:vAlign w:val="center"/>
            <w:hideMark/>
          </w:tcPr>
          <w:p w:rsidR="00B52EE8" w:rsidRPr="00B52EE8" w:rsidRDefault="00B52EE8" w:rsidP="00B52EE8">
            <w:pPr>
              <w:spacing w:after="0" w:line="240" w:lineRule="auto"/>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Banamex</w:t>
            </w:r>
          </w:p>
        </w:tc>
        <w:tc>
          <w:tcPr>
            <w:tcW w:w="1227" w:type="dxa"/>
            <w:tcBorders>
              <w:top w:val="nil"/>
              <w:left w:val="nil"/>
              <w:bottom w:val="single" w:sz="4" w:space="0" w:color="E4E3E3"/>
              <w:right w:val="nil"/>
            </w:tcBorders>
            <w:shd w:val="clear" w:color="000000" w:fill="494529"/>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11.15%</w:t>
            </w:r>
          </w:p>
        </w:tc>
        <w:tc>
          <w:tcPr>
            <w:tcW w:w="1246" w:type="dxa"/>
            <w:tcBorders>
              <w:top w:val="nil"/>
              <w:left w:val="nil"/>
              <w:bottom w:val="single" w:sz="4" w:space="0" w:color="E4E3E3"/>
              <w:right w:val="nil"/>
            </w:tcBorders>
            <w:shd w:val="clear" w:color="000000" w:fill="494529"/>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9.79%</w:t>
            </w:r>
          </w:p>
        </w:tc>
        <w:tc>
          <w:tcPr>
            <w:tcW w:w="1154" w:type="dxa"/>
            <w:tcBorders>
              <w:top w:val="nil"/>
              <w:left w:val="nil"/>
              <w:bottom w:val="single" w:sz="4" w:space="0" w:color="E4E3E3"/>
              <w:right w:val="nil"/>
            </w:tcBorders>
            <w:shd w:val="clear" w:color="000000" w:fill="494529"/>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8.95%</w:t>
            </w:r>
          </w:p>
        </w:tc>
        <w:tc>
          <w:tcPr>
            <w:tcW w:w="1154" w:type="dxa"/>
            <w:tcBorders>
              <w:top w:val="nil"/>
              <w:left w:val="nil"/>
              <w:bottom w:val="single" w:sz="4" w:space="0" w:color="E4E3E3"/>
              <w:right w:val="nil"/>
            </w:tcBorders>
            <w:shd w:val="clear" w:color="000000" w:fill="494529"/>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7.14%</w:t>
            </w:r>
          </w:p>
        </w:tc>
        <w:tc>
          <w:tcPr>
            <w:tcW w:w="1058" w:type="dxa"/>
            <w:tcBorders>
              <w:top w:val="nil"/>
              <w:left w:val="nil"/>
              <w:bottom w:val="single" w:sz="4" w:space="0" w:color="E4E3E3"/>
              <w:right w:val="nil"/>
            </w:tcBorders>
            <w:shd w:val="clear" w:color="000000" w:fill="494529"/>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9.26%</w:t>
            </w:r>
          </w:p>
        </w:tc>
      </w:tr>
      <w:tr w:rsidR="00B52EE8" w:rsidRPr="00B52EE8" w:rsidTr="00B52EE8">
        <w:trPr>
          <w:trHeight w:val="255"/>
          <w:jc w:val="center"/>
        </w:trPr>
        <w:tc>
          <w:tcPr>
            <w:tcW w:w="1321" w:type="dxa"/>
            <w:tcBorders>
              <w:top w:val="nil"/>
              <w:left w:val="nil"/>
              <w:bottom w:val="single" w:sz="4" w:space="0" w:color="E4E3E3"/>
              <w:right w:val="nil"/>
            </w:tcBorders>
            <w:shd w:val="clear" w:color="000000" w:fill="948A54"/>
            <w:noWrap/>
            <w:vAlign w:val="center"/>
            <w:hideMark/>
          </w:tcPr>
          <w:p w:rsidR="00B52EE8" w:rsidRPr="00B52EE8" w:rsidRDefault="00B52EE8" w:rsidP="00B52EE8">
            <w:pPr>
              <w:spacing w:after="0" w:line="240" w:lineRule="auto"/>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Coppel</w:t>
            </w:r>
          </w:p>
        </w:tc>
        <w:tc>
          <w:tcPr>
            <w:tcW w:w="1227" w:type="dxa"/>
            <w:tcBorders>
              <w:top w:val="nil"/>
              <w:left w:val="nil"/>
              <w:bottom w:val="single" w:sz="4" w:space="0" w:color="E4E3E3"/>
              <w:right w:val="nil"/>
            </w:tcBorders>
            <w:shd w:val="clear" w:color="000000" w:fill="948A54"/>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7.30%</w:t>
            </w:r>
          </w:p>
        </w:tc>
        <w:tc>
          <w:tcPr>
            <w:tcW w:w="1246" w:type="dxa"/>
            <w:tcBorders>
              <w:top w:val="nil"/>
              <w:left w:val="nil"/>
              <w:bottom w:val="single" w:sz="4" w:space="0" w:color="E4E3E3"/>
              <w:right w:val="nil"/>
            </w:tcBorders>
            <w:shd w:val="clear" w:color="000000" w:fill="948A54"/>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7.07%</w:t>
            </w:r>
          </w:p>
        </w:tc>
        <w:tc>
          <w:tcPr>
            <w:tcW w:w="1154" w:type="dxa"/>
            <w:tcBorders>
              <w:top w:val="nil"/>
              <w:left w:val="nil"/>
              <w:bottom w:val="single" w:sz="4" w:space="0" w:color="E4E3E3"/>
              <w:right w:val="nil"/>
            </w:tcBorders>
            <w:shd w:val="clear" w:color="000000" w:fill="948A54"/>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6.71%</w:t>
            </w:r>
          </w:p>
        </w:tc>
        <w:tc>
          <w:tcPr>
            <w:tcW w:w="1154" w:type="dxa"/>
            <w:tcBorders>
              <w:top w:val="nil"/>
              <w:left w:val="nil"/>
              <w:bottom w:val="single" w:sz="4" w:space="0" w:color="E4E3E3"/>
              <w:right w:val="nil"/>
            </w:tcBorders>
            <w:shd w:val="clear" w:color="000000" w:fill="948A54"/>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5.43%</w:t>
            </w:r>
          </w:p>
        </w:tc>
        <w:tc>
          <w:tcPr>
            <w:tcW w:w="1058" w:type="dxa"/>
            <w:tcBorders>
              <w:top w:val="nil"/>
              <w:left w:val="nil"/>
              <w:bottom w:val="single" w:sz="4" w:space="0" w:color="E4E3E3"/>
              <w:right w:val="nil"/>
            </w:tcBorders>
            <w:shd w:val="clear" w:color="000000" w:fill="948A54"/>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6.63%</w:t>
            </w:r>
          </w:p>
        </w:tc>
      </w:tr>
      <w:tr w:rsidR="00B52EE8" w:rsidRPr="00B52EE8" w:rsidTr="00B52EE8">
        <w:trPr>
          <w:trHeight w:val="255"/>
          <w:jc w:val="center"/>
        </w:trPr>
        <w:tc>
          <w:tcPr>
            <w:tcW w:w="1321" w:type="dxa"/>
            <w:tcBorders>
              <w:top w:val="nil"/>
              <w:left w:val="nil"/>
              <w:bottom w:val="single" w:sz="4" w:space="0" w:color="E4E3E3"/>
              <w:right w:val="nil"/>
            </w:tcBorders>
            <w:shd w:val="clear" w:color="000000" w:fill="494529"/>
            <w:noWrap/>
            <w:vAlign w:val="center"/>
            <w:hideMark/>
          </w:tcPr>
          <w:p w:rsidR="00B52EE8" w:rsidRPr="00B52EE8" w:rsidRDefault="00B52EE8" w:rsidP="00B52EE8">
            <w:pPr>
              <w:spacing w:after="0" w:line="240" w:lineRule="auto"/>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Inbursa</w:t>
            </w:r>
          </w:p>
        </w:tc>
        <w:tc>
          <w:tcPr>
            <w:tcW w:w="1227" w:type="dxa"/>
            <w:tcBorders>
              <w:top w:val="nil"/>
              <w:left w:val="nil"/>
              <w:bottom w:val="single" w:sz="4" w:space="0" w:color="E4E3E3"/>
              <w:right w:val="nil"/>
            </w:tcBorders>
            <w:shd w:val="clear" w:color="000000" w:fill="494529"/>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6.25%</w:t>
            </w:r>
          </w:p>
        </w:tc>
        <w:tc>
          <w:tcPr>
            <w:tcW w:w="1246" w:type="dxa"/>
            <w:tcBorders>
              <w:top w:val="nil"/>
              <w:left w:val="nil"/>
              <w:bottom w:val="single" w:sz="4" w:space="0" w:color="E4E3E3"/>
              <w:right w:val="nil"/>
            </w:tcBorders>
            <w:shd w:val="clear" w:color="000000" w:fill="494529"/>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5.82%</w:t>
            </w:r>
          </w:p>
        </w:tc>
        <w:tc>
          <w:tcPr>
            <w:tcW w:w="1154" w:type="dxa"/>
            <w:tcBorders>
              <w:top w:val="nil"/>
              <w:left w:val="nil"/>
              <w:bottom w:val="single" w:sz="4" w:space="0" w:color="E4E3E3"/>
              <w:right w:val="nil"/>
            </w:tcBorders>
            <w:shd w:val="clear" w:color="000000" w:fill="494529"/>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5.29%</w:t>
            </w:r>
          </w:p>
        </w:tc>
        <w:tc>
          <w:tcPr>
            <w:tcW w:w="1154" w:type="dxa"/>
            <w:tcBorders>
              <w:top w:val="nil"/>
              <w:left w:val="nil"/>
              <w:bottom w:val="single" w:sz="4" w:space="0" w:color="E4E3E3"/>
              <w:right w:val="nil"/>
            </w:tcBorders>
            <w:shd w:val="clear" w:color="000000" w:fill="494529"/>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4.98%</w:t>
            </w:r>
          </w:p>
        </w:tc>
        <w:tc>
          <w:tcPr>
            <w:tcW w:w="1058" w:type="dxa"/>
            <w:tcBorders>
              <w:top w:val="nil"/>
              <w:left w:val="nil"/>
              <w:bottom w:val="single" w:sz="4" w:space="0" w:color="E4E3E3"/>
              <w:right w:val="nil"/>
            </w:tcBorders>
            <w:shd w:val="clear" w:color="000000" w:fill="494529"/>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5.59%</w:t>
            </w:r>
          </w:p>
        </w:tc>
      </w:tr>
      <w:tr w:rsidR="00B52EE8" w:rsidRPr="00B52EE8" w:rsidTr="00B52EE8">
        <w:trPr>
          <w:trHeight w:val="255"/>
          <w:jc w:val="center"/>
        </w:trPr>
        <w:tc>
          <w:tcPr>
            <w:tcW w:w="1321" w:type="dxa"/>
            <w:tcBorders>
              <w:top w:val="nil"/>
              <w:left w:val="nil"/>
              <w:bottom w:val="single" w:sz="4" w:space="0" w:color="E4E3E3"/>
              <w:right w:val="nil"/>
            </w:tcBorders>
            <w:shd w:val="clear" w:color="000000" w:fill="948A54"/>
            <w:noWrap/>
            <w:vAlign w:val="center"/>
            <w:hideMark/>
          </w:tcPr>
          <w:p w:rsidR="00B52EE8" w:rsidRPr="00B52EE8" w:rsidRDefault="00B52EE8" w:rsidP="00B52EE8">
            <w:pPr>
              <w:spacing w:after="0" w:line="240" w:lineRule="auto"/>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Invercap</w:t>
            </w:r>
          </w:p>
        </w:tc>
        <w:tc>
          <w:tcPr>
            <w:tcW w:w="1227" w:type="dxa"/>
            <w:tcBorders>
              <w:top w:val="nil"/>
              <w:left w:val="nil"/>
              <w:bottom w:val="single" w:sz="4" w:space="0" w:color="E4E3E3"/>
              <w:right w:val="nil"/>
            </w:tcBorders>
            <w:shd w:val="clear" w:color="000000" w:fill="948A54"/>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10.35%</w:t>
            </w:r>
          </w:p>
        </w:tc>
        <w:tc>
          <w:tcPr>
            <w:tcW w:w="1246" w:type="dxa"/>
            <w:tcBorders>
              <w:top w:val="nil"/>
              <w:left w:val="nil"/>
              <w:bottom w:val="single" w:sz="4" w:space="0" w:color="E4E3E3"/>
              <w:right w:val="nil"/>
            </w:tcBorders>
            <w:shd w:val="clear" w:color="000000" w:fill="948A54"/>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9.26%</w:t>
            </w:r>
          </w:p>
        </w:tc>
        <w:tc>
          <w:tcPr>
            <w:tcW w:w="1154" w:type="dxa"/>
            <w:tcBorders>
              <w:top w:val="nil"/>
              <w:left w:val="nil"/>
              <w:bottom w:val="single" w:sz="4" w:space="0" w:color="E4E3E3"/>
              <w:right w:val="nil"/>
            </w:tcBorders>
            <w:shd w:val="clear" w:color="000000" w:fill="948A54"/>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8.37%</w:t>
            </w:r>
          </w:p>
        </w:tc>
        <w:tc>
          <w:tcPr>
            <w:tcW w:w="1154" w:type="dxa"/>
            <w:tcBorders>
              <w:top w:val="nil"/>
              <w:left w:val="nil"/>
              <w:bottom w:val="single" w:sz="4" w:space="0" w:color="E4E3E3"/>
              <w:right w:val="nil"/>
            </w:tcBorders>
            <w:shd w:val="clear" w:color="000000" w:fill="948A54"/>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8.01%</w:t>
            </w:r>
          </w:p>
        </w:tc>
        <w:tc>
          <w:tcPr>
            <w:tcW w:w="1058" w:type="dxa"/>
            <w:tcBorders>
              <w:top w:val="nil"/>
              <w:left w:val="nil"/>
              <w:bottom w:val="single" w:sz="4" w:space="0" w:color="E4E3E3"/>
              <w:right w:val="nil"/>
            </w:tcBorders>
            <w:shd w:val="clear" w:color="000000" w:fill="948A54"/>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9.00%</w:t>
            </w:r>
          </w:p>
        </w:tc>
      </w:tr>
      <w:tr w:rsidR="00B52EE8" w:rsidRPr="00B52EE8" w:rsidTr="00B52EE8">
        <w:trPr>
          <w:trHeight w:val="255"/>
          <w:jc w:val="center"/>
        </w:trPr>
        <w:tc>
          <w:tcPr>
            <w:tcW w:w="1321" w:type="dxa"/>
            <w:tcBorders>
              <w:top w:val="nil"/>
              <w:left w:val="nil"/>
              <w:bottom w:val="single" w:sz="4" w:space="0" w:color="E4E3E3"/>
              <w:right w:val="nil"/>
            </w:tcBorders>
            <w:shd w:val="clear" w:color="000000" w:fill="494529"/>
            <w:noWrap/>
            <w:vAlign w:val="center"/>
            <w:hideMark/>
          </w:tcPr>
          <w:p w:rsidR="00B52EE8" w:rsidRPr="00B52EE8" w:rsidRDefault="00B52EE8" w:rsidP="00B52EE8">
            <w:pPr>
              <w:spacing w:after="0" w:line="240" w:lineRule="auto"/>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Metlife</w:t>
            </w:r>
          </w:p>
        </w:tc>
        <w:tc>
          <w:tcPr>
            <w:tcW w:w="1227" w:type="dxa"/>
            <w:tcBorders>
              <w:top w:val="nil"/>
              <w:left w:val="nil"/>
              <w:bottom w:val="single" w:sz="4" w:space="0" w:color="E4E3E3"/>
              <w:right w:val="nil"/>
            </w:tcBorders>
            <w:shd w:val="clear" w:color="000000" w:fill="494529"/>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10.32%</w:t>
            </w:r>
          </w:p>
        </w:tc>
        <w:tc>
          <w:tcPr>
            <w:tcW w:w="1246" w:type="dxa"/>
            <w:tcBorders>
              <w:top w:val="nil"/>
              <w:left w:val="nil"/>
              <w:bottom w:val="single" w:sz="4" w:space="0" w:color="E4E3E3"/>
              <w:right w:val="nil"/>
            </w:tcBorders>
            <w:shd w:val="clear" w:color="000000" w:fill="494529"/>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9.31%</w:t>
            </w:r>
          </w:p>
        </w:tc>
        <w:tc>
          <w:tcPr>
            <w:tcW w:w="1154" w:type="dxa"/>
            <w:tcBorders>
              <w:top w:val="nil"/>
              <w:left w:val="nil"/>
              <w:bottom w:val="single" w:sz="4" w:space="0" w:color="E4E3E3"/>
              <w:right w:val="nil"/>
            </w:tcBorders>
            <w:shd w:val="clear" w:color="000000" w:fill="494529"/>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8.49%</w:t>
            </w:r>
          </w:p>
        </w:tc>
        <w:tc>
          <w:tcPr>
            <w:tcW w:w="1154" w:type="dxa"/>
            <w:tcBorders>
              <w:top w:val="nil"/>
              <w:left w:val="nil"/>
              <w:bottom w:val="single" w:sz="4" w:space="0" w:color="E4E3E3"/>
              <w:right w:val="nil"/>
            </w:tcBorders>
            <w:shd w:val="clear" w:color="000000" w:fill="494529"/>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6.81%</w:t>
            </w:r>
          </w:p>
        </w:tc>
        <w:tc>
          <w:tcPr>
            <w:tcW w:w="1058" w:type="dxa"/>
            <w:tcBorders>
              <w:top w:val="nil"/>
              <w:left w:val="nil"/>
              <w:bottom w:val="single" w:sz="4" w:space="0" w:color="E4E3E3"/>
              <w:right w:val="nil"/>
            </w:tcBorders>
            <w:shd w:val="clear" w:color="000000" w:fill="494529"/>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8.73%</w:t>
            </w:r>
          </w:p>
        </w:tc>
      </w:tr>
      <w:tr w:rsidR="00B52EE8" w:rsidRPr="00B52EE8" w:rsidTr="00B52EE8">
        <w:trPr>
          <w:trHeight w:val="255"/>
          <w:jc w:val="center"/>
        </w:trPr>
        <w:tc>
          <w:tcPr>
            <w:tcW w:w="1321" w:type="dxa"/>
            <w:tcBorders>
              <w:top w:val="nil"/>
              <w:left w:val="nil"/>
              <w:bottom w:val="single" w:sz="4" w:space="0" w:color="E4E3E3"/>
              <w:right w:val="nil"/>
            </w:tcBorders>
            <w:shd w:val="clear" w:color="000000" w:fill="948A54"/>
            <w:noWrap/>
            <w:vAlign w:val="center"/>
            <w:hideMark/>
          </w:tcPr>
          <w:p w:rsidR="00B52EE8" w:rsidRPr="00B52EE8" w:rsidRDefault="00B52EE8" w:rsidP="00B52EE8">
            <w:pPr>
              <w:spacing w:after="0" w:line="240" w:lineRule="auto"/>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PensionISSSTE</w:t>
            </w:r>
          </w:p>
        </w:tc>
        <w:tc>
          <w:tcPr>
            <w:tcW w:w="1227" w:type="dxa"/>
            <w:tcBorders>
              <w:top w:val="nil"/>
              <w:left w:val="nil"/>
              <w:bottom w:val="single" w:sz="4" w:space="0" w:color="E4E3E3"/>
              <w:right w:val="nil"/>
            </w:tcBorders>
            <w:shd w:val="clear" w:color="000000" w:fill="948A54"/>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10.93%</w:t>
            </w:r>
          </w:p>
        </w:tc>
        <w:tc>
          <w:tcPr>
            <w:tcW w:w="1246" w:type="dxa"/>
            <w:tcBorders>
              <w:top w:val="nil"/>
              <w:left w:val="nil"/>
              <w:bottom w:val="single" w:sz="4" w:space="0" w:color="E4E3E3"/>
              <w:right w:val="nil"/>
            </w:tcBorders>
            <w:shd w:val="clear" w:color="000000" w:fill="948A54"/>
            <w:noWrap/>
            <w:vAlign w:val="center"/>
            <w:hideMark/>
          </w:tcPr>
          <w:p w:rsidR="00B52EE8" w:rsidRPr="00B52EE8" w:rsidRDefault="00B52EE8" w:rsidP="00B52EE8">
            <w:pPr>
              <w:spacing w:after="0" w:line="240" w:lineRule="auto"/>
              <w:jc w:val="right"/>
              <w:rPr>
                <w:rFonts w:ascii="Arial" w:eastAsia="Times New Roman" w:hAnsi="Arial" w:cs="Arial"/>
                <w:b/>
                <w:bCs/>
                <w:color w:val="FFFFFF"/>
                <w:sz w:val="18"/>
                <w:szCs w:val="18"/>
                <w:lang w:eastAsia="es-MX"/>
              </w:rPr>
            </w:pPr>
            <w:r w:rsidRPr="00B52EE8">
              <w:rPr>
                <w:rFonts w:ascii="Arial" w:eastAsia="Times New Roman" w:hAnsi="Arial" w:cs="Arial"/>
                <w:b/>
                <w:bCs/>
                <w:color w:val="FFFFFF"/>
                <w:sz w:val="18"/>
                <w:szCs w:val="18"/>
                <w:lang w:eastAsia="es-MX"/>
              </w:rPr>
              <w:t>10.84%</w:t>
            </w:r>
          </w:p>
        </w:tc>
        <w:tc>
          <w:tcPr>
            <w:tcW w:w="1154" w:type="dxa"/>
            <w:tcBorders>
              <w:top w:val="nil"/>
              <w:left w:val="nil"/>
              <w:bottom w:val="single" w:sz="4" w:space="0" w:color="E4E3E3"/>
              <w:right w:val="nil"/>
            </w:tcBorders>
            <w:shd w:val="clear" w:color="000000" w:fill="948A54"/>
            <w:noWrap/>
            <w:vAlign w:val="center"/>
            <w:hideMark/>
          </w:tcPr>
          <w:p w:rsidR="00B52EE8" w:rsidRPr="00B52EE8" w:rsidRDefault="00B52EE8" w:rsidP="00B52EE8">
            <w:pPr>
              <w:spacing w:after="0" w:line="240" w:lineRule="auto"/>
              <w:jc w:val="right"/>
              <w:rPr>
                <w:rFonts w:ascii="Arial" w:eastAsia="Times New Roman" w:hAnsi="Arial" w:cs="Arial"/>
                <w:b/>
                <w:bCs/>
                <w:color w:val="FFFFFF"/>
                <w:sz w:val="18"/>
                <w:szCs w:val="18"/>
                <w:lang w:eastAsia="es-MX"/>
              </w:rPr>
            </w:pPr>
            <w:r w:rsidRPr="00B52EE8">
              <w:rPr>
                <w:rFonts w:ascii="Arial" w:eastAsia="Times New Roman" w:hAnsi="Arial" w:cs="Arial"/>
                <w:b/>
                <w:bCs/>
                <w:color w:val="FFFFFF"/>
                <w:sz w:val="18"/>
                <w:szCs w:val="18"/>
                <w:lang w:eastAsia="es-MX"/>
              </w:rPr>
              <w:t>9.95%</w:t>
            </w:r>
          </w:p>
        </w:tc>
        <w:tc>
          <w:tcPr>
            <w:tcW w:w="1154" w:type="dxa"/>
            <w:tcBorders>
              <w:top w:val="nil"/>
              <w:left w:val="nil"/>
              <w:bottom w:val="single" w:sz="4" w:space="0" w:color="E4E3E3"/>
              <w:right w:val="nil"/>
            </w:tcBorders>
            <w:shd w:val="clear" w:color="000000" w:fill="948A54"/>
            <w:noWrap/>
            <w:vAlign w:val="center"/>
            <w:hideMark/>
          </w:tcPr>
          <w:p w:rsidR="00B52EE8" w:rsidRPr="00B52EE8" w:rsidRDefault="00B52EE8" w:rsidP="00B52EE8">
            <w:pPr>
              <w:spacing w:after="0" w:line="240" w:lineRule="auto"/>
              <w:jc w:val="right"/>
              <w:rPr>
                <w:rFonts w:ascii="Arial" w:eastAsia="Times New Roman" w:hAnsi="Arial" w:cs="Arial"/>
                <w:b/>
                <w:bCs/>
                <w:color w:val="FFFFFF"/>
                <w:sz w:val="18"/>
                <w:szCs w:val="18"/>
                <w:lang w:eastAsia="es-MX"/>
              </w:rPr>
            </w:pPr>
            <w:r w:rsidRPr="00B52EE8">
              <w:rPr>
                <w:rFonts w:ascii="Arial" w:eastAsia="Times New Roman" w:hAnsi="Arial" w:cs="Arial"/>
                <w:b/>
                <w:bCs/>
                <w:color w:val="FFFFFF"/>
                <w:sz w:val="18"/>
                <w:szCs w:val="18"/>
                <w:lang w:eastAsia="es-MX"/>
              </w:rPr>
              <w:t>8.63%</w:t>
            </w:r>
          </w:p>
        </w:tc>
        <w:tc>
          <w:tcPr>
            <w:tcW w:w="1058" w:type="dxa"/>
            <w:tcBorders>
              <w:top w:val="nil"/>
              <w:left w:val="nil"/>
              <w:bottom w:val="single" w:sz="4" w:space="0" w:color="E4E3E3"/>
              <w:right w:val="nil"/>
            </w:tcBorders>
            <w:shd w:val="clear" w:color="000000" w:fill="948A54"/>
            <w:noWrap/>
            <w:vAlign w:val="center"/>
            <w:hideMark/>
          </w:tcPr>
          <w:p w:rsidR="00B52EE8" w:rsidRPr="00B52EE8" w:rsidRDefault="00B52EE8" w:rsidP="00B52EE8">
            <w:pPr>
              <w:spacing w:after="0" w:line="240" w:lineRule="auto"/>
              <w:jc w:val="right"/>
              <w:rPr>
                <w:rFonts w:ascii="Arial" w:eastAsia="Times New Roman" w:hAnsi="Arial" w:cs="Arial"/>
                <w:b/>
                <w:bCs/>
                <w:color w:val="FFFFFF"/>
                <w:sz w:val="18"/>
                <w:szCs w:val="18"/>
                <w:lang w:eastAsia="es-MX"/>
              </w:rPr>
            </w:pPr>
            <w:r w:rsidRPr="00B52EE8">
              <w:rPr>
                <w:rFonts w:ascii="Arial" w:eastAsia="Times New Roman" w:hAnsi="Arial" w:cs="Arial"/>
                <w:b/>
                <w:bCs/>
                <w:color w:val="FFFFFF"/>
                <w:sz w:val="18"/>
                <w:szCs w:val="18"/>
                <w:lang w:eastAsia="es-MX"/>
              </w:rPr>
              <w:t>10.09%</w:t>
            </w:r>
          </w:p>
        </w:tc>
      </w:tr>
      <w:tr w:rsidR="00B52EE8" w:rsidRPr="00B52EE8" w:rsidTr="00B52EE8">
        <w:trPr>
          <w:trHeight w:val="255"/>
          <w:jc w:val="center"/>
        </w:trPr>
        <w:tc>
          <w:tcPr>
            <w:tcW w:w="1321" w:type="dxa"/>
            <w:tcBorders>
              <w:top w:val="nil"/>
              <w:left w:val="nil"/>
              <w:bottom w:val="single" w:sz="4" w:space="0" w:color="E4E3E3"/>
              <w:right w:val="nil"/>
            </w:tcBorders>
            <w:shd w:val="clear" w:color="000000" w:fill="494529"/>
            <w:noWrap/>
            <w:vAlign w:val="center"/>
            <w:hideMark/>
          </w:tcPr>
          <w:p w:rsidR="00B52EE8" w:rsidRPr="00B52EE8" w:rsidRDefault="00B52EE8" w:rsidP="00B52EE8">
            <w:pPr>
              <w:spacing w:after="0" w:line="240" w:lineRule="auto"/>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Principal</w:t>
            </w:r>
          </w:p>
        </w:tc>
        <w:tc>
          <w:tcPr>
            <w:tcW w:w="1227" w:type="dxa"/>
            <w:tcBorders>
              <w:top w:val="nil"/>
              <w:left w:val="nil"/>
              <w:bottom w:val="single" w:sz="4" w:space="0" w:color="E4E3E3"/>
              <w:right w:val="nil"/>
            </w:tcBorders>
            <w:shd w:val="clear" w:color="000000" w:fill="494529"/>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9.82%</w:t>
            </w:r>
          </w:p>
        </w:tc>
        <w:tc>
          <w:tcPr>
            <w:tcW w:w="1246" w:type="dxa"/>
            <w:tcBorders>
              <w:top w:val="nil"/>
              <w:left w:val="nil"/>
              <w:bottom w:val="single" w:sz="4" w:space="0" w:color="E4E3E3"/>
              <w:right w:val="nil"/>
            </w:tcBorders>
            <w:shd w:val="clear" w:color="000000" w:fill="494529"/>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8.77%</w:t>
            </w:r>
          </w:p>
        </w:tc>
        <w:tc>
          <w:tcPr>
            <w:tcW w:w="1154" w:type="dxa"/>
            <w:tcBorders>
              <w:top w:val="nil"/>
              <w:left w:val="nil"/>
              <w:bottom w:val="single" w:sz="4" w:space="0" w:color="E4E3E3"/>
              <w:right w:val="nil"/>
            </w:tcBorders>
            <w:shd w:val="clear" w:color="000000" w:fill="494529"/>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8.08%</w:t>
            </w:r>
          </w:p>
        </w:tc>
        <w:tc>
          <w:tcPr>
            <w:tcW w:w="1154" w:type="dxa"/>
            <w:tcBorders>
              <w:top w:val="nil"/>
              <w:left w:val="nil"/>
              <w:bottom w:val="single" w:sz="4" w:space="0" w:color="E4E3E3"/>
              <w:right w:val="nil"/>
            </w:tcBorders>
            <w:shd w:val="clear" w:color="000000" w:fill="494529"/>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6.58%</w:t>
            </w:r>
          </w:p>
        </w:tc>
        <w:tc>
          <w:tcPr>
            <w:tcW w:w="1058" w:type="dxa"/>
            <w:tcBorders>
              <w:top w:val="nil"/>
              <w:left w:val="nil"/>
              <w:bottom w:val="single" w:sz="4" w:space="0" w:color="E4E3E3"/>
              <w:right w:val="nil"/>
            </w:tcBorders>
            <w:shd w:val="clear" w:color="000000" w:fill="494529"/>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8.31%</w:t>
            </w:r>
          </w:p>
        </w:tc>
      </w:tr>
      <w:tr w:rsidR="00B52EE8" w:rsidRPr="00B52EE8" w:rsidTr="00B52EE8">
        <w:trPr>
          <w:trHeight w:val="255"/>
          <w:jc w:val="center"/>
        </w:trPr>
        <w:tc>
          <w:tcPr>
            <w:tcW w:w="1321" w:type="dxa"/>
            <w:tcBorders>
              <w:top w:val="nil"/>
              <w:left w:val="nil"/>
              <w:bottom w:val="single" w:sz="4" w:space="0" w:color="E4E3E3"/>
              <w:right w:val="nil"/>
            </w:tcBorders>
            <w:shd w:val="clear" w:color="000000" w:fill="948A54"/>
            <w:noWrap/>
            <w:vAlign w:val="center"/>
            <w:hideMark/>
          </w:tcPr>
          <w:p w:rsidR="00B52EE8" w:rsidRPr="00B52EE8" w:rsidRDefault="00B52EE8" w:rsidP="00B52EE8">
            <w:pPr>
              <w:spacing w:after="0" w:line="240" w:lineRule="auto"/>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Profuturo GNP</w:t>
            </w:r>
          </w:p>
        </w:tc>
        <w:tc>
          <w:tcPr>
            <w:tcW w:w="1227" w:type="dxa"/>
            <w:tcBorders>
              <w:top w:val="nil"/>
              <w:left w:val="nil"/>
              <w:bottom w:val="single" w:sz="4" w:space="0" w:color="E4E3E3"/>
              <w:right w:val="nil"/>
            </w:tcBorders>
            <w:shd w:val="clear" w:color="000000" w:fill="948A54"/>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10.83%</w:t>
            </w:r>
          </w:p>
        </w:tc>
        <w:tc>
          <w:tcPr>
            <w:tcW w:w="1246" w:type="dxa"/>
            <w:tcBorders>
              <w:top w:val="nil"/>
              <w:left w:val="nil"/>
              <w:bottom w:val="single" w:sz="4" w:space="0" w:color="E4E3E3"/>
              <w:right w:val="nil"/>
            </w:tcBorders>
            <w:shd w:val="clear" w:color="000000" w:fill="948A54"/>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9.51%</w:t>
            </w:r>
          </w:p>
        </w:tc>
        <w:tc>
          <w:tcPr>
            <w:tcW w:w="1154" w:type="dxa"/>
            <w:tcBorders>
              <w:top w:val="nil"/>
              <w:left w:val="nil"/>
              <w:bottom w:val="single" w:sz="4" w:space="0" w:color="E4E3E3"/>
              <w:right w:val="nil"/>
            </w:tcBorders>
            <w:shd w:val="clear" w:color="000000" w:fill="948A54"/>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9.00%</w:t>
            </w:r>
          </w:p>
        </w:tc>
        <w:tc>
          <w:tcPr>
            <w:tcW w:w="1154" w:type="dxa"/>
            <w:tcBorders>
              <w:top w:val="nil"/>
              <w:left w:val="nil"/>
              <w:bottom w:val="single" w:sz="4" w:space="0" w:color="E4E3E3"/>
              <w:right w:val="nil"/>
            </w:tcBorders>
            <w:shd w:val="clear" w:color="000000" w:fill="948A54"/>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7.49%</w:t>
            </w:r>
          </w:p>
        </w:tc>
        <w:tc>
          <w:tcPr>
            <w:tcW w:w="1058" w:type="dxa"/>
            <w:tcBorders>
              <w:top w:val="nil"/>
              <w:left w:val="nil"/>
              <w:bottom w:val="single" w:sz="4" w:space="0" w:color="E4E3E3"/>
              <w:right w:val="nil"/>
            </w:tcBorders>
            <w:shd w:val="clear" w:color="000000" w:fill="948A54"/>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9.21%</w:t>
            </w:r>
          </w:p>
        </w:tc>
      </w:tr>
      <w:tr w:rsidR="00B52EE8" w:rsidRPr="00B52EE8" w:rsidTr="00B52EE8">
        <w:trPr>
          <w:trHeight w:val="255"/>
          <w:jc w:val="center"/>
        </w:trPr>
        <w:tc>
          <w:tcPr>
            <w:tcW w:w="1321" w:type="dxa"/>
            <w:tcBorders>
              <w:top w:val="nil"/>
              <w:left w:val="nil"/>
              <w:bottom w:val="nil"/>
              <w:right w:val="nil"/>
            </w:tcBorders>
            <w:shd w:val="clear" w:color="000000" w:fill="494529"/>
            <w:noWrap/>
            <w:vAlign w:val="center"/>
            <w:hideMark/>
          </w:tcPr>
          <w:p w:rsidR="00B52EE8" w:rsidRPr="00B52EE8" w:rsidRDefault="00B52EE8" w:rsidP="00B52EE8">
            <w:pPr>
              <w:spacing w:after="0" w:line="240" w:lineRule="auto"/>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SURA</w:t>
            </w:r>
          </w:p>
        </w:tc>
        <w:tc>
          <w:tcPr>
            <w:tcW w:w="1227" w:type="dxa"/>
            <w:tcBorders>
              <w:top w:val="nil"/>
              <w:left w:val="nil"/>
              <w:bottom w:val="nil"/>
              <w:right w:val="nil"/>
            </w:tcBorders>
            <w:shd w:val="clear" w:color="000000" w:fill="494529"/>
            <w:noWrap/>
            <w:vAlign w:val="center"/>
            <w:hideMark/>
          </w:tcPr>
          <w:p w:rsidR="00B52EE8" w:rsidRPr="00B52EE8" w:rsidRDefault="00B52EE8" w:rsidP="00B52EE8">
            <w:pPr>
              <w:spacing w:after="0" w:line="240" w:lineRule="auto"/>
              <w:jc w:val="right"/>
              <w:rPr>
                <w:rFonts w:ascii="Arial" w:eastAsia="Times New Roman" w:hAnsi="Arial" w:cs="Arial"/>
                <w:b/>
                <w:bCs/>
                <w:color w:val="FFFFFF"/>
                <w:sz w:val="18"/>
                <w:szCs w:val="18"/>
                <w:lang w:eastAsia="es-MX"/>
              </w:rPr>
            </w:pPr>
            <w:r w:rsidRPr="00B52EE8">
              <w:rPr>
                <w:rFonts w:ascii="Arial" w:eastAsia="Times New Roman" w:hAnsi="Arial" w:cs="Arial"/>
                <w:b/>
                <w:bCs/>
                <w:color w:val="FFFFFF"/>
                <w:sz w:val="18"/>
                <w:szCs w:val="18"/>
                <w:lang w:eastAsia="es-MX"/>
              </w:rPr>
              <w:t>11.94%</w:t>
            </w:r>
          </w:p>
        </w:tc>
        <w:tc>
          <w:tcPr>
            <w:tcW w:w="1246" w:type="dxa"/>
            <w:tcBorders>
              <w:top w:val="nil"/>
              <w:left w:val="nil"/>
              <w:bottom w:val="nil"/>
              <w:right w:val="nil"/>
            </w:tcBorders>
            <w:shd w:val="clear" w:color="000000" w:fill="494529"/>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10.72%</w:t>
            </w:r>
          </w:p>
        </w:tc>
        <w:tc>
          <w:tcPr>
            <w:tcW w:w="1154" w:type="dxa"/>
            <w:tcBorders>
              <w:top w:val="nil"/>
              <w:left w:val="nil"/>
              <w:bottom w:val="nil"/>
              <w:right w:val="nil"/>
            </w:tcBorders>
            <w:shd w:val="clear" w:color="000000" w:fill="494529"/>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9.65%</w:t>
            </w:r>
          </w:p>
        </w:tc>
        <w:tc>
          <w:tcPr>
            <w:tcW w:w="1154" w:type="dxa"/>
            <w:tcBorders>
              <w:top w:val="nil"/>
              <w:left w:val="nil"/>
              <w:bottom w:val="nil"/>
              <w:right w:val="nil"/>
            </w:tcBorders>
            <w:shd w:val="clear" w:color="000000" w:fill="494529"/>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7.45%</w:t>
            </w:r>
          </w:p>
        </w:tc>
        <w:tc>
          <w:tcPr>
            <w:tcW w:w="1058" w:type="dxa"/>
            <w:tcBorders>
              <w:top w:val="nil"/>
              <w:left w:val="nil"/>
              <w:bottom w:val="single" w:sz="4" w:space="0" w:color="E4E3E3"/>
              <w:right w:val="nil"/>
            </w:tcBorders>
            <w:shd w:val="clear" w:color="000000" w:fill="494529"/>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9.94%</w:t>
            </w:r>
          </w:p>
        </w:tc>
      </w:tr>
      <w:tr w:rsidR="00B52EE8" w:rsidRPr="00B52EE8" w:rsidTr="00B52EE8">
        <w:trPr>
          <w:trHeight w:val="270"/>
          <w:jc w:val="center"/>
        </w:trPr>
        <w:tc>
          <w:tcPr>
            <w:tcW w:w="1321" w:type="dxa"/>
            <w:tcBorders>
              <w:top w:val="single" w:sz="4" w:space="0" w:color="E4E3E3"/>
              <w:left w:val="nil"/>
              <w:bottom w:val="double" w:sz="6" w:space="0" w:color="E4E3E3"/>
              <w:right w:val="nil"/>
            </w:tcBorders>
            <w:shd w:val="clear" w:color="000000" w:fill="948A54"/>
            <w:noWrap/>
            <w:vAlign w:val="center"/>
            <w:hideMark/>
          </w:tcPr>
          <w:p w:rsidR="00B52EE8" w:rsidRPr="00B52EE8" w:rsidRDefault="00B52EE8" w:rsidP="00B52EE8">
            <w:pPr>
              <w:spacing w:after="0" w:line="240" w:lineRule="auto"/>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XXI Banorte</w:t>
            </w:r>
          </w:p>
        </w:tc>
        <w:tc>
          <w:tcPr>
            <w:tcW w:w="1227" w:type="dxa"/>
            <w:tcBorders>
              <w:top w:val="single" w:sz="4" w:space="0" w:color="E4E3E3"/>
              <w:left w:val="nil"/>
              <w:bottom w:val="double" w:sz="6" w:space="0" w:color="E4E3E3"/>
              <w:right w:val="nil"/>
            </w:tcBorders>
            <w:shd w:val="clear" w:color="000000" w:fill="948A54"/>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10.17%</w:t>
            </w:r>
          </w:p>
        </w:tc>
        <w:tc>
          <w:tcPr>
            <w:tcW w:w="1246" w:type="dxa"/>
            <w:tcBorders>
              <w:top w:val="single" w:sz="4" w:space="0" w:color="E4E3E3"/>
              <w:left w:val="nil"/>
              <w:bottom w:val="double" w:sz="6" w:space="0" w:color="E4E3E3"/>
              <w:right w:val="nil"/>
            </w:tcBorders>
            <w:shd w:val="clear" w:color="000000" w:fill="948A54"/>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9.34%</w:t>
            </w:r>
          </w:p>
        </w:tc>
        <w:tc>
          <w:tcPr>
            <w:tcW w:w="1154" w:type="dxa"/>
            <w:tcBorders>
              <w:top w:val="single" w:sz="4" w:space="0" w:color="E4E3E3"/>
              <w:left w:val="nil"/>
              <w:bottom w:val="double" w:sz="6" w:space="0" w:color="E4E3E3"/>
              <w:right w:val="nil"/>
            </w:tcBorders>
            <w:shd w:val="clear" w:color="000000" w:fill="948A54"/>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8.61%</w:t>
            </w:r>
          </w:p>
        </w:tc>
        <w:tc>
          <w:tcPr>
            <w:tcW w:w="1154" w:type="dxa"/>
            <w:tcBorders>
              <w:top w:val="single" w:sz="4" w:space="0" w:color="E4E3E3"/>
              <w:left w:val="nil"/>
              <w:bottom w:val="double" w:sz="6" w:space="0" w:color="E4E3E3"/>
              <w:right w:val="nil"/>
            </w:tcBorders>
            <w:shd w:val="clear" w:color="000000" w:fill="948A54"/>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6.81%</w:t>
            </w:r>
          </w:p>
        </w:tc>
        <w:tc>
          <w:tcPr>
            <w:tcW w:w="1058" w:type="dxa"/>
            <w:tcBorders>
              <w:top w:val="nil"/>
              <w:left w:val="nil"/>
              <w:bottom w:val="single" w:sz="4" w:space="0" w:color="E4E3E3"/>
              <w:right w:val="nil"/>
            </w:tcBorders>
            <w:shd w:val="clear" w:color="000000" w:fill="948A54"/>
            <w:noWrap/>
            <w:vAlign w:val="center"/>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8.73%</w:t>
            </w:r>
          </w:p>
        </w:tc>
      </w:tr>
      <w:tr w:rsidR="00B52EE8" w:rsidRPr="00B52EE8" w:rsidTr="00B52EE8">
        <w:trPr>
          <w:trHeight w:val="270"/>
          <w:jc w:val="center"/>
        </w:trPr>
        <w:tc>
          <w:tcPr>
            <w:tcW w:w="1321" w:type="dxa"/>
            <w:tcBorders>
              <w:top w:val="nil"/>
              <w:left w:val="nil"/>
              <w:bottom w:val="nil"/>
              <w:right w:val="nil"/>
            </w:tcBorders>
            <w:shd w:val="clear" w:color="000000" w:fill="1D1B10"/>
            <w:noWrap/>
            <w:vAlign w:val="bottom"/>
            <w:hideMark/>
          </w:tcPr>
          <w:p w:rsidR="00B52EE8" w:rsidRPr="00B52EE8" w:rsidRDefault="00B52EE8" w:rsidP="00B52EE8">
            <w:pPr>
              <w:spacing w:after="0" w:line="240" w:lineRule="auto"/>
              <w:rPr>
                <w:rFonts w:ascii="Arial" w:eastAsia="Times New Roman" w:hAnsi="Arial" w:cs="Arial"/>
                <w:b/>
                <w:bCs/>
                <w:color w:val="FFFFFF"/>
                <w:sz w:val="18"/>
                <w:szCs w:val="18"/>
                <w:lang w:eastAsia="es-MX"/>
              </w:rPr>
            </w:pPr>
            <w:r w:rsidRPr="00B52EE8">
              <w:rPr>
                <w:rFonts w:ascii="Arial" w:eastAsia="Times New Roman" w:hAnsi="Arial" w:cs="Arial"/>
                <w:b/>
                <w:bCs/>
                <w:color w:val="FFFFFF"/>
                <w:sz w:val="18"/>
                <w:szCs w:val="18"/>
                <w:lang w:eastAsia="es-MX"/>
              </w:rPr>
              <w:t>Total</w:t>
            </w:r>
          </w:p>
        </w:tc>
        <w:tc>
          <w:tcPr>
            <w:tcW w:w="1227" w:type="dxa"/>
            <w:tcBorders>
              <w:top w:val="nil"/>
              <w:left w:val="nil"/>
              <w:bottom w:val="nil"/>
              <w:right w:val="nil"/>
            </w:tcBorders>
            <w:shd w:val="clear" w:color="000000" w:fill="1D1B10"/>
            <w:noWrap/>
            <w:vAlign w:val="bottom"/>
            <w:hideMark/>
          </w:tcPr>
          <w:p w:rsidR="00B52EE8" w:rsidRPr="00B52EE8" w:rsidRDefault="00B52EE8" w:rsidP="00B52EE8">
            <w:pPr>
              <w:spacing w:after="0" w:line="240" w:lineRule="auto"/>
              <w:jc w:val="right"/>
              <w:rPr>
                <w:rFonts w:ascii="Arial" w:eastAsia="Times New Roman" w:hAnsi="Arial" w:cs="Arial"/>
                <w:b/>
                <w:bCs/>
                <w:color w:val="FFFFFF"/>
                <w:sz w:val="18"/>
                <w:szCs w:val="18"/>
                <w:lang w:eastAsia="es-MX"/>
              </w:rPr>
            </w:pPr>
            <w:r w:rsidRPr="00B52EE8">
              <w:rPr>
                <w:rFonts w:ascii="Arial" w:eastAsia="Times New Roman" w:hAnsi="Arial" w:cs="Arial"/>
                <w:b/>
                <w:bCs/>
                <w:color w:val="FFFFFF"/>
                <w:sz w:val="18"/>
                <w:szCs w:val="18"/>
                <w:lang w:eastAsia="es-MX"/>
              </w:rPr>
              <w:t>9.76%</w:t>
            </w:r>
          </w:p>
        </w:tc>
        <w:tc>
          <w:tcPr>
            <w:tcW w:w="1246" w:type="dxa"/>
            <w:tcBorders>
              <w:top w:val="nil"/>
              <w:left w:val="nil"/>
              <w:bottom w:val="nil"/>
              <w:right w:val="nil"/>
            </w:tcBorders>
            <w:shd w:val="clear" w:color="000000" w:fill="1D1B10"/>
            <w:noWrap/>
            <w:vAlign w:val="bottom"/>
            <w:hideMark/>
          </w:tcPr>
          <w:p w:rsidR="00B52EE8" w:rsidRPr="00B52EE8" w:rsidRDefault="00B52EE8" w:rsidP="00B52EE8">
            <w:pPr>
              <w:spacing w:after="0" w:line="240" w:lineRule="auto"/>
              <w:jc w:val="right"/>
              <w:rPr>
                <w:rFonts w:ascii="Arial" w:eastAsia="Times New Roman" w:hAnsi="Arial" w:cs="Arial"/>
                <w:b/>
                <w:bCs/>
                <w:color w:val="FFFFFF"/>
                <w:sz w:val="18"/>
                <w:szCs w:val="18"/>
                <w:lang w:eastAsia="es-MX"/>
              </w:rPr>
            </w:pPr>
            <w:r w:rsidRPr="00B52EE8">
              <w:rPr>
                <w:rFonts w:ascii="Arial" w:eastAsia="Times New Roman" w:hAnsi="Arial" w:cs="Arial"/>
                <w:b/>
                <w:bCs/>
                <w:color w:val="FFFFFF"/>
                <w:sz w:val="18"/>
                <w:szCs w:val="18"/>
                <w:lang w:eastAsia="es-MX"/>
              </w:rPr>
              <w:t>8.95%</w:t>
            </w:r>
          </w:p>
        </w:tc>
        <w:tc>
          <w:tcPr>
            <w:tcW w:w="1154" w:type="dxa"/>
            <w:tcBorders>
              <w:top w:val="nil"/>
              <w:left w:val="nil"/>
              <w:bottom w:val="nil"/>
              <w:right w:val="nil"/>
            </w:tcBorders>
            <w:shd w:val="clear" w:color="000000" w:fill="1D1B10"/>
            <w:noWrap/>
            <w:vAlign w:val="bottom"/>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8.22%</w:t>
            </w:r>
          </w:p>
        </w:tc>
        <w:tc>
          <w:tcPr>
            <w:tcW w:w="1154" w:type="dxa"/>
            <w:tcBorders>
              <w:top w:val="nil"/>
              <w:left w:val="nil"/>
              <w:bottom w:val="nil"/>
              <w:right w:val="nil"/>
            </w:tcBorders>
            <w:shd w:val="clear" w:color="000000" w:fill="1D1B10"/>
            <w:noWrap/>
            <w:vAlign w:val="bottom"/>
            <w:hideMark/>
          </w:tcPr>
          <w:p w:rsidR="00B52EE8" w:rsidRPr="00B52EE8" w:rsidRDefault="00B52EE8" w:rsidP="00B52EE8">
            <w:pPr>
              <w:spacing w:after="0" w:line="240" w:lineRule="auto"/>
              <w:jc w:val="right"/>
              <w:rPr>
                <w:rFonts w:ascii="Arial" w:eastAsia="Times New Roman" w:hAnsi="Arial" w:cs="Arial"/>
                <w:color w:val="FFFFFF"/>
                <w:sz w:val="18"/>
                <w:szCs w:val="18"/>
                <w:lang w:eastAsia="es-MX"/>
              </w:rPr>
            </w:pPr>
            <w:r w:rsidRPr="00B52EE8">
              <w:rPr>
                <w:rFonts w:ascii="Arial" w:eastAsia="Times New Roman" w:hAnsi="Arial" w:cs="Arial"/>
                <w:color w:val="FFFFFF"/>
                <w:sz w:val="18"/>
                <w:szCs w:val="18"/>
                <w:lang w:eastAsia="es-MX"/>
              </w:rPr>
              <w:t>6.84%</w:t>
            </w:r>
          </w:p>
        </w:tc>
        <w:tc>
          <w:tcPr>
            <w:tcW w:w="1058" w:type="dxa"/>
            <w:tcBorders>
              <w:top w:val="nil"/>
              <w:left w:val="nil"/>
              <w:bottom w:val="nil"/>
              <w:right w:val="nil"/>
            </w:tcBorders>
            <w:shd w:val="clear" w:color="000000" w:fill="FFFFFF"/>
            <w:noWrap/>
            <w:vAlign w:val="bottom"/>
            <w:hideMark/>
          </w:tcPr>
          <w:p w:rsidR="00B52EE8" w:rsidRPr="00B52EE8" w:rsidRDefault="00B52EE8" w:rsidP="00B52EE8">
            <w:pPr>
              <w:spacing w:after="0" w:line="240" w:lineRule="auto"/>
              <w:jc w:val="right"/>
              <w:rPr>
                <w:rFonts w:ascii="Arial" w:eastAsia="Times New Roman" w:hAnsi="Arial" w:cs="Arial"/>
                <w:b/>
                <w:bCs/>
                <w:color w:val="FFFFFF"/>
                <w:sz w:val="18"/>
                <w:szCs w:val="18"/>
                <w:lang w:eastAsia="es-MX"/>
              </w:rPr>
            </w:pPr>
            <w:r w:rsidRPr="00B52EE8">
              <w:rPr>
                <w:rFonts w:ascii="Arial" w:eastAsia="Times New Roman" w:hAnsi="Arial" w:cs="Arial"/>
                <w:b/>
                <w:bCs/>
                <w:color w:val="FFFFFF"/>
                <w:sz w:val="18"/>
                <w:szCs w:val="18"/>
                <w:lang w:eastAsia="es-MX"/>
              </w:rPr>
              <w:t xml:space="preserve">                  1 </w:t>
            </w:r>
          </w:p>
        </w:tc>
      </w:tr>
    </w:tbl>
    <w:p w:rsidR="00E52678" w:rsidRDefault="00E52678" w:rsidP="00E52678"/>
    <w:p w:rsidR="00BC189A" w:rsidRDefault="00BC189A" w:rsidP="00BC189A">
      <w:pPr>
        <w:spacing w:after="0" w:line="480" w:lineRule="auto"/>
        <w:contextualSpacing/>
        <w:rPr>
          <w:rFonts w:ascii="Arial" w:hAnsi="Arial" w:cs="Arial"/>
          <w:sz w:val="20"/>
          <w:szCs w:val="20"/>
        </w:rPr>
      </w:pPr>
      <w:r>
        <w:rPr>
          <w:rFonts w:ascii="Arial" w:hAnsi="Arial" w:cs="Arial"/>
          <w:sz w:val="20"/>
          <w:szCs w:val="20"/>
        </w:rPr>
        <w:t xml:space="preserve">             </w:t>
      </w:r>
      <w:r w:rsidRPr="00482F96">
        <w:rPr>
          <w:rFonts w:ascii="Arial" w:hAnsi="Arial" w:cs="Arial"/>
          <w:sz w:val="20"/>
          <w:szCs w:val="20"/>
        </w:rPr>
        <w:t>Fuente: elaboración propia con datos de la CONSAR.</w:t>
      </w:r>
    </w:p>
    <w:p w:rsidR="00FD3295" w:rsidRDefault="00FD3295" w:rsidP="00FD3295">
      <w:pPr>
        <w:spacing w:after="0" w:line="480" w:lineRule="auto"/>
        <w:contextualSpacing/>
        <w:rPr>
          <w:rFonts w:ascii="Arial" w:hAnsi="Arial" w:cs="Arial"/>
          <w:sz w:val="20"/>
          <w:szCs w:val="20"/>
        </w:rPr>
      </w:pPr>
      <w:r>
        <w:rPr>
          <w:rFonts w:ascii="Arial" w:hAnsi="Arial" w:cs="Arial"/>
          <w:sz w:val="20"/>
          <w:szCs w:val="20"/>
        </w:rPr>
        <w:t xml:space="preserve">             Nota: Indicador de rendimiento neto 60 meses.</w:t>
      </w:r>
    </w:p>
    <w:p w:rsidR="00E52678" w:rsidRPr="00E52678" w:rsidRDefault="00E52678" w:rsidP="00E52678"/>
    <w:p w:rsidR="00A0225C" w:rsidRPr="00A93228" w:rsidRDefault="00A0225C" w:rsidP="006E10B9">
      <w:pPr>
        <w:spacing w:line="480" w:lineRule="auto"/>
        <w:jc w:val="both"/>
        <w:rPr>
          <w:rFonts w:ascii="Arial" w:hAnsi="Arial" w:cs="Arial"/>
          <w:sz w:val="24"/>
          <w:szCs w:val="24"/>
        </w:rPr>
      </w:pPr>
      <w:r w:rsidRPr="00A0225C">
        <w:rPr>
          <w:rFonts w:ascii="Arial" w:hAnsi="Arial" w:cs="Arial"/>
          <w:sz w:val="24"/>
          <w:szCs w:val="24"/>
        </w:rPr>
        <w:t>Las empresas no necesariamente son las más competitivas con respecto a las mexicanas ya que, en promedio, las multinacionales alcanzan rendimientos netos  superiores al promedio, aunque por abajo del promedio de algunas nacionales.</w:t>
      </w:r>
    </w:p>
    <w:p w:rsidR="00083B5A" w:rsidRPr="003F35A7" w:rsidRDefault="00ED7F71" w:rsidP="00B923F3">
      <w:pPr>
        <w:pStyle w:val="Ttulo1"/>
        <w:numPr>
          <w:ilvl w:val="0"/>
          <w:numId w:val="11"/>
        </w:numPr>
        <w:spacing w:after="400"/>
        <w:ind w:left="1077" w:hanging="357"/>
        <w:jc w:val="both"/>
      </w:pPr>
      <w:bookmarkStart w:id="83" w:name="_Toc401571176"/>
      <w:bookmarkStart w:id="84" w:name="_Toc401577567"/>
      <w:bookmarkStart w:id="85" w:name="_Toc401578514"/>
      <w:bookmarkStart w:id="86" w:name="_Toc401580978"/>
      <w:bookmarkStart w:id="87" w:name="_Toc401581467"/>
      <w:bookmarkStart w:id="88" w:name="_Toc401586008"/>
      <w:bookmarkStart w:id="89" w:name="_Toc402948940"/>
      <w:r w:rsidRPr="003F35A7">
        <w:lastRenderedPageBreak/>
        <w:t>DESEMPEÑO FINANCIERO DE LAS AFORES</w:t>
      </w:r>
      <w:bookmarkEnd w:id="83"/>
      <w:bookmarkEnd w:id="84"/>
      <w:bookmarkEnd w:id="85"/>
      <w:bookmarkEnd w:id="86"/>
      <w:bookmarkEnd w:id="87"/>
      <w:bookmarkEnd w:id="88"/>
      <w:bookmarkEnd w:id="89"/>
      <w:r w:rsidR="00607CE1" w:rsidRPr="003F35A7">
        <w:t xml:space="preserve">             </w:t>
      </w:r>
    </w:p>
    <w:p w:rsidR="000A387C" w:rsidRPr="00A93228" w:rsidRDefault="0014161E" w:rsidP="008970F9">
      <w:pPr>
        <w:spacing w:after="0" w:line="480" w:lineRule="auto"/>
        <w:ind w:firstLine="709"/>
        <w:jc w:val="both"/>
        <w:rPr>
          <w:rFonts w:ascii="Arial" w:hAnsi="Arial" w:cs="Arial"/>
          <w:color w:val="000000" w:themeColor="text1"/>
          <w:sz w:val="24"/>
          <w:szCs w:val="24"/>
          <w:lang w:val="es-ES"/>
        </w:rPr>
      </w:pPr>
      <w:r w:rsidRPr="00A93228">
        <w:rPr>
          <w:rFonts w:ascii="Arial" w:hAnsi="Arial" w:cs="Arial"/>
          <w:color w:val="000000" w:themeColor="text1"/>
          <w:sz w:val="24"/>
          <w:szCs w:val="24"/>
          <w:lang w:val="es-ES"/>
        </w:rPr>
        <w:t>El número de empresas financieras que gestionan los fondos de pensiones se ha modificado significativamente desde el año en que inicio el sistema: en 19</w:t>
      </w:r>
      <w:r w:rsidR="004B5976">
        <w:rPr>
          <w:rFonts w:ascii="Arial" w:hAnsi="Arial" w:cs="Arial"/>
          <w:color w:val="000000" w:themeColor="text1"/>
          <w:sz w:val="24"/>
          <w:szCs w:val="24"/>
          <w:lang w:val="es-ES"/>
        </w:rPr>
        <w:t xml:space="preserve">97  sumaban 17 administradoras, </w:t>
      </w:r>
      <w:r w:rsidRPr="00A93228">
        <w:rPr>
          <w:rFonts w:ascii="Arial" w:hAnsi="Arial" w:cs="Arial"/>
          <w:color w:val="000000" w:themeColor="text1"/>
          <w:sz w:val="24"/>
          <w:szCs w:val="24"/>
          <w:lang w:val="es-ES"/>
        </w:rPr>
        <w:t xml:space="preserve">10 nacionales y 7 multinacionales; </w:t>
      </w:r>
      <w:r w:rsidRPr="00B369A3">
        <w:rPr>
          <w:rFonts w:ascii="Arial" w:hAnsi="Arial" w:cs="Arial"/>
          <w:color w:val="000000" w:themeColor="text1"/>
          <w:sz w:val="24"/>
          <w:szCs w:val="24"/>
          <w:lang w:val="es-ES"/>
        </w:rPr>
        <w:t>en 2006 aumentaron a 21 empresas</w:t>
      </w:r>
      <w:r w:rsidR="003907F0" w:rsidRPr="00B369A3">
        <w:rPr>
          <w:rFonts w:ascii="Arial" w:hAnsi="Arial" w:cs="Arial"/>
          <w:color w:val="000000" w:themeColor="text1"/>
          <w:sz w:val="24"/>
          <w:szCs w:val="24"/>
          <w:lang w:val="es-ES"/>
        </w:rPr>
        <w:t xml:space="preserve">,  13 nacionales y 8 </w:t>
      </w:r>
      <w:r w:rsidR="00F1784A" w:rsidRPr="00B369A3">
        <w:rPr>
          <w:rFonts w:ascii="Arial" w:hAnsi="Arial" w:cs="Arial"/>
          <w:color w:val="000000" w:themeColor="text1"/>
          <w:sz w:val="24"/>
          <w:szCs w:val="24"/>
          <w:lang w:val="es-ES"/>
        </w:rPr>
        <w:t xml:space="preserve">multinacionales </w:t>
      </w:r>
      <w:r w:rsidRPr="00B369A3">
        <w:rPr>
          <w:rFonts w:ascii="Arial" w:hAnsi="Arial" w:cs="Arial"/>
          <w:color w:val="000000" w:themeColor="text1"/>
          <w:sz w:val="24"/>
          <w:szCs w:val="24"/>
          <w:lang w:val="es-ES"/>
        </w:rPr>
        <w:t xml:space="preserve"> y  a la fecha 11 administradoras dominan todo el sistema</w:t>
      </w:r>
      <w:r w:rsidR="00F1784A" w:rsidRPr="00B369A3">
        <w:rPr>
          <w:rFonts w:ascii="Arial" w:hAnsi="Arial" w:cs="Arial"/>
          <w:color w:val="000000" w:themeColor="text1"/>
          <w:sz w:val="24"/>
          <w:szCs w:val="24"/>
          <w:lang w:val="es-ES"/>
        </w:rPr>
        <w:t xml:space="preserve">, </w:t>
      </w:r>
      <w:r w:rsidR="00EC00DF" w:rsidRPr="00B369A3">
        <w:rPr>
          <w:rFonts w:ascii="Arial" w:hAnsi="Arial" w:cs="Arial"/>
          <w:color w:val="000000" w:themeColor="text1"/>
          <w:sz w:val="24"/>
          <w:szCs w:val="24"/>
          <w:lang w:val="es-ES"/>
        </w:rPr>
        <w:t xml:space="preserve">7 </w:t>
      </w:r>
      <w:r w:rsidR="00F1784A" w:rsidRPr="00B369A3">
        <w:rPr>
          <w:rFonts w:ascii="Arial" w:hAnsi="Arial" w:cs="Arial"/>
          <w:color w:val="000000" w:themeColor="text1"/>
          <w:sz w:val="24"/>
          <w:szCs w:val="24"/>
          <w:lang w:val="es-ES"/>
        </w:rPr>
        <w:t xml:space="preserve">nacionales y </w:t>
      </w:r>
      <w:r w:rsidR="00EC00DF" w:rsidRPr="00B369A3">
        <w:rPr>
          <w:rFonts w:ascii="Arial" w:hAnsi="Arial" w:cs="Arial"/>
          <w:color w:val="000000" w:themeColor="text1"/>
          <w:sz w:val="24"/>
          <w:szCs w:val="24"/>
          <w:lang w:val="es-ES"/>
        </w:rPr>
        <w:t xml:space="preserve">4 </w:t>
      </w:r>
      <w:r w:rsidR="00F1784A" w:rsidRPr="00B369A3">
        <w:rPr>
          <w:rFonts w:ascii="Arial" w:hAnsi="Arial" w:cs="Arial"/>
          <w:color w:val="000000" w:themeColor="text1"/>
          <w:sz w:val="24"/>
          <w:szCs w:val="24"/>
          <w:lang w:val="es-ES"/>
        </w:rPr>
        <w:t>multinacionales</w:t>
      </w:r>
      <w:r w:rsidRPr="00B369A3">
        <w:rPr>
          <w:rFonts w:ascii="Arial" w:hAnsi="Arial" w:cs="Arial"/>
          <w:color w:val="000000" w:themeColor="text1"/>
          <w:sz w:val="24"/>
          <w:szCs w:val="24"/>
          <w:lang w:val="es-ES"/>
        </w:rPr>
        <w:t>.</w:t>
      </w:r>
      <w:r w:rsidRPr="00A93228">
        <w:rPr>
          <w:rFonts w:ascii="Arial" w:hAnsi="Arial" w:cs="Arial"/>
          <w:color w:val="000000" w:themeColor="text1"/>
          <w:sz w:val="24"/>
          <w:szCs w:val="24"/>
          <w:lang w:val="es-ES"/>
        </w:rPr>
        <w:t xml:space="preserve">  Estas empresas también tienen la singularidad de que varias de ellas son de origen extranjero</w:t>
      </w:r>
      <w:r w:rsidR="00006F50" w:rsidRPr="00A93228">
        <w:rPr>
          <w:rFonts w:ascii="Arial" w:hAnsi="Arial" w:cs="Arial"/>
          <w:color w:val="000000" w:themeColor="text1"/>
          <w:sz w:val="24"/>
          <w:szCs w:val="24"/>
          <w:lang w:val="es-ES"/>
        </w:rPr>
        <w:t>, son administradoras con una capacidad financiera dominante</w:t>
      </w:r>
      <w:r w:rsidR="00BE74F7" w:rsidRPr="00A93228">
        <w:rPr>
          <w:rFonts w:ascii="Arial" w:hAnsi="Arial" w:cs="Arial"/>
          <w:color w:val="000000" w:themeColor="text1"/>
          <w:sz w:val="24"/>
          <w:szCs w:val="24"/>
          <w:lang w:val="es-ES"/>
        </w:rPr>
        <w:t xml:space="preserve"> que les permite </w:t>
      </w:r>
      <w:r w:rsidRPr="00A93228">
        <w:rPr>
          <w:rFonts w:ascii="Arial" w:hAnsi="Arial" w:cs="Arial"/>
          <w:color w:val="000000" w:themeColor="text1"/>
          <w:sz w:val="24"/>
          <w:szCs w:val="24"/>
          <w:lang w:val="es-ES"/>
        </w:rPr>
        <w:t>oper</w:t>
      </w:r>
      <w:r w:rsidR="00006F50" w:rsidRPr="00A93228">
        <w:rPr>
          <w:rFonts w:ascii="Arial" w:hAnsi="Arial" w:cs="Arial"/>
          <w:color w:val="000000" w:themeColor="text1"/>
          <w:sz w:val="24"/>
          <w:szCs w:val="24"/>
          <w:lang w:val="es-ES"/>
        </w:rPr>
        <w:t>ar  en otros países y continentes.</w:t>
      </w:r>
      <w:r w:rsidR="00BE74F7" w:rsidRPr="00A93228">
        <w:rPr>
          <w:rFonts w:ascii="Arial" w:hAnsi="Arial" w:cs="Arial"/>
          <w:color w:val="000000" w:themeColor="text1"/>
          <w:sz w:val="24"/>
          <w:szCs w:val="24"/>
          <w:lang w:val="es-ES"/>
        </w:rPr>
        <w:t xml:space="preserve"> Son empresas que pertenecen a grupos y conglomerados financieros internacionales por lo que en varios años llegaron a monopolizar todo el mercado de fondos de pensiones, donde las empresas financieras nacionales competían por los mismos recursos en condiciones sumamente </w:t>
      </w:r>
      <w:r w:rsidR="00BE74F7" w:rsidRPr="00E94EC3">
        <w:rPr>
          <w:rFonts w:ascii="Arial" w:hAnsi="Arial" w:cs="Arial"/>
          <w:color w:val="000000" w:themeColor="text1"/>
          <w:sz w:val="24"/>
          <w:szCs w:val="24"/>
          <w:lang w:val="es-ES"/>
        </w:rPr>
        <w:t>desventajosas</w:t>
      </w:r>
      <w:r w:rsidR="003317C8" w:rsidRPr="00E94EC3">
        <w:rPr>
          <w:rFonts w:ascii="Arial" w:hAnsi="Arial" w:cs="Arial"/>
          <w:color w:val="000000" w:themeColor="text1"/>
          <w:sz w:val="24"/>
          <w:szCs w:val="24"/>
          <w:lang w:val="es-ES"/>
        </w:rPr>
        <w:t xml:space="preserve"> </w:t>
      </w:r>
      <w:r w:rsidR="00332D4D" w:rsidRPr="006C4D0A">
        <w:rPr>
          <w:rFonts w:ascii="Arial" w:hAnsi="Arial" w:cs="Arial"/>
          <w:color w:val="000000" w:themeColor="text1"/>
          <w:sz w:val="24"/>
          <w:szCs w:val="24"/>
          <w:lang w:val="es-ES"/>
        </w:rPr>
        <w:t>(cuadro 6</w:t>
      </w:r>
      <w:r w:rsidR="003317C8" w:rsidRPr="006C4D0A">
        <w:rPr>
          <w:rFonts w:ascii="Arial" w:hAnsi="Arial" w:cs="Arial"/>
          <w:color w:val="000000" w:themeColor="text1"/>
          <w:sz w:val="24"/>
          <w:szCs w:val="24"/>
          <w:lang w:val="es-ES"/>
        </w:rPr>
        <w:t>)</w:t>
      </w:r>
      <w:r w:rsidR="00BE74F7" w:rsidRPr="006C4D0A">
        <w:rPr>
          <w:rFonts w:ascii="Arial" w:hAnsi="Arial" w:cs="Arial"/>
          <w:color w:val="000000" w:themeColor="text1"/>
          <w:sz w:val="24"/>
          <w:szCs w:val="24"/>
          <w:lang w:val="es-ES"/>
        </w:rPr>
        <w:t>.</w:t>
      </w:r>
    </w:p>
    <w:p w:rsidR="00EF5DFB" w:rsidRPr="00A93228" w:rsidRDefault="000826CC" w:rsidP="008970F9">
      <w:pPr>
        <w:spacing w:after="0" w:line="480" w:lineRule="auto"/>
        <w:ind w:firstLine="709"/>
        <w:jc w:val="both"/>
        <w:rPr>
          <w:rFonts w:ascii="Arial" w:hAnsi="Arial" w:cs="Arial"/>
          <w:color w:val="000000" w:themeColor="text1"/>
          <w:sz w:val="24"/>
          <w:szCs w:val="24"/>
          <w:lang w:val="es-ES"/>
        </w:rPr>
      </w:pPr>
      <w:r w:rsidRPr="00A93228">
        <w:rPr>
          <w:rFonts w:ascii="Arial" w:hAnsi="Arial" w:cs="Arial"/>
          <w:color w:val="000000" w:themeColor="text1"/>
          <w:sz w:val="24"/>
          <w:szCs w:val="24"/>
          <w:lang w:val="es-ES"/>
        </w:rPr>
        <w:t xml:space="preserve">Un desglose de la concentración de las cuentas individuales </w:t>
      </w:r>
      <w:r w:rsidR="007F132F" w:rsidRPr="00A93228">
        <w:rPr>
          <w:rFonts w:ascii="Arial" w:hAnsi="Arial" w:cs="Arial"/>
          <w:color w:val="000000" w:themeColor="text1"/>
          <w:sz w:val="24"/>
          <w:szCs w:val="24"/>
          <w:lang w:val="es-ES"/>
        </w:rPr>
        <w:t xml:space="preserve">por AFORE </w:t>
      </w:r>
      <w:r w:rsidRPr="00A93228">
        <w:rPr>
          <w:rFonts w:ascii="Arial" w:hAnsi="Arial" w:cs="Arial"/>
          <w:color w:val="000000" w:themeColor="text1"/>
          <w:sz w:val="24"/>
          <w:szCs w:val="24"/>
          <w:lang w:val="es-ES"/>
        </w:rPr>
        <w:t>permite observar</w:t>
      </w:r>
      <w:r w:rsidR="007F132F" w:rsidRPr="00A93228">
        <w:rPr>
          <w:rFonts w:ascii="Arial" w:hAnsi="Arial" w:cs="Arial"/>
          <w:color w:val="000000" w:themeColor="text1"/>
          <w:sz w:val="24"/>
          <w:szCs w:val="24"/>
          <w:lang w:val="es-ES"/>
        </w:rPr>
        <w:t xml:space="preserve"> que  XXI Banorte, Banamex, Sura y Coppel mantienen el 71% mientras que siete administradoras el 29% restante. </w:t>
      </w:r>
      <w:r w:rsidR="00BA3C19" w:rsidRPr="00A93228">
        <w:rPr>
          <w:rFonts w:ascii="Arial" w:hAnsi="Arial" w:cs="Arial"/>
          <w:color w:val="000000" w:themeColor="text1"/>
          <w:sz w:val="24"/>
          <w:szCs w:val="24"/>
          <w:lang w:val="es-ES"/>
        </w:rPr>
        <w:t>En lo que respecta al origen y capital de las administradoras tenemos que Banamex y Sura son multinacionales. La cuarta administradora más importante y la que mayor crecimiento arroja, Coppel, se dedica al comercio aunque se ha convertido en un protagonista destacado que compite con las empresas financieras nacionales y multinacionales.</w:t>
      </w:r>
    </w:p>
    <w:p w:rsidR="00F1784A" w:rsidRPr="00A93228" w:rsidRDefault="00EF5DFB" w:rsidP="008970F9">
      <w:pPr>
        <w:spacing w:after="0" w:line="480" w:lineRule="auto"/>
        <w:ind w:firstLine="709"/>
        <w:jc w:val="both"/>
        <w:rPr>
          <w:rFonts w:ascii="Arial" w:hAnsi="Arial" w:cs="Arial"/>
          <w:color w:val="000000" w:themeColor="text1"/>
          <w:sz w:val="24"/>
          <w:szCs w:val="24"/>
          <w:lang w:val="es-ES"/>
        </w:rPr>
      </w:pPr>
      <w:r w:rsidRPr="00A93228">
        <w:rPr>
          <w:rFonts w:ascii="Arial" w:hAnsi="Arial" w:cs="Arial"/>
          <w:color w:val="000000" w:themeColor="text1"/>
          <w:sz w:val="24"/>
          <w:szCs w:val="24"/>
          <w:lang w:val="es-ES"/>
        </w:rPr>
        <w:t xml:space="preserve">También encontramos que AFORE Invercap de origen nacional ha tenido un crecimiento notable hasta alcanzar una cuota de mercado del 6%. </w:t>
      </w:r>
      <w:r w:rsidR="00860F6E" w:rsidRPr="00A93228">
        <w:rPr>
          <w:rFonts w:ascii="Arial" w:hAnsi="Arial" w:cs="Arial"/>
          <w:color w:val="000000" w:themeColor="text1"/>
          <w:sz w:val="24"/>
          <w:szCs w:val="24"/>
          <w:lang w:val="es-ES"/>
        </w:rPr>
        <w:t xml:space="preserve">Caso </w:t>
      </w:r>
      <w:r w:rsidR="00860F6E" w:rsidRPr="00A93228">
        <w:rPr>
          <w:rFonts w:ascii="Arial" w:hAnsi="Arial" w:cs="Arial"/>
          <w:color w:val="000000" w:themeColor="text1"/>
          <w:sz w:val="24"/>
          <w:szCs w:val="24"/>
          <w:lang w:val="es-ES"/>
        </w:rPr>
        <w:lastRenderedPageBreak/>
        <w:t>contrario AFORE Inbursa viene disminuyendo drásticamente su cuota de mercado de un 10% que mantenía en 2005 a un 2% en 2014.</w:t>
      </w:r>
      <w:r w:rsidR="00BA3C19" w:rsidRPr="00A93228">
        <w:rPr>
          <w:rFonts w:ascii="Arial" w:hAnsi="Arial" w:cs="Arial"/>
          <w:color w:val="000000" w:themeColor="text1"/>
          <w:sz w:val="24"/>
          <w:szCs w:val="24"/>
          <w:lang w:val="es-ES"/>
        </w:rPr>
        <w:t xml:space="preserve"> </w:t>
      </w:r>
      <w:r w:rsidR="00944FF8" w:rsidRPr="00A93228">
        <w:rPr>
          <w:rFonts w:ascii="Arial" w:hAnsi="Arial" w:cs="Arial"/>
          <w:color w:val="000000" w:themeColor="text1"/>
          <w:sz w:val="24"/>
          <w:szCs w:val="24"/>
          <w:lang w:val="es-ES"/>
        </w:rPr>
        <w:t xml:space="preserve">  </w:t>
      </w:r>
      <w:r w:rsidR="006B666D" w:rsidRPr="00A93228">
        <w:rPr>
          <w:rFonts w:ascii="Arial" w:hAnsi="Arial" w:cs="Arial"/>
          <w:color w:val="000000" w:themeColor="text1"/>
          <w:sz w:val="24"/>
          <w:szCs w:val="24"/>
          <w:lang w:val="es-ES"/>
        </w:rPr>
        <w:t xml:space="preserve"> </w:t>
      </w:r>
    </w:p>
    <w:p w:rsidR="00576564" w:rsidRPr="00A93228" w:rsidRDefault="00F1784A" w:rsidP="008970F9">
      <w:pPr>
        <w:spacing w:after="0" w:line="480" w:lineRule="auto"/>
        <w:ind w:firstLine="709"/>
        <w:jc w:val="both"/>
        <w:rPr>
          <w:rFonts w:ascii="Arial" w:hAnsi="Arial" w:cs="Arial"/>
          <w:color w:val="000000" w:themeColor="text1"/>
          <w:sz w:val="24"/>
          <w:szCs w:val="24"/>
          <w:lang w:val="es-ES"/>
        </w:rPr>
      </w:pPr>
      <w:r w:rsidRPr="00A93228">
        <w:rPr>
          <w:rFonts w:ascii="Arial" w:hAnsi="Arial" w:cs="Arial"/>
          <w:color w:val="000000" w:themeColor="text1"/>
          <w:sz w:val="24"/>
          <w:szCs w:val="24"/>
          <w:lang w:val="es-ES"/>
        </w:rPr>
        <w:t xml:space="preserve">Entre los años 2005 y 2012 el número de cuentas registradas por todo el sistema aumento en 16 millones, es decir, se incrementaron en un 46% </w:t>
      </w:r>
      <w:r w:rsidR="00332D4D" w:rsidRPr="000C09C9">
        <w:rPr>
          <w:rFonts w:ascii="Arial" w:hAnsi="Arial" w:cs="Arial"/>
          <w:color w:val="000000" w:themeColor="text1"/>
          <w:sz w:val="24"/>
          <w:szCs w:val="24"/>
          <w:lang w:val="es-ES"/>
        </w:rPr>
        <w:t>(cuadro 8</w:t>
      </w:r>
      <w:r w:rsidR="00090F2E" w:rsidRPr="000C09C9">
        <w:rPr>
          <w:rFonts w:ascii="Arial" w:hAnsi="Arial" w:cs="Arial"/>
          <w:color w:val="000000" w:themeColor="text1"/>
          <w:sz w:val="24"/>
          <w:szCs w:val="24"/>
          <w:lang w:val="es-ES"/>
        </w:rPr>
        <w:t>)</w:t>
      </w:r>
      <w:r w:rsidR="00163DEE" w:rsidRPr="000C09C9">
        <w:rPr>
          <w:rFonts w:ascii="Arial" w:hAnsi="Arial" w:cs="Arial"/>
          <w:color w:val="000000" w:themeColor="text1"/>
          <w:sz w:val="24"/>
          <w:szCs w:val="24"/>
          <w:lang w:val="es-ES"/>
        </w:rPr>
        <w:t>.</w:t>
      </w:r>
      <w:r w:rsidR="00163DEE" w:rsidRPr="00A93228">
        <w:rPr>
          <w:rFonts w:ascii="Arial" w:hAnsi="Arial" w:cs="Arial"/>
          <w:color w:val="000000" w:themeColor="text1"/>
          <w:sz w:val="24"/>
          <w:szCs w:val="24"/>
          <w:lang w:val="es-ES"/>
        </w:rPr>
        <w:t xml:space="preserve"> Los trabajadores cotizantes permanentes tuvieron un incremente significativamente menor de tan solo 3.8 millones, es decir, </w:t>
      </w:r>
      <w:r w:rsidR="00702707" w:rsidRPr="00A93228">
        <w:rPr>
          <w:rFonts w:ascii="Arial" w:hAnsi="Arial" w:cs="Arial"/>
          <w:color w:val="000000" w:themeColor="text1"/>
          <w:sz w:val="24"/>
          <w:szCs w:val="24"/>
          <w:lang w:val="es-ES"/>
        </w:rPr>
        <w:t>el número de cuentas totales alcanzaron un incremento del 28% y el de cotizantes permanentes 14%.</w:t>
      </w:r>
    </w:p>
    <w:p w:rsidR="00901C83" w:rsidRPr="00A93228" w:rsidRDefault="000C4168" w:rsidP="008970F9">
      <w:pPr>
        <w:spacing w:after="0" w:line="480" w:lineRule="auto"/>
        <w:ind w:firstLine="709"/>
        <w:jc w:val="both"/>
        <w:rPr>
          <w:rFonts w:ascii="Arial" w:hAnsi="Arial" w:cs="Arial"/>
          <w:color w:val="000000" w:themeColor="text1"/>
          <w:sz w:val="24"/>
          <w:szCs w:val="24"/>
          <w:lang w:val="es-ES"/>
        </w:rPr>
      </w:pPr>
      <w:r w:rsidRPr="00A93228">
        <w:rPr>
          <w:rFonts w:ascii="Arial" w:hAnsi="Arial" w:cs="Arial"/>
          <w:color w:val="000000" w:themeColor="text1"/>
          <w:sz w:val="24"/>
          <w:szCs w:val="24"/>
          <w:lang w:val="es-ES"/>
        </w:rPr>
        <w:t xml:space="preserve">Así tenemos que en los países del área el promedio de cotizantes permanentes entre 2005 y 2012 cayó del 42% a un 37%. </w:t>
      </w:r>
      <w:r w:rsidR="00356C3F" w:rsidRPr="00A93228">
        <w:rPr>
          <w:rFonts w:ascii="Arial" w:hAnsi="Arial" w:cs="Arial"/>
          <w:color w:val="000000" w:themeColor="text1"/>
          <w:sz w:val="24"/>
          <w:szCs w:val="24"/>
          <w:lang w:val="es-ES"/>
        </w:rPr>
        <w:t>Al contrastar este indicador por país encontramos que México es el segundo con el indicador más bajo al pasar de un 37.9% a un 30%, solo por delante de el Salvador que lo tuvo del 40.5% y del 27%. Los países que alcanzaron el promedio más alto fueron Uruguay con el 59% y 67% y Costa Rica con un 70% y 63%. Cabe señalar que el sistema de pensiones de Uruguay fue el único que alcanzó un incremento de cotizantes permanentes a lo largo del periodo.</w:t>
      </w:r>
      <w:r w:rsidR="00901C83" w:rsidRPr="00A93228">
        <w:rPr>
          <w:rFonts w:ascii="Arial" w:hAnsi="Arial" w:cs="Arial"/>
          <w:color w:val="000000" w:themeColor="text1"/>
          <w:sz w:val="24"/>
          <w:szCs w:val="24"/>
          <w:lang w:val="es-ES"/>
        </w:rPr>
        <w:t xml:space="preserve"> </w:t>
      </w:r>
    </w:p>
    <w:p w:rsidR="00CA1283" w:rsidRPr="00A93228" w:rsidRDefault="001806AF" w:rsidP="00DF720B">
      <w:pPr>
        <w:spacing w:after="0" w:line="480" w:lineRule="auto"/>
        <w:ind w:firstLine="708"/>
        <w:jc w:val="both"/>
        <w:rPr>
          <w:rFonts w:ascii="Arial" w:hAnsi="Arial" w:cs="Arial"/>
          <w:color w:val="000000" w:themeColor="text1"/>
          <w:sz w:val="24"/>
          <w:szCs w:val="24"/>
          <w:lang w:val="es-ES"/>
        </w:rPr>
      </w:pPr>
      <w:r w:rsidRPr="00A93228">
        <w:rPr>
          <w:rFonts w:ascii="Arial" w:hAnsi="Arial" w:cs="Arial"/>
          <w:color w:val="000000" w:themeColor="text1"/>
          <w:sz w:val="24"/>
          <w:szCs w:val="24"/>
          <w:lang w:val="es-ES"/>
        </w:rPr>
        <w:t xml:space="preserve">Los activos acumulados </w:t>
      </w:r>
      <w:r w:rsidR="001C5E68" w:rsidRPr="00A93228">
        <w:rPr>
          <w:rFonts w:ascii="Arial" w:hAnsi="Arial" w:cs="Arial"/>
          <w:color w:val="000000" w:themeColor="text1"/>
          <w:sz w:val="24"/>
          <w:szCs w:val="24"/>
          <w:lang w:val="es-ES"/>
        </w:rPr>
        <w:t xml:space="preserve">también han alcanzado </w:t>
      </w:r>
      <w:r w:rsidR="00D75710" w:rsidRPr="00A93228">
        <w:rPr>
          <w:rFonts w:ascii="Arial" w:hAnsi="Arial" w:cs="Arial"/>
          <w:color w:val="000000" w:themeColor="text1"/>
          <w:sz w:val="24"/>
          <w:szCs w:val="24"/>
          <w:lang w:val="es-ES"/>
        </w:rPr>
        <w:t xml:space="preserve">proporciones significativas con un incremento del 284% entre 2005 y </w:t>
      </w:r>
      <w:r w:rsidR="00D75710" w:rsidRPr="000C09C9">
        <w:rPr>
          <w:rFonts w:ascii="Arial" w:hAnsi="Arial" w:cs="Arial"/>
          <w:color w:val="000000" w:themeColor="text1"/>
          <w:sz w:val="24"/>
          <w:szCs w:val="24"/>
          <w:lang w:val="es-ES"/>
        </w:rPr>
        <w:t>2014</w:t>
      </w:r>
      <w:r w:rsidR="00865D95" w:rsidRPr="000C09C9">
        <w:rPr>
          <w:rFonts w:ascii="Arial" w:hAnsi="Arial" w:cs="Arial"/>
          <w:color w:val="000000" w:themeColor="text1"/>
          <w:sz w:val="24"/>
          <w:szCs w:val="24"/>
          <w:lang w:val="es-ES"/>
        </w:rPr>
        <w:t xml:space="preserve"> </w:t>
      </w:r>
      <w:r w:rsidR="00D75710" w:rsidRPr="000C09C9">
        <w:rPr>
          <w:rFonts w:ascii="Arial" w:hAnsi="Arial" w:cs="Arial"/>
          <w:color w:val="000000" w:themeColor="text1"/>
          <w:sz w:val="24"/>
          <w:szCs w:val="24"/>
          <w:lang w:val="es-ES"/>
        </w:rPr>
        <w:t xml:space="preserve"> </w:t>
      </w:r>
      <w:r w:rsidR="00332D4D" w:rsidRPr="000C09C9">
        <w:rPr>
          <w:rFonts w:ascii="Arial" w:hAnsi="Arial" w:cs="Arial"/>
          <w:color w:val="000000" w:themeColor="text1"/>
          <w:sz w:val="24"/>
          <w:szCs w:val="24"/>
          <w:lang w:val="es-ES"/>
        </w:rPr>
        <w:t>(cuadro 8</w:t>
      </w:r>
      <w:r w:rsidR="00D75710" w:rsidRPr="000C09C9">
        <w:rPr>
          <w:rFonts w:ascii="Arial" w:hAnsi="Arial" w:cs="Arial"/>
          <w:color w:val="000000" w:themeColor="text1"/>
          <w:sz w:val="24"/>
          <w:szCs w:val="24"/>
          <w:lang w:val="es-ES"/>
        </w:rPr>
        <w:t>).</w:t>
      </w:r>
      <w:r w:rsidR="00865D95" w:rsidRPr="00A93228">
        <w:rPr>
          <w:rFonts w:ascii="Arial" w:hAnsi="Arial" w:cs="Arial"/>
          <w:color w:val="000000" w:themeColor="text1"/>
          <w:sz w:val="24"/>
          <w:szCs w:val="24"/>
          <w:lang w:val="es-ES"/>
        </w:rPr>
        <w:t xml:space="preserve"> La proporción de los activos de pensiones con el PIB pasó del 6.3% en 2005 a más del 12% en 2014.</w:t>
      </w:r>
      <w:r w:rsidR="009C440E" w:rsidRPr="00A93228">
        <w:rPr>
          <w:rFonts w:ascii="Arial" w:hAnsi="Arial" w:cs="Arial"/>
          <w:color w:val="000000" w:themeColor="text1"/>
          <w:sz w:val="24"/>
          <w:szCs w:val="24"/>
          <w:lang w:val="es-ES"/>
        </w:rPr>
        <w:t xml:space="preserve"> Sin embargo, sobresale que su incremento en los años de la crisis financiera 2009 al 2012 </w:t>
      </w:r>
      <w:r w:rsidR="008444A0" w:rsidRPr="00A93228">
        <w:rPr>
          <w:rFonts w:ascii="Arial" w:hAnsi="Arial" w:cs="Arial"/>
          <w:color w:val="000000" w:themeColor="text1"/>
          <w:sz w:val="24"/>
          <w:szCs w:val="24"/>
          <w:lang w:val="es-ES"/>
        </w:rPr>
        <w:t>fue proporcionalmente menor al de otros años.</w:t>
      </w:r>
      <w:r w:rsidR="00DE0E7E" w:rsidRPr="00A93228">
        <w:rPr>
          <w:rFonts w:ascii="Arial" w:hAnsi="Arial" w:cs="Arial"/>
          <w:color w:val="000000" w:themeColor="text1"/>
          <w:sz w:val="24"/>
          <w:szCs w:val="24"/>
          <w:lang w:val="es-ES"/>
        </w:rPr>
        <w:t xml:space="preserve">  La concentración de los fondos de pensiones también </w:t>
      </w:r>
      <w:r w:rsidR="00DB3969" w:rsidRPr="00A93228">
        <w:rPr>
          <w:rFonts w:ascii="Arial" w:hAnsi="Arial" w:cs="Arial"/>
          <w:color w:val="000000" w:themeColor="text1"/>
          <w:sz w:val="24"/>
          <w:szCs w:val="24"/>
          <w:lang w:val="es-ES"/>
        </w:rPr>
        <w:t>es notable por el hecho de que XXI Banorte, Banamex y Sura mantienen el 57% de los fondos, que si le sumamos los fondos administrados por la AFORE Profuturo GNP este indicador se eleva al 70%.</w:t>
      </w:r>
      <w:r w:rsidR="00B17255" w:rsidRPr="00A93228">
        <w:rPr>
          <w:rFonts w:ascii="Arial" w:hAnsi="Arial" w:cs="Arial"/>
          <w:color w:val="000000" w:themeColor="text1"/>
          <w:sz w:val="24"/>
          <w:szCs w:val="24"/>
          <w:lang w:val="es-ES"/>
        </w:rPr>
        <w:t xml:space="preserve"> En </w:t>
      </w:r>
      <w:r w:rsidR="00B17255" w:rsidRPr="00A93228">
        <w:rPr>
          <w:rFonts w:ascii="Arial" w:hAnsi="Arial" w:cs="Arial"/>
          <w:color w:val="000000" w:themeColor="text1"/>
          <w:sz w:val="24"/>
          <w:szCs w:val="24"/>
          <w:lang w:val="es-ES"/>
        </w:rPr>
        <w:lastRenderedPageBreak/>
        <w:t xml:space="preserve">este sentido, </w:t>
      </w:r>
      <w:r w:rsidR="00003CC0" w:rsidRPr="00A93228">
        <w:rPr>
          <w:rFonts w:ascii="Arial" w:hAnsi="Arial" w:cs="Arial"/>
          <w:color w:val="000000" w:themeColor="text1"/>
          <w:sz w:val="24"/>
          <w:szCs w:val="24"/>
          <w:lang w:val="es-ES"/>
        </w:rPr>
        <w:t>l</w:t>
      </w:r>
      <w:r w:rsidR="00B17255" w:rsidRPr="00A93228">
        <w:rPr>
          <w:rFonts w:ascii="Arial" w:hAnsi="Arial" w:cs="Arial"/>
          <w:color w:val="000000" w:themeColor="text1"/>
          <w:sz w:val="24"/>
          <w:szCs w:val="24"/>
          <w:lang w:val="es-ES"/>
        </w:rPr>
        <w:t xml:space="preserve">as empresas multinacionales manejan el </w:t>
      </w:r>
      <w:r w:rsidR="00003CC0" w:rsidRPr="00A93228">
        <w:rPr>
          <w:rFonts w:ascii="Arial" w:hAnsi="Arial" w:cs="Arial"/>
          <w:color w:val="000000" w:themeColor="text1"/>
          <w:sz w:val="24"/>
          <w:szCs w:val="24"/>
          <w:lang w:val="es-ES"/>
        </w:rPr>
        <w:t>41% del total de fondos de pensiones, mientras que siete administradoras nacionales el 59% restante.</w:t>
      </w:r>
      <w:r w:rsidR="00B17255" w:rsidRPr="00A93228">
        <w:rPr>
          <w:rFonts w:ascii="Arial" w:hAnsi="Arial" w:cs="Arial"/>
          <w:color w:val="000000" w:themeColor="text1"/>
          <w:sz w:val="24"/>
          <w:szCs w:val="24"/>
          <w:lang w:val="es-ES"/>
        </w:rPr>
        <w:t xml:space="preserve"> </w:t>
      </w:r>
      <w:r w:rsidR="00DE0E7E" w:rsidRPr="00A93228">
        <w:rPr>
          <w:rFonts w:ascii="Arial" w:hAnsi="Arial" w:cs="Arial"/>
          <w:color w:val="000000" w:themeColor="text1"/>
          <w:sz w:val="24"/>
          <w:szCs w:val="24"/>
          <w:lang w:val="es-ES"/>
        </w:rPr>
        <w:t xml:space="preserve"> </w:t>
      </w:r>
      <w:r w:rsidR="009C440E" w:rsidRPr="00A93228">
        <w:rPr>
          <w:rFonts w:ascii="Arial" w:hAnsi="Arial" w:cs="Arial"/>
          <w:color w:val="000000" w:themeColor="text1"/>
          <w:sz w:val="24"/>
          <w:szCs w:val="24"/>
          <w:lang w:val="es-ES"/>
        </w:rPr>
        <w:t xml:space="preserve">  </w:t>
      </w:r>
    </w:p>
    <w:p w:rsidR="00796E9A" w:rsidRPr="00A93228" w:rsidRDefault="002935AD" w:rsidP="00143884">
      <w:pPr>
        <w:spacing w:after="0" w:line="480" w:lineRule="auto"/>
        <w:ind w:firstLine="709"/>
        <w:jc w:val="both"/>
        <w:rPr>
          <w:rFonts w:ascii="Arial" w:hAnsi="Arial" w:cs="Arial"/>
          <w:color w:val="000000" w:themeColor="text1"/>
          <w:sz w:val="24"/>
          <w:szCs w:val="24"/>
          <w:lang w:val="es-ES"/>
        </w:rPr>
      </w:pPr>
      <w:r w:rsidRPr="00A93228">
        <w:rPr>
          <w:rFonts w:ascii="Arial" w:hAnsi="Arial" w:cs="Arial"/>
          <w:color w:val="000000" w:themeColor="text1"/>
          <w:sz w:val="24"/>
          <w:szCs w:val="24"/>
          <w:lang w:val="es-ES"/>
        </w:rPr>
        <w:t xml:space="preserve">Para </w:t>
      </w:r>
      <w:r w:rsidR="004A717A" w:rsidRPr="00A93228">
        <w:rPr>
          <w:rFonts w:ascii="Arial" w:hAnsi="Arial" w:cs="Arial"/>
          <w:color w:val="000000" w:themeColor="text1"/>
          <w:sz w:val="24"/>
          <w:szCs w:val="24"/>
          <w:lang w:val="es-ES"/>
        </w:rPr>
        <w:t xml:space="preserve">comprender de mejor manera la dinámica que ha configurado la concentración de los activos de pensiones por parte de las administradoras </w:t>
      </w:r>
      <w:r w:rsidR="006C70ED" w:rsidRPr="00A93228">
        <w:rPr>
          <w:rFonts w:ascii="Arial" w:hAnsi="Arial" w:cs="Arial"/>
          <w:color w:val="000000" w:themeColor="text1"/>
          <w:sz w:val="24"/>
          <w:szCs w:val="24"/>
          <w:lang w:val="es-ES"/>
        </w:rPr>
        <w:t xml:space="preserve">tomamos </w:t>
      </w:r>
      <w:r w:rsidR="004A717A" w:rsidRPr="00A93228">
        <w:rPr>
          <w:rFonts w:ascii="Arial" w:hAnsi="Arial" w:cs="Arial"/>
          <w:color w:val="000000" w:themeColor="text1"/>
          <w:sz w:val="24"/>
          <w:szCs w:val="24"/>
          <w:lang w:val="es-ES"/>
        </w:rPr>
        <w:t>tres variables</w:t>
      </w:r>
      <w:r w:rsidR="006C70ED" w:rsidRPr="00A93228">
        <w:rPr>
          <w:rFonts w:ascii="Arial" w:hAnsi="Arial" w:cs="Arial"/>
          <w:color w:val="000000" w:themeColor="text1"/>
          <w:sz w:val="24"/>
          <w:szCs w:val="24"/>
          <w:lang w:val="es-ES"/>
        </w:rPr>
        <w:t xml:space="preserve"> y la relación entre ellas: el número de cuentas administradas, total de cotizantes y total de activos por AFORE </w:t>
      </w:r>
      <w:r w:rsidR="00332D4D" w:rsidRPr="000C09C9">
        <w:rPr>
          <w:rFonts w:ascii="Arial" w:hAnsi="Arial" w:cs="Arial"/>
          <w:color w:val="000000" w:themeColor="text1"/>
          <w:sz w:val="24"/>
          <w:szCs w:val="24"/>
          <w:lang w:val="es-ES"/>
        </w:rPr>
        <w:t>(cuadro 8</w:t>
      </w:r>
      <w:r w:rsidR="006C70ED" w:rsidRPr="000C09C9">
        <w:rPr>
          <w:rFonts w:ascii="Arial" w:hAnsi="Arial" w:cs="Arial"/>
          <w:color w:val="000000" w:themeColor="text1"/>
          <w:sz w:val="24"/>
          <w:szCs w:val="24"/>
          <w:lang w:val="es-ES"/>
        </w:rPr>
        <w:t>).</w:t>
      </w:r>
      <w:r w:rsidR="006C70ED" w:rsidRPr="00A93228">
        <w:rPr>
          <w:rFonts w:ascii="Arial" w:hAnsi="Arial" w:cs="Arial"/>
          <w:color w:val="000000" w:themeColor="text1"/>
          <w:sz w:val="24"/>
          <w:szCs w:val="24"/>
          <w:lang w:val="es-ES"/>
        </w:rPr>
        <w:t xml:space="preserve"> Los </w:t>
      </w:r>
      <w:r w:rsidR="00866891" w:rsidRPr="00866891">
        <w:rPr>
          <w:rFonts w:ascii="Arial" w:hAnsi="Arial" w:cs="Arial"/>
          <w:color w:val="000000" w:themeColor="text1"/>
          <w:sz w:val="24"/>
          <w:szCs w:val="24"/>
          <w:lang w:val="es-ES"/>
        </w:rPr>
        <w:t>hallazgos</w:t>
      </w:r>
      <w:r w:rsidR="006C70ED" w:rsidRPr="00A93228">
        <w:rPr>
          <w:rFonts w:ascii="Arial" w:hAnsi="Arial" w:cs="Arial"/>
          <w:color w:val="000000" w:themeColor="text1"/>
          <w:sz w:val="24"/>
          <w:szCs w:val="24"/>
          <w:lang w:val="es-ES"/>
        </w:rPr>
        <w:t xml:space="preserve"> son verdaderamente interesantes ya que la cuota de mercado que mantiene una administradora en un rubro podría ser </w:t>
      </w:r>
      <w:r w:rsidR="00796E9A" w:rsidRPr="00A93228">
        <w:rPr>
          <w:rFonts w:ascii="Arial" w:hAnsi="Arial" w:cs="Arial"/>
          <w:color w:val="000000" w:themeColor="text1"/>
          <w:sz w:val="24"/>
          <w:szCs w:val="24"/>
          <w:lang w:val="es-ES"/>
        </w:rPr>
        <w:t>preponderante y en otro poco significativo, es decir, la preponderancia de una administradora varía al asociarla con otra variable. Veamos algunos casos.</w:t>
      </w:r>
    </w:p>
    <w:p w:rsidR="00F2039F" w:rsidRPr="00A93228" w:rsidRDefault="00C0725D" w:rsidP="00143884">
      <w:pPr>
        <w:spacing w:after="0" w:line="480" w:lineRule="auto"/>
        <w:ind w:firstLine="709"/>
        <w:jc w:val="both"/>
        <w:rPr>
          <w:rFonts w:ascii="Arial" w:hAnsi="Arial" w:cs="Arial"/>
          <w:color w:val="000000" w:themeColor="text1"/>
          <w:sz w:val="24"/>
          <w:szCs w:val="24"/>
          <w:lang w:val="es-ES"/>
        </w:rPr>
      </w:pPr>
      <w:r w:rsidRPr="00A93228">
        <w:rPr>
          <w:rFonts w:ascii="Arial" w:hAnsi="Arial" w:cs="Arial"/>
          <w:color w:val="000000" w:themeColor="text1"/>
          <w:sz w:val="24"/>
          <w:szCs w:val="24"/>
          <w:lang w:val="es-ES"/>
        </w:rPr>
        <w:t>Tomemos el caso de AFORE Coppel perteneciente a un grupo comercial pero que se destaca entre todas por incrementar su número de cuentas recibidas a lo largo de 2006-2014. En 2006 ocupaba entre las 22 administradoras registradas el lugar número 15</w:t>
      </w:r>
      <w:r w:rsidR="00F95E60" w:rsidRPr="00A93228">
        <w:rPr>
          <w:rFonts w:ascii="Arial" w:hAnsi="Arial" w:cs="Arial"/>
          <w:color w:val="000000" w:themeColor="text1"/>
          <w:sz w:val="24"/>
          <w:szCs w:val="24"/>
          <w:lang w:val="es-ES"/>
        </w:rPr>
        <w:t xml:space="preserve">, mientras que en 2014 se destacaba por ser la 5° entre 11 administradoras, aunque su consolidación en el mercado la inicia desde el </w:t>
      </w:r>
      <w:r w:rsidR="0071110A" w:rsidRPr="00A93228">
        <w:rPr>
          <w:rFonts w:ascii="Arial" w:hAnsi="Arial" w:cs="Arial"/>
          <w:color w:val="000000" w:themeColor="text1"/>
          <w:sz w:val="24"/>
          <w:szCs w:val="24"/>
          <w:lang w:val="es-ES"/>
        </w:rPr>
        <w:t xml:space="preserve">año </w:t>
      </w:r>
      <w:r w:rsidR="00F95E60" w:rsidRPr="00A93228">
        <w:rPr>
          <w:rFonts w:ascii="Arial" w:hAnsi="Arial" w:cs="Arial"/>
          <w:color w:val="000000" w:themeColor="text1"/>
          <w:sz w:val="24"/>
          <w:szCs w:val="24"/>
          <w:lang w:val="es-ES"/>
        </w:rPr>
        <w:t>2008.</w:t>
      </w:r>
      <w:r w:rsidR="0071110A" w:rsidRPr="00A93228">
        <w:rPr>
          <w:rFonts w:ascii="Arial" w:hAnsi="Arial" w:cs="Arial"/>
          <w:color w:val="000000" w:themeColor="text1"/>
          <w:sz w:val="24"/>
          <w:szCs w:val="24"/>
          <w:lang w:val="es-ES"/>
        </w:rPr>
        <w:t xml:space="preserve"> También se destaca por mantener el segundo mejor promedio entre el número de trabajadores cotizantes y el número de trabajadores afiliados, 39.6%, contra un 29.9% del promedio total de las 11 AFORES. La AFORE que se destaca por arriba de Coppel es Azteca, con un 43.2%. Al analizar los activos totales por AFORE </w:t>
      </w:r>
      <w:r w:rsidR="00774202" w:rsidRPr="00A93228">
        <w:rPr>
          <w:rFonts w:ascii="Arial" w:hAnsi="Arial" w:cs="Arial"/>
          <w:color w:val="000000" w:themeColor="text1"/>
          <w:sz w:val="24"/>
          <w:szCs w:val="24"/>
          <w:lang w:val="es-ES"/>
        </w:rPr>
        <w:t xml:space="preserve">los resultados son significativamente contrastantes </w:t>
      </w:r>
      <w:r w:rsidR="00AF6746" w:rsidRPr="00A93228">
        <w:rPr>
          <w:rFonts w:ascii="Arial" w:hAnsi="Arial" w:cs="Arial"/>
          <w:color w:val="000000" w:themeColor="text1"/>
          <w:sz w:val="24"/>
          <w:szCs w:val="24"/>
          <w:lang w:val="es-ES"/>
        </w:rPr>
        <w:t>ya que Coppel concentra tan solo un 4.2% de los activos totales, su participación es incluso menor al de Invercap que es del 6.3%.</w:t>
      </w:r>
      <w:r w:rsidR="00F2039F" w:rsidRPr="00A93228">
        <w:rPr>
          <w:rFonts w:ascii="Arial" w:hAnsi="Arial" w:cs="Arial"/>
          <w:color w:val="000000" w:themeColor="text1"/>
          <w:sz w:val="24"/>
          <w:szCs w:val="24"/>
          <w:lang w:val="es-ES"/>
        </w:rPr>
        <w:t>ya vimos que cuatro administradoras gestionan el 70% de los fondos de pensiones.</w:t>
      </w:r>
    </w:p>
    <w:p w:rsidR="003A52C4" w:rsidRDefault="003A52C4" w:rsidP="0094683D">
      <w:pPr>
        <w:pStyle w:val="Puesto"/>
        <w:jc w:val="left"/>
        <w:sectPr w:rsidR="003A52C4" w:rsidSect="002639CF">
          <w:pgSz w:w="12240" w:h="15840"/>
          <w:pgMar w:top="1417" w:right="1701" w:bottom="1417" w:left="1701" w:header="708" w:footer="708" w:gutter="0"/>
          <w:cols w:space="708"/>
          <w:docGrid w:linePitch="360"/>
        </w:sectPr>
      </w:pPr>
    </w:p>
    <w:p w:rsidR="00E56FDA" w:rsidRPr="00B30A69" w:rsidRDefault="00CC3D48" w:rsidP="00CC3D48">
      <w:pPr>
        <w:pStyle w:val="Puesto"/>
      </w:pPr>
      <w:bookmarkStart w:id="90" w:name="_Toc402963905"/>
      <w:r>
        <w:lastRenderedPageBreak/>
        <w:t xml:space="preserve">Cuadro </w:t>
      </w:r>
      <w:r w:rsidR="009E6570">
        <w:fldChar w:fldCharType="begin"/>
      </w:r>
      <w:r w:rsidR="009E6570">
        <w:instrText xml:space="preserve"> SEQ Cuadro \* ARABIC </w:instrText>
      </w:r>
      <w:r w:rsidR="009E6570">
        <w:fldChar w:fldCharType="separate"/>
      </w:r>
      <w:r>
        <w:rPr>
          <w:noProof/>
        </w:rPr>
        <w:t>8</w:t>
      </w:r>
      <w:r w:rsidR="009E6570">
        <w:rPr>
          <w:noProof/>
        </w:rPr>
        <w:fldChar w:fldCharType="end"/>
      </w:r>
      <w:r w:rsidR="00702451">
        <w:t xml:space="preserve">. </w:t>
      </w:r>
      <w:r w:rsidR="00B30A69" w:rsidRPr="00152B6F">
        <w:t xml:space="preserve"> </w:t>
      </w:r>
      <w:r w:rsidR="00B30A69" w:rsidRPr="00152B6F">
        <w:rPr>
          <w:lang w:val="es-ES"/>
        </w:rPr>
        <w:t>Número de cuentas administradas, cotizantes permanentes y total de a</w:t>
      </w:r>
      <w:r w:rsidR="00152B6F" w:rsidRPr="00152B6F">
        <w:rPr>
          <w:lang w:val="es-ES"/>
        </w:rPr>
        <w:t>ctivos, por AFORE (2005</w:t>
      </w:r>
      <w:r w:rsidR="00E56FDA" w:rsidRPr="00152B6F">
        <w:rPr>
          <w:lang w:val="es-ES"/>
        </w:rPr>
        <w:t>-2014)</w:t>
      </w:r>
      <w:bookmarkEnd w:id="90"/>
    </w:p>
    <w:tbl>
      <w:tblPr>
        <w:tblW w:w="12360" w:type="dxa"/>
        <w:jc w:val="center"/>
        <w:tblCellMar>
          <w:left w:w="70" w:type="dxa"/>
          <w:right w:w="70" w:type="dxa"/>
        </w:tblCellMar>
        <w:tblLook w:val="04A0" w:firstRow="1" w:lastRow="0" w:firstColumn="1" w:lastColumn="0" w:noHBand="0" w:noVBand="1"/>
      </w:tblPr>
      <w:tblGrid>
        <w:gridCol w:w="1540"/>
        <w:gridCol w:w="1391"/>
        <w:gridCol w:w="1271"/>
        <w:gridCol w:w="940"/>
        <w:gridCol w:w="1391"/>
        <w:gridCol w:w="1271"/>
        <w:gridCol w:w="1040"/>
        <w:gridCol w:w="1391"/>
        <w:gridCol w:w="1271"/>
        <w:gridCol w:w="1060"/>
      </w:tblGrid>
      <w:tr w:rsidR="00152B6F" w:rsidRPr="005E070F" w:rsidTr="00C627CD">
        <w:trPr>
          <w:trHeight w:val="300"/>
          <w:jc w:val="center"/>
        </w:trPr>
        <w:tc>
          <w:tcPr>
            <w:tcW w:w="1540" w:type="dxa"/>
            <w:vMerge w:val="restart"/>
            <w:tcBorders>
              <w:top w:val="single" w:sz="8" w:space="0" w:color="FFFFFF"/>
              <w:left w:val="single" w:sz="8" w:space="0" w:color="FFFFFF"/>
              <w:bottom w:val="single" w:sz="4" w:space="0" w:color="E4E3E3"/>
              <w:right w:val="single" w:sz="12" w:space="0" w:color="FFFFFF"/>
            </w:tcBorders>
            <w:shd w:val="clear" w:color="000000" w:fill="1D1B10"/>
            <w:noWrap/>
            <w:vAlign w:val="center"/>
            <w:hideMark/>
          </w:tcPr>
          <w:p w:rsidR="00152B6F" w:rsidRPr="005E070F" w:rsidRDefault="00152B6F" w:rsidP="00C627CD">
            <w:pPr>
              <w:spacing w:after="0" w:line="240" w:lineRule="auto"/>
              <w:jc w:val="center"/>
              <w:rPr>
                <w:rFonts w:ascii="Arial" w:eastAsia="Times New Roman" w:hAnsi="Arial" w:cs="Arial"/>
                <w:b/>
                <w:bCs/>
                <w:color w:val="FFFFFF"/>
                <w:sz w:val="18"/>
                <w:szCs w:val="18"/>
                <w:lang w:eastAsia="es-MX"/>
              </w:rPr>
            </w:pPr>
            <w:r w:rsidRPr="005E070F">
              <w:rPr>
                <w:rFonts w:ascii="Arial" w:eastAsia="Times New Roman" w:hAnsi="Arial" w:cs="Arial"/>
                <w:b/>
                <w:bCs/>
                <w:color w:val="FFFFFF"/>
                <w:sz w:val="18"/>
                <w:szCs w:val="18"/>
                <w:lang w:eastAsia="es-MX"/>
              </w:rPr>
              <w:t>Afore</w:t>
            </w:r>
          </w:p>
        </w:tc>
        <w:tc>
          <w:tcPr>
            <w:tcW w:w="1360" w:type="dxa"/>
            <w:tcBorders>
              <w:top w:val="single" w:sz="8" w:space="0" w:color="FFFFFF"/>
              <w:left w:val="nil"/>
              <w:bottom w:val="single" w:sz="12" w:space="0" w:color="FFFFFF"/>
              <w:right w:val="single" w:sz="8" w:space="0" w:color="FFFFFF"/>
            </w:tcBorders>
            <w:shd w:val="clear" w:color="000000" w:fill="1D1B10"/>
            <w:vAlign w:val="center"/>
            <w:hideMark/>
          </w:tcPr>
          <w:p w:rsidR="00152B6F" w:rsidRPr="005E070F" w:rsidRDefault="00152B6F" w:rsidP="00C627CD">
            <w:pPr>
              <w:spacing w:after="0" w:line="240" w:lineRule="auto"/>
              <w:jc w:val="center"/>
              <w:rPr>
                <w:rFonts w:ascii="Arial" w:eastAsia="Times New Roman" w:hAnsi="Arial" w:cs="Arial"/>
                <w:b/>
                <w:bCs/>
                <w:color w:val="FFFFFF"/>
                <w:sz w:val="18"/>
                <w:szCs w:val="18"/>
                <w:lang w:eastAsia="es-MX"/>
              </w:rPr>
            </w:pPr>
            <w:r w:rsidRPr="005E070F">
              <w:rPr>
                <w:rFonts w:ascii="Arial" w:eastAsia="Times New Roman" w:hAnsi="Arial" w:cs="Arial"/>
                <w:b/>
                <w:bCs/>
                <w:color w:val="FFFFFF"/>
                <w:sz w:val="18"/>
                <w:szCs w:val="18"/>
                <w:lang w:eastAsia="es-MX"/>
              </w:rPr>
              <w:t>2005</w:t>
            </w:r>
          </w:p>
        </w:tc>
        <w:tc>
          <w:tcPr>
            <w:tcW w:w="1240" w:type="dxa"/>
            <w:tcBorders>
              <w:top w:val="single" w:sz="8" w:space="0" w:color="FFFFFF"/>
              <w:left w:val="single" w:sz="12" w:space="0" w:color="FFFFFF"/>
              <w:bottom w:val="single" w:sz="12" w:space="0" w:color="FFFFFF"/>
              <w:right w:val="nil"/>
            </w:tcBorders>
            <w:shd w:val="clear" w:color="000000" w:fill="1D1B10"/>
            <w:vAlign w:val="center"/>
            <w:hideMark/>
          </w:tcPr>
          <w:p w:rsidR="00152B6F" w:rsidRPr="005E070F" w:rsidRDefault="00152B6F" w:rsidP="00C627CD">
            <w:pPr>
              <w:spacing w:after="0" w:line="240" w:lineRule="auto"/>
              <w:jc w:val="center"/>
              <w:rPr>
                <w:rFonts w:ascii="Arial" w:eastAsia="Times New Roman" w:hAnsi="Arial" w:cs="Arial"/>
                <w:b/>
                <w:bCs/>
                <w:color w:val="FFFFFF"/>
                <w:sz w:val="18"/>
                <w:szCs w:val="18"/>
                <w:lang w:eastAsia="es-MX"/>
              </w:rPr>
            </w:pPr>
            <w:r w:rsidRPr="005E070F">
              <w:rPr>
                <w:rFonts w:ascii="Arial" w:eastAsia="Times New Roman" w:hAnsi="Arial" w:cs="Arial"/>
                <w:b/>
                <w:bCs/>
                <w:color w:val="FFFFFF"/>
                <w:sz w:val="18"/>
                <w:szCs w:val="18"/>
                <w:lang w:eastAsia="es-MX"/>
              </w:rPr>
              <w:t>2005</w:t>
            </w:r>
          </w:p>
        </w:tc>
        <w:tc>
          <w:tcPr>
            <w:tcW w:w="940" w:type="dxa"/>
            <w:tcBorders>
              <w:top w:val="single" w:sz="8" w:space="0" w:color="FFFFFF"/>
              <w:left w:val="single" w:sz="12" w:space="0" w:color="FFFFFF"/>
              <w:bottom w:val="single" w:sz="12" w:space="0" w:color="FFFFFF"/>
              <w:right w:val="single" w:sz="8" w:space="0" w:color="FFFFFF"/>
            </w:tcBorders>
            <w:shd w:val="clear" w:color="000000" w:fill="1D1B10"/>
            <w:vAlign w:val="center"/>
            <w:hideMark/>
          </w:tcPr>
          <w:p w:rsidR="00152B6F" w:rsidRPr="005E070F" w:rsidRDefault="00152B6F" w:rsidP="00C627CD">
            <w:pPr>
              <w:spacing w:after="0" w:line="240" w:lineRule="auto"/>
              <w:jc w:val="center"/>
              <w:rPr>
                <w:rFonts w:ascii="Arial" w:eastAsia="Times New Roman" w:hAnsi="Arial" w:cs="Arial"/>
                <w:b/>
                <w:bCs/>
                <w:color w:val="FFFFFF"/>
                <w:sz w:val="18"/>
                <w:szCs w:val="18"/>
                <w:lang w:eastAsia="es-MX"/>
              </w:rPr>
            </w:pPr>
            <w:r w:rsidRPr="005E070F">
              <w:rPr>
                <w:rFonts w:ascii="Arial" w:eastAsia="Times New Roman" w:hAnsi="Arial" w:cs="Arial"/>
                <w:b/>
                <w:bCs/>
                <w:color w:val="FFFFFF"/>
                <w:sz w:val="18"/>
                <w:szCs w:val="18"/>
                <w:lang w:eastAsia="es-MX"/>
              </w:rPr>
              <w:t>2005</w:t>
            </w:r>
          </w:p>
        </w:tc>
        <w:tc>
          <w:tcPr>
            <w:tcW w:w="1320" w:type="dxa"/>
            <w:tcBorders>
              <w:top w:val="single" w:sz="8" w:space="0" w:color="FFFFFF"/>
              <w:left w:val="single" w:sz="12" w:space="0" w:color="FFFFFF"/>
              <w:bottom w:val="single" w:sz="12" w:space="0" w:color="FFFFFF"/>
              <w:right w:val="single" w:sz="8" w:space="0" w:color="FFFFFF"/>
            </w:tcBorders>
            <w:shd w:val="clear" w:color="000000" w:fill="1D1B10"/>
            <w:vAlign w:val="center"/>
            <w:hideMark/>
          </w:tcPr>
          <w:p w:rsidR="00152B6F" w:rsidRPr="005E070F" w:rsidRDefault="00152B6F" w:rsidP="00C627CD">
            <w:pPr>
              <w:spacing w:after="0" w:line="240" w:lineRule="auto"/>
              <w:jc w:val="center"/>
              <w:rPr>
                <w:rFonts w:ascii="Arial" w:eastAsia="Times New Roman" w:hAnsi="Arial" w:cs="Arial"/>
                <w:b/>
                <w:bCs/>
                <w:color w:val="FFFFFF"/>
                <w:sz w:val="18"/>
                <w:szCs w:val="18"/>
                <w:lang w:eastAsia="es-MX"/>
              </w:rPr>
            </w:pPr>
            <w:r w:rsidRPr="005E070F">
              <w:rPr>
                <w:rFonts w:ascii="Arial" w:eastAsia="Times New Roman" w:hAnsi="Arial" w:cs="Arial"/>
                <w:b/>
                <w:bCs/>
                <w:color w:val="FFFFFF"/>
                <w:sz w:val="18"/>
                <w:szCs w:val="18"/>
                <w:lang w:eastAsia="es-MX"/>
              </w:rPr>
              <w:t>2010</w:t>
            </w:r>
          </w:p>
        </w:tc>
        <w:tc>
          <w:tcPr>
            <w:tcW w:w="1240" w:type="dxa"/>
            <w:tcBorders>
              <w:top w:val="single" w:sz="8" w:space="0" w:color="FFFFFF"/>
              <w:left w:val="single" w:sz="12" w:space="0" w:color="FFFFFF"/>
              <w:bottom w:val="single" w:sz="12" w:space="0" w:color="FFFFFF"/>
              <w:right w:val="single" w:sz="8" w:space="0" w:color="FFFFFF"/>
            </w:tcBorders>
            <w:shd w:val="clear" w:color="000000" w:fill="1D1B10"/>
            <w:vAlign w:val="center"/>
            <w:hideMark/>
          </w:tcPr>
          <w:p w:rsidR="00152B6F" w:rsidRPr="005E070F" w:rsidRDefault="00152B6F" w:rsidP="00C627CD">
            <w:pPr>
              <w:spacing w:after="0" w:line="240" w:lineRule="auto"/>
              <w:jc w:val="center"/>
              <w:rPr>
                <w:rFonts w:ascii="Arial" w:eastAsia="Times New Roman" w:hAnsi="Arial" w:cs="Arial"/>
                <w:b/>
                <w:bCs/>
                <w:color w:val="FFFFFF"/>
                <w:sz w:val="18"/>
                <w:szCs w:val="18"/>
                <w:lang w:eastAsia="es-MX"/>
              </w:rPr>
            </w:pPr>
            <w:r w:rsidRPr="005E070F">
              <w:rPr>
                <w:rFonts w:ascii="Arial" w:eastAsia="Times New Roman" w:hAnsi="Arial" w:cs="Arial"/>
                <w:b/>
                <w:bCs/>
                <w:color w:val="FFFFFF"/>
                <w:sz w:val="18"/>
                <w:szCs w:val="18"/>
                <w:lang w:eastAsia="es-MX"/>
              </w:rPr>
              <w:t>2010</w:t>
            </w:r>
          </w:p>
        </w:tc>
        <w:tc>
          <w:tcPr>
            <w:tcW w:w="1040" w:type="dxa"/>
            <w:tcBorders>
              <w:top w:val="single" w:sz="8" w:space="0" w:color="FFFFFF"/>
              <w:left w:val="single" w:sz="12" w:space="0" w:color="FFFFFF"/>
              <w:bottom w:val="single" w:sz="12" w:space="0" w:color="FFFFFF"/>
              <w:right w:val="single" w:sz="8" w:space="0" w:color="FFFFFF"/>
            </w:tcBorders>
            <w:shd w:val="clear" w:color="000000" w:fill="1D1B10"/>
            <w:vAlign w:val="center"/>
            <w:hideMark/>
          </w:tcPr>
          <w:p w:rsidR="00152B6F" w:rsidRPr="005E070F" w:rsidRDefault="00152B6F" w:rsidP="00C627CD">
            <w:pPr>
              <w:spacing w:after="0" w:line="240" w:lineRule="auto"/>
              <w:jc w:val="center"/>
              <w:rPr>
                <w:rFonts w:ascii="Arial" w:eastAsia="Times New Roman" w:hAnsi="Arial" w:cs="Arial"/>
                <w:b/>
                <w:bCs/>
                <w:color w:val="FFFFFF"/>
                <w:sz w:val="18"/>
                <w:szCs w:val="18"/>
                <w:lang w:eastAsia="es-MX"/>
              </w:rPr>
            </w:pPr>
            <w:r w:rsidRPr="005E070F">
              <w:rPr>
                <w:rFonts w:ascii="Arial" w:eastAsia="Times New Roman" w:hAnsi="Arial" w:cs="Arial"/>
                <w:b/>
                <w:bCs/>
                <w:color w:val="FFFFFF"/>
                <w:sz w:val="18"/>
                <w:szCs w:val="18"/>
                <w:lang w:eastAsia="es-MX"/>
              </w:rPr>
              <w:t>2010</w:t>
            </w:r>
          </w:p>
        </w:tc>
        <w:tc>
          <w:tcPr>
            <w:tcW w:w="1380" w:type="dxa"/>
            <w:tcBorders>
              <w:top w:val="single" w:sz="8" w:space="0" w:color="FFFFFF"/>
              <w:left w:val="single" w:sz="12" w:space="0" w:color="FFFFFF"/>
              <w:bottom w:val="single" w:sz="12" w:space="0" w:color="FFFFFF"/>
              <w:right w:val="single" w:sz="8" w:space="0" w:color="FFFFFF"/>
            </w:tcBorders>
            <w:shd w:val="clear" w:color="000000" w:fill="1D1B10"/>
            <w:vAlign w:val="center"/>
            <w:hideMark/>
          </w:tcPr>
          <w:p w:rsidR="00152B6F" w:rsidRPr="005E070F" w:rsidRDefault="00152B6F" w:rsidP="00C627CD">
            <w:pPr>
              <w:spacing w:after="0" w:line="240" w:lineRule="auto"/>
              <w:jc w:val="center"/>
              <w:rPr>
                <w:rFonts w:ascii="Arial" w:eastAsia="Times New Roman" w:hAnsi="Arial" w:cs="Arial"/>
                <w:b/>
                <w:bCs/>
                <w:color w:val="FFFFFF"/>
                <w:sz w:val="18"/>
                <w:szCs w:val="18"/>
                <w:lang w:eastAsia="es-MX"/>
              </w:rPr>
            </w:pPr>
            <w:r w:rsidRPr="005E070F">
              <w:rPr>
                <w:rFonts w:ascii="Arial" w:eastAsia="Times New Roman" w:hAnsi="Arial" w:cs="Arial"/>
                <w:b/>
                <w:bCs/>
                <w:color w:val="FFFFFF"/>
                <w:sz w:val="18"/>
                <w:szCs w:val="18"/>
                <w:lang w:eastAsia="es-MX"/>
              </w:rPr>
              <w:t>Jun-2014</w:t>
            </w:r>
          </w:p>
        </w:tc>
        <w:tc>
          <w:tcPr>
            <w:tcW w:w="1240" w:type="dxa"/>
            <w:tcBorders>
              <w:top w:val="single" w:sz="8" w:space="0" w:color="FFFFFF"/>
              <w:left w:val="single" w:sz="12" w:space="0" w:color="FFFFFF"/>
              <w:bottom w:val="single" w:sz="12" w:space="0" w:color="FFFFFF"/>
              <w:right w:val="single" w:sz="8" w:space="0" w:color="FFFFFF"/>
            </w:tcBorders>
            <w:shd w:val="clear" w:color="000000" w:fill="1D1B10"/>
            <w:vAlign w:val="center"/>
            <w:hideMark/>
          </w:tcPr>
          <w:p w:rsidR="00152B6F" w:rsidRPr="005E070F" w:rsidRDefault="00152B6F" w:rsidP="00C627CD">
            <w:pPr>
              <w:spacing w:after="0" w:line="240" w:lineRule="auto"/>
              <w:jc w:val="center"/>
              <w:rPr>
                <w:rFonts w:ascii="Arial" w:eastAsia="Times New Roman" w:hAnsi="Arial" w:cs="Arial"/>
                <w:b/>
                <w:bCs/>
                <w:color w:val="FFFFFF"/>
                <w:sz w:val="18"/>
                <w:szCs w:val="18"/>
                <w:lang w:eastAsia="es-MX"/>
              </w:rPr>
            </w:pPr>
            <w:r w:rsidRPr="005E070F">
              <w:rPr>
                <w:rFonts w:ascii="Arial" w:eastAsia="Times New Roman" w:hAnsi="Arial" w:cs="Arial"/>
                <w:b/>
                <w:bCs/>
                <w:color w:val="FFFFFF"/>
                <w:sz w:val="18"/>
                <w:szCs w:val="18"/>
                <w:lang w:eastAsia="es-MX"/>
              </w:rPr>
              <w:t>Jun-2014</w:t>
            </w:r>
          </w:p>
        </w:tc>
        <w:tc>
          <w:tcPr>
            <w:tcW w:w="1060" w:type="dxa"/>
            <w:tcBorders>
              <w:top w:val="single" w:sz="8" w:space="0" w:color="FFFFFF"/>
              <w:left w:val="single" w:sz="12" w:space="0" w:color="FFFFFF"/>
              <w:bottom w:val="single" w:sz="12" w:space="0" w:color="FFFFFF"/>
              <w:right w:val="single" w:sz="8" w:space="0" w:color="FFFFFF"/>
            </w:tcBorders>
            <w:shd w:val="clear" w:color="000000" w:fill="1D1B10"/>
            <w:vAlign w:val="center"/>
            <w:hideMark/>
          </w:tcPr>
          <w:p w:rsidR="00152B6F" w:rsidRPr="005E070F" w:rsidRDefault="00152B6F" w:rsidP="00C627CD">
            <w:pPr>
              <w:spacing w:after="0" w:line="240" w:lineRule="auto"/>
              <w:jc w:val="center"/>
              <w:rPr>
                <w:rFonts w:ascii="Arial" w:eastAsia="Times New Roman" w:hAnsi="Arial" w:cs="Arial"/>
                <w:b/>
                <w:bCs/>
                <w:color w:val="FFFFFF"/>
                <w:sz w:val="18"/>
                <w:szCs w:val="18"/>
                <w:lang w:eastAsia="es-MX"/>
              </w:rPr>
            </w:pPr>
            <w:r w:rsidRPr="005E070F">
              <w:rPr>
                <w:rFonts w:ascii="Arial" w:eastAsia="Times New Roman" w:hAnsi="Arial" w:cs="Arial"/>
                <w:b/>
                <w:bCs/>
                <w:color w:val="FFFFFF"/>
                <w:sz w:val="18"/>
                <w:szCs w:val="18"/>
                <w:lang w:eastAsia="es-MX"/>
              </w:rPr>
              <w:t>Jun-2014</w:t>
            </w:r>
          </w:p>
        </w:tc>
      </w:tr>
      <w:tr w:rsidR="00152B6F" w:rsidRPr="005E070F" w:rsidTr="00C627CD">
        <w:trPr>
          <w:trHeight w:val="870"/>
          <w:jc w:val="center"/>
        </w:trPr>
        <w:tc>
          <w:tcPr>
            <w:tcW w:w="1540" w:type="dxa"/>
            <w:vMerge/>
            <w:tcBorders>
              <w:top w:val="single" w:sz="8" w:space="0" w:color="FFFFFF"/>
              <w:left w:val="single" w:sz="8" w:space="0" w:color="FFFFFF"/>
              <w:bottom w:val="single" w:sz="4" w:space="0" w:color="E4E3E3"/>
              <w:right w:val="single" w:sz="12" w:space="0" w:color="FFFFFF"/>
            </w:tcBorders>
            <w:vAlign w:val="center"/>
            <w:hideMark/>
          </w:tcPr>
          <w:p w:rsidR="00152B6F" w:rsidRPr="005E070F" w:rsidRDefault="00152B6F" w:rsidP="00C627CD">
            <w:pPr>
              <w:spacing w:after="0" w:line="240" w:lineRule="auto"/>
              <w:rPr>
                <w:rFonts w:ascii="Arial" w:eastAsia="Times New Roman" w:hAnsi="Arial" w:cs="Arial"/>
                <w:b/>
                <w:bCs/>
                <w:color w:val="FFFFFF"/>
                <w:sz w:val="18"/>
                <w:szCs w:val="18"/>
                <w:lang w:eastAsia="es-MX"/>
              </w:rPr>
            </w:pPr>
          </w:p>
        </w:tc>
        <w:tc>
          <w:tcPr>
            <w:tcW w:w="1360" w:type="dxa"/>
            <w:tcBorders>
              <w:top w:val="single" w:sz="8" w:space="0" w:color="FFFFFF"/>
              <w:left w:val="nil"/>
              <w:bottom w:val="single" w:sz="12" w:space="0" w:color="FFFFFF"/>
              <w:right w:val="single" w:sz="8" w:space="0" w:color="FFFFFF"/>
            </w:tcBorders>
            <w:shd w:val="clear" w:color="000000" w:fill="1D1B10"/>
            <w:vAlign w:val="center"/>
            <w:hideMark/>
          </w:tcPr>
          <w:p w:rsidR="00152B6F" w:rsidRPr="005E070F" w:rsidRDefault="00152B6F" w:rsidP="00B92DB5">
            <w:pPr>
              <w:spacing w:after="0" w:line="240" w:lineRule="auto"/>
              <w:jc w:val="center"/>
              <w:rPr>
                <w:rFonts w:ascii="Arial" w:eastAsia="Times New Roman" w:hAnsi="Arial" w:cs="Arial"/>
                <w:b/>
                <w:bCs/>
                <w:color w:val="FFFFFF"/>
                <w:sz w:val="18"/>
                <w:szCs w:val="18"/>
                <w:lang w:eastAsia="es-MX"/>
              </w:rPr>
            </w:pPr>
            <w:r w:rsidRPr="005E070F">
              <w:rPr>
                <w:rFonts w:ascii="Arial" w:eastAsia="Times New Roman" w:hAnsi="Arial" w:cs="Arial"/>
                <w:b/>
                <w:bCs/>
                <w:color w:val="FFFFFF"/>
                <w:sz w:val="18"/>
                <w:szCs w:val="18"/>
                <w:lang w:eastAsia="es-MX"/>
              </w:rPr>
              <w:t xml:space="preserve">Total </w:t>
            </w:r>
            <w:r w:rsidR="00B92DB5">
              <w:rPr>
                <w:rFonts w:ascii="Arial" w:eastAsia="Times New Roman" w:hAnsi="Arial" w:cs="Arial"/>
                <w:b/>
                <w:bCs/>
                <w:color w:val="FFFFFF"/>
                <w:sz w:val="18"/>
                <w:szCs w:val="18"/>
                <w:lang w:eastAsia="es-MX"/>
              </w:rPr>
              <w:t xml:space="preserve">de </w:t>
            </w:r>
            <w:r w:rsidRPr="005E070F">
              <w:rPr>
                <w:rFonts w:ascii="Arial" w:eastAsia="Times New Roman" w:hAnsi="Arial" w:cs="Arial"/>
                <w:b/>
                <w:bCs/>
                <w:color w:val="FFFFFF"/>
                <w:sz w:val="18"/>
                <w:szCs w:val="18"/>
                <w:lang w:eastAsia="es-MX"/>
              </w:rPr>
              <w:t>C</w:t>
            </w:r>
            <w:r w:rsidR="00B92DB5">
              <w:rPr>
                <w:rFonts w:ascii="Arial" w:eastAsia="Times New Roman" w:hAnsi="Arial" w:cs="Arial"/>
                <w:b/>
                <w:bCs/>
                <w:color w:val="FFFFFF"/>
                <w:sz w:val="18"/>
                <w:szCs w:val="18"/>
                <w:lang w:eastAsia="es-MX"/>
              </w:rPr>
              <w:t>uen</w:t>
            </w:r>
            <w:r w:rsidRPr="005E070F">
              <w:rPr>
                <w:rFonts w:ascii="Arial" w:eastAsia="Times New Roman" w:hAnsi="Arial" w:cs="Arial"/>
                <w:b/>
                <w:bCs/>
                <w:color w:val="FFFFFF"/>
                <w:sz w:val="18"/>
                <w:szCs w:val="18"/>
                <w:lang w:eastAsia="es-MX"/>
              </w:rPr>
              <w:t>tas Administradas</w:t>
            </w:r>
          </w:p>
        </w:tc>
        <w:tc>
          <w:tcPr>
            <w:tcW w:w="1240" w:type="dxa"/>
            <w:tcBorders>
              <w:top w:val="nil"/>
              <w:left w:val="single" w:sz="12" w:space="0" w:color="FFFFFF"/>
              <w:bottom w:val="single" w:sz="12" w:space="0" w:color="FFFFFF"/>
              <w:right w:val="nil"/>
            </w:tcBorders>
            <w:shd w:val="clear" w:color="000000" w:fill="1D1B10"/>
            <w:vAlign w:val="center"/>
            <w:hideMark/>
          </w:tcPr>
          <w:p w:rsidR="00152B6F" w:rsidRPr="005E070F" w:rsidRDefault="00152B6F" w:rsidP="00C627CD">
            <w:pPr>
              <w:spacing w:after="0" w:line="240" w:lineRule="auto"/>
              <w:jc w:val="center"/>
              <w:rPr>
                <w:rFonts w:ascii="Arial" w:eastAsia="Times New Roman" w:hAnsi="Arial" w:cs="Arial"/>
                <w:b/>
                <w:bCs/>
                <w:color w:val="FFFFFF"/>
                <w:sz w:val="18"/>
                <w:szCs w:val="18"/>
                <w:lang w:eastAsia="es-MX"/>
              </w:rPr>
            </w:pPr>
            <w:r w:rsidRPr="005E070F">
              <w:rPr>
                <w:rFonts w:ascii="Arial" w:eastAsia="Times New Roman" w:hAnsi="Arial" w:cs="Arial"/>
                <w:b/>
                <w:bCs/>
                <w:color w:val="FFFFFF"/>
                <w:sz w:val="18"/>
                <w:szCs w:val="18"/>
                <w:lang w:eastAsia="es-MX"/>
              </w:rPr>
              <w:t>Cotizantes Permanentes</w:t>
            </w:r>
          </w:p>
        </w:tc>
        <w:tc>
          <w:tcPr>
            <w:tcW w:w="940" w:type="dxa"/>
            <w:tcBorders>
              <w:top w:val="single" w:sz="8" w:space="0" w:color="FFFFFF"/>
              <w:left w:val="single" w:sz="12" w:space="0" w:color="FFFFFF"/>
              <w:bottom w:val="single" w:sz="12" w:space="0" w:color="FFFFFF"/>
              <w:right w:val="single" w:sz="8" w:space="0" w:color="FFFFFF"/>
            </w:tcBorders>
            <w:shd w:val="clear" w:color="000000" w:fill="1D1B10"/>
            <w:vAlign w:val="center"/>
            <w:hideMark/>
          </w:tcPr>
          <w:p w:rsidR="00152B6F" w:rsidRPr="005E070F" w:rsidRDefault="00152B6F" w:rsidP="00C627CD">
            <w:pPr>
              <w:spacing w:after="0" w:line="240" w:lineRule="auto"/>
              <w:jc w:val="center"/>
              <w:rPr>
                <w:rFonts w:ascii="Arial" w:eastAsia="Times New Roman" w:hAnsi="Arial" w:cs="Arial"/>
                <w:b/>
                <w:bCs/>
                <w:color w:val="FFFFFF"/>
                <w:sz w:val="18"/>
                <w:szCs w:val="18"/>
                <w:lang w:eastAsia="es-MX"/>
              </w:rPr>
            </w:pPr>
            <w:r w:rsidRPr="005E070F">
              <w:rPr>
                <w:rFonts w:ascii="Arial" w:eastAsia="Times New Roman" w:hAnsi="Arial" w:cs="Arial"/>
                <w:b/>
                <w:bCs/>
                <w:color w:val="FFFFFF"/>
                <w:sz w:val="18"/>
                <w:szCs w:val="18"/>
                <w:lang w:eastAsia="es-MX"/>
              </w:rPr>
              <w:t>Activos (millones de pesos)</w:t>
            </w:r>
          </w:p>
        </w:tc>
        <w:tc>
          <w:tcPr>
            <w:tcW w:w="1320" w:type="dxa"/>
            <w:tcBorders>
              <w:top w:val="single" w:sz="8" w:space="0" w:color="FFFFFF"/>
              <w:left w:val="single" w:sz="12" w:space="0" w:color="FFFFFF"/>
              <w:bottom w:val="single" w:sz="12" w:space="0" w:color="FFFFFF"/>
              <w:right w:val="single" w:sz="8" w:space="0" w:color="FFFFFF"/>
            </w:tcBorders>
            <w:shd w:val="clear" w:color="000000" w:fill="1D1B10"/>
            <w:vAlign w:val="center"/>
            <w:hideMark/>
          </w:tcPr>
          <w:p w:rsidR="00152B6F" w:rsidRPr="005E070F" w:rsidRDefault="00B92DB5" w:rsidP="00B92DB5">
            <w:pPr>
              <w:spacing w:after="0" w:line="240" w:lineRule="auto"/>
              <w:jc w:val="center"/>
              <w:rPr>
                <w:rFonts w:ascii="Arial" w:eastAsia="Times New Roman" w:hAnsi="Arial" w:cs="Arial"/>
                <w:b/>
                <w:bCs/>
                <w:color w:val="FFFFFF"/>
                <w:sz w:val="18"/>
                <w:szCs w:val="18"/>
                <w:lang w:eastAsia="es-MX"/>
              </w:rPr>
            </w:pPr>
            <w:r>
              <w:rPr>
                <w:rFonts w:ascii="Arial" w:eastAsia="Times New Roman" w:hAnsi="Arial" w:cs="Arial"/>
                <w:b/>
                <w:bCs/>
                <w:color w:val="FFFFFF"/>
                <w:sz w:val="18"/>
                <w:szCs w:val="18"/>
                <w:lang w:eastAsia="es-MX"/>
              </w:rPr>
              <w:t>Total de Cuentas</w:t>
            </w:r>
            <w:r w:rsidR="00152B6F" w:rsidRPr="005E070F">
              <w:rPr>
                <w:rFonts w:ascii="Arial" w:eastAsia="Times New Roman" w:hAnsi="Arial" w:cs="Arial"/>
                <w:b/>
                <w:bCs/>
                <w:color w:val="FFFFFF"/>
                <w:sz w:val="18"/>
                <w:szCs w:val="18"/>
                <w:lang w:eastAsia="es-MX"/>
              </w:rPr>
              <w:t xml:space="preserve"> Administradas</w:t>
            </w:r>
          </w:p>
        </w:tc>
        <w:tc>
          <w:tcPr>
            <w:tcW w:w="1240" w:type="dxa"/>
            <w:tcBorders>
              <w:top w:val="single" w:sz="8" w:space="0" w:color="FFFFFF"/>
              <w:left w:val="single" w:sz="12" w:space="0" w:color="FFFFFF"/>
              <w:bottom w:val="single" w:sz="12" w:space="0" w:color="FFFFFF"/>
              <w:right w:val="single" w:sz="8" w:space="0" w:color="FFFFFF"/>
            </w:tcBorders>
            <w:shd w:val="clear" w:color="000000" w:fill="1D1B10"/>
            <w:vAlign w:val="center"/>
            <w:hideMark/>
          </w:tcPr>
          <w:p w:rsidR="00152B6F" w:rsidRPr="005E070F" w:rsidRDefault="00152B6F" w:rsidP="00C627CD">
            <w:pPr>
              <w:spacing w:after="0" w:line="240" w:lineRule="auto"/>
              <w:jc w:val="center"/>
              <w:rPr>
                <w:rFonts w:ascii="Arial" w:eastAsia="Times New Roman" w:hAnsi="Arial" w:cs="Arial"/>
                <w:b/>
                <w:bCs/>
                <w:color w:val="FFFFFF"/>
                <w:sz w:val="18"/>
                <w:szCs w:val="18"/>
                <w:lang w:eastAsia="es-MX"/>
              </w:rPr>
            </w:pPr>
            <w:r w:rsidRPr="005E070F">
              <w:rPr>
                <w:rFonts w:ascii="Arial" w:eastAsia="Times New Roman" w:hAnsi="Arial" w:cs="Arial"/>
                <w:b/>
                <w:bCs/>
                <w:color w:val="FFFFFF"/>
                <w:sz w:val="18"/>
                <w:szCs w:val="18"/>
                <w:lang w:eastAsia="es-MX"/>
              </w:rPr>
              <w:t>Cotizantes Permanentes</w:t>
            </w:r>
          </w:p>
        </w:tc>
        <w:tc>
          <w:tcPr>
            <w:tcW w:w="1040" w:type="dxa"/>
            <w:tcBorders>
              <w:top w:val="single" w:sz="8" w:space="0" w:color="FFFFFF"/>
              <w:left w:val="single" w:sz="12" w:space="0" w:color="FFFFFF"/>
              <w:bottom w:val="single" w:sz="12" w:space="0" w:color="FFFFFF"/>
              <w:right w:val="single" w:sz="8" w:space="0" w:color="FFFFFF"/>
            </w:tcBorders>
            <w:shd w:val="clear" w:color="000000" w:fill="1D1B10"/>
            <w:vAlign w:val="center"/>
            <w:hideMark/>
          </w:tcPr>
          <w:p w:rsidR="00152B6F" w:rsidRPr="005E070F" w:rsidRDefault="00152B6F" w:rsidP="00C627CD">
            <w:pPr>
              <w:spacing w:after="0" w:line="240" w:lineRule="auto"/>
              <w:jc w:val="center"/>
              <w:rPr>
                <w:rFonts w:ascii="Arial" w:eastAsia="Times New Roman" w:hAnsi="Arial" w:cs="Arial"/>
                <w:b/>
                <w:bCs/>
                <w:color w:val="FFFFFF"/>
                <w:sz w:val="18"/>
                <w:szCs w:val="18"/>
                <w:lang w:eastAsia="es-MX"/>
              </w:rPr>
            </w:pPr>
            <w:r w:rsidRPr="005E070F">
              <w:rPr>
                <w:rFonts w:ascii="Arial" w:eastAsia="Times New Roman" w:hAnsi="Arial" w:cs="Arial"/>
                <w:b/>
                <w:bCs/>
                <w:color w:val="FFFFFF"/>
                <w:sz w:val="18"/>
                <w:szCs w:val="18"/>
                <w:lang w:eastAsia="es-MX"/>
              </w:rPr>
              <w:t>Activos (millones de pesos)</w:t>
            </w:r>
          </w:p>
        </w:tc>
        <w:tc>
          <w:tcPr>
            <w:tcW w:w="1380" w:type="dxa"/>
            <w:tcBorders>
              <w:top w:val="single" w:sz="8" w:space="0" w:color="FFFFFF"/>
              <w:left w:val="single" w:sz="12" w:space="0" w:color="FFFFFF"/>
              <w:bottom w:val="single" w:sz="12" w:space="0" w:color="FFFFFF"/>
              <w:right w:val="single" w:sz="8" w:space="0" w:color="FFFFFF"/>
            </w:tcBorders>
            <w:shd w:val="clear" w:color="000000" w:fill="1D1B10"/>
            <w:vAlign w:val="center"/>
            <w:hideMark/>
          </w:tcPr>
          <w:p w:rsidR="00152B6F" w:rsidRPr="005E070F" w:rsidRDefault="00152B6F" w:rsidP="00C627CD">
            <w:pPr>
              <w:spacing w:after="0" w:line="240" w:lineRule="auto"/>
              <w:jc w:val="center"/>
              <w:rPr>
                <w:rFonts w:ascii="Arial" w:eastAsia="Times New Roman" w:hAnsi="Arial" w:cs="Arial"/>
                <w:b/>
                <w:bCs/>
                <w:color w:val="FFFFFF"/>
                <w:sz w:val="18"/>
                <w:szCs w:val="18"/>
                <w:lang w:eastAsia="es-MX"/>
              </w:rPr>
            </w:pPr>
            <w:r w:rsidRPr="005E070F">
              <w:rPr>
                <w:rFonts w:ascii="Arial" w:eastAsia="Times New Roman" w:hAnsi="Arial" w:cs="Arial"/>
                <w:b/>
                <w:bCs/>
                <w:color w:val="FFFFFF"/>
                <w:sz w:val="18"/>
                <w:szCs w:val="18"/>
                <w:lang w:eastAsia="es-MX"/>
              </w:rPr>
              <w:t xml:space="preserve">Total </w:t>
            </w:r>
            <w:r w:rsidR="00B92DB5">
              <w:rPr>
                <w:rFonts w:ascii="Arial" w:eastAsia="Times New Roman" w:hAnsi="Arial" w:cs="Arial"/>
                <w:b/>
                <w:bCs/>
                <w:color w:val="FFFFFF"/>
                <w:sz w:val="18"/>
                <w:szCs w:val="18"/>
                <w:lang w:eastAsia="es-MX"/>
              </w:rPr>
              <w:t xml:space="preserve"> de </w:t>
            </w:r>
            <w:r w:rsidRPr="005E070F">
              <w:rPr>
                <w:rFonts w:ascii="Arial" w:eastAsia="Times New Roman" w:hAnsi="Arial" w:cs="Arial"/>
                <w:b/>
                <w:bCs/>
                <w:color w:val="FFFFFF"/>
                <w:sz w:val="18"/>
                <w:szCs w:val="18"/>
                <w:lang w:eastAsia="es-MX"/>
              </w:rPr>
              <w:t>C</w:t>
            </w:r>
            <w:r w:rsidR="00B92DB5">
              <w:rPr>
                <w:rFonts w:ascii="Arial" w:eastAsia="Times New Roman" w:hAnsi="Arial" w:cs="Arial"/>
                <w:b/>
                <w:bCs/>
                <w:color w:val="FFFFFF"/>
                <w:sz w:val="18"/>
                <w:szCs w:val="18"/>
                <w:lang w:eastAsia="es-MX"/>
              </w:rPr>
              <w:t>uen</w:t>
            </w:r>
            <w:r w:rsidRPr="005E070F">
              <w:rPr>
                <w:rFonts w:ascii="Arial" w:eastAsia="Times New Roman" w:hAnsi="Arial" w:cs="Arial"/>
                <w:b/>
                <w:bCs/>
                <w:color w:val="FFFFFF"/>
                <w:sz w:val="18"/>
                <w:szCs w:val="18"/>
                <w:lang w:eastAsia="es-MX"/>
              </w:rPr>
              <w:t>tas. Administradas</w:t>
            </w:r>
          </w:p>
        </w:tc>
        <w:tc>
          <w:tcPr>
            <w:tcW w:w="1240" w:type="dxa"/>
            <w:tcBorders>
              <w:top w:val="single" w:sz="8" w:space="0" w:color="FFFFFF"/>
              <w:left w:val="single" w:sz="12" w:space="0" w:color="FFFFFF"/>
              <w:bottom w:val="single" w:sz="12" w:space="0" w:color="FFFFFF"/>
              <w:right w:val="single" w:sz="8" w:space="0" w:color="FFFFFF"/>
            </w:tcBorders>
            <w:shd w:val="clear" w:color="000000" w:fill="1D1B10"/>
            <w:vAlign w:val="center"/>
            <w:hideMark/>
          </w:tcPr>
          <w:p w:rsidR="00152B6F" w:rsidRPr="005E070F" w:rsidRDefault="00152B6F" w:rsidP="00C627CD">
            <w:pPr>
              <w:spacing w:after="0" w:line="240" w:lineRule="auto"/>
              <w:jc w:val="center"/>
              <w:rPr>
                <w:rFonts w:ascii="Arial" w:eastAsia="Times New Roman" w:hAnsi="Arial" w:cs="Arial"/>
                <w:b/>
                <w:bCs/>
                <w:color w:val="FFFFFF"/>
                <w:sz w:val="18"/>
                <w:szCs w:val="18"/>
                <w:lang w:eastAsia="es-MX"/>
              </w:rPr>
            </w:pPr>
            <w:r w:rsidRPr="005E070F">
              <w:rPr>
                <w:rFonts w:ascii="Arial" w:eastAsia="Times New Roman" w:hAnsi="Arial" w:cs="Arial"/>
                <w:b/>
                <w:bCs/>
                <w:color w:val="FFFFFF"/>
                <w:sz w:val="18"/>
                <w:szCs w:val="18"/>
                <w:lang w:eastAsia="es-MX"/>
              </w:rPr>
              <w:t>Cotizantes Permanentes</w:t>
            </w:r>
          </w:p>
        </w:tc>
        <w:tc>
          <w:tcPr>
            <w:tcW w:w="1060" w:type="dxa"/>
            <w:tcBorders>
              <w:top w:val="single" w:sz="8" w:space="0" w:color="FFFFFF"/>
              <w:left w:val="single" w:sz="12" w:space="0" w:color="FFFFFF"/>
              <w:bottom w:val="single" w:sz="12" w:space="0" w:color="FFFFFF"/>
              <w:right w:val="single" w:sz="8" w:space="0" w:color="FFFFFF"/>
            </w:tcBorders>
            <w:shd w:val="clear" w:color="000000" w:fill="1D1B10"/>
            <w:vAlign w:val="center"/>
            <w:hideMark/>
          </w:tcPr>
          <w:p w:rsidR="00152B6F" w:rsidRPr="005E070F" w:rsidRDefault="00152B6F" w:rsidP="00C627CD">
            <w:pPr>
              <w:spacing w:after="0" w:line="240" w:lineRule="auto"/>
              <w:jc w:val="center"/>
              <w:rPr>
                <w:rFonts w:ascii="Arial" w:eastAsia="Times New Roman" w:hAnsi="Arial" w:cs="Arial"/>
                <w:b/>
                <w:bCs/>
                <w:color w:val="FFFFFF"/>
                <w:sz w:val="18"/>
                <w:szCs w:val="18"/>
                <w:lang w:eastAsia="es-MX"/>
              </w:rPr>
            </w:pPr>
            <w:r w:rsidRPr="005E070F">
              <w:rPr>
                <w:rFonts w:ascii="Arial" w:eastAsia="Times New Roman" w:hAnsi="Arial" w:cs="Arial"/>
                <w:b/>
                <w:bCs/>
                <w:color w:val="FFFFFF"/>
                <w:sz w:val="18"/>
                <w:szCs w:val="18"/>
                <w:lang w:eastAsia="es-MX"/>
              </w:rPr>
              <w:t>Activos (millones de pesos)</w:t>
            </w:r>
          </w:p>
        </w:tc>
      </w:tr>
      <w:tr w:rsidR="00152B6F" w:rsidRPr="005E070F" w:rsidTr="00C627CD">
        <w:trPr>
          <w:trHeight w:val="270"/>
          <w:jc w:val="center"/>
        </w:trPr>
        <w:tc>
          <w:tcPr>
            <w:tcW w:w="15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Actinver</w:t>
            </w:r>
          </w:p>
        </w:tc>
        <w:tc>
          <w:tcPr>
            <w:tcW w:w="136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1,024,148 </w:t>
            </w:r>
          </w:p>
        </w:tc>
        <w:tc>
          <w:tcPr>
            <w:tcW w:w="12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360,997 </w:t>
            </w:r>
          </w:p>
        </w:tc>
        <w:tc>
          <w:tcPr>
            <w:tcW w:w="9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4,751 </w:t>
            </w:r>
          </w:p>
        </w:tc>
        <w:tc>
          <w:tcPr>
            <w:tcW w:w="132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c>
          <w:tcPr>
            <w:tcW w:w="12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c>
          <w:tcPr>
            <w:tcW w:w="10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c>
          <w:tcPr>
            <w:tcW w:w="138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c>
          <w:tcPr>
            <w:tcW w:w="12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N/D </w:t>
            </w:r>
          </w:p>
        </w:tc>
        <w:tc>
          <w:tcPr>
            <w:tcW w:w="106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r>
      <w:tr w:rsidR="00152B6F" w:rsidRPr="005E070F" w:rsidTr="00C627CD">
        <w:trPr>
          <w:trHeight w:val="255"/>
          <w:jc w:val="center"/>
        </w:trPr>
        <w:tc>
          <w:tcPr>
            <w:tcW w:w="15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Afirme Bajío</w:t>
            </w:r>
          </w:p>
        </w:tc>
        <w:tc>
          <w:tcPr>
            <w:tcW w:w="136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71 </w:t>
            </w:r>
          </w:p>
        </w:tc>
        <w:tc>
          <w:tcPr>
            <w:tcW w:w="12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c>
          <w:tcPr>
            <w:tcW w:w="9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71 </w:t>
            </w:r>
          </w:p>
        </w:tc>
        <w:tc>
          <w:tcPr>
            <w:tcW w:w="132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697,613 </w:t>
            </w:r>
          </w:p>
        </w:tc>
        <w:tc>
          <w:tcPr>
            <w:tcW w:w="12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207,465 </w:t>
            </w:r>
          </w:p>
        </w:tc>
        <w:tc>
          <w:tcPr>
            <w:tcW w:w="10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6,702 </w:t>
            </w:r>
          </w:p>
        </w:tc>
        <w:tc>
          <w:tcPr>
            <w:tcW w:w="138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c>
          <w:tcPr>
            <w:tcW w:w="12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N/D </w:t>
            </w:r>
          </w:p>
        </w:tc>
        <w:tc>
          <w:tcPr>
            <w:tcW w:w="106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r>
      <w:tr w:rsidR="00152B6F" w:rsidRPr="005E070F" w:rsidTr="00C627CD">
        <w:trPr>
          <w:trHeight w:val="255"/>
          <w:jc w:val="center"/>
        </w:trPr>
        <w:tc>
          <w:tcPr>
            <w:tcW w:w="15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Ahorra Ahora</w:t>
            </w:r>
          </w:p>
        </w:tc>
        <w:tc>
          <w:tcPr>
            <w:tcW w:w="136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c>
          <w:tcPr>
            <w:tcW w:w="12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c>
          <w:tcPr>
            <w:tcW w:w="9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c>
          <w:tcPr>
            <w:tcW w:w="132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c>
          <w:tcPr>
            <w:tcW w:w="12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c>
          <w:tcPr>
            <w:tcW w:w="10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c>
          <w:tcPr>
            <w:tcW w:w="138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c>
          <w:tcPr>
            <w:tcW w:w="12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N/D </w:t>
            </w:r>
          </w:p>
        </w:tc>
        <w:tc>
          <w:tcPr>
            <w:tcW w:w="106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r>
      <w:tr w:rsidR="00152B6F" w:rsidRPr="005E070F" w:rsidTr="00C627CD">
        <w:trPr>
          <w:trHeight w:val="255"/>
          <w:jc w:val="center"/>
        </w:trPr>
        <w:tc>
          <w:tcPr>
            <w:tcW w:w="15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Azteca</w:t>
            </w:r>
          </w:p>
        </w:tc>
        <w:tc>
          <w:tcPr>
            <w:tcW w:w="136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1,206,945 </w:t>
            </w:r>
          </w:p>
        </w:tc>
        <w:tc>
          <w:tcPr>
            <w:tcW w:w="12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487,271 </w:t>
            </w:r>
          </w:p>
        </w:tc>
        <w:tc>
          <w:tcPr>
            <w:tcW w:w="9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8,806 </w:t>
            </w:r>
          </w:p>
        </w:tc>
        <w:tc>
          <w:tcPr>
            <w:tcW w:w="132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936,000 </w:t>
            </w:r>
          </w:p>
        </w:tc>
        <w:tc>
          <w:tcPr>
            <w:tcW w:w="12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199,117 </w:t>
            </w:r>
          </w:p>
        </w:tc>
        <w:tc>
          <w:tcPr>
            <w:tcW w:w="10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11,525 </w:t>
            </w:r>
          </w:p>
        </w:tc>
        <w:tc>
          <w:tcPr>
            <w:tcW w:w="138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1,011,878 </w:t>
            </w:r>
          </w:p>
        </w:tc>
        <w:tc>
          <w:tcPr>
            <w:tcW w:w="12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N/D </w:t>
            </w:r>
          </w:p>
        </w:tc>
        <w:tc>
          <w:tcPr>
            <w:tcW w:w="106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27,523 </w:t>
            </w:r>
          </w:p>
        </w:tc>
      </w:tr>
      <w:tr w:rsidR="00152B6F" w:rsidRPr="005E070F" w:rsidTr="00C627CD">
        <w:trPr>
          <w:trHeight w:val="255"/>
          <w:jc w:val="center"/>
        </w:trPr>
        <w:tc>
          <w:tcPr>
            <w:tcW w:w="15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Banamex</w:t>
            </w:r>
          </w:p>
        </w:tc>
        <w:tc>
          <w:tcPr>
            <w:tcW w:w="136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5,691,283 </w:t>
            </w:r>
          </w:p>
        </w:tc>
        <w:tc>
          <w:tcPr>
            <w:tcW w:w="12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2,429,196 </w:t>
            </w:r>
          </w:p>
        </w:tc>
        <w:tc>
          <w:tcPr>
            <w:tcW w:w="9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116,350 </w:t>
            </w:r>
          </w:p>
        </w:tc>
        <w:tc>
          <w:tcPr>
            <w:tcW w:w="132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6,564,258 </w:t>
            </w:r>
          </w:p>
        </w:tc>
        <w:tc>
          <w:tcPr>
            <w:tcW w:w="12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2,746,049 </w:t>
            </w:r>
          </w:p>
        </w:tc>
        <w:tc>
          <w:tcPr>
            <w:tcW w:w="10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232,988 </w:t>
            </w:r>
          </w:p>
        </w:tc>
        <w:tc>
          <w:tcPr>
            <w:tcW w:w="138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7,881,471 </w:t>
            </w:r>
          </w:p>
        </w:tc>
        <w:tc>
          <w:tcPr>
            <w:tcW w:w="12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N/D </w:t>
            </w:r>
          </w:p>
        </w:tc>
        <w:tc>
          <w:tcPr>
            <w:tcW w:w="106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385,453 </w:t>
            </w:r>
          </w:p>
        </w:tc>
      </w:tr>
      <w:tr w:rsidR="00152B6F" w:rsidRPr="005E070F" w:rsidTr="00C627CD">
        <w:trPr>
          <w:trHeight w:val="255"/>
          <w:jc w:val="center"/>
        </w:trPr>
        <w:tc>
          <w:tcPr>
            <w:tcW w:w="15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Bancomer</w:t>
            </w:r>
          </w:p>
        </w:tc>
        <w:tc>
          <w:tcPr>
            <w:tcW w:w="136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4,287,405 </w:t>
            </w:r>
          </w:p>
        </w:tc>
        <w:tc>
          <w:tcPr>
            <w:tcW w:w="12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1,848,141 </w:t>
            </w:r>
          </w:p>
        </w:tc>
        <w:tc>
          <w:tcPr>
            <w:tcW w:w="9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111,966 </w:t>
            </w:r>
          </w:p>
        </w:tc>
        <w:tc>
          <w:tcPr>
            <w:tcW w:w="132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4,459,697 </w:t>
            </w:r>
          </w:p>
        </w:tc>
        <w:tc>
          <w:tcPr>
            <w:tcW w:w="12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1,755,814 </w:t>
            </w:r>
          </w:p>
        </w:tc>
        <w:tc>
          <w:tcPr>
            <w:tcW w:w="10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210,879 </w:t>
            </w:r>
          </w:p>
        </w:tc>
        <w:tc>
          <w:tcPr>
            <w:tcW w:w="138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c>
          <w:tcPr>
            <w:tcW w:w="12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N/D </w:t>
            </w:r>
          </w:p>
        </w:tc>
        <w:tc>
          <w:tcPr>
            <w:tcW w:w="106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r>
      <w:tr w:rsidR="00152B6F" w:rsidRPr="005E070F" w:rsidTr="00C627CD">
        <w:trPr>
          <w:trHeight w:val="255"/>
          <w:jc w:val="center"/>
        </w:trPr>
        <w:tc>
          <w:tcPr>
            <w:tcW w:w="15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Banorte Generali</w:t>
            </w:r>
          </w:p>
        </w:tc>
        <w:tc>
          <w:tcPr>
            <w:tcW w:w="136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3,044,086 </w:t>
            </w:r>
          </w:p>
        </w:tc>
        <w:tc>
          <w:tcPr>
            <w:tcW w:w="12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1,111,065 </w:t>
            </w:r>
          </w:p>
        </w:tc>
        <w:tc>
          <w:tcPr>
            <w:tcW w:w="9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38,890 </w:t>
            </w:r>
          </w:p>
        </w:tc>
        <w:tc>
          <w:tcPr>
            <w:tcW w:w="132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3,895,607 </w:t>
            </w:r>
          </w:p>
        </w:tc>
        <w:tc>
          <w:tcPr>
            <w:tcW w:w="12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1,254,014 </w:t>
            </w:r>
          </w:p>
        </w:tc>
        <w:tc>
          <w:tcPr>
            <w:tcW w:w="10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86,271 </w:t>
            </w:r>
          </w:p>
        </w:tc>
        <w:tc>
          <w:tcPr>
            <w:tcW w:w="138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c>
          <w:tcPr>
            <w:tcW w:w="12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N/D </w:t>
            </w:r>
          </w:p>
        </w:tc>
        <w:tc>
          <w:tcPr>
            <w:tcW w:w="106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r>
      <w:tr w:rsidR="00152B6F" w:rsidRPr="005E070F" w:rsidTr="00C627CD">
        <w:trPr>
          <w:trHeight w:val="255"/>
          <w:jc w:val="center"/>
        </w:trPr>
        <w:tc>
          <w:tcPr>
            <w:tcW w:w="15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Coppel</w:t>
            </w:r>
          </w:p>
        </w:tc>
        <w:tc>
          <w:tcPr>
            <w:tcW w:w="136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c>
          <w:tcPr>
            <w:tcW w:w="12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c>
          <w:tcPr>
            <w:tcW w:w="9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c>
          <w:tcPr>
            <w:tcW w:w="132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2,361,448 </w:t>
            </w:r>
          </w:p>
        </w:tc>
        <w:tc>
          <w:tcPr>
            <w:tcW w:w="12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914,917 </w:t>
            </w:r>
          </w:p>
        </w:tc>
        <w:tc>
          <w:tcPr>
            <w:tcW w:w="10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35,090 </w:t>
            </w:r>
          </w:p>
        </w:tc>
        <w:tc>
          <w:tcPr>
            <w:tcW w:w="138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5,687,129 </w:t>
            </w:r>
          </w:p>
        </w:tc>
        <w:tc>
          <w:tcPr>
            <w:tcW w:w="12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N/D </w:t>
            </w:r>
          </w:p>
        </w:tc>
        <w:tc>
          <w:tcPr>
            <w:tcW w:w="106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95,736 </w:t>
            </w:r>
          </w:p>
        </w:tc>
      </w:tr>
      <w:tr w:rsidR="00152B6F" w:rsidRPr="005E070F" w:rsidTr="00C627CD">
        <w:trPr>
          <w:trHeight w:val="255"/>
          <w:jc w:val="center"/>
        </w:trPr>
        <w:tc>
          <w:tcPr>
            <w:tcW w:w="15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HSBC</w:t>
            </w:r>
          </w:p>
        </w:tc>
        <w:tc>
          <w:tcPr>
            <w:tcW w:w="136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1,698,619 </w:t>
            </w:r>
          </w:p>
        </w:tc>
        <w:tc>
          <w:tcPr>
            <w:tcW w:w="12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716,358 </w:t>
            </w:r>
          </w:p>
        </w:tc>
        <w:tc>
          <w:tcPr>
            <w:tcW w:w="9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25,325 </w:t>
            </w:r>
          </w:p>
        </w:tc>
        <w:tc>
          <w:tcPr>
            <w:tcW w:w="132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1,592,848 </w:t>
            </w:r>
          </w:p>
        </w:tc>
        <w:tc>
          <w:tcPr>
            <w:tcW w:w="12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482,536 </w:t>
            </w:r>
          </w:p>
        </w:tc>
        <w:tc>
          <w:tcPr>
            <w:tcW w:w="10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37,040 </w:t>
            </w:r>
          </w:p>
        </w:tc>
        <w:tc>
          <w:tcPr>
            <w:tcW w:w="138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c>
          <w:tcPr>
            <w:tcW w:w="12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N/D </w:t>
            </w:r>
          </w:p>
        </w:tc>
        <w:tc>
          <w:tcPr>
            <w:tcW w:w="106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r>
      <w:tr w:rsidR="00152B6F" w:rsidRPr="005E070F" w:rsidTr="00C627CD">
        <w:trPr>
          <w:trHeight w:val="255"/>
          <w:jc w:val="center"/>
        </w:trPr>
        <w:tc>
          <w:tcPr>
            <w:tcW w:w="15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Inbursa</w:t>
            </w:r>
          </w:p>
        </w:tc>
        <w:tc>
          <w:tcPr>
            <w:tcW w:w="136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3,252,331 </w:t>
            </w:r>
          </w:p>
        </w:tc>
        <w:tc>
          <w:tcPr>
            <w:tcW w:w="12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1,190,470 </w:t>
            </w:r>
          </w:p>
        </w:tc>
        <w:tc>
          <w:tcPr>
            <w:tcW w:w="9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62,049 </w:t>
            </w:r>
          </w:p>
        </w:tc>
        <w:tc>
          <w:tcPr>
            <w:tcW w:w="132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3,324,599 </w:t>
            </w:r>
          </w:p>
        </w:tc>
        <w:tc>
          <w:tcPr>
            <w:tcW w:w="12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996,517 </w:t>
            </w:r>
          </w:p>
        </w:tc>
        <w:tc>
          <w:tcPr>
            <w:tcW w:w="10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119,049 </w:t>
            </w:r>
          </w:p>
        </w:tc>
        <w:tc>
          <w:tcPr>
            <w:tcW w:w="138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1,109,823 </w:t>
            </w:r>
          </w:p>
        </w:tc>
        <w:tc>
          <w:tcPr>
            <w:tcW w:w="12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N/D </w:t>
            </w:r>
          </w:p>
        </w:tc>
        <w:tc>
          <w:tcPr>
            <w:tcW w:w="106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101,555 </w:t>
            </w:r>
          </w:p>
        </w:tc>
      </w:tr>
      <w:tr w:rsidR="00152B6F" w:rsidRPr="005E070F" w:rsidTr="00C627CD">
        <w:trPr>
          <w:trHeight w:val="255"/>
          <w:jc w:val="center"/>
        </w:trPr>
        <w:tc>
          <w:tcPr>
            <w:tcW w:w="15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Invercap</w:t>
            </w:r>
          </w:p>
        </w:tc>
        <w:tc>
          <w:tcPr>
            <w:tcW w:w="136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327,752 </w:t>
            </w:r>
          </w:p>
        </w:tc>
        <w:tc>
          <w:tcPr>
            <w:tcW w:w="12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194,525 </w:t>
            </w:r>
          </w:p>
        </w:tc>
        <w:tc>
          <w:tcPr>
            <w:tcW w:w="9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1,858 </w:t>
            </w:r>
          </w:p>
        </w:tc>
        <w:tc>
          <w:tcPr>
            <w:tcW w:w="132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1,393,764 </w:t>
            </w:r>
          </w:p>
        </w:tc>
        <w:tc>
          <w:tcPr>
            <w:tcW w:w="12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666,383 </w:t>
            </w:r>
          </w:p>
        </w:tc>
        <w:tc>
          <w:tcPr>
            <w:tcW w:w="10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49,871 </w:t>
            </w:r>
          </w:p>
        </w:tc>
        <w:tc>
          <w:tcPr>
            <w:tcW w:w="138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3,108,471 </w:t>
            </w:r>
          </w:p>
        </w:tc>
        <w:tc>
          <w:tcPr>
            <w:tcW w:w="12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N/D </w:t>
            </w:r>
          </w:p>
        </w:tc>
        <w:tc>
          <w:tcPr>
            <w:tcW w:w="106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142,930 </w:t>
            </w:r>
          </w:p>
        </w:tc>
      </w:tr>
      <w:tr w:rsidR="00152B6F" w:rsidRPr="005E070F" w:rsidTr="00C627CD">
        <w:trPr>
          <w:trHeight w:val="255"/>
          <w:jc w:val="center"/>
        </w:trPr>
        <w:tc>
          <w:tcPr>
            <w:tcW w:w="15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Ixe</w:t>
            </w:r>
          </w:p>
        </w:tc>
        <w:tc>
          <w:tcPr>
            <w:tcW w:w="136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182,124 </w:t>
            </w:r>
          </w:p>
        </w:tc>
        <w:tc>
          <w:tcPr>
            <w:tcW w:w="12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66,990 </w:t>
            </w:r>
          </w:p>
        </w:tc>
        <w:tc>
          <w:tcPr>
            <w:tcW w:w="9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1,278 </w:t>
            </w:r>
          </w:p>
        </w:tc>
        <w:tc>
          <w:tcPr>
            <w:tcW w:w="132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c>
          <w:tcPr>
            <w:tcW w:w="12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c>
          <w:tcPr>
            <w:tcW w:w="10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c>
          <w:tcPr>
            <w:tcW w:w="138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c>
          <w:tcPr>
            <w:tcW w:w="12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N/D </w:t>
            </w:r>
          </w:p>
        </w:tc>
        <w:tc>
          <w:tcPr>
            <w:tcW w:w="106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r>
      <w:tr w:rsidR="00152B6F" w:rsidRPr="005E070F" w:rsidTr="00C627CD">
        <w:trPr>
          <w:trHeight w:val="255"/>
          <w:jc w:val="center"/>
        </w:trPr>
        <w:tc>
          <w:tcPr>
            <w:tcW w:w="15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Metlife</w:t>
            </w:r>
          </w:p>
        </w:tc>
        <w:tc>
          <w:tcPr>
            <w:tcW w:w="136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50,199 </w:t>
            </w:r>
          </w:p>
        </w:tc>
        <w:tc>
          <w:tcPr>
            <w:tcW w:w="12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48,095 </w:t>
            </w:r>
          </w:p>
        </w:tc>
        <w:tc>
          <w:tcPr>
            <w:tcW w:w="9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4,426 </w:t>
            </w:r>
          </w:p>
        </w:tc>
        <w:tc>
          <w:tcPr>
            <w:tcW w:w="132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1,210,454 </w:t>
            </w:r>
          </w:p>
        </w:tc>
        <w:tc>
          <w:tcPr>
            <w:tcW w:w="12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330,779 </w:t>
            </w:r>
          </w:p>
        </w:tc>
        <w:tc>
          <w:tcPr>
            <w:tcW w:w="10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33,410 </w:t>
            </w:r>
          </w:p>
        </w:tc>
        <w:tc>
          <w:tcPr>
            <w:tcW w:w="138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1,007,848 </w:t>
            </w:r>
          </w:p>
        </w:tc>
        <w:tc>
          <w:tcPr>
            <w:tcW w:w="12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N/D </w:t>
            </w:r>
          </w:p>
        </w:tc>
        <w:tc>
          <w:tcPr>
            <w:tcW w:w="106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66,808 </w:t>
            </w:r>
          </w:p>
        </w:tc>
      </w:tr>
      <w:tr w:rsidR="00152B6F" w:rsidRPr="005E070F" w:rsidTr="00C627CD">
        <w:trPr>
          <w:trHeight w:val="255"/>
          <w:jc w:val="center"/>
        </w:trPr>
        <w:tc>
          <w:tcPr>
            <w:tcW w:w="15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PensionISSSTE</w:t>
            </w:r>
          </w:p>
        </w:tc>
        <w:tc>
          <w:tcPr>
            <w:tcW w:w="136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c>
          <w:tcPr>
            <w:tcW w:w="12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c>
          <w:tcPr>
            <w:tcW w:w="9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c>
          <w:tcPr>
            <w:tcW w:w="132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858,818 </w:t>
            </w:r>
          </w:p>
        </w:tc>
        <w:tc>
          <w:tcPr>
            <w:tcW w:w="12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ND </w:t>
            </w:r>
          </w:p>
        </w:tc>
        <w:tc>
          <w:tcPr>
            <w:tcW w:w="10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79,563 </w:t>
            </w:r>
          </w:p>
        </w:tc>
        <w:tc>
          <w:tcPr>
            <w:tcW w:w="138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1,230,628 </w:t>
            </w:r>
          </w:p>
        </w:tc>
        <w:tc>
          <w:tcPr>
            <w:tcW w:w="12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N/D </w:t>
            </w:r>
          </w:p>
        </w:tc>
        <w:tc>
          <w:tcPr>
            <w:tcW w:w="106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103,240 </w:t>
            </w:r>
          </w:p>
        </w:tc>
      </w:tr>
      <w:tr w:rsidR="00152B6F" w:rsidRPr="005E070F" w:rsidTr="00C627CD">
        <w:trPr>
          <w:trHeight w:val="255"/>
          <w:jc w:val="center"/>
        </w:trPr>
        <w:tc>
          <w:tcPr>
            <w:tcW w:w="15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Principal</w:t>
            </w:r>
          </w:p>
        </w:tc>
        <w:tc>
          <w:tcPr>
            <w:tcW w:w="136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3,301,712 </w:t>
            </w:r>
          </w:p>
        </w:tc>
        <w:tc>
          <w:tcPr>
            <w:tcW w:w="12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821,899 </w:t>
            </w:r>
          </w:p>
        </w:tc>
        <w:tc>
          <w:tcPr>
            <w:tcW w:w="9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26,717 </w:t>
            </w:r>
          </w:p>
        </w:tc>
        <w:tc>
          <w:tcPr>
            <w:tcW w:w="132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2,794,591 </w:t>
            </w:r>
          </w:p>
        </w:tc>
        <w:tc>
          <w:tcPr>
            <w:tcW w:w="12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531,649 </w:t>
            </w:r>
          </w:p>
        </w:tc>
        <w:tc>
          <w:tcPr>
            <w:tcW w:w="10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58,391 </w:t>
            </w:r>
          </w:p>
        </w:tc>
        <w:tc>
          <w:tcPr>
            <w:tcW w:w="138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3,748,329 </w:t>
            </w:r>
          </w:p>
        </w:tc>
        <w:tc>
          <w:tcPr>
            <w:tcW w:w="12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N/D </w:t>
            </w:r>
          </w:p>
        </w:tc>
        <w:tc>
          <w:tcPr>
            <w:tcW w:w="106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146,562 </w:t>
            </w:r>
          </w:p>
        </w:tc>
      </w:tr>
      <w:tr w:rsidR="00152B6F" w:rsidRPr="005E070F" w:rsidTr="00C627CD">
        <w:trPr>
          <w:trHeight w:val="255"/>
          <w:jc w:val="center"/>
        </w:trPr>
        <w:tc>
          <w:tcPr>
            <w:tcW w:w="15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Profuturo GNP</w:t>
            </w:r>
          </w:p>
        </w:tc>
        <w:tc>
          <w:tcPr>
            <w:tcW w:w="136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3,440,182 </w:t>
            </w:r>
          </w:p>
        </w:tc>
        <w:tc>
          <w:tcPr>
            <w:tcW w:w="12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1,415,652 </w:t>
            </w:r>
          </w:p>
        </w:tc>
        <w:tc>
          <w:tcPr>
            <w:tcW w:w="9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58,423 </w:t>
            </w:r>
          </w:p>
        </w:tc>
        <w:tc>
          <w:tcPr>
            <w:tcW w:w="132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3,109,531 </w:t>
            </w:r>
          </w:p>
        </w:tc>
        <w:tc>
          <w:tcPr>
            <w:tcW w:w="12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1,204,858 </w:t>
            </w:r>
          </w:p>
        </w:tc>
        <w:tc>
          <w:tcPr>
            <w:tcW w:w="10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146,786 </w:t>
            </w:r>
          </w:p>
        </w:tc>
        <w:tc>
          <w:tcPr>
            <w:tcW w:w="138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3,270,942 </w:t>
            </w:r>
          </w:p>
        </w:tc>
        <w:tc>
          <w:tcPr>
            <w:tcW w:w="12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N/D </w:t>
            </w:r>
          </w:p>
        </w:tc>
        <w:tc>
          <w:tcPr>
            <w:tcW w:w="106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275,419 </w:t>
            </w:r>
          </w:p>
        </w:tc>
      </w:tr>
      <w:tr w:rsidR="00152B6F" w:rsidRPr="005E070F" w:rsidTr="00C627CD">
        <w:trPr>
          <w:trHeight w:val="255"/>
          <w:jc w:val="center"/>
        </w:trPr>
        <w:tc>
          <w:tcPr>
            <w:tcW w:w="15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Santander</w:t>
            </w:r>
          </w:p>
        </w:tc>
        <w:tc>
          <w:tcPr>
            <w:tcW w:w="136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3,056,509 </w:t>
            </w:r>
          </w:p>
        </w:tc>
        <w:tc>
          <w:tcPr>
            <w:tcW w:w="12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991,681 </w:t>
            </w:r>
          </w:p>
        </w:tc>
        <w:tc>
          <w:tcPr>
            <w:tcW w:w="9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43,069 </w:t>
            </w:r>
          </w:p>
        </w:tc>
        <w:tc>
          <w:tcPr>
            <w:tcW w:w="132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c>
          <w:tcPr>
            <w:tcW w:w="12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c>
          <w:tcPr>
            <w:tcW w:w="10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c>
          <w:tcPr>
            <w:tcW w:w="138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c>
          <w:tcPr>
            <w:tcW w:w="12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N/D </w:t>
            </w:r>
          </w:p>
        </w:tc>
        <w:tc>
          <w:tcPr>
            <w:tcW w:w="106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N/A </w:t>
            </w:r>
          </w:p>
        </w:tc>
      </w:tr>
      <w:tr w:rsidR="00152B6F" w:rsidRPr="005E070F" w:rsidTr="00C627CD">
        <w:trPr>
          <w:trHeight w:val="255"/>
          <w:jc w:val="center"/>
        </w:trPr>
        <w:tc>
          <w:tcPr>
            <w:tcW w:w="15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SURA</w:t>
            </w:r>
          </w:p>
        </w:tc>
        <w:tc>
          <w:tcPr>
            <w:tcW w:w="136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2,426,602 </w:t>
            </w:r>
          </w:p>
        </w:tc>
        <w:tc>
          <w:tcPr>
            <w:tcW w:w="12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802,872 </w:t>
            </w:r>
          </w:p>
        </w:tc>
        <w:tc>
          <w:tcPr>
            <w:tcW w:w="9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48,013 </w:t>
            </w:r>
          </w:p>
        </w:tc>
        <w:tc>
          <w:tcPr>
            <w:tcW w:w="132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5,016,242 </w:t>
            </w:r>
          </w:p>
        </w:tc>
        <w:tc>
          <w:tcPr>
            <w:tcW w:w="12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1,469,518 </w:t>
            </w:r>
          </w:p>
        </w:tc>
        <w:tc>
          <w:tcPr>
            <w:tcW w:w="10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185,402 </w:t>
            </w:r>
          </w:p>
        </w:tc>
        <w:tc>
          <w:tcPr>
            <w:tcW w:w="138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6,198,066 </w:t>
            </w:r>
          </w:p>
        </w:tc>
        <w:tc>
          <w:tcPr>
            <w:tcW w:w="124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N/D </w:t>
            </w:r>
          </w:p>
        </w:tc>
        <w:tc>
          <w:tcPr>
            <w:tcW w:w="1060" w:type="dxa"/>
            <w:tcBorders>
              <w:top w:val="nil"/>
              <w:left w:val="nil"/>
              <w:bottom w:val="single" w:sz="4" w:space="0" w:color="E4E3E3"/>
              <w:right w:val="nil"/>
            </w:tcBorders>
            <w:shd w:val="clear" w:color="000000" w:fill="494529"/>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329,285 </w:t>
            </w:r>
          </w:p>
        </w:tc>
      </w:tr>
      <w:tr w:rsidR="00152B6F" w:rsidRPr="005E070F" w:rsidTr="00C627CD">
        <w:trPr>
          <w:trHeight w:val="255"/>
          <w:jc w:val="center"/>
        </w:trPr>
        <w:tc>
          <w:tcPr>
            <w:tcW w:w="15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XXI Banorte</w:t>
            </w:r>
          </w:p>
        </w:tc>
        <w:tc>
          <w:tcPr>
            <w:tcW w:w="136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2,286,349 </w:t>
            </w:r>
          </w:p>
        </w:tc>
        <w:tc>
          <w:tcPr>
            <w:tcW w:w="12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692,937 </w:t>
            </w:r>
          </w:p>
        </w:tc>
        <w:tc>
          <w:tcPr>
            <w:tcW w:w="9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35,515 </w:t>
            </w:r>
          </w:p>
        </w:tc>
        <w:tc>
          <w:tcPr>
            <w:tcW w:w="132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3,020,651 </w:t>
            </w:r>
          </w:p>
        </w:tc>
        <w:tc>
          <w:tcPr>
            <w:tcW w:w="12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1,000,416 </w:t>
            </w:r>
          </w:p>
        </w:tc>
        <w:tc>
          <w:tcPr>
            <w:tcW w:w="10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Pr>
                <w:rFonts w:ascii="Arial" w:eastAsia="Times New Roman" w:hAnsi="Arial" w:cs="Arial"/>
                <w:color w:val="FFFFFF"/>
                <w:sz w:val="18"/>
                <w:szCs w:val="18"/>
                <w:lang w:eastAsia="es-MX"/>
              </w:rPr>
              <w:t xml:space="preserve">      </w:t>
            </w:r>
            <w:r w:rsidRPr="005E070F">
              <w:rPr>
                <w:rFonts w:ascii="Arial" w:eastAsia="Times New Roman" w:hAnsi="Arial" w:cs="Arial"/>
                <w:color w:val="FFFFFF"/>
                <w:sz w:val="18"/>
                <w:szCs w:val="18"/>
                <w:lang w:eastAsia="es-MX"/>
              </w:rPr>
              <w:t xml:space="preserve">91,930 </w:t>
            </w:r>
          </w:p>
        </w:tc>
        <w:tc>
          <w:tcPr>
            <w:tcW w:w="138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17,187,719 </w:t>
            </w:r>
          </w:p>
        </w:tc>
        <w:tc>
          <w:tcPr>
            <w:tcW w:w="124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center"/>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N/D </w:t>
            </w:r>
          </w:p>
        </w:tc>
        <w:tc>
          <w:tcPr>
            <w:tcW w:w="1060" w:type="dxa"/>
            <w:tcBorders>
              <w:top w:val="nil"/>
              <w:left w:val="nil"/>
              <w:bottom w:val="single" w:sz="4" w:space="0" w:color="E4E3E3"/>
              <w:right w:val="nil"/>
            </w:tcBorders>
            <w:shd w:val="clear" w:color="000000" w:fill="948A54"/>
            <w:noWrap/>
            <w:vAlign w:val="center"/>
            <w:hideMark/>
          </w:tcPr>
          <w:p w:rsidR="00152B6F" w:rsidRPr="005E070F" w:rsidRDefault="00152B6F" w:rsidP="00C627CD">
            <w:pPr>
              <w:spacing w:after="0" w:line="240" w:lineRule="auto"/>
              <w:jc w:val="right"/>
              <w:rPr>
                <w:rFonts w:ascii="Arial" w:eastAsia="Times New Roman" w:hAnsi="Arial" w:cs="Arial"/>
                <w:color w:val="FFFFFF"/>
                <w:sz w:val="18"/>
                <w:szCs w:val="18"/>
                <w:lang w:eastAsia="es-MX"/>
              </w:rPr>
            </w:pPr>
            <w:r w:rsidRPr="005E070F">
              <w:rPr>
                <w:rFonts w:ascii="Arial" w:eastAsia="Times New Roman" w:hAnsi="Arial" w:cs="Arial"/>
                <w:color w:val="FFFFFF"/>
                <w:sz w:val="18"/>
                <w:szCs w:val="18"/>
                <w:lang w:eastAsia="es-MX"/>
              </w:rPr>
              <w:t xml:space="preserve">     583,629 </w:t>
            </w:r>
          </w:p>
        </w:tc>
      </w:tr>
      <w:tr w:rsidR="00152B6F" w:rsidRPr="005E070F" w:rsidTr="00C627CD">
        <w:trPr>
          <w:trHeight w:val="255"/>
          <w:jc w:val="center"/>
        </w:trPr>
        <w:tc>
          <w:tcPr>
            <w:tcW w:w="1540" w:type="dxa"/>
            <w:tcBorders>
              <w:top w:val="nil"/>
              <w:left w:val="nil"/>
              <w:bottom w:val="nil"/>
              <w:right w:val="nil"/>
            </w:tcBorders>
            <w:shd w:val="clear" w:color="000000" w:fill="1D1B10"/>
            <w:noWrap/>
            <w:vAlign w:val="bottom"/>
            <w:hideMark/>
          </w:tcPr>
          <w:p w:rsidR="00152B6F" w:rsidRPr="005E070F" w:rsidRDefault="00152B6F" w:rsidP="00C627CD">
            <w:pPr>
              <w:spacing w:after="0" w:line="240" w:lineRule="auto"/>
              <w:rPr>
                <w:rFonts w:ascii="Arial" w:eastAsia="Times New Roman" w:hAnsi="Arial" w:cs="Arial"/>
                <w:b/>
                <w:bCs/>
                <w:color w:val="FFFFFF"/>
                <w:sz w:val="18"/>
                <w:szCs w:val="18"/>
                <w:lang w:eastAsia="es-MX"/>
              </w:rPr>
            </w:pPr>
            <w:r w:rsidRPr="005E070F">
              <w:rPr>
                <w:rFonts w:ascii="Arial" w:eastAsia="Times New Roman" w:hAnsi="Arial" w:cs="Arial"/>
                <w:b/>
                <w:bCs/>
                <w:color w:val="FFFFFF"/>
                <w:sz w:val="18"/>
                <w:szCs w:val="18"/>
                <w:lang w:eastAsia="es-MX"/>
              </w:rPr>
              <w:t>TOTAL</w:t>
            </w:r>
          </w:p>
        </w:tc>
        <w:tc>
          <w:tcPr>
            <w:tcW w:w="1360" w:type="dxa"/>
            <w:tcBorders>
              <w:top w:val="nil"/>
              <w:left w:val="nil"/>
              <w:bottom w:val="nil"/>
              <w:right w:val="nil"/>
            </w:tcBorders>
            <w:shd w:val="clear" w:color="000000" w:fill="1D1B10"/>
            <w:noWrap/>
            <w:vAlign w:val="bottom"/>
            <w:hideMark/>
          </w:tcPr>
          <w:p w:rsidR="00152B6F" w:rsidRPr="005E070F" w:rsidRDefault="00152B6F" w:rsidP="00C627CD">
            <w:pPr>
              <w:spacing w:after="0" w:line="240" w:lineRule="auto"/>
              <w:jc w:val="right"/>
              <w:rPr>
                <w:rFonts w:ascii="Arial" w:eastAsia="Times New Roman" w:hAnsi="Arial" w:cs="Arial"/>
                <w:b/>
                <w:bCs/>
                <w:color w:val="FFFFFF"/>
                <w:sz w:val="18"/>
                <w:szCs w:val="18"/>
                <w:lang w:eastAsia="es-MX"/>
              </w:rPr>
            </w:pPr>
            <w:r w:rsidRPr="005E070F">
              <w:rPr>
                <w:rFonts w:ascii="Arial" w:eastAsia="Times New Roman" w:hAnsi="Arial" w:cs="Arial"/>
                <w:b/>
                <w:bCs/>
                <w:color w:val="FFFFFF"/>
                <w:sz w:val="18"/>
                <w:szCs w:val="18"/>
                <w:lang w:eastAsia="es-MX"/>
              </w:rPr>
              <w:t xml:space="preserve">      35,276,317 </w:t>
            </w:r>
          </w:p>
        </w:tc>
        <w:tc>
          <w:tcPr>
            <w:tcW w:w="1240" w:type="dxa"/>
            <w:tcBorders>
              <w:top w:val="nil"/>
              <w:left w:val="nil"/>
              <w:bottom w:val="nil"/>
              <w:right w:val="nil"/>
            </w:tcBorders>
            <w:shd w:val="clear" w:color="000000" w:fill="1D1B10"/>
            <w:noWrap/>
            <w:vAlign w:val="bottom"/>
            <w:hideMark/>
          </w:tcPr>
          <w:p w:rsidR="00152B6F" w:rsidRPr="005E070F" w:rsidRDefault="00152B6F" w:rsidP="00C627CD">
            <w:pPr>
              <w:spacing w:after="0" w:line="240" w:lineRule="auto"/>
              <w:jc w:val="right"/>
              <w:rPr>
                <w:rFonts w:ascii="Arial" w:eastAsia="Times New Roman" w:hAnsi="Arial" w:cs="Arial"/>
                <w:b/>
                <w:bCs/>
                <w:color w:val="FFFFFF"/>
                <w:sz w:val="18"/>
                <w:szCs w:val="18"/>
                <w:lang w:eastAsia="es-MX"/>
              </w:rPr>
            </w:pPr>
            <w:r w:rsidRPr="005E070F">
              <w:rPr>
                <w:rFonts w:ascii="Arial" w:eastAsia="Times New Roman" w:hAnsi="Arial" w:cs="Arial"/>
                <w:b/>
                <w:bCs/>
                <w:color w:val="FFFFFF"/>
                <w:sz w:val="18"/>
                <w:szCs w:val="18"/>
                <w:lang w:eastAsia="es-MX"/>
              </w:rPr>
              <w:t xml:space="preserve">    13,178,149 </w:t>
            </w:r>
          </w:p>
        </w:tc>
        <w:tc>
          <w:tcPr>
            <w:tcW w:w="940" w:type="dxa"/>
            <w:tcBorders>
              <w:top w:val="nil"/>
              <w:left w:val="nil"/>
              <w:bottom w:val="nil"/>
              <w:right w:val="nil"/>
            </w:tcBorders>
            <w:shd w:val="clear" w:color="000000" w:fill="1D1B10"/>
            <w:noWrap/>
            <w:vAlign w:val="bottom"/>
            <w:hideMark/>
          </w:tcPr>
          <w:p w:rsidR="00152B6F" w:rsidRPr="005E070F" w:rsidRDefault="00152B6F" w:rsidP="00C627CD">
            <w:pPr>
              <w:spacing w:after="0" w:line="240" w:lineRule="auto"/>
              <w:jc w:val="right"/>
              <w:rPr>
                <w:rFonts w:ascii="Arial" w:eastAsia="Times New Roman" w:hAnsi="Arial" w:cs="Arial"/>
                <w:b/>
                <w:bCs/>
                <w:color w:val="FFFFFF"/>
                <w:sz w:val="18"/>
                <w:szCs w:val="18"/>
                <w:lang w:eastAsia="es-MX"/>
              </w:rPr>
            </w:pPr>
            <w:r w:rsidRPr="005E070F">
              <w:rPr>
                <w:rFonts w:ascii="Arial" w:eastAsia="Times New Roman" w:hAnsi="Arial" w:cs="Arial"/>
                <w:b/>
                <w:bCs/>
                <w:color w:val="FFFFFF"/>
                <w:sz w:val="18"/>
                <w:szCs w:val="18"/>
                <w:lang w:eastAsia="es-MX"/>
              </w:rPr>
              <w:t xml:space="preserve">   587,506 </w:t>
            </w:r>
          </w:p>
        </w:tc>
        <w:tc>
          <w:tcPr>
            <w:tcW w:w="1320" w:type="dxa"/>
            <w:tcBorders>
              <w:top w:val="nil"/>
              <w:left w:val="nil"/>
              <w:bottom w:val="nil"/>
              <w:right w:val="nil"/>
            </w:tcBorders>
            <w:shd w:val="clear" w:color="000000" w:fill="1D1B10"/>
            <w:noWrap/>
            <w:vAlign w:val="bottom"/>
            <w:hideMark/>
          </w:tcPr>
          <w:p w:rsidR="00152B6F" w:rsidRPr="005E070F" w:rsidRDefault="00152B6F" w:rsidP="00C627CD">
            <w:pPr>
              <w:spacing w:after="0" w:line="240" w:lineRule="auto"/>
              <w:jc w:val="right"/>
              <w:rPr>
                <w:rFonts w:ascii="Arial" w:eastAsia="Times New Roman" w:hAnsi="Arial" w:cs="Arial"/>
                <w:b/>
                <w:bCs/>
                <w:color w:val="FFFFFF"/>
                <w:sz w:val="18"/>
                <w:szCs w:val="18"/>
                <w:lang w:eastAsia="es-MX"/>
              </w:rPr>
            </w:pPr>
            <w:r w:rsidRPr="005E070F">
              <w:rPr>
                <w:rFonts w:ascii="Arial" w:eastAsia="Times New Roman" w:hAnsi="Arial" w:cs="Arial"/>
                <w:b/>
                <w:bCs/>
                <w:color w:val="FFFFFF"/>
                <w:sz w:val="18"/>
                <w:szCs w:val="18"/>
                <w:lang w:eastAsia="es-MX"/>
              </w:rPr>
              <w:t xml:space="preserve">      41,236,121 </w:t>
            </w:r>
          </w:p>
        </w:tc>
        <w:tc>
          <w:tcPr>
            <w:tcW w:w="1240" w:type="dxa"/>
            <w:tcBorders>
              <w:top w:val="nil"/>
              <w:left w:val="nil"/>
              <w:bottom w:val="nil"/>
              <w:right w:val="nil"/>
            </w:tcBorders>
            <w:shd w:val="clear" w:color="000000" w:fill="1D1B10"/>
            <w:noWrap/>
            <w:vAlign w:val="bottom"/>
            <w:hideMark/>
          </w:tcPr>
          <w:p w:rsidR="00152B6F" w:rsidRPr="005E070F" w:rsidRDefault="00152B6F" w:rsidP="00C627CD">
            <w:pPr>
              <w:spacing w:after="0" w:line="240" w:lineRule="auto"/>
              <w:jc w:val="right"/>
              <w:rPr>
                <w:rFonts w:ascii="Arial" w:eastAsia="Times New Roman" w:hAnsi="Arial" w:cs="Arial"/>
                <w:b/>
                <w:bCs/>
                <w:color w:val="FFFFFF"/>
                <w:sz w:val="18"/>
                <w:szCs w:val="18"/>
                <w:lang w:eastAsia="es-MX"/>
              </w:rPr>
            </w:pPr>
            <w:r w:rsidRPr="005E070F">
              <w:rPr>
                <w:rFonts w:ascii="Arial" w:eastAsia="Times New Roman" w:hAnsi="Arial" w:cs="Arial"/>
                <w:b/>
                <w:bCs/>
                <w:color w:val="FFFFFF"/>
                <w:sz w:val="18"/>
                <w:szCs w:val="18"/>
                <w:lang w:eastAsia="es-MX"/>
              </w:rPr>
              <w:t xml:space="preserve">    13,760,032 </w:t>
            </w:r>
          </w:p>
        </w:tc>
        <w:tc>
          <w:tcPr>
            <w:tcW w:w="1040" w:type="dxa"/>
            <w:tcBorders>
              <w:top w:val="nil"/>
              <w:left w:val="nil"/>
              <w:bottom w:val="nil"/>
              <w:right w:val="nil"/>
            </w:tcBorders>
            <w:shd w:val="clear" w:color="000000" w:fill="1D1B10"/>
            <w:noWrap/>
            <w:vAlign w:val="bottom"/>
            <w:hideMark/>
          </w:tcPr>
          <w:p w:rsidR="00152B6F" w:rsidRPr="005E070F" w:rsidRDefault="00152B6F" w:rsidP="00C627CD">
            <w:pPr>
              <w:spacing w:after="0" w:line="240" w:lineRule="auto"/>
              <w:jc w:val="right"/>
              <w:rPr>
                <w:rFonts w:ascii="Arial" w:eastAsia="Times New Roman" w:hAnsi="Arial" w:cs="Arial"/>
                <w:b/>
                <w:bCs/>
                <w:color w:val="FFFFFF"/>
                <w:sz w:val="18"/>
                <w:szCs w:val="18"/>
                <w:lang w:eastAsia="es-MX"/>
              </w:rPr>
            </w:pPr>
            <w:r w:rsidRPr="005E070F">
              <w:rPr>
                <w:rFonts w:ascii="Arial" w:eastAsia="Times New Roman" w:hAnsi="Arial" w:cs="Arial"/>
                <w:b/>
                <w:bCs/>
                <w:color w:val="FFFFFF"/>
                <w:sz w:val="18"/>
                <w:szCs w:val="18"/>
                <w:lang w:eastAsia="es-MX"/>
              </w:rPr>
              <w:t xml:space="preserve">  1,384,897 </w:t>
            </w:r>
          </w:p>
        </w:tc>
        <w:tc>
          <w:tcPr>
            <w:tcW w:w="1380" w:type="dxa"/>
            <w:tcBorders>
              <w:top w:val="nil"/>
              <w:left w:val="nil"/>
              <w:bottom w:val="nil"/>
              <w:right w:val="nil"/>
            </w:tcBorders>
            <w:shd w:val="clear" w:color="000000" w:fill="1D1B10"/>
            <w:noWrap/>
            <w:vAlign w:val="bottom"/>
            <w:hideMark/>
          </w:tcPr>
          <w:p w:rsidR="00152B6F" w:rsidRPr="005E070F" w:rsidRDefault="00152B6F" w:rsidP="00C627CD">
            <w:pPr>
              <w:spacing w:after="0" w:line="240" w:lineRule="auto"/>
              <w:jc w:val="right"/>
              <w:rPr>
                <w:rFonts w:ascii="Arial" w:eastAsia="Times New Roman" w:hAnsi="Arial" w:cs="Arial"/>
                <w:b/>
                <w:bCs/>
                <w:color w:val="FFFFFF"/>
                <w:sz w:val="18"/>
                <w:szCs w:val="18"/>
                <w:lang w:eastAsia="es-MX"/>
              </w:rPr>
            </w:pPr>
            <w:r w:rsidRPr="005E070F">
              <w:rPr>
                <w:rFonts w:ascii="Arial" w:eastAsia="Times New Roman" w:hAnsi="Arial" w:cs="Arial"/>
                <w:b/>
                <w:bCs/>
                <w:color w:val="FFFFFF"/>
                <w:sz w:val="18"/>
                <w:szCs w:val="18"/>
                <w:lang w:eastAsia="es-MX"/>
              </w:rPr>
              <w:t xml:space="preserve">       51,442,304 </w:t>
            </w:r>
          </w:p>
        </w:tc>
        <w:tc>
          <w:tcPr>
            <w:tcW w:w="1240" w:type="dxa"/>
            <w:tcBorders>
              <w:top w:val="nil"/>
              <w:left w:val="nil"/>
              <w:bottom w:val="nil"/>
              <w:right w:val="nil"/>
            </w:tcBorders>
            <w:shd w:val="clear" w:color="000000" w:fill="1D1B10"/>
            <w:noWrap/>
            <w:vAlign w:val="bottom"/>
            <w:hideMark/>
          </w:tcPr>
          <w:p w:rsidR="00152B6F" w:rsidRPr="005E070F" w:rsidRDefault="00152B6F" w:rsidP="00C627CD">
            <w:pPr>
              <w:spacing w:after="0" w:line="240" w:lineRule="auto"/>
              <w:jc w:val="center"/>
              <w:rPr>
                <w:rFonts w:ascii="Arial" w:eastAsia="Times New Roman" w:hAnsi="Arial" w:cs="Arial"/>
                <w:b/>
                <w:bCs/>
                <w:color w:val="FFFFFF"/>
                <w:sz w:val="18"/>
                <w:szCs w:val="18"/>
                <w:lang w:eastAsia="es-MX"/>
              </w:rPr>
            </w:pPr>
            <w:r w:rsidRPr="005E070F">
              <w:rPr>
                <w:rFonts w:ascii="Arial" w:eastAsia="Times New Roman" w:hAnsi="Arial" w:cs="Arial"/>
                <w:b/>
                <w:bCs/>
                <w:color w:val="FFFFFF"/>
                <w:sz w:val="18"/>
                <w:szCs w:val="18"/>
                <w:lang w:eastAsia="es-MX"/>
              </w:rPr>
              <w:t xml:space="preserve"> N/D </w:t>
            </w:r>
          </w:p>
        </w:tc>
        <w:tc>
          <w:tcPr>
            <w:tcW w:w="1060" w:type="dxa"/>
            <w:tcBorders>
              <w:top w:val="nil"/>
              <w:left w:val="nil"/>
              <w:bottom w:val="nil"/>
              <w:right w:val="nil"/>
            </w:tcBorders>
            <w:shd w:val="clear" w:color="000000" w:fill="1D1B10"/>
            <w:noWrap/>
            <w:vAlign w:val="bottom"/>
            <w:hideMark/>
          </w:tcPr>
          <w:p w:rsidR="00152B6F" w:rsidRPr="005E070F" w:rsidRDefault="00152B6F" w:rsidP="00C627CD">
            <w:pPr>
              <w:spacing w:after="0" w:line="240" w:lineRule="auto"/>
              <w:jc w:val="right"/>
              <w:rPr>
                <w:rFonts w:ascii="Arial" w:eastAsia="Times New Roman" w:hAnsi="Arial" w:cs="Arial"/>
                <w:b/>
                <w:bCs/>
                <w:color w:val="FFFFFF"/>
                <w:sz w:val="18"/>
                <w:szCs w:val="18"/>
                <w:lang w:eastAsia="es-MX"/>
              </w:rPr>
            </w:pPr>
            <w:r w:rsidRPr="005E070F">
              <w:rPr>
                <w:rFonts w:ascii="Arial" w:eastAsia="Times New Roman" w:hAnsi="Arial" w:cs="Arial"/>
                <w:b/>
                <w:bCs/>
                <w:color w:val="FFFFFF"/>
                <w:sz w:val="18"/>
                <w:szCs w:val="18"/>
                <w:lang w:eastAsia="es-MX"/>
              </w:rPr>
              <w:t xml:space="preserve">  2,258,140 </w:t>
            </w:r>
          </w:p>
        </w:tc>
      </w:tr>
    </w:tbl>
    <w:p w:rsidR="00152B6F" w:rsidRDefault="00152B6F" w:rsidP="003A52C4">
      <w:pPr>
        <w:spacing w:line="240" w:lineRule="auto"/>
        <w:contextualSpacing/>
        <w:jc w:val="both"/>
        <w:rPr>
          <w:rFonts w:ascii="Arial" w:hAnsi="Arial" w:cs="Arial"/>
          <w:color w:val="000000" w:themeColor="text1"/>
          <w:sz w:val="20"/>
          <w:szCs w:val="20"/>
          <w:lang w:val="es-ES"/>
        </w:rPr>
      </w:pPr>
    </w:p>
    <w:p w:rsidR="003A52C4" w:rsidRPr="003A52C4" w:rsidRDefault="003A52C4" w:rsidP="003A52C4">
      <w:pPr>
        <w:spacing w:line="240" w:lineRule="auto"/>
        <w:contextualSpacing/>
        <w:jc w:val="both"/>
        <w:rPr>
          <w:rFonts w:ascii="Arial" w:hAnsi="Arial" w:cs="Arial"/>
          <w:color w:val="000000" w:themeColor="text1"/>
          <w:sz w:val="20"/>
          <w:szCs w:val="20"/>
          <w:lang w:val="es-ES"/>
        </w:rPr>
      </w:pPr>
      <w:r w:rsidRPr="003A52C4">
        <w:rPr>
          <w:rFonts w:ascii="Arial" w:hAnsi="Arial" w:cs="Arial"/>
          <w:color w:val="000000" w:themeColor="text1"/>
          <w:sz w:val="20"/>
          <w:szCs w:val="20"/>
          <w:lang w:val="es-ES"/>
        </w:rPr>
        <w:t>Fuente: Elaboración propia con datos de la CONSAR.</w:t>
      </w:r>
    </w:p>
    <w:p w:rsidR="003A52C4" w:rsidRPr="003A52C4" w:rsidRDefault="003A52C4" w:rsidP="003A52C4">
      <w:pPr>
        <w:spacing w:line="240" w:lineRule="auto"/>
        <w:contextualSpacing/>
        <w:jc w:val="both"/>
        <w:rPr>
          <w:rFonts w:ascii="Arial" w:hAnsi="Arial" w:cs="Arial"/>
          <w:color w:val="000000" w:themeColor="text1"/>
          <w:sz w:val="20"/>
          <w:szCs w:val="20"/>
          <w:lang w:val="es-ES"/>
        </w:rPr>
      </w:pPr>
      <w:r w:rsidRPr="003A52C4">
        <w:rPr>
          <w:rFonts w:ascii="Arial" w:hAnsi="Arial" w:cs="Arial"/>
          <w:color w:val="000000" w:themeColor="text1"/>
          <w:sz w:val="20"/>
          <w:szCs w:val="20"/>
          <w:lang w:val="es-ES"/>
        </w:rPr>
        <w:t>Cifras al cierre de diciembre de cada año.</w:t>
      </w:r>
    </w:p>
    <w:p w:rsidR="003A52C4" w:rsidRPr="003A52C4" w:rsidRDefault="003A52C4" w:rsidP="003A52C4">
      <w:pPr>
        <w:spacing w:line="240" w:lineRule="auto"/>
        <w:contextualSpacing/>
        <w:jc w:val="both"/>
        <w:rPr>
          <w:rFonts w:ascii="Arial" w:hAnsi="Arial" w:cs="Arial"/>
          <w:color w:val="000000" w:themeColor="text1"/>
          <w:sz w:val="20"/>
          <w:szCs w:val="20"/>
          <w:lang w:val="es-ES"/>
        </w:rPr>
      </w:pPr>
      <w:r w:rsidRPr="003A52C4">
        <w:rPr>
          <w:rFonts w:ascii="Arial" w:hAnsi="Arial" w:cs="Arial"/>
          <w:color w:val="000000" w:themeColor="text1"/>
          <w:sz w:val="20"/>
          <w:szCs w:val="20"/>
          <w:lang w:val="es-ES"/>
        </w:rPr>
        <w:t>N / A.- No aplica debido a que la Afore no operaba en ese periodo, sea por fusión con otra administradora o por tratarse de una Afore de reciente creación.</w:t>
      </w:r>
    </w:p>
    <w:p w:rsidR="003A52C4" w:rsidRPr="003A52C4" w:rsidRDefault="003A52C4" w:rsidP="00DF720B">
      <w:pPr>
        <w:spacing w:line="240" w:lineRule="auto"/>
        <w:contextualSpacing/>
        <w:rPr>
          <w:rFonts w:ascii="Arial" w:hAnsi="Arial" w:cs="Arial"/>
          <w:color w:val="000000" w:themeColor="text1"/>
          <w:sz w:val="20"/>
          <w:szCs w:val="20"/>
          <w:lang w:val="es-ES"/>
        </w:rPr>
        <w:sectPr w:rsidR="003A52C4" w:rsidRPr="003A52C4" w:rsidSect="003A52C4">
          <w:pgSz w:w="15840" w:h="12240" w:orient="landscape"/>
          <w:pgMar w:top="1701" w:right="1418" w:bottom="1701" w:left="1418" w:header="709" w:footer="709" w:gutter="0"/>
          <w:cols w:space="708"/>
          <w:docGrid w:linePitch="360"/>
        </w:sectPr>
      </w:pPr>
      <w:r w:rsidRPr="003A52C4">
        <w:rPr>
          <w:rFonts w:ascii="Arial" w:hAnsi="Arial" w:cs="Arial"/>
          <w:color w:val="000000" w:themeColor="text1"/>
          <w:sz w:val="20"/>
          <w:szCs w:val="20"/>
          <w:lang w:val="es-ES"/>
        </w:rPr>
        <w:t>N/D.- No disponible.</w:t>
      </w:r>
    </w:p>
    <w:p w:rsidR="00592ADE" w:rsidRPr="00A93228" w:rsidRDefault="00EE14C4" w:rsidP="00702451">
      <w:pPr>
        <w:spacing w:after="0" w:line="480" w:lineRule="auto"/>
        <w:ind w:firstLine="708"/>
        <w:jc w:val="both"/>
        <w:rPr>
          <w:rFonts w:ascii="Arial" w:hAnsi="Arial" w:cs="Arial"/>
          <w:sz w:val="24"/>
          <w:szCs w:val="24"/>
        </w:rPr>
      </w:pPr>
      <w:r w:rsidRPr="00A93228">
        <w:rPr>
          <w:rFonts w:ascii="Arial" w:hAnsi="Arial" w:cs="Arial"/>
          <w:sz w:val="24"/>
          <w:szCs w:val="24"/>
        </w:rPr>
        <w:lastRenderedPageBreak/>
        <w:t xml:space="preserve">Durante 2005-2014 la tasa de rendimiento promedio arrojada por las administradoras tuvo variaciones significativas. Entre 2005 y 2007 arrojó notables beneficios por arriba del 10%, tasa superior </w:t>
      </w:r>
      <w:r w:rsidR="00760F42" w:rsidRPr="00A93228">
        <w:rPr>
          <w:rFonts w:ascii="Arial" w:hAnsi="Arial" w:cs="Arial"/>
          <w:sz w:val="24"/>
          <w:szCs w:val="24"/>
        </w:rPr>
        <w:t>a la</w:t>
      </w:r>
      <w:r w:rsidRPr="00A93228">
        <w:rPr>
          <w:rFonts w:ascii="Arial" w:hAnsi="Arial" w:cs="Arial"/>
          <w:sz w:val="24"/>
          <w:szCs w:val="24"/>
        </w:rPr>
        <w:t xml:space="preserve"> ofrecida por otros instrumentos convencionales del sistema financiero mexicano. En los años 2008 y 2009, </w:t>
      </w:r>
      <w:r w:rsidR="00592ADE" w:rsidRPr="00A93228">
        <w:rPr>
          <w:rFonts w:ascii="Arial" w:hAnsi="Arial" w:cs="Arial"/>
          <w:sz w:val="24"/>
          <w:szCs w:val="24"/>
        </w:rPr>
        <w:t xml:space="preserve">periodo de alta volatilidad financiera internacional, sufrió una extraordinaria caída que contrasta con </w:t>
      </w:r>
      <w:r w:rsidR="00AB6D41" w:rsidRPr="00AB6D41">
        <w:rPr>
          <w:rFonts w:ascii="Arial" w:hAnsi="Arial" w:cs="Arial"/>
          <w:sz w:val="24"/>
          <w:szCs w:val="24"/>
        </w:rPr>
        <w:t>los obtenidos años</w:t>
      </w:r>
      <w:r w:rsidR="00592ADE" w:rsidRPr="00A93228">
        <w:rPr>
          <w:rFonts w:ascii="Arial" w:hAnsi="Arial" w:cs="Arial"/>
          <w:sz w:val="24"/>
          <w:szCs w:val="24"/>
        </w:rPr>
        <w:t xml:space="preserve"> atrás. También es notable que a partir del 2011 este indicador viene cayendo a niveles sumamente críticos lo que resta valor a los fondos de pensiones propiedad de los trabajadores y eficiencia y c</w:t>
      </w:r>
      <w:r w:rsidR="008B1F6C">
        <w:rPr>
          <w:rFonts w:ascii="Arial" w:hAnsi="Arial" w:cs="Arial"/>
          <w:sz w:val="24"/>
          <w:szCs w:val="24"/>
        </w:rPr>
        <w:t>redibilidad de todo el sistema.</w:t>
      </w:r>
    </w:p>
    <w:p w:rsidR="00616203" w:rsidRPr="00A93228" w:rsidRDefault="002411A1" w:rsidP="00B923F3">
      <w:pPr>
        <w:spacing w:after="0" w:line="480" w:lineRule="auto"/>
        <w:jc w:val="both"/>
        <w:rPr>
          <w:rFonts w:ascii="Arial" w:hAnsi="Arial" w:cs="Arial"/>
          <w:sz w:val="24"/>
          <w:szCs w:val="24"/>
        </w:rPr>
      </w:pPr>
      <w:r w:rsidRPr="00A93228">
        <w:rPr>
          <w:rFonts w:ascii="Arial" w:hAnsi="Arial" w:cs="Arial"/>
          <w:sz w:val="24"/>
          <w:szCs w:val="24"/>
        </w:rPr>
        <w:t xml:space="preserve"> </w:t>
      </w:r>
      <w:r w:rsidRPr="00A93228">
        <w:rPr>
          <w:rFonts w:ascii="Arial" w:hAnsi="Arial" w:cs="Arial"/>
          <w:sz w:val="24"/>
          <w:szCs w:val="24"/>
        </w:rPr>
        <w:tab/>
      </w:r>
      <w:r w:rsidR="001B082F" w:rsidRPr="00A93228">
        <w:rPr>
          <w:rFonts w:ascii="Arial" w:hAnsi="Arial" w:cs="Arial"/>
          <w:sz w:val="24"/>
          <w:szCs w:val="24"/>
        </w:rPr>
        <w:t xml:space="preserve">Al parecer del año 1997 al </w:t>
      </w:r>
      <w:r w:rsidR="00BF3321" w:rsidRPr="00A93228">
        <w:rPr>
          <w:rFonts w:ascii="Arial" w:hAnsi="Arial" w:cs="Arial"/>
          <w:sz w:val="24"/>
          <w:szCs w:val="24"/>
        </w:rPr>
        <w:t xml:space="preserve">2007 el rendimiento promedio registrado por las administradoras se caracterizó por ir al alza año por año y por superar el arrojado por otros instrumentos convencionales; mientras que observan una marcada caída en los años asociados a la crisis financiera internacional, poniendo de relieve la vulnerabilidad </w:t>
      </w:r>
      <w:r w:rsidR="00F27BEF" w:rsidRPr="00A93228">
        <w:rPr>
          <w:rFonts w:ascii="Arial" w:hAnsi="Arial" w:cs="Arial"/>
          <w:sz w:val="24"/>
          <w:szCs w:val="24"/>
        </w:rPr>
        <w:t>del</w:t>
      </w:r>
      <w:r w:rsidR="00BF3321" w:rsidRPr="00A93228">
        <w:rPr>
          <w:rFonts w:ascii="Arial" w:hAnsi="Arial" w:cs="Arial"/>
          <w:sz w:val="24"/>
          <w:szCs w:val="24"/>
        </w:rPr>
        <w:t xml:space="preserve"> sistema cuando se contraen la economía, los mercados financieros, el empleo y el crecimiento de la inflación. A la fecha </w:t>
      </w:r>
      <w:r w:rsidR="00616203" w:rsidRPr="00A93228">
        <w:rPr>
          <w:rFonts w:ascii="Arial" w:hAnsi="Arial" w:cs="Arial"/>
          <w:sz w:val="24"/>
          <w:szCs w:val="24"/>
        </w:rPr>
        <w:t>este indicador es sumamente precario con repercusiones negativas para el ahorro de los trabaj</w:t>
      </w:r>
      <w:r w:rsidR="008B1F6C">
        <w:rPr>
          <w:rFonts w:ascii="Arial" w:hAnsi="Arial" w:cs="Arial"/>
          <w:sz w:val="24"/>
          <w:szCs w:val="24"/>
        </w:rPr>
        <w:t>adores con fines de jubilación.</w:t>
      </w:r>
    </w:p>
    <w:p w:rsidR="00885417" w:rsidRPr="00A93228" w:rsidRDefault="00616203" w:rsidP="00B923F3">
      <w:pPr>
        <w:spacing w:after="0" w:line="480" w:lineRule="auto"/>
        <w:ind w:firstLine="708"/>
        <w:jc w:val="both"/>
        <w:rPr>
          <w:rFonts w:ascii="Arial" w:hAnsi="Arial" w:cs="Arial"/>
          <w:sz w:val="24"/>
          <w:szCs w:val="24"/>
        </w:rPr>
      </w:pPr>
      <w:r w:rsidRPr="00A93228">
        <w:rPr>
          <w:rFonts w:ascii="Arial" w:hAnsi="Arial" w:cs="Arial"/>
          <w:sz w:val="24"/>
          <w:szCs w:val="24"/>
        </w:rPr>
        <w:t>L</w:t>
      </w:r>
      <w:r w:rsidR="00860388" w:rsidRPr="00A93228">
        <w:rPr>
          <w:rFonts w:ascii="Arial" w:hAnsi="Arial" w:cs="Arial"/>
          <w:sz w:val="24"/>
          <w:szCs w:val="24"/>
        </w:rPr>
        <w:t xml:space="preserve">a administradora que promedia el rendimiento más satisfactorio entre 2005 y 2014 es el </w:t>
      </w:r>
      <w:r w:rsidR="00F27BEF" w:rsidRPr="00A93228">
        <w:rPr>
          <w:rFonts w:ascii="Arial" w:hAnsi="Arial" w:cs="Arial"/>
          <w:sz w:val="24"/>
          <w:szCs w:val="24"/>
        </w:rPr>
        <w:t>PensionISSSTE</w:t>
      </w:r>
      <w:r w:rsidR="00860388" w:rsidRPr="00A93228">
        <w:rPr>
          <w:rFonts w:ascii="Arial" w:hAnsi="Arial" w:cs="Arial"/>
          <w:sz w:val="24"/>
          <w:szCs w:val="24"/>
        </w:rPr>
        <w:t xml:space="preserve">, 9.41; le sigue Sura, 9.13 y la tasa más baja la viene ofreciendo Coppel, 6.35. Esto es, los rendimientos promedio arrojado por las inversiones de los fondos de pensiones tiene una variación de más </w:t>
      </w:r>
      <w:r w:rsidR="00597F42" w:rsidRPr="00A93228">
        <w:rPr>
          <w:rFonts w:ascii="Arial" w:hAnsi="Arial" w:cs="Arial"/>
          <w:sz w:val="24"/>
          <w:szCs w:val="24"/>
        </w:rPr>
        <w:t xml:space="preserve">de un 3%  entre la más administradora más eficiente y la menos eficiente. También encontramos que las administradoras multinacionales no necesariamente registran </w:t>
      </w:r>
      <w:r w:rsidR="00597F42" w:rsidRPr="00A93228">
        <w:rPr>
          <w:rFonts w:ascii="Arial" w:hAnsi="Arial" w:cs="Arial"/>
          <w:sz w:val="24"/>
          <w:szCs w:val="24"/>
        </w:rPr>
        <w:lastRenderedPageBreak/>
        <w:t xml:space="preserve">los mayores rendimientos de todo el sistema, aunque tampoco son los más bajos. Los picos de los rendimientos están asociados a las administradoras nacionales.   </w:t>
      </w:r>
      <w:r w:rsidR="00860388" w:rsidRPr="00A93228">
        <w:rPr>
          <w:rFonts w:ascii="Arial" w:hAnsi="Arial" w:cs="Arial"/>
          <w:sz w:val="24"/>
          <w:szCs w:val="24"/>
        </w:rPr>
        <w:t xml:space="preserve">  </w:t>
      </w:r>
      <w:r w:rsidR="00BF3321" w:rsidRPr="00A93228">
        <w:rPr>
          <w:rFonts w:ascii="Arial" w:hAnsi="Arial" w:cs="Arial"/>
          <w:sz w:val="24"/>
          <w:szCs w:val="24"/>
        </w:rPr>
        <w:t xml:space="preserve">     </w:t>
      </w:r>
    </w:p>
    <w:p w:rsidR="00415949" w:rsidRDefault="00E3106F" w:rsidP="00DF720B">
      <w:pPr>
        <w:spacing w:after="0" w:line="480" w:lineRule="auto"/>
        <w:ind w:firstLine="708"/>
        <w:jc w:val="both"/>
        <w:rPr>
          <w:rFonts w:ascii="Arial" w:hAnsi="Arial" w:cs="Arial"/>
          <w:color w:val="000000" w:themeColor="text1"/>
          <w:sz w:val="24"/>
          <w:szCs w:val="24"/>
        </w:rPr>
      </w:pPr>
      <w:r w:rsidRPr="00A93228">
        <w:rPr>
          <w:rFonts w:ascii="Arial" w:hAnsi="Arial" w:cs="Arial"/>
          <w:color w:val="000000" w:themeColor="text1"/>
          <w:sz w:val="24"/>
          <w:szCs w:val="24"/>
        </w:rPr>
        <w:t xml:space="preserve">Sobre las comisiones que cobran las administradoras </w:t>
      </w:r>
      <w:r w:rsidR="001E2369" w:rsidRPr="00A93228">
        <w:rPr>
          <w:rFonts w:ascii="Arial" w:hAnsi="Arial" w:cs="Arial"/>
          <w:color w:val="000000" w:themeColor="text1"/>
          <w:sz w:val="24"/>
          <w:szCs w:val="24"/>
        </w:rPr>
        <w:t>destaca que en los años previos a la crisis financiera venias aumentando año con año aunque su nivel se encontraba por debajo del 1%. Durante los años de crisis aumentan por arriba del 1%, manteniéndose en esos niveles hasta el primer semestre de 2014</w:t>
      </w:r>
      <w:r w:rsidR="00332D4D">
        <w:rPr>
          <w:rFonts w:ascii="Arial" w:hAnsi="Arial" w:cs="Arial"/>
          <w:color w:val="000000" w:themeColor="text1"/>
          <w:sz w:val="24"/>
          <w:szCs w:val="24"/>
        </w:rPr>
        <w:t>.</w:t>
      </w:r>
      <w:r w:rsidR="001E2369" w:rsidRPr="00A93228">
        <w:rPr>
          <w:rFonts w:ascii="Arial" w:hAnsi="Arial" w:cs="Arial"/>
          <w:color w:val="000000" w:themeColor="text1"/>
          <w:sz w:val="24"/>
          <w:szCs w:val="24"/>
        </w:rPr>
        <w:t xml:space="preserve"> Al parecer las administradoras aumentan las comisiones derivado de los costos que impone la volatilidad internacional, pero también puede ocurrir que estos aumentos están más asociados a la ineficacia con que se conducen las administradoras y por alcanzar mayores ganancias por el hecho de que las inversiones de los fondos no les reditúan las utilidades esperadas, por lo que restan rendimientos a las cuentas individuales propiedad de los trabajadores año con año. </w:t>
      </w:r>
    </w:p>
    <w:p w:rsidR="00326F7D" w:rsidRPr="00A93228" w:rsidRDefault="00326F7D" w:rsidP="00DF720B">
      <w:pPr>
        <w:spacing w:after="0" w:line="480" w:lineRule="auto"/>
        <w:ind w:firstLine="708"/>
        <w:jc w:val="both"/>
        <w:rPr>
          <w:rFonts w:ascii="Arial" w:hAnsi="Arial" w:cs="Arial"/>
          <w:color w:val="000000" w:themeColor="text1"/>
          <w:sz w:val="24"/>
          <w:szCs w:val="24"/>
        </w:rPr>
      </w:pPr>
    </w:p>
    <w:p w:rsidR="000C55D5" w:rsidRPr="000C55D5" w:rsidRDefault="008A1222" w:rsidP="00B923F3">
      <w:pPr>
        <w:pStyle w:val="Ttulo1"/>
        <w:numPr>
          <w:ilvl w:val="0"/>
          <w:numId w:val="11"/>
        </w:numPr>
        <w:spacing w:before="0" w:after="400"/>
        <w:ind w:left="1077" w:hanging="357"/>
        <w:jc w:val="both"/>
        <w:rPr>
          <w:rFonts w:cs="Arial"/>
          <w:szCs w:val="24"/>
          <w:lang w:val="es-ES"/>
        </w:rPr>
      </w:pPr>
      <w:bookmarkStart w:id="91" w:name="_Toc401571177"/>
      <w:bookmarkStart w:id="92" w:name="_Toc401577568"/>
      <w:bookmarkStart w:id="93" w:name="_Toc401578515"/>
      <w:bookmarkStart w:id="94" w:name="_Toc401580979"/>
      <w:bookmarkStart w:id="95" w:name="_Toc401581468"/>
      <w:bookmarkStart w:id="96" w:name="_Toc401586009"/>
      <w:bookmarkStart w:id="97" w:name="_Toc402948941"/>
      <w:r w:rsidRPr="00A93228">
        <w:rPr>
          <w:lang w:val="es-ES"/>
        </w:rPr>
        <w:t xml:space="preserve">DESEMPEÑO DE </w:t>
      </w:r>
      <w:r w:rsidR="0027786D" w:rsidRPr="00A93228">
        <w:rPr>
          <w:lang w:val="es-ES"/>
        </w:rPr>
        <w:t>LOS TRASPASOS</w:t>
      </w:r>
      <w:bookmarkEnd w:id="91"/>
      <w:bookmarkEnd w:id="92"/>
      <w:bookmarkEnd w:id="93"/>
      <w:bookmarkEnd w:id="94"/>
      <w:bookmarkEnd w:id="95"/>
      <w:bookmarkEnd w:id="96"/>
      <w:bookmarkEnd w:id="97"/>
    </w:p>
    <w:p w:rsidR="00326F7D" w:rsidRPr="00326F7D" w:rsidRDefault="00326F7D" w:rsidP="00326F7D">
      <w:pPr>
        <w:spacing w:after="0" w:line="480" w:lineRule="auto"/>
        <w:ind w:firstLine="709"/>
        <w:jc w:val="both"/>
        <w:rPr>
          <w:rFonts w:ascii="Arial" w:hAnsi="Arial" w:cs="Arial"/>
          <w:color w:val="000000" w:themeColor="text1"/>
          <w:sz w:val="24"/>
          <w:szCs w:val="24"/>
          <w:lang w:val="es-ES"/>
        </w:rPr>
      </w:pPr>
      <w:r w:rsidRPr="00A93228">
        <w:rPr>
          <w:rFonts w:ascii="Arial" w:hAnsi="Arial" w:cs="Arial"/>
          <w:color w:val="000000" w:themeColor="text1"/>
          <w:sz w:val="24"/>
          <w:szCs w:val="24"/>
          <w:lang w:val="es-ES"/>
        </w:rPr>
        <w:t xml:space="preserve">Esta investigación busca destacar que la movilidad creciente de los traspasos por parte de los trabajadores tiene implicaciones que erosionan sus pensiones y que se llevan a cabo por otras causales precisamente contrarias a las establecidas derivado por la falta de regulación de las entidades respectivas. Las preguntas que deben de privar y que deben ser contestadas por todos los involucrados, serían entonces: ¿Por qué cambian de administradora los trabajadores? ¿Qué beneficios financieros atraen a los trabajadores para emigrar </w:t>
      </w:r>
      <w:r w:rsidRPr="00A93228">
        <w:rPr>
          <w:rFonts w:ascii="Arial" w:hAnsi="Arial" w:cs="Arial"/>
          <w:color w:val="000000" w:themeColor="text1"/>
          <w:sz w:val="24"/>
          <w:szCs w:val="24"/>
          <w:lang w:val="es-ES"/>
        </w:rPr>
        <w:lastRenderedPageBreak/>
        <w:t xml:space="preserve">a otra administradora? O bien ¿Cuáles son las variables que dinamizan fundamentalmente los traspasos? </w:t>
      </w:r>
    </w:p>
    <w:p w:rsidR="00BB1A29" w:rsidRPr="00A93228" w:rsidRDefault="000C55D5" w:rsidP="000C55D5">
      <w:pPr>
        <w:spacing w:line="480" w:lineRule="auto"/>
        <w:ind w:firstLine="708"/>
        <w:rPr>
          <w:rFonts w:ascii="Arial" w:hAnsi="Arial" w:cs="Arial"/>
          <w:color w:val="000000" w:themeColor="text1"/>
          <w:sz w:val="24"/>
          <w:szCs w:val="24"/>
          <w:lang w:val="es-ES"/>
        </w:rPr>
      </w:pPr>
      <w:r w:rsidRPr="00A93228">
        <w:rPr>
          <w:rFonts w:ascii="Arial" w:hAnsi="Arial" w:cs="Arial"/>
          <w:color w:val="000000" w:themeColor="text1"/>
          <w:sz w:val="24"/>
          <w:szCs w:val="24"/>
          <w:lang w:val="es-ES"/>
        </w:rPr>
        <w:t>Las</w:t>
      </w:r>
      <w:r>
        <w:rPr>
          <w:rFonts w:ascii="Arial" w:hAnsi="Arial" w:cs="Arial"/>
          <w:color w:val="000000" w:themeColor="text1"/>
          <w:sz w:val="24"/>
          <w:szCs w:val="24"/>
          <w:lang w:val="es-ES"/>
        </w:rPr>
        <w:t xml:space="preserve"> </w:t>
      </w:r>
      <w:r w:rsidR="001540B4" w:rsidRPr="00A93228">
        <w:rPr>
          <w:rFonts w:ascii="Arial" w:hAnsi="Arial" w:cs="Arial"/>
          <w:color w:val="000000" w:themeColor="text1"/>
          <w:sz w:val="24"/>
          <w:szCs w:val="24"/>
          <w:lang w:val="es-ES"/>
        </w:rPr>
        <w:t xml:space="preserve">preguntas que formulamos y que este trabajo pretende contestar </w:t>
      </w:r>
      <w:r w:rsidR="005E0239" w:rsidRPr="00A93228">
        <w:rPr>
          <w:rFonts w:ascii="Arial" w:hAnsi="Arial" w:cs="Arial"/>
          <w:color w:val="000000" w:themeColor="text1"/>
          <w:sz w:val="24"/>
          <w:szCs w:val="24"/>
          <w:lang w:val="es-ES"/>
        </w:rPr>
        <w:t xml:space="preserve">tiene </w:t>
      </w:r>
      <w:r w:rsidR="001540B4" w:rsidRPr="00A93228">
        <w:rPr>
          <w:rFonts w:ascii="Arial" w:hAnsi="Arial" w:cs="Arial"/>
          <w:color w:val="000000" w:themeColor="text1"/>
          <w:sz w:val="24"/>
          <w:szCs w:val="24"/>
          <w:lang w:val="es-ES"/>
        </w:rPr>
        <w:t xml:space="preserve">el propósito de ofrecer </w:t>
      </w:r>
      <w:r w:rsidR="005E0239" w:rsidRPr="00A93228">
        <w:rPr>
          <w:rFonts w:ascii="Arial" w:hAnsi="Arial" w:cs="Arial"/>
          <w:color w:val="000000" w:themeColor="text1"/>
          <w:sz w:val="24"/>
          <w:szCs w:val="24"/>
          <w:lang w:val="es-ES"/>
        </w:rPr>
        <w:t>los determinantes de los traspasos, las causales de su importante crecimiento y las implicaciones para las pensiones de los trabajadores. Sostenemos desde un inicio que los traspasos son una derivación directa de las políticas y estrategias emprendidas por las administradoras  para atraer un mayor número de cuentas individuales, con el consentimiento de la autoridad reguladora y, que por tanto contradice y se antepone al objetivo de que los trabajadores maximicen su beneficio financiero</w:t>
      </w:r>
      <w:r w:rsidR="00143BB4" w:rsidRPr="00A93228">
        <w:rPr>
          <w:rFonts w:ascii="Arial" w:hAnsi="Arial" w:cs="Arial"/>
          <w:color w:val="000000" w:themeColor="text1"/>
          <w:sz w:val="24"/>
          <w:szCs w:val="24"/>
          <w:lang w:val="es-ES"/>
        </w:rPr>
        <w:t xml:space="preserve"> por lo que emigran a otra administradora</w:t>
      </w:r>
      <w:r w:rsidR="005E0239" w:rsidRPr="00A93228">
        <w:rPr>
          <w:rFonts w:ascii="Arial" w:hAnsi="Arial" w:cs="Arial"/>
          <w:color w:val="000000" w:themeColor="text1"/>
          <w:sz w:val="24"/>
          <w:szCs w:val="24"/>
          <w:lang w:val="es-ES"/>
        </w:rPr>
        <w:t xml:space="preserve">: el mayor rendimiento neto.   </w:t>
      </w:r>
      <w:r w:rsidR="001540B4" w:rsidRPr="00A93228">
        <w:rPr>
          <w:rFonts w:ascii="Arial" w:hAnsi="Arial" w:cs="Arial"/>
          <w:color w:val="000000" w:themeColor="text1"/>
          <w:sz w:val="24"/>
          <w:szCs w:val="24"/>
          <w:lang w:val="es-ES"/>
        </w:rPr>
        <w:t xml:space="preserve">   </w:t>
      </w:r>
      <w:r w:rsidR="007473E5" w:rsidRPr="00A93228">
        <w:rPr>
          <w:rFonts w:ascii="Arial" w:hAnsi="Arial" w:cs="Arial"/>
          <w:color w:val="000000" w:themeColor="text1"/>
          <w:sz w:val="24"/>
          <w:szCs w:val="24"/>
          <w:lang w:val="es-ES"/>
        </w:rPr>
        <w:t xml:space="preserve">   </w:t>
      </w:r>
      <w:r w:rsidR="001D04E8" w:rsidRPr="00A93228">
        <w:rPr>
          <w:rFonts w:ascii="Arial" w:hAnsi="Arial" w:cs="Arial"/>
          <w:color w:val="000000" w:themeColor="text1"/>
          <w:sz w:val="24"/>
          <w:szCs w:val="24"/>
          <w:lang w:val="es-ES"/>
        </w:rPr>
        <w:t xml:space="preserve">     </w:t>
      </w:r>
      <w:r w:rsidR="00436485" w:rsidRPr="00A93228">
        <w:rPr>
          <w:rFonts w:ascii="Arial" w:hAnsi="Arial" w:cs="Arial"/>
          <w:color w:val="000000" w:themeColor="text1"/>
          <w:sz w:val="24"/>
          <w:szCs w:val="24"/>
          <w:lang w:val="es-ES"/>
        </w:rPr>
        <w:t xml:space="preserve">   </w:t>
      </w:r>
      <w:r w:rsidR="00A2290A" w:rsidRPr="00A93228">
        <w:rPr>
          <w:rFonts w:ascii="Arial" w:hAnsi="Arial" w:cs="Arial"/>
          <w:color w:val="000000" w:themeColor="text1"/>
          <w:sz w:val="24"/>
          <w:szCs w:val="24"/>
          <w:lang w:val="es-ES"/>
        </w:rPr>
        <w:t xml:space="preserve">    </w:t>
      </w:r>
    </w:p>
    <w:p w:rsidR="00633C30" w:rsidRPr="00A93228" w:rsidRDefault="007941A6" w:rsidP="00590165">
      <w:pPr>
        <w:spacing w:line="480" w:lineRule="auto"/>
        <w:ind w:firstLine="708"/>
        <w:jc w:val="both"/>
        <w:rPr>
          <w:rFonts w:ascii="Arial" w:hAnsi="Arial" w:cs="Arial"/>
          <w:color w:val="000000" w:themeColor="text1"/>
          <w:sz w:val="24"/>
          <w:szCs w:val="24"/>
          <w:lang w:val="es-ES"/>
        </w:rPr>
      </w:pPr>
      <w:r w:rsidRPr="00B369A3">
        <w:rPr>
          <w:rFonts w:ascii="Arial" w:hAnsi="Arial" w:cs="Arial"/>
          <w:color w:val="000000" w:themeColor="text1"/>
          <w:sz w:val="24"/>
          <w:szCs w:val="24"/>
          <w:lang w:val="es-ES"/>
        </w:rPr>
        <w:t>Primeramente hay que señalar que la dinámica alcanzada por los traspasos entre los años que van del 2005 al 2014 es muy significativa</w:t>
      </w:r>
      <w:r w:rsidR="00DE7F1B" w:rsidRPr="00B369A3">
        <w:rPr>
          <w:rFonts w:ascii="Arial" w:hAnsi="Arial" w:cs="Arial"/>
          <w:color w:val="000000" w:themeColor="text1"/>
          <w:sz w:val="24"/>
          <w:szCs w:val="24"/>
          <w:lang w:val="es-ES"/>
        </w:rPr>
        <w:t xml:space="preserve"> ya que se registraron 22.5 millones de traspasos, un promedio anual cercano a los 2.5 millones, siendo el año de 2006 cuando se realizaron el mayor número de traspasos anuales, 3,8 millones.</w:t>
      </w:r>
      <w:r w:rsidR="00A81B37" w:rsidRPr="00B369A3">
        <w:rPr>
          <w:rFonts w:ascii="Arial" w:hAnsi="Arial" w:cs="Arial"/>
          <w:color w:val="000000" w:themeColor="text1"/>
          <w:sz w:val="24"/>
          <w:szCs w:val="24"/>
          <w:lang w:val="es-ES"/>
        </w:rPr>
        <w:t xml:space="preserve"> Sin embargo, el 60% de los traspasos se llevaron a cabo tan solo en cuatro</w:t>
      </w:r>
      <w:r w:rsidR="00633C30" w:rsidRPr="00B369A3">
        <w:rPr>
          <w:rFonts w:ascii="Arial" w:hAnsi="Arial" w:cs="Arial"/>
          <w:color w:val="000000" w:themeColor="text1"/>
          <w:sz w:val="24"/>
          <w:szCs w:val="24"/>
          <w:lang w:val="es-ES"/>
        </w:rPr>
        <w:t xml:space="preserve"> año, del 2006 al 2009 </w:t>
      </w:r>
      <w:r w:rsidR="00332D4D" w:rsidRPr="000C09C9">
        <w:rPr>
          <w:rFonts w:ascii="Arial" w:hAnsi="Arial" w:cs="Arial"/>
          <w:color w:val="000000" w:themeColor="text1"/>
          <w:sz w:val="24"/>
          <w:szCs w:val="24"/>
          <w:lang w:val="es-ES"/>
        </w:rPr>
        <w:t>(cuadro 9</w:t>
      </w:r>
      <w:r w:rsidR="00A81B37" w:rsidRPr="000C09C9">
        <w:rPr>
          <w:rFonts w:ascii="Arial" w:hAnsi="Arial" w:cs="Arial"/>
          <w:color w:val="000000" w:themeColor="text1"/>
          <w:sz w:val="24"/>
          <w:szCs w:val="24"/>
          <w:lang w:val="es-ES"/>
        </w:rPr>
        <w:t>).</w:t>
      </w:r>
      <w:r w:rsidR="00BC6B9B" w:rsidRPr="00A93228">
        <w:rPr>
          <w:rFonts w:ascii="Arial" w:hAnsi="Arial" w:cs="Arial"/>
          <w:color w:val="000000" w:themeColor="text1"/>
          <w:sz w:val="24"/>
          <w:szCs w:val="24"/>
          <w:lang w:val="es-ES"/>
        </w:rPr>
        <w:t xml:space="preserve"> </w:t>
      </w:r>
      <w:r w:rsidR="00CC1B90" w:rsidRPr="00A93228">
        <w:rPr>
          <w:rFonts w:ascii="Arial" w:hAnsi="Arial" w:cs="Arial"/>
          <w:color w:val="000000" w:themeColor="text1"/>
          <w:sz w:val="24"/>
          <w:szCs w:val="24"/>
          <w:lang w:val="es-ES"/>
        </w:rPr>
        <w:t>Si bien es cierto que a partir del 2009 los traspasos empezaron a disminuir su número año con año es cercano a los 2 millones, es decir, representan una cifra considerable y que al parecer es sumamente difícil de abatir.</w:t>
      </w:r>
    </w:p>
    <w:p w:rsidR="00590165" w:rsidRDefault="00590165" w:rsidP="00464D60">
      <w:pPr>
        <w:pStyle w:val="Puesto"/>
        <w:sectPr w:rsidR="00590165" w:rsidSect="002639CF">
          <w:pgSz w:w="12240" w:h="15840"/>
          <w:pgMar w:top="1417" w:right="1701" w:bottom="1417" w:left="1701" w:header="708" w:footer="708" w:gutter="0"/>
          <w:cols w:space="708"/>
          <w:docGrid w:linePitch="360"/>
        </w:sectPr>
      </w:pPr>
    </w:p>
    <w:p w:rsidR="001D78A2" w:rsidRDefault="00CC3D48" w:rsidP="00CC3D48">
      <w:pPr>
        <w:pStyle w:val="Puesto"/>
      </w:pPr>
      <w:bookmarkStart w:id="98" w:name="_Toc401585970"/>
      <w:bookmarkStart w:id="99" w:name="_Toc402963906"/>
      <w:r>
        <w:lastRenderedPageBreak/>
        <w:t xml:space="preserve">Cuadro </w:t>
      </w:r>
      <w:r w:rsidR="009E6570">
        <w:fldChar w:fldCharType="begin"/>
      </w:r>
      <w:r w:rsidR="009E6570">
        <w:instrText xml:space="preserve"> SEQ Cuadro \* ARABIC </w:instrText>
      </w:r>
      <w:r w:rsidR="009E6570">
        <w:fldChar w:fldCharType="separate"/>
      </w:r>
      <w:r>
        <w:rPr>
          <w:noProof/>
        </w:rPr>
        <w:t>9</w:t>
      </w:r>
      <w:r w:rsidR="009E6570">
        <w:rPr>
          <w:noProof/>
        </w:rPr>
        <w:fldChar w:fldCharType="end"/>
      </w:r>
      <w:r>
        <w:t>.</w:t>
      </w:r>
      <w:r w:rsidR="00590165">
        <w:t xml:space="preserve"> </w:t>
      </w:r>
      <w:r w:rsidR="001D78A2" w:rsidRPr="00633C30">
        <w:t>T</w:t>
      </w:r>
      <w:r w:rsidR="009926F4" w:rsidRPr="00633C30">
        <w:t xml:space="preserve">otal de cuentas recibidas por </w:t>
      </w:r>
      <w:r w:rsidR="001D78A2" w:rsidRPr="00633C30">
        <w:t>AFORE, 2005-2014</w:t>
      </w:r>
      <w:bookmarkEnd w:id="98"/>
      <w:bookmarkEnd w:id="99"/>
    </w:p>
    <w:tbl>
      <w:tblPr>
        <w:tblW w:w="12120" w:type="dxa"/>
        <w:jc w:val="center"/>
        <w:tblCellMar>
          <w:left w:w="70" w:type="dxa"/>
          <w:right w:w="70" w:type="dxa"/>
        </w:tblCellMar>
        <w:tblLook w:val="04A0" w:firstRow="1" w:lastRow="0" w:firstColumn="1" w:lastColumn="0" w:noHBand="0" w:noVBand="1"/>
      </w:tblPr>
      <w:tblGrid>
        <w:gridCol w:w="1600"/>
        <w:gridCol w:w="941"/>
        <w:gridCol w:w="941"/>
        <w:gridCol w:w="941"/>
        <w:gridCol w:w="941"/>
        <w:gridCol w:w="941"/>
        <w:gridCol w:w="941"/>
        <w:gridCol w:w="941"/>
        <w:gridCol w:w="941"/>
        <w:gridCol w:w="941"/>
        <w:gridCol w:w="941"/>
        <w:gridCol w:w="1121"/>
      </w:tblGrid>
      <w:tr w:rsidR="00590165" w:rsidRPr="00590165" w:rsidTr="00F7408A">
        <w:trPr>
          <w:trHeight w:val="300"/>
          <w:jc w:val="center"/>
        </w:trPr>
        <w:tc>
          <w:tcPr>
            <w:tcW w:w="1600" w:type="dxa"/>
            <w:vMerge w:val="restart"/>
            <w:tcBorders>
              <w:top w:val="single" w:sz="8" w:space="0" w:color="FFFFFF"/>
              <w:left w:val="single" w:sz="8" w:space="0" w:color="FFFFFF"/>
              <w:bottom w:val="single" w:sz="4" w:space="0" w:color="E4E3E3"/>
              <w:right w:val="single" w:sz="12" w:space="0" w:color="FFFFFF"/>
            </w:tcBorders>
            <w:shd w:val="clear" w:color="000000" w:fill="1D1B10"/>
            <w:noWrap/>
            <w:vAlign w:val="center"/>
            <w:hideMark/>
          </w:tcPr>
          <w:p w:rsidR="00590165" w:rsidRPr="00590165" w:rsidRDefault="00590165" w:rsidP="00590165">
            <w:pPr>
              <w:spacing w:after="0" w:line="240" w:lineRule="auto"/>
              <w:jc w:val="center"/>
              <w:rPr>
                <w:rFonts w:ascii="Arial" w:eastAsia="Times New Roman" w:hAnsi="Arial" w:cs="Arial"/>
                <w:b/>
                <w:bCs/>
                <w:color w:val="FFFFFF"/>
                <w:sz w:val="18"/>
                <w:szCs w:val="18"/>
                <w:lang w:eastAsia="es-MX"/>
              </w:rPr>
            </w:pPr>
            <w:r w:rsidRPr="00590165">
              <w:rPr>
                <w:rFonts w:ascii="Arial" w:eastAsia="Times New Roman" w:hAnsi="Arial" w:cs="Arial"/>
                <w:b/>
                <w:bCs/>
                <w:color w:val="FFFFFF"/>
                <w:sz w:val="18"/>
                <w:szCs w:val="18"/>
                <w:lang w:eastAsia="es-MX"/>
              </w:rPr>
              <w:t>Afore</w:t>
            </w:r>
          </w:p>
        </w:tc>
        <w:tc>
          <w:tcPr>
            <w:tcW w:w="940" w:type="dxa"/>
            <w:vMerge w:val="restart"/>
            <w:tcBorders>
              <w:top w:val="single" w:sz="8" w:space="0" w:color="FFFFFF"/>
              <w:left w:val="single" w:sz="12" w:space="0" w:color="FFFFFF"/>
              <w:bottom w:val="single" w:sz="12" w:space="0" w:color="FFFFFF"/>
              <w:right w:val="single" w:sz="12" w:space="0" w:color="FFFFFF"/>
            </w:tcBorders>
            <w:shd w:val="clear" w:color="000000" w:fill="1D1B10"/>
            <w:vAlign w:val="center"/>
            <w:hideMark/>
          </w:tcPr>
          <w:p w:rsidR="00590165" w:rsidRPr="00590165" w:rsidRDefault="00590165" w:rsidP="00590165">
            <w:pPr>
              <w:spacing w:after="0" w:line="240" w:lineRule="auto"/>
              <w:jc w:val="center"/>
              <w:rPr>
                <w:rFonts w:ascii="Arial" w:eastAsia="Times New Roman" w:hAnsi="Arial" w:cs="Arial"/>
                <w:b/>
                <w:bCs/>
                <w:color w:val="FFFFFF"/>
                <w:sz w:val="18"/>
                <w:szCs w:val="18"/>
                <w:lang w:eastAsia="es-MX"/>
              </w:rPr>
            </w:pPr>
            <w:r w:rsidRPr="00590165">
              <w:rPr>
                <w:rFonts w:ascii="Arial" w:eastAsia="Times New Roman" w:hAnsi="Arial" w:cs="Arial"/>
                <w:b/>
                <w:bCs/>
                <w:color w:val="FFFFFF"/>
                <w:sz w:val="18"/>
                <w:szCs w:val="18"/>
                <w:lang w:eastAsia="es-MX"/>
              </w:rPr>
              <w:t>2005</w:t>
            </w:r>
          </w:p>
        </w:tc>
        <w:tc>
          <w:tcPr>
            <w:tcW w:w="940" w:type="dxa"/>
            <w:vMerge w:val="restart"/>
            <w:tcBorders>
              <w:top w:val="single" w:sz="8" w:space="0" w:color="FFFFFF"/>
              <w:left w:val="single" w:sz="12" w:space="0" w:color="FFFFFF"/>
              <w:bottom w:val="single" w:sz="12" w:space="0" w:color="FFFFFF"/>
              <w:right w:val="single" w:sz="12" w:space="0" w:color="FFFFFF"/>
            </w:tcBorders>
            <w:shd w:val="clear" w:color="000000" w:fill="1D1B10"/>
            <w:vAlign w:val="center"/>
            <w:hideMark/>
          </w:tcPr>
          <w:p w:rsidR="00590165" w:rsidRPr="00590165" w:rsidRDefault="00590165" w:rsidP="00590165">
            <w:pPr>
              <w:spacing w:after="0" w:line="240" w:lineRule="auto"/>
              <w:jc w:val="center"/>
              <w:rPr>
                <w:rFonts w:ascii="Arial" w:eastAsia="Times New Roman" w:hAnsi="Arial" w:cs="Arial"/>
                <w:b/>
                <w:bCs/>
                <w:color w:val="FFFFFF"/>
                <w:sz w:val="18"/>
                <w:szCs w:val="18"/>
                <w:lang w:eastAsia="es-MX"/>
              </w:rPr>
            </w:pPr>
            <w:r w:rsidRPr="00590165">
              <w:rPr>
                <w:rFonts w:ascii="Arial" w:eastAsia="Times New Roman" w:hAnsi="Arial" w:cs="Arial"/>
                <w:b/>
                <w:bCs/>
                <w:color w:val="FFFFFF"/>
                <w:sz w:val="18"/>
                <w:szCs w:val="18"/>
                <w:lang w:eastAsia="es-MX"/>
              </w:rPr>
              <w:t>2006</w:t>
            </w:r>
          </w:p>
        </w:tc>
        <w:tc>
          <w:tcPr>
            <w:tcW w:w="940" w:type="dxa"/>
            <w:vMerge w:val="restart"/>
            <w:tcBorders>
              <w:top w:val="single" w:sz="8" w:space="0" w:color="FFFFFF"/>
              <w:left w:val="single" w:sz="12" w:space="0" w:color="FFFFFF"/>
              <w:bottom w:val="single" w:sz="12" w:space="0" w:color="FFFFFF"/>
              <w:right w:val="single" w:sz="12" w:space="0" w:color="FFFFFF"/>
            </w:tcBorders>
            <w:shd w:val="clear" w:color="000000" w:fill="1D1B10"/>
            <w:vAlign w:val="center"/>
            <w:hideMark/>
          </w:tcPr>
          <w:p w:rsidR="00590165" w:rsidRPr="00590165" w:rsidRDefault="00590165" w:rsidP="00590165">
            <w:pPr>
              <w:spacing w:after="0" w:line="240" w:lineRule="auto"/>
              <w:jc w:val="center"/>
              <w:rPr>
                <w:rFonts w:ascii="Arial" w:eastAsia="Times New Roman" w:hAnsi="Arial" w:cs="Arial"/>
                <w:b/>
                <w:bCs/>
                <w:color w:val="FFFFFF"/>
                <w:sz w:val="18"/>
                <w:szCs w:val="18"/>
                <w:lang w:eastAsia="es-MX"/>
              </w:rPr>
            </w:pPr>
            <w:r w:rsidRPr="00590165">
              <w:rPr>
                <w:rFonts w:ascii="Arial" w:eastAsia="Times New Roman" w:hAnsi="Arial" w:cs="Arial"/>
                <w:b/>
                <w:bCs/>
                <w:color w:val="FFFFFF"/>
                <w:sz w:val="18"/>
                <w:szCs w:val="18"/>
                <w:lang w:eastAsia="es-MX"/>
              </w:rPr>
              <w:t>2007</w:t>
            </w:r>
          </w:p>
        </w:tc>
        <w:tc>
          <w:tcPr>
            <w:tcW w:w="940" w:type="dxa"/>
            <w:vMerge w:val="restart"/>
            <w:tcBorders>
              <w:top w:val="single" w:sz="8" w:space="0" w:color="FFFFFF"/>
              <w:left w:val="single" w:sz="12" w:space="0" w:color="FFFFFF"/>
              <w:bottom w:val="single" w:sz="12" w:space="0" w:color="FFFFFF"/>
              <w:right w:val="single" w:sz="12" w:space="0" w:color="FFFFFF"/>
            </w:tcBorders>
            <w:shd w:val="clear" w:color="000000" w:fill="1D1B10"/>
            <w:vAlign w:val="center"/>
            <w:hideMark/>
          </w:tcPr>
          <w:p w:rsidR="00590165" w:rsidRPr="00590165" w:rsidRDefault="00590165" w:rsidP="00590165">
            <w:pPr>
              <w:spacing w:after="0" w:line="240" w:lineRule="auto"/>
              <w:jc w:val="center"/>
              <w:rPr>
                <w:rFonts w:ascii="Arial" w:eastAsia="Times New Roman" w:hAnsi="Arial" w:cs="Arial"/>
                <w:b/>
                <w:bCs/>
                <w:color w:val="FFFFFF"/>
                <w:sz w:val="18"/>
                <w:szCs w:val="18"/>
                <w:lang w:eastAsia="es-MX"/>
              </w:rPr>
            </w:pPr>
            <w:r w:rsidRPr="00590165">
              <w:rPr>
                <w:rFonts w:ascii="Arial" w:eastAsia="Times New Roman" w:hAnsi="Arial" w:cs="Arial"/>
                <w:b/>
                <w:bCs/>
                <w:color w:val="FFFFFF"/>
                <w:sz w:val="18"/>
                <w:szCs w:val="18"/>
                <w:lang w:eastAsia="es-MX"/>
              </w:rPr>
              <w:t>2008</w:t>
            </w:r>
          </w:p>
        </w:tc>
        <w:tc>
          <w:tcPr>
            <w:tcW w:w="940" w:type="dxa"/>
            <w:vMerge w:val="restart"/>
            <w:tcBorders>
              <w:top w:val="single" w:sz="8" w:space="0" w:color="FFFFFF"/>
              <w:left w:val="single" w:sz="12" w:space="0" w:color="FFFFFF"/>
              <w:bottom w:val="single" w:sz="12" w:space="0" w:color="FFFFFF"/>
              <w:right w:val="single" w:sz="12" w:space="0" w:color="FFFFFF"/>
            </w:tcBorders>
            <w:shd w:val="clear" w:color="000000" w:fill="1D1B10"/>
            <w:vAlign w:val="center"/>
            <w:hideMark/>
          </w:tcPr>
          <w:p w:rsidR="00590165" w:rsidRPr="00590165" w:rsidRDefault="00590165" w:rsidP="00590165">
            <w:pPr>
              <w:spacing w:after="0" w:line="240" w:lineRule="auto"/>
              <w:jc w:val="center"/>
              <w:rPr>
                <w:rFonts w:ascii="Arial" w:eastAsia="Times New Roman" w:hAnsi="Arial" w:cs="Arial"/>
                <w:b/>
                <w:bCs/>
                <w:color w:val="FFFFFF"/>
                <w:sz w:val="18"/>
                <w:szCs w:val="18"/>
                <w:lang w:eastAsia="es-MX"/>
              </w:rPr>
            </w:pPr>
            <w:r w:rsidRPr="00590165">
              <w:rPr>
                <w:rFonts w:ascii="Arial" w:eastAsia="Times New Roman" w:hAnsi="Arial" w:cs="Arial"/>
                <w:b/>
                <w:bCs/>
                <w:color w:val="FFFFFF"/>
                <w:sz w:val="18"/>
                <w:szCs w:val="18"/>
                <w:lang w:eastAsia="es-MX"/>
              </w:rPr>
              <w:t>2009</w:t>
            </w:r>
          </w:p>
        </w:tc>
        <w:tc>
          <w:tcPr>
            <w:tcW w:w="940" w:type="dxa"/>
            <w:vMerge w:val="restart"/>
            <w:tcBorders>
              <w:top w:val="single" w:sz="8" w:space="0" w:color="FFFFFF"/>
              <w:left w:val="single" w:sz="12" w:space="0" w:color="FFFFFF"/>
              <w:bottom w:val="single" w:sz="12" w:space="0" w:color="FFFFFF"/>
              <w:right w:val="single" w:sz="12" w:space="0" w:color="FFFFFF"/>
            </w:tcBorders>
            <w:shd w:val="clear" w:color="000000" w:fill="1D1B10"/>
            <w:vAlign w:val="center"/>
            <w:hideMark/>
          </w:tcPr>
          <w:p w:rsidR="00590165" w:rsidRPr="00590165" w:rsidRDefault="00590165" w:rsidP="00590165">
            <w:pPr>
              <w:spacing w:after="0" w:line="240" w:lineRule="auto"/>
              <w:jc w:val="center"/>
              <w:rPr>
                <w:rFonts w:ascii="Arial" w:eastAsia="Times New Roman" w:hAnsi="Arial" w:cs="Arial"/>
                <w:b/>
                <w:bCs/>
                <w:color w:val="FFFFFF"/>
                <w:sz w:val="18"/>
                <w:szCs w:val="18"/>
                <w:lang w:eastAsia="es-MX"/>
              </w:rPr>
            </w:pPr>
            <w:r w:rsidRPr="00590165">
              <w:rPr>
                <w:rFonts w:ascii="Arial" w:eastAsia="Times New Roman" w:hAnsi="Arial" w:cs="Arial"/>
                <w:b/>
                <w:bCs/>
                <w:color w:val="FFFFFF"/>
                <w:sz w:val="18"/>
                <w:szCs w:val="18"/>
                <w:lang w:eastAsia="es-MX"/>
              </w:rPr>
              <w:t>2010</w:t>
            </w:r>
          </w:p>
        </w:tc>
        <w:tc>
          <w:tcPr>
            <w:tcW w:w="940" w:type="dxa"/>
            <w:vMerge w:val="restart"/>
            <w:tcBorders>
              <w:top w:val="single" w:sz="8" w:space="0" w:color="FFFFFF"/>
              <w:left w:val="single" w:sz="12" w:space="0" w:color="FFFFFF"/>
              <w:bottom w:val="single" w:sz="12" w:space="0" w:color="FFFFFF"/>
              <w:right w:val="single" w:sz="12" w:space="0" w:color="FFFFFF"/>
            </w:tcBorders>
            <w:shd w:val="clear" w:color="000000" w:fill="1D1B10"/>
            <w:vAlign w:val="center"/>
            <w:hideMark/>
          </w:tcPr>
          <w:p w:rsidR="00590165" w:rsidRPr="00590165" w:rsidRDefault="00590165" w:rsidP="00590165">
            <w:pPr>
              <w:spacing w:after="0" w:line="240" w:lineRule="auto"/>
              <w:jc w:val="center"/>
              <w:rPr>
                <w:rFonts w:ascii="Arial" w:eastAsia="Times New Roman" w:hAnsi="Arial" w:cs="Arial"/>
                <w:b/>
                <w:bCs/>
                <w:color w:val="FFFFFF"/>
                <w:sz w:val="18"/>
                <w:szCs w:val="18"/>
                <w:lang w:eastAsia="es-MX"/>
              </w:rPr>
            </w:pPr>
            <w:r w:rsidRPr="00590165">
              <w:rPr>
                <w:rFonts w:ascii="Arial" w:eastAsia="Times New Roman" w:hAnsi="Arial" w:cs="Arial"/>
                <w:b/>
                <w:bCs/>
                <w:color w:val="FFFFFF"/>
                <w:sz w:val="18"/>
                <w:szCs w:val="18"/>
                <w:lang w:eastAsia="es-MX"/>
              </w:rPr>
              <w:t>2011</w:t>
            </w:r>
          </w:p>
        </w:tc>
        <w:tc>
          <w:tcPr>
            <w:tcW w:w="940" w:type="dxa"/>
            <w:vMerge w:val="restart"/>
            <w:tcBorders>
              <w:top w:val="single" w:sz="8" w:space="0" w:color="FFFFFF"/>
              <w:left w:val="single" w:sz="12" w:space="0" w:color="FFFFFF"/>
              <w:bottom w:val="single" w:sz="12" w:space="0" w:color="FFFFFF"/>
              <w:right w:val="single" w:sz="12" w:space="0" w:color="FFFFFF"/>
            </w:tcBorders>
            <w:shd w:val="clear" w:color="000000" w:fill="1D1B10"/>
            <w:vAlign w:val="center"/>
            <w:hideMark/>
          </w:tcPr>
          <w:p w:rsidR="00590165" w:rsidRPr="00590165" w:rsidRDefault="00590165" w:rsidP="00590165">
            <w:pPr>
              <w:spacing w:after="0" w:line="240" w:lineRule="auto"/>
              <w:jc w:val="center"/>
              <w:rPr>
                <w:rFonts w:ascii="Arial" w:eastAsia="Times New Roman" w:hAnsi="Arial" w:cs="Arial"/>
                <w:b/>
                <w:bCs/>
                <w:color w:val="FFFFFF"/>
                <w:sz w:val="18"/>
                <w:szCs w:val="18"/>
                <w:lang w:eastAsia="es-MX"/>
              </w:rPr>
            </w:pPr>
            <w:r w:rsidRPr="00590165">
              <w:rPr>
                <w:rFonts w:ascii="Arial" w:eastAsia="Times New Roman" w:hAnsi="Arial" w:cs="Arial"/>
                <w:b/>
                <w:bCs/>
                <w:color w:val="FFFFFF"/>
                <w:sz w:val="18"/>
                <w:szCs w:val="18"/>
                <w:lang w:eastAsia="es-MX"/>
              </w:rPr>
              <w:t>2012</w:t>
            </w:r>
          </w:p>
        </w:tc>
        <w:tc>
          <w:tcPr>
            <w:tcW w:w="940" w:type="dxa"/>
            <w:vMerge w:val="restart"/>
            <w:tcBorders>
              <w:top w:val="single" w:sz="8" w:space="0" w:color="FFFFFF"/>
              <w:left w:val="single" w:sz="12" w:space="0" w:color="FFFFFF"/>
              <w:bottom w:val="single" w:sz="12" w:space="0" w:color="FFFFFF"/>
              <w:right w:val="single" w:sz="8" w:space="0" w:color="FFFFFF"/>
            </w:tcBorders>
            <w:shd w:val="clear" w:color="000000" w:fill="1D1B10"/>
            <w:vAlign w:val="center"/>
            <w:hideMark/>
          </w:tcPr>
          <w:p w:rsidR="00590165" w:rsidRPr="00590165" w:rsidRDefault="00590165" w:rsidP="00590165">
            <w:pPr>
              <w:spacing w:after="0" w:line="240" w:lineRule="auto"/>
              <w:jc w:val="center"/>
              <w:rPr>
                <w:rFonts w:ascii="Arial" w:eastAsia="Times New Roman" w:hAnsi="Arial" w:cs="Arial"/>
                <w:b/>
                <w:bCs/>
                <w:color w:val="FFFFFF"/>
                <w:sz w:val="18"/>
                <w:szCs w:val="18"/>
                <w:lang w:eastAsia="es-MX"/>
              </w:rPr>
            </w:pPr>
            <w:r w:rsidRPr="00590165">
              <w:rPr>
                <w:rFonts w:ascii="Arial" w:eastAsia="Times New Roman" w:hAnsi="Arial" w:cs="Arial"/>
                <w:b/>
                <w:bCs/>
                <w:color w:val="FFFFFF"/>
                <w:sz w:val="18"/>
                <w:szCs w:val="18"/>
                <w:lang w:eastAsia="es-MX"/>
              </w:rPr>
              <w:t>2013</w:t>
            </w:r>
          </w:p>
        </w:tc>
        <w:tc>
          <w:tcPr>
            <w:tcW w:w="940" w:type="dxa"/>
            <w:vMerge w:val="restart"/>
            <w:tcBorders>
              <w:top w:val="single" w:sz="8" w:space="0" w:color="FFFFFF"/>
              <w:left w:val="single" w:sz="12" w:space="0" w:color="FFFFFF"/>
              <w:bottom w:val="single" w:sz="12" w:space="0" w:color="FFFFFF"/>
              <w:right w:val="single" w:sz="8" w:space="0" w:color="FFFFFF"/>
            </w:tcBorders>
            <w:shd w:val="clear" w:color="000000" w:fill="1D1B10"/>
            <w:vAlign w:val="center"/>
            <w:hideMark/>
          </w:tcPr>
          <w:p w:rsidR="00590165" w:rsidRPr="00590165" w:rsidRDefault="00590165" w:rsidP="00590165">
            <w:pPr>
              <w:spacing w:after="0" w:line="240" w:lineRule="auto"/>
              <w:jc w:val="center"/>
              <w:rPr>
                <w:rFonts w:ascii="Arial" w:eastAsia="Times New Roman" w:hAnsi="Arial" w:cs="Arial"/>
                <w:b/>
                <w:bCs/>
                <w:color w:val="FFFFFF"/>
                <w:sz w:val="18"/>
                <w:szCs w:val="18"/>
                <w:lang w:eastAsia="es-MX"/>
              </w:rPr>
            </w:pPr>
            <w:r w:rsidRPr="00590165">
              <w:rPr>
                <w:rFonts w:ascii="Arial" w:eastAsia="Times New Roman" w:hAnsi="Arial" w:cs="Arial"/>
                <w:b/>
                <w:bCs/>
                <w:color w:val="FFFFFF"/>
                <w:sz w:val="18"/>
                <w:szCs w:val="18"/>
                <w:lang w:eastAsia="es-MX"/>
              </w:rPr>
              <w:t xml:space="preserve"> jun 2014</w:t>
            </w:r>
          </w:p>
        </w:tc>
        <w:tc>
          <w:tcPr>
            <w:tcW w:w="1120" w:type="dxa"/>
            <w:vMerge w:val="restart"/>
            <w:tcBorders>
              <w:top w:val="single" w:sz="8" w:space="0" w:color="FFFFFF"/>
              <w:left w:val="single" w:sz="12" w:space="0" w:color="FFFFFF"/>
              <w:bottom w:val="single" w:sz="12" w:space="0" w:color="FFFFFF"/>
              <w:right w:val="single" w:sz="8" w:space="0" w:color="FFFFFF"/>
            </w:tcBorders>
            <w:shd w:val="clear" w:color="000000" w:fill="1D1B10"/>
            <w:vAlign w:val="center"/>
            <w:hideMark/>
          </w:tcPr>
          <w:p w:rsidR="00590165" w:rsidRPr="00590165" w:rsidRDefault="00590165" w:rsidP="00590165">
            <w:pPr>
              <w:spacing w:after="0" w:line="240" w:lineRule="auto"/>
              <w:jc w:val="center"/>
              <w:rPr>
                <w:rFonts w:ascii="Arial" w:eastAsia="Times New Roman" w:hAnsi="Arial" w:cs="Arial"/>
                <w:b/>
                <w:bCs/>
                <w:color w:val="FFFFFF"/>
                <w:sz w:val="18"/>
                <w:szCs w:val="18"/>
                <w:lang w:eastAsia="es-MX"/>
              </w:rPr>
            </w:pPr>
            <w:r w:rsidRPr="00590165">
              <w:rPr>
                <w:rFonts w:ascii="Arial" w:eastAsia="Times New Roman" w:hAnsi="Arial" w:cs="Arial"/>
                <w:b/>
                <w:bCs/>
                <w:color w:val="FFFFFF"/>
                <w:sz w:val="18"/>
                <w:szCs w:val="18"/>
                <w:lang w:eastAsia="es-MX"/>
              </w:rPr>
              <w:t>PROMEDIO POR AFORE</w:t>
            </w:r>
          </w:p>
        </w:tc>
      </w:tr>
      <w:tr w:rsidR="00590165" w:rsidRPr="00590165" w:rsidTr="00F7408A">
        <w:trPr>
          <w:trHeight w:val="207"/>
          <w:jc w:val="center"/>
        </w:trPr>
        <w:tc>
          <w:tcPr>
            <w:tcW w:w="1600" w:type="dxa"/>
            <w:vMerge/>
            <w:tcBorders>
              <w:top w:val="single" w:sz="8" w:space="0" w:color="FFFFFF"/>
              <w:left w:val="single" w:sz="8" w:space="0" w:color="FFFFFF"/>
              <w:bottom w:val="single" w:sz="4" w:space="0" w:color="E4E3E3"/>
              <w:right w:val="single" w:sz="12" w:space="0" w:color="FFFFFF"/>
            </w:tcBorders>
            <w:vAlign w:val="center"/>
            <w:hideMark/>
          </w:tcPr>
          <w:p w:rsidR="00590165" w:rsidRPr="00590165" w:rsidRDefault="00590165" w:rsidP="00590165">
            <w:pPr>
              <w:spacing w:after="0" w:line="240" w:lineRule="auto"/>
              <w:rPr>
                <w:rFonts w:ascii="Arial" w:eastAsia="Times New Roman" w:hAnsi="Arial" w:cs="Arial"/>
                <w:b/>
                <w:bCs/>
                <w:color w:val="FFFFFF"/>
                <w:sz w:val="18"/>
                <w:szCs w:val="18"/>
                <w:lang w:eastAsia="es-MX"/>
              </w:rPr>
            </w:pPr>
          </w:p>
        </w:tc>
        <w:tc>
          <w:tcPr>
            <w:tcW w:w="940" w:type="dxa"/>
            <w:vMerge/>
            <w:tcBorders>
              <w:top w:val="single" w:sz="8" w:space="0" w:color="FFFFFF"/>
              <w:left w:val="single" w:sz="12" w:space="0" w:color="FFFFFF"/>
              <w:bottom w:val="single" w:sz="12" w:space="0" w:color="FFFFFF"/>
              <w:right w:val="single" w:sz="12" w:space="0" w:color="FFFFFF"/>
            </w:tcBorders>
            <w:vAlign w:val="center"/>
            <w:hideMark/>
          </w:tcPr>
          <w:p w:rsidR="00590165" w:rsidRPr="00590165" w:rsidRDefault="00590165" w:rsidP="00590165">
            <w:pPr>
              <w:spacing w:after="0" w:line="240" w:lineRule="auto"/>
              <w:rPr>
                <w:rFonts w:ascii="Arial" w:eastAsia="Times New Roman" w:hAnsi="Arial" w:cs="Arial"/>
                <w:b/>
                <w:bCs/>
                <w:color w:val="FFFFFF"/>
                <w:sz w:val="18"/>
                <w:szCs w:val="18"/>
                <w:lang w:eastAsia="es-MX"/>
              </w:rPr>
            </w:pPr>
          </w:p>
        </w:tc>
        <w:tc>
          <w:tcPr>
            <w:tcW w:w="940" w:type="dxa"/>
            <w:vMerge/>
            <w:tcBorders>
              <w:top w:val="single" w:sz="8" w:space="0" w:color="FFFFFF"/>
              <w:left w:val="single" w:sz="12" w:space="0" w:color="FFFFFF"/>
              <w:bottom w:val="single" w:sz="12" w:space="0" w:color="FFFFFF"/>
              <w:right w:val="single" w:sz="12" w:space="0" w:color="FFFFFF"/>
            </w:tcBorders>
            <w:vAlign w:val="center"/>
            <w:hideMark/>
          </w:tcPr>
          <w:p w:rsidR="00590165" w:rsidRPr="00590165" w:rsidRDefault="00590165" w:rsidP="00590165">
            <w:pPr>
              <w:spacing w:after="0" w:line="240" w:lineRule="auto"/>
              <w:rPr>
                <w:rFonts w:ascii="Arial" w:eastAsia="Times New Roman" w:hAnsi="Arial" w:cs="Arial"/>
                <w:b/>
                <w:bCs/>
                <w:color w:val="FFFFFF"/>
                <w:sz w:val="18"/>
                <w:szCs w:val="18"/>
                <w:lang w:eastAsia="es-MX"/>
              </w:rPr>
            </w:pPr>
          </w:p>
        </w:tc>
        <w:tc>
          <w:tcPr>
            <w:tcW w:w="940" w:type="dxa"/>
            <w:vMerge/>
            <w:tcBorders>
              <w:top w:val="single" w:sz="8" w:space="0" w:color="FFFFFF"/>
              <w:left w:val="single" w:sz="12" w:space="0" w:color="FFFFFF"/>
              <w:bottom w:val="single" w:sz="12" w:space="0" w:color="FFFFFF"/>
              <w:right w:val="single" w:sz="12" w:space="0" w:color="FFFFFF"/>
            </w:tcBorders>
            <w:vAlign w:val="center"/>
            <w:hideMark/>
          </w:tcPr>
          <w:p w:rsidR="00590165" w:rsidRPr="00590165" w:rsidRDefault="00590165" w:rsidP="00590165">
            <w:pPr>
              <w:spacing w:after="0" w:line="240" w:lineRule="auto"/>
              <w:rPr>
                <w:rFonts w:ascii="Arial" w:eastAsia="Times New Roman" w:hAnsi="Arial" w:cs="Arial"/>
                <w:b/>
                <w:bCs/>
                <w:color w:val="FFFFFF"/>
                <w:sz w:val="18"/>
                <w:szCs w:val="18"/>
                <w:lang w:eastAsia="es-MX"/>
              </w:rPr>
            </w:pPr>
          </w:p>
        </w:tc>
        <w:tc>
          <w:tcPr>
            <w:tcW w:w="940" w:type="dxa"/>
            <w:vMerge/>
            <w:tcBorders>
              <w:top w:val="single" w:sz="8" w:space="0" w:color="FFFFFF"/>
              <w:left w:val="single" w:sz="12" w:space="0" w:color="FFFFFF"/>
              <w:bottom w:val="single" w:sz="12" w:space="0" w:color="FFFFFF"/>
              <w:right w:val="single" w:sz="12" w:space="0" w:color="FFFFFF"/>
            </w:tcBorders>
            <w:vAlign w:val="center"/>
            <w:hideMark/>
          </w:tcPr>
          <w:p w:rsidR="00590165" w:rsidRPr="00590165" w:rsidRDefault="00590165" w:rsidP="00590165">
            <w:pPr>
              <w:spacing w:after="0" w:line="240" w:lineRule="auto"/>
              <w:rPr>
                <w:rFonts w:ascii="Arial" w:eastAsia="Times New Roman" w:hAnsi="Arial" w:cs="Arial"/>
                <w:b/>
                <w:bCs/>
                <w:color w:val="FFFFFF"/>
                <w:sz w:val="18"/>
                <w:szCs w:val="18"/>
                <w:lang w:eastAsia="es-MX"/>
              </w:rPr>
            </w:pPr>
          </w:p>
        </w:tc>
        <w:tc>
          <w:tcPr>
            <w:tcW w:w="940" w:type="dxa"/>
            <w:vMerge/>
            <w:tcBorders>
              <w:top w:val="single" w:sz="8" w:space="0" w:color="FFFFFF"/>
              <w:left w:val="single" w:sz="12" w:space="0" w:color="FFFFFF"/>
              <w:bottom w:val="single" w:sz="12" w:space="0" w:color="FFFFFF"/>
              <w:right w:val="single" w:sz="12" w:space="0" w:color="FFFFFF"/>
            </w:tcBorders>
            <w:vAlign w:val="center"/>
            <w:hideMark/>
          </w:tcPr>
          <w:p w:rsidR="00590165" w:rsidRPr="00590165" w:rsidRDefault="00590165" w:rsidP="00590165">
            <w:pPr>
              <w:spacing w:after="0" w:line="240" w:lineRule="auto"/>
              <w:rPr>
                <w:rFonts w:ascii="Arial" w:eastAsia="Times New Roman" w:hAnsi="Arial" w:cs="Arial"/>
                <w:b/>
                <w:bCs/>
                <w:color w:val="FFFFFF"/>
                <w:sz w:val="18"/>
                <w:szCs w:val="18"/>
                <w:lang w:eastAsia="es-MX"/>
              </w:rPr>
            </w:pPr>
          </w:p>
        </w:tc>
        <w:tc>
          <w:tcPr>
            <w:tcW w:w="940" w:type="dxa"/>
            <w:vMerge/>
            <w:tcBorders>
              <w:top w:val="single" w:sz="8" w:space="0" w:color="FFFFFF"/>
              <w:left w:val="single" w:sz="12" w:space="0" w:color="FFFFFF"/>
              <w:bottom w:val="single" w:sz="12" w:space="0" w:color="FFFFFF"/>
              <w:right w:val="single" w:sz="12" w:space="0" w:color="FFFFFF"/>
            </w:tcBorders>
            <w:vAlign w:val="center"/>
            <w:hideMark/>
          </w:tcPr>
          <w:p w:rsidR="00590165" w:rsidRPr="00590165" w:rsidRDefault="00590165" w:rsidP="00590165">
            <w:pPr>
              <w:spacing w:after="0" w:line="240" w:lineRule="auto"/>
              <w:rPr>
                <w:rFonts w:ascii="Arial" w:eastAsia="Times New Roman" w:hAnsi="Arial" w:cs="Arial"/>
                <w:b/>
                <w:bCs/>
                <w:color w:val="FFFFFF"/>
                <w:sz w:val="18"/>
                <w:szCs w:val="18"/>
                <w:lang w:eastAsia="es-MX"/>
              </w:rPr>
            </w:pPr>
          </w:p>
        </w:tc>
        <w:tc>
          <w:tcPr>
            <w:tcW w:w="940" w:type="dxa"/>
            <w:vMerge/>
            <w:tcBorders>
              <w:top w:val="single" w:sz="8" w:space="0" w:color="FFFFFF"/>
              <w:left w:val="single" w:sz="12" w:space="0" w:color="FFFFFF"/>
              <w:bottom w:val="single" w:sz="12" w:space="0" w:color="FFFFFF"/>
              <w:right w:val="single" w:sz="12" w:space="0" w:color="FFFFFF"/>
            </w:tcBorders>
            <w:vAlign w:val="center"/>
            <w:hideMark/>
          </w:tcPr>
          <w:p w:rsidR="00590165" w:rsidRPr="00590165" w:rsidRDefault="00590165" w:rsidP="00590165">
            <w:pPr>
              <w:spacing w:after="0" w:line="240" w:lineRule="auto"/>
              <w:rPr>
                <w:rFonts w:ascii="Arial" w:eastAsia="Times New Roman" w:hAnsi="Arial" w:cs="Arial"/>
                <w:b/>
                <w:bCs/>
                <w:color w:val="FFFFFF"/>
                <w:sz w:val="18"/>
                <w:szCs w:val="18"/>
                <w:lang w:eastAsia="es-MX"/>
              </w:rPr>
            </w:pPr>
          </w:p>
        </w:tc>
        <w:tc>
          <w:tcPr>
            <w:tcW w:w="940" w:type="dxa"/>
            <w:vMerge/>
            <w:tcBorders>
              <w:top w:val="single" w:sz="8" w:space="0" w:color="FFFFFF"/>
              <w:left w:val="single" w:sz="12" w:space="0" w:color="FFFFFF"/>
              <w:bottom w:val="single" w:sz="12" w:space="0" w:color="FFFFFF"/>
              <w:right w:val="single" w:sz="12" w:space="0" w:color="FFFFFF"/>
            </w:tcBorders>
            <w:vAlign w:val="center"/>
            <w:hideMark/>
          </w:tcPr>
          <w:p w:rsidR="00590165" w:rsidRPr="00590165" w:rsidRDefault="00590165" w:rsidP="00590165">
            <w:pPr>
              <w:spacing w:after="0" w:line="240" w:lineRule="auto"/>
              <w:rPr>
                <w:rFonts w:ascii="Arial" w:eastAsia="Times New Roman" w:hAnsi="Arial" w:cs="Arial"/>
                <w:b/>
                <w:bCs/>
                <w:color w:val="FFFFFF"/>
                <w:sz w:val="18"/>
                <w:szCs w:val="18"/>
                <w:lang w:eastAsia="es-MX"/>
              </w:rPr>
            </w:pPr>
          </w:p>
        </w:tc>
        <w:tc>
          <w:tcPr>
            <w:tcW w:w="940" w:type="dxa"/>
            <w:vMerge/>
            <w:tcBorders>
              <w:top w:val="single" w:sz="8" w:space="0" w:color="FFFFFF"/>
              <w:left w:val="single" w:sz="12" w:space="0" w:color="FFFFFF"/>
              <w:bottom w:val="single" w:sz="12" w:space="0" w:color="FFFFFF"/>
              <w:right w:val="single" w:sz="8" w:space="0" w:color="FFFFFF"/>
            </w:tcBorders>
            <w:vAlign w:val="center"/>
            <w:hideMark/>
          </w:tcPr>
          <w:p w:rsidR="00590165" w:rsidRPr="00590165" w:rsidRDefault="00590165" w:rsidP="00590165">
            <w:pPr>
              <w:spacing w:after="0" w:line="240" w:lineRule="auto"/>
              <w:rPr>
                <w:rFonts w:ascii="Arial" w:eastAsia="Times New Roman" w:hAnsi="Arial" w:cs="Arial"/>
                <w:b/>
                <w:bCs/>
                <w:color w:val="FFFFFF"/>
                <w:sz w:val="18"/>
                <w:szCs w:val="18"/>
                <w:lang w:eastAsia="es-MX"/>
              </w:rPr>
            </w:pPr>
          </w:p>
        </w:tc>
        <w:tc>
          <w:tcPr>
            <w:tcW w:w="940" w:type="dxa"/>
            <w:vMerge/>
            <w:tcBorders>
              <w:top w:val="single" w:sz="8" w:space="0" w:color="FFFFFF"/>
              <w:left w:val="single" w:sz="12" w:space="0" w:color="FFFFFF"/>
              <w:bottom w:val="single" w:sz="12" w:space="0" w:color="FFFFFF"/>
              <w:right w:val="single" w:sz="8" w:space="0" w:color="FFFFFF"/>
            </w:tcBorders>
            <w:vAlign w:val="center"/>
            <w:hideMark/>
          </w:tcPr>
          <w:p w:rsidR="00590165" w:rsidRPr="00590165" w:rsidRDefault="00590165" w:rsidP="00590165">
            <w:pPr>
              <w:spacing w:after="0" w:line="240" w:lineRule="auto"/>
              <w:rPr>
                <w:rFonts w:ascii="Arial" w:eastAsia="Times New Roman" w:hAnsi="Arial" w:cs="Arial"/>
                <w:b/>
                <w:bCs/>
                <w:color w:val="FFFFFF"/>
                <w:sz w:val="18"/>
                <w:szCs w:val="18"/>
                <w:lang w:eastAsia="es-MX"/>
              </w:rPr>
            </w:pPr>
          </w:p>
        </w:tc>
        <w:tc>
          <w:tcPr>
            <w:tcW w:w="1120" w:type="dxa"/>
            <w:vMerge/>
            <w:tcBorders>
              <w:top w:val="single" w:sz="8" w:space="0" w:color="FFFFFF"/>
              <w:left w:val="single" w:sz="12" w:space="0" w:color="FFFFFF"/>
              <w:bottom w:val="single" w:sz="12" w:space="0" w:color="FFFFFF"/>
              <w:right w:val="single" w:sz="8" w:space="0" w:color="FFFFFF"/>
            </w:tcBorders>
            <w:vAlign w:val="center"/>
            <w:hideMark/>
          </w:tcPr>
          <w:p w:rsidR="00590165" w:rsidRPr="00590165" w:rsidRDefault="00590165" w:rsidP="00590165">
            <w:pPr>
              <w:spacing w:after="0" w:line="240" w:lineRule="auto"/>
              <w:rPr>
                <w:rFonts w:ascii="Arial" w:eastAsia="Times New Roman" w:hAnsi="Arial" w:cs="Arial"/>
                <w:b/>
                <w:bCs/>
                <w:color w:val="FFFFFF"/>
                <w:sz w:val="18"/>
                <w:szCs w:val="18"/>
                <w:lang w:eastAsia="es-MX"/>
              </w:rPr>
            </w:pPr>
          </w:p>
        </w:tc>
      </w:tr>
      <w:tr w:rsidR="00590165" w:rsidRPr="00590165" w:rsidTr="00F7408A">
        <w:trPr>
          <w:trHeight w:val="270"/>
          <w:jc w:val="center"/>
        </w:trPr>
        <w:tc>
          <w:tcPr>
            <w:tcW w:w="1600" w:type="dxa"/>
            <w:tcBorders>
              <w:top w:val="nil"/>
              <w:left w:val="nil"/>
              <w:bottom w:val="single" w:sz="4" w:space="0" w:color="E4E3E3"/>
              <w:right w:val="nil"/>
            </w:tcBorders>
            <w:shd w:val="clear" w:color="000000" w:fill="948A54"/>
            <w:noWrap/>
            <w:vAlign w:val="center"/>
            <w:hideMark/>
          </w:tcPr>
          <w:p w:rsidR="00590165" w:rsidRPr="00590165" w:rsidRDefault="00590165" w:rsidP="00590165">
            <w:pPr>
              <w:spacing w:after="0" w:line="240" w:lineRule="auto"/>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  Actinver</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44,775</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69,565</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42,865</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1,203</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112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39,602</w:t>
            </w:r>
          </w:p>
        </w:tc>
      </w:tr>
      <w:tr w:rsidR="00590165" w:rsidRPr="00590165" w:rsidTr="00F7408A">
        <w:trPr>
          <w:trHeight w:val="270"/>
          <w:jc w:val="center"/>
        </w:trPr>
        <w:tc>
          <w:tcPr>
            <w:tcW w:w="1600" w:type="dxa"/>
            <w:tcBorders>
              <w:top w:val="nil"/>
              <w:left w:val="nil"/>
              <w:bottom w:val="single" w:sz="4" w:space="0" w:color="E4E3E3"/>
              <w:right w:val="nil"/>
            </w:tcBorders>
            <w:shd w:val="clear" w:color="000000" w:fill="494529"/>
            <w:noWrap/>
            <w:vAlign w:val="center"/>
            <w:hideMark/>
          </w:tcPr>
          <w:p w:rsidR="00590165" w:rsidRPr="00590165" w:rsidRDefault="00590165" w:rsidP="00590165">
            <w:pPr>
              <w:spacing w:after="0" w:line="240" w:lineRule="auto"/>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  Afirme Bajío</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71</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23,832</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8,705</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5,148</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9,836</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6,701</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6,627</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9,048</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5,806</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112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8,419</w:t>
            </w:r>
          </w:p>
        </w:tc>
      </w:tr>
      <w:tr w:rsidR="00590165" w:rsidRPr="00590165" w:rsidTr="00F7408A">
        <w:trPr>
          <w:trHeight w:val="255"/>
          <w:jc w:val="center"/>
        </w:trPr>
        <w:tc>
          <w:tcPr>
            <w:tcW w:w="1600" w:type="dxa"/>
            <w:tcBorders>
              <w:top w:val="nil"/>
              <w:left w:val="nil"/>
              <w:bottom w:val="single" w:sz="4" w:space="0" w:color="E4E3E3"/>
              <w:right w:val="nil"/>
            </w:tcBorders>
            <w:shd w:val="clear" w:color="000000" w:fill="948A54"/>
            <w:noWrap/>
            <w:vAlign w:val="center"/>
            <w:hideMark/>
          </w:tcPr>
          <w:p w:rsidR="00590165" w:rsidRPr="00590165" w:rsidRDefault="00590165" w:rsidP="00590165">
            <w:pPr>
              <w:spacing w:after="0" w:line="240" w:lineRule="auto"/>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  Ahorra Ahora</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69</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95</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765</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315</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112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311</w:t>
            </w:r>
          </w:p>
        </w:tc>
      </w:tr>
      <w:tr w:rsidR="00590165" w:rsidRPr="00590165" w:rsidTr="00F7408A">
        <w:trPr>
          <w:trHeight w:val="255"/>
          <w:jc w:val="center"/>
        </w:trPr>
        <w:tc>
          <w:tcPr>
            <w:tcW w:w="1600" w:type="dxa"/>
            <w:tcBorders>
              <w:top w:val="nil"/>
              <w:left w:val="nil"/>
              <w:bottom w:val="single" w:sz="4" w:space="0" w:color="E4E3E3"/>
              <w:right w:val="nil"/>
            </w:tcBorders>
            <w:shd w:val="clear" w:color="000000" w:fill="494529"/>
            <w:noWrap/>
            <w:vAlign w:val="center"/>
            <w:hideMark/>
          </w:tcPr>
          <w:p w:rsidR="00590165" w:rsidRPr="00590165" w:rsidRDefault="00590165" w:rsidP="00590165">
            <w:pPr>
              <w:spacing w:after="0" w:line="240" w:lineRule="auto"/>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  Argos</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7,043</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6,542</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3,644</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112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5,743</w:t>
            </w:r>
          </w:p>
        </w:tc>
      </w:tr>
      <w:tr w:rsidR="00590165" w:rsidRPr="00590165" w:rsidTr="00F7408A">
        <w:trPr>
          <w:trHeight w:val="285"/>
          <w:jc w:val="center"/>
        </w:trPr>
        <w:tc>
          <w:tcPr>
            <w:tcW w:w="1600" w:type="dxa"/>
            <w:tcBorders>
              <w:top w:val="nil"/>
              <w:left w:val="nil"/>
              <w:bottom w:val="single" w:sz="4" w:space="0" w:color="E4E3E3"/>
              <w:right w:val="nil"/>
            </w:tcBorders>
            <w:shd w:val="clear" w:color="000000" w:fill="948A54"/>
            <w:noWrap/>
            <w:vAlign w:val="center"/>
            <w:hideMark/>
          </w:tcPr>
          <w:p w:rsidR="00590165" w:rsidRPr="00590165" w:rsidRDefault="00590165" w:rsidP="00590165">
            <w:pPr>
              <w:spacing w:after="0" w:line="240" w:lineRule="auto"/>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  Azteca</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160,379</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244,530</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27,993</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15,985</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6,186</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3,371</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3,364</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73,809</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293,249</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217,892</w:t>
            </w:r>
          </w:p>
        </w:tc>
        <w:tc>
          <w:tcPr>
            <w:tcW w:w="112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104,676</w:t>
            </w:r>
          </w:p>
        </w:tc>
      </w:tr>
      <w:tr w:rsidR="00590165" w:rsidRPr="00590165" w:rsidTr="00F7408A">
        <w:trPr>
          <w:trHeight w:val="285"/>
          <w:jc w:val="center"/>
        </w:trPr>
        <w:tc>
          <w:tcPr>
            <w:tcW w:w="1600" w:type="dxa"/>
            <w:tcBorders>
              <w:top w:val="nil"/>
              <w:left w:val="nil"/>
              <w:bottom w:val="single" w:sz="4" w:space="0" w:color="E4E3E3"/>
              <w:right w:val="nil"/>
            </w:tcBorders>
            <w:shd w:val="clear" w:color="000000" w:fill="494529"/>
            <w:noWrap/>
            <w:vAlign w:val="center"/>
            <w:hideMark/>
          </w:tcPr>
          <w:p w:rsidR="00590165" w:rsidRPr="00590165" w:rsidRDefault="00590165" w:rsidP="00590165">
            <w:pPr>
              <w:spacing w:after="0" w:line="240" w:lineRule="auto"/>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  Banamex</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236,731</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439,527</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598,286</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517,134</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308,658</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221,977</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234,335</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177,814</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155,721</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98,414</w:t>
            </w:r>
          </w:p>
        </w:tc>
        <w:tc>
          <w:tcPr>
            <w:tcW w:w="112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298,860</w:t>
            </w:r>
          </w:p>
        </w:tc>
      </w:tr>
      <w:tr w:rsidR="00590165" w:rsidRPr="00590165" w:rsidTr="00F7408A">
        <w:trPr>
          <w:trHeight w:val="255"/>
          <w:jc w:val="center"/>
        </w:trPr>
        <w:tc>
          <w:tcPr>
            <w:tcW w:w="1600" w:type="dxa"/>
            <w:tcBorders>
              <w:top w:val="nil"/>
              <w:left w:val="nil"/>
              <w:bottom w:val="single" w:sz="4" w:space="0" w:color="E4E3E3"/>
              <w:right w:val="nil"/>
            </w:tcBorders>
            <w:shd w:val="clear" w:color="000000" w:fill="948A54"/>
            <w:noWrap/>
            <w:vAlign w:val="center"/>
            <w:hideMark/>
          </w:tcPr>
          <w:p w:rsidR="00590165" w:rsidRPr="00590165" w:rsidRDefault="00590165" w:rsidP="00590165">
            <w:pPr>
              <w:spacing w:after="0" w:line="240" w:lineRule="auto"/>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  Bancomer</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282,958</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453,676</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516,445</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459,938</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313,325</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225,248</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169,814</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161,906</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20,582</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112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289,321</w:t>
            </w:r>
          </w:p>
        </w:tc>
      </w:tr>
      <w:tr w:rsidR="00590165" w:rsidRPr="00590165" w:rsidTr="00F7408A">
        <w:trPr>
          <w:trHeight w:val="255"/>
          <w:jc w:val="center"/>
        </w:trPr>
        <w:tc>
          <w:tcPr>
            <w:tcW w:w="1600" w:type="dxa"/>
            <w:tcBorders>
              <w:top w:val="nil"/>
              <w:left w:val="nil"/>
              <w:bottom w:val="single" w:sz="4" w:space="0" w:color="E4E3E3"/>
              <w:right w:val="nil"/>
            </w:tcBorders>
            <w:shd w:val="clear" w:color="000000" w:fill="494529"/>
            <w:noWrap/>
            <w:vAlign w:val="center"/>
            <w:hideMark/>
          </w:tcPr>
          <w:p w:rsidR="00590165" w:rsidRPr="00590165" w:rsidRDefault="00590165" w:rsidP="00590165">
            <w:pPr>
              <w:spacing w:after="0" w:line="240" w:lineRule="auto"/>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  Banorte Generali</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234,284</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428,143</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260,202</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197,550</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199,623</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183,922</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180,358</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112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240,583</w:t>
            </w:r>
          </w:p>
        </w:tc>
      </w:tr>
      <w:tr w:rsidR="00590165" w:rsidRPr="00590165" w:rsidTr="00F7408A">
        <w:trPr>
          <w:trHeight w:val="255"/>
          <w:jc w:val="center"/>
        </w:trPr>
        <w:tc>
          <w:tcPr>
            <w:tcW w:w="1600" w:type="dxa"/>
            <w:tcBorders>
              <w:top w:val="nil"/>
              <w:left w:val="nil"/>
              <w:bottom w:val="single" w:sz="4" w:space="0" w:color="E4E3E3"/>
              <w:right w:val="nil"/>
            </w:tcBorders>
            <w:shd w:val="clear" w:color="000000" w:fill="948A54"/>
            <w:noWrap/>
            <w:vAlign w:val="center"/>
            <w:hideMark/>
          </w:tcPr>
          <w:p w:rsidR="00590165" w:rsidRPr="00590165" w:rsidRDefault="00590165" w:rsidP="00590165">
            <w:pPr>
              <w:spacing w:after="0" w:line="240" w:lineRule="auto"/>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  Coppel</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21,549</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108,537</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390,072</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424,693</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378,895</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237,287</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331,807</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328,992</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153,422</w:t>
            </w:r>
          </w:p>
        </w:tc>
        <w:tc>
          <w:tcPr>
            <w:tcW w:w="112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263,917</w:t>
            </w:r>
          </w:p>
        </w:tc>
      </w:tr>
      <w:tr w:rsidR="00590165" w:rsidRPr="00590165" w:rsidTr="00F7408A">
        <w:trPr>
          <w:trHeight w:val="255"/>
          <w:jc w:val="center"/>
        </w:trPr>
        <w:tc>
          <w:tcPr>
            <w:tcW w:w="1600" w:type="dxa"/>
            <w:tcBorders>
              <w:top w:val="nil"/>
              <w:left w:val="nil"/>
              <w:bottom w:val="single" w:sz="4" w:space="0" w:color="E4E3E3"/>
              <w:right w:val="nil"/>
            </w:tcBorders>
            <w:shd w:val="clear" w:color="000000" w:fill="494529"/>
            <w:noWrap/>
            <w:vAlign w:val="center"/>
            <w:hideMark/>
          </w:tcPr>
          <w:p w:rsidR="00590165" w:rsidRPr="00590165" w:rsidRDefault="00590165" w:rsidP="00590165">
            <w:pPr>
              <w:spacing w:after="0" w:line="240" w:lineRule="auto"/>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  De la Gente</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21</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1,035</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112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528</w:t>
            </w:r>
          </w:p>
        </w:tc>
      </w:tr>
      <w:tr w:rsidR="00590165" w:rsidRPr="00590165" w:rsidTr="00F7408A">
        <w:trPr>
          <w:trHeight w:val="255"/>
          <w:jc w:val="center"/>
        </w:trPr>
        <w:tc>
          <w:tcPr>
            <w:tcW w:w="1600" w:type="dxa"/>
            <w:tcBorders>
              <w:top w:val="nil"/>
              <w:left w:val="nil"/>
              <w:bottom w:val="single" w:sz="4" w:space="0" w:color="E4E3E3"/>
              <w:right w:val="nil"/>
            </w:tcBorders>
            <w:shd w:val="clear" w:color="000000" w:fill="948A54"/>
            <w:noWrap/>
            <w:vAlign w:val="center"/>
            <w:hideMark/>
          </w:tcPr>
          <w:p w:rsidR="00590165" w:rsidRPr="00590165" w:rsidRDefault="00590165" w:rsidP="00590165">
            <w:pPr>
              <w:spacing w:after="0" w:line="240" w:lineRule="auto"/>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  HSBC</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311,678</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274,957</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174,688</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53,732</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22,507</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1,581</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167</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112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119,901</w:t>
            </w:r>
          </w:p>
        </w:tc>
      </w:tr>
      <w:tr w:rsidR="00590165" w:rsidRPr="00590165" w:rsidTr="00F7408A">
        <w:trPr>
          <w:trHeight w:val="255"/>
          <w:jc w:val="center"/>
        </w:trPr>
        <w:tc>
          <w:tcPr>
            <w:tcW w:w="1600" w:type="dxa"/>
            <w:tcBorders>
              <w:top w:val="nil"/>
              <w:left w:val="nil"/>
              <w:bottom w:val="single" w:sz="4" w:space="0" w:color="E4E3E3"/>
              <w:right w:val="nil"/>
            </w:tcBorders>
            <w:shd w:val="clear" w:color="000000" w:fill="494529"/>
            <w:noWrap/>
            <w:vAlign w:val="center"/>
            <w:hideMark/>
          </w:tcPr>
          <w:p w:rsidR="00590165" w:rsidRPr="00590165" w:rsidRDefault="00590165" w:rsidP="00590165">
            <w:pPr>
              <w:spacing w:after="0" w:line="240" w:lineRule="auto"/>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  Inbursa</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373,525</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398,680</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215,336</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163,717</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264,490</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87,479</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58,937</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73,605</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96,165</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79,483</w:t>
            </w:r>
          </w:p>
        </w:tc>
        <w:tc>
          <w:tcPr>
            <w:tcW w:w="112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181,142</w:t>
            </w:r>
          </w:p>
        </w:tc>
      </w:tr>
      <w:tr w:rsidR="00590165" w:rsidRPr="00590165" w:rsidTr="00F7408A">
        <w:trPr>
          <w:trHeight w:val="255"/>
          <w:jc w:val="center"/>
        </w:trPr>
        <w:tc>
          <w:tcPr>
            <w:tcW w:w="1600" w:type="dxa"/>
            <w:tcBorders>
              <w:top w:val="nil"/>
              <w:left w:val="nil"/>
              <w:bottom w:val="single" w:sz="4" w:space="0" w:color="E4E3E3"/>
              <w:right w:val="nil"/>
            </w:tcBorders>
            <w:shd w:val="clear" w:color="000000" w:fill="948A54"/>
            <w:noWrap/>
            <w:vAlign w:val="center"/>
            <w:hideMark/>
          </w:tcPr>
          <w:p w:rsidR="00590165" w:rsidRPr="00590165" w:rsidRDefault="00590165" w:rsidP="00590165">
            <w:pPr>
              <w:spacing w:after="0" w:line="240" w:lineRule="auto"/>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  Invercap</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45,612</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168,607</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255,839</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517,735</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225,834</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232,174</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269,716</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314,135</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348,695</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141,530</w:t>
            </w:r>
          </w:p>
        </w:tc>
        <w:tc>
          <w:tcPr>
            <w:tcW w:w="112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251,988</w:t>
            </w:r>
          </w:p>
        </w:tc>
      </w:tr>
      <w:tr w:rsidR="00590165" w:rsidRPr="00590165" w:rsidTr="00F7408A">
        <w:trPr>
          <w:trHeight w:val="255"/>
          <w:jc w:val="center"/>
        </w:trPr>
        <w:tc>
          <w:tcPr>
            <w:tcW w:w="1600" w:type="dxa"/>
            <w:tcBorders>
              <w:top w:val="nil"/>
              <w:left w:val="nil"/>
              <w:bottom w:val="single" w:sz="4" w:space="0" w:color="E4E3E3"/>
              <w:right w:val="nil"/>
            </w:tcBorders>
            <w:shd w:val="clear" w:color="000000" w:fill="494529"/>
            <w:noWrap/>
            <w:vAlign w:val="center"/>
            <w:hideMark/>
          </w:tcPr>
          <w:p w:rsidR="00590165" w:rsidRPr="00590165" w:rsidRDefault="00590165" w:rsidP="00590165">
            <w:pPr>
              <w:spacing w:after="0" w:line="240" w:lineRule="auto"/>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  Ixe</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12,912</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27,537</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32,487</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24,505</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8,664</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112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21,221</w:t>
            </w:r>
          </w:p>
        </w:tc>
      </w:tr>
      <w:tr w:rsidR="00590165" w:rsidRPr="00590165" w:rsidTr="00F7408A">
        <w:trPr>
          <w:trHeight w:val="255"/>
          <w:jc w:val="center"/>
        </w:trPr>
        <w:tc>
          <w:tcPr>
            <w:tcW w:w="1600" w:type="dxa"/>
            <w:tcBorders>
              <w:top w:val="nil"/>
              <w:left w:val="nil"/>
              <w:bottom w:val="single" w:sz="4" w:space="0" w:color="E4E3E3"/>
              <w:right w:val="nil"/>
            </w:tcBorders>
            <w:shd w:val="clear" w:color="000000" w:fill="948A54"/>
            <w:noWrap/>
            <w:vAlign w:val="center"/>
            <w:hideMark/>
          </w:tcPr>
          <w:p w:rsidR="00590165" w:rsidRPr="00590165" w:rsidRDefault="00590165" w:rsidP="00590165">
            <w:pPr>
              <w:spacing w:after="0" w:line="240" w:lineRule="auto"/>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  Metlife</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51,067</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91,426</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71,559</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67,192</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70,417</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70,009</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66,357</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63,940</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55,891</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24,427</w:t>
            </w:r>
          </w:p>
        </w:tc>
        <w:tc>
          <w:tcPr>
            <w:tcW w:w="112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63,229</w:t>
            </w:r>
          </w:p>
        </w:tc>
      </w:tr>
      <w:tr w:rsidR="00590165" w:rsidRPr="00590165" w:rsidTr="00F7408A">
        <w:trPr>
          <w:trHeight w:val="255"/>
          <w:jc w:val="center"/>
        </w:trPr>
        <w:tc>
          <w:tcPr>
            <w:tcW w:w="1600" w:type="dxa"/>
            <w:tcBorders>
              <w:top w:val="nil"/>
              <w:left w:val="nil"/>
              <w:bottom w:val="single" w:sz="4" w:space="0" w:color="E4E3E3"/>
              <w:right w:val="nil"/>
            </w:tcBorders>
            <w:shd w:val="clear" w:color="000000" w:fill="494529"/>
            <w:noWrap/>
            <w:vAlign w:val="center"/>
            <w:hideMark/>
          </w:tcPr>
          <w:p w:rsidR="00590165" w:rsidRPr="00590165" w:rsidRDefault="00590165" w:rsidP="00590165">
            <w:pPr>
              <w:spacing w:after="0" w:line="240" w:lineRule="auto"/>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  PensionISSSTE</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0</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0</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0</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0</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2,449</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3,127</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2,299</w:t>
            </w:r>
          </w:p>
        </w:tc>
        <w:tc>
          <w:tcPr>
            <w:tcW w:w="112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1,125</w:t>
            </w:r>
          </w:p>
        </w:tc>
      </w:tr>
      <w:tr w:rsidR="00590165" w:rsidRPr="00590165" w:rsidTr="00F7408A">
        <w:trPr>
          <w:trHeight w:val="255"/>
          <w:jc w:val="center"/>
        </w:trPr>
        <w:tc>
          <w:tcPr>
            <w:tcW w:w="1600" w:type="dxa"/>
            <w:tcBorders>
              <w:top w:val="nil"/>
              <w:left w:val="nil"/>
              <w:bottom w:val="single" w:sz="4" w:space="0" w:color="E4E3E3"/>
              <w:right w:val="nil"/>
            </w:tcBorders>
            <w:shd w:val="clear" w:color="000000" w:fill="948A54"/>
            <w:noWrap/>
            <w:vAlign w:val="center"/>
            <w:hideMark/>
          </w:tcPr>
          <w:p w:rsidR="00590165" w:rsidRPr="00590165" w:rsidRDefault="00590165" w:rsidP="00590165">
            <w:pPr>
              <w:spacing w:after="0" w:line="240" w:lineRule="auto"/>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  Principal</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154,195</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224,362</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139,207</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128,777</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84,987</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82,289</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72,366</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93,609</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176,435</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74,928</w:t>
            </w:r>
          </w:p>
        </w:tc>
        <w:tc>
          <w:tcPr>
            <w:tcW w:w="112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123,116</w:t>
            </w:r>
          </w:p>
        </w:tc>
      </w:tr>
      <w:tr w:rsidR="00590165" w:rsidRPr="00590165" w:rsidTr="00F7408A">
        <w:trPr>
          <w:trHeight w:val="345"/>
          <w:jc w:val="center"/>
        </w:trPr>
        <w:tc>
          <w:tcPr>
            <w:tcW w:w="1600" w:type="dxa"/>
            <w:tcBorders>
              <w:top w:val="nil"/>
              <w:left w:val="nil"/>
              <w:bottom w:val="single" w:sz="4" w:space="0" w:color="E4E3E3"/>
              <w:right w:val="nil"/>
            </w:tcBorders>
            <w:shd w:val="clear" w:color="000000" w:fill="494529"/>
            <w:noWrap/>
            <w:vAlign w:val="center"/>
            <w:hideMark/>
          </w:tcPr>
          <w:p w:rsidR="00590165" w:rsidRPr="00590165" w:rsidRDefault="00590165" w:rsidP="00590165">
            <w:pPr>
              <w:spacing w:after="0" w:line="240" w:lineRule="auto"/>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  Profuturo GNP</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196,842</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388,050</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363,705</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315,829</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206,712</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164,545</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188,254</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143,441</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164,066</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85,549</w:t>
            </w:r>
          </w:p>
        </w:tc>
        <w:tc>
          <w:tcPr>
            <w:tcW w:w="112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221,699</w:t>
            </w:r>
          </w:p>
        </w:tc>
      </w:tr>
      <w:tr w:rsidR="00590165" w:rsidRPr="00590165" w:rsidTr="00F7408A">
        <w:trPr>
          <w:trHeight w:val="255"/>
          <w:jc w:val="center"/>
        </w:trPr>
        <w:tc>
          <w:tcPr>
            <w:tcW w:w="1600" w:type="dxa"/>
            <w:tcBorders>
              <w:top w:val="nil"/>
              <w:left w:val="nil"/>
              <w:bottom w:val="single" w:sz="4" w:space="0" w:color="E4E3E3"/>
              <w:right w:val="nil"/>
            </w:tcBorders>
            <w:shd w:val="clear" w:color="000000" w:fill="948A54"/>
            <w:noWrap/>
            <w:vAlign w:val="center"/>
            <w:hideMark/>
          </w:tcPr>
          <w:p w:rsidR="00590165" w:rsidRPr="00590165" w:rsidRDefault="00590165" w:rsidP="00590165">
            <w:pPr>
              <w:spacing w:after="0" w:line="240" w:lineRule="auto"/>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  Santander</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153,956</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263,502</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344,966</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112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254,141</w:t>
            </w:r>
          </w:p>
        </w:tc>
      </w:tr>
      <w:tr w:rsidR="00590165" w:rsidRPr="00590165" w:rsidTr="00F7408A">
        <w:trPr>
          <w:trHeight w:val="255"/>
          <w:jc w:val="center"/>
        </w:trPr>
        <w:tc>
          <w:tcPr>
            <w:tcW w:w="1600" w:type="dxa"/>
            <w:tcBorders>
              <w:top w:val="nil"/>
              <w:left w:val="nil"/>
              <w:bottom w:val="single" w:sz="4" w:space="0" w:color="E4E3E3"/>
              <w:right w:val="nil"/>
            </w:tcBorders>
            <w:shd w:val="clear" w:color="000000" w:fill="494529"/>
            <w:noWrap/>
            <w:vAlign w:val="center"/>
            <w:hideMark/>
          </w:tcPr>
          <w:p w:rsidR="00590165" w:rsidRPr="00590165" w:rsidRDefault="00590165" w:rsidP="00590165">
            <w:pPr>
              <w:spacing w:after="0" w:line="240" w:lineRule="auto"/>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  Scotia</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666</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13,037</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23,387</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26,607</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N/A</w:t>
            </w:r>
          </w:p>
        </w:tc>
        <w:tc>
          <w:tcPr>
            <w:tcW w:w="112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15,924</w:t>
            </w:r>
          </w:p>
        </w:tc>
      </w:tr>
      <w:tr w:rsidR="00590165" w:rsidRPr="00590165" w:rsidTr="00F7408A">
        <w:trPr>
          <w:trHeight w:val="255"/>
          <w:jc w:val="center"/>
        </w:trPr>
        <w:tc>
          <w:tcPr>
            <w:tcW w:w="1600" w:type="dxa"/>
            <w:tcBorders>
              <w:top w:val="nil"/>
              <w:left w:val="nil"/>
              <w:bottom w:val="single" w:sz="4" w:space="0" w:color="E4E3E3"/>
              <w:right w:val="nil"/>
            </w:tcBorders>
            <w:shd w:val="clear" w:color="000000" w:fill="948A54"/>
            <w:noWrap/>
            <w:vAlign w:val="center"/>
            <w:hideMark/>
          </w:tcPr>
          <w:p w:rsidR="00590165" w:rsidRPr="00590165" w:rsidRDefault="00590165" w:rsidP="00590165">
            <w:pPr>
              <w:spacing w:after="0" w:line="240" w:lineRule="auto"/>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  SURA</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101,625</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205,912</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189,750</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313,675</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198,649</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189,039</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217,246</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116,525</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167,425</w:t>
            </w:r>
          </w:p>
        </w:tc>
        <w:tc>
          <w:tcPr>
            <w:tcW w:w="94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87,973</w:t>
            </w:r>
          </w:p>
        </w:tc>
        <w:tc>
          <w:tcPr>
            <w:tcW w:w="1120" w:type="dxa"/>
            <w:tcBorders>
              <w:top w:val="nil"/>
              <w:left w:val="nil"/>
              <w:bottom w:val="single" w:sz="4" w:space="0" w:color="E4E3E3"/>
              <w:right w:val="nil"/>
            </w:tcBorders>
            <w:shd w:val="clear" w:color="000000" w:fill="948A54"/>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178,782</w:t>
            </w:r>
          </w:p>
        </w:tc>
      </w:tr>
      <w:tr w:rsidR="00590165" w:rsidRPr="00590165" w:rsidTr="00F7408A">
        <w:trPr>
          <w:trHeight w:val="255"/>
          <w:jc w:val="center"/>
        </w:trPr>
        <w:tc>
          <w:tcPr>
            <w:tcW w:w="1600" w:type="dxa"/>
            <w:tcBorders>
              <w:top w:val="nil"/>
              <w:left w:val="nil"/>
              <w:bottom w:val="single" w:sz="4" w:space="0" w:color="E4E3E3"/>
              <w:right w:val="nil"/>
            </w:tcBorders>
            <w:shd w:val="clear" w:color="000000" w:fill="494529"/>
            <w:noWrap/>
            <w:vAlign w:val="center"/>
            <w:hideMark/>
          </w:tcPr>
          <w:p w:rsidR="00590165" w:rsidRPr="00590165" w:rsidRDefault="00590165" w:rsidP="00590165">
            <w:pPr>
              <w:spacing w:after="0" w:line="240" w:lineRule="auto"/>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  XXI Banorte</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68,770</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115,289</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131,970</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100,410</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105,867</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106,652</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94,930</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226,795</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312,793</w:t>
            </w:r>
          </w:p>
        </w:tc>
        <w:tc>
          <w:tcPr>
            <w:tcW w:w="94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197,292</w:t>
            </w:r>
          </w:p>
        </w:tc>
        <w:tc>
          <w:tcPr>
            <w:tcW w:w="1120" w:type="dxa"/>
            <w:tcBorders>
              <w:top w:val="nil"/>
              <w:left w:val="nil"/>
              <w:bottom w:val="single" w:sz="4" w:space="0" w:color="E4E3E3"/>
              <w:right w:val="nil"/>
            </w:tcBorders>
            <w:shd w:val="clear" w:color="000000" w:fill="494529"/>
            <w:noWrap/>
            <w:vAlign w:val="bottom"/>
            <w:hideMark/>
          </w:tcPr>
          <w:p w:rsidR="00590165" w:rsidRPr="00590165" w:rsidRDefault="00590165" w:rsidP="00590165">
            <w:pPr>
              <w:spacing w:after="0" w:line="240" w:lineRule="auto"/>
              <w:jc w:val="right"/>
              <w:rPr>
                <w:rFonts w:ascii="Arial" w:eastAsia="Times New Roman" w:hAnsi="Arial" w:cs="Arial"/>
                <w:color w:val="FFFFFF"/>
                <w:sz w:val="18"/>
                <w:szCs w:val="18"/>
                <w:lang w:eastAsia="es-MX"/>
              </w:rPr>
            </w:pPr>
            <w:r w:rsidRPr="00590165">
              <w:rPr>
                <w:rFonts w:ascii="Arial" w:eastAsia="Times New Roman" w:hAnsi="Arial" w:cs="Arial"/>
                <w:color w:val="FFFFFF"/>
                <w:sz w:val="18"/>
                <w:szCs w:val="18"/>
                <w:lang w:eastAsia="es-MX"/>
              </w:rPr>
              <w:t>146,077</w:t>
            </w:r>
          </w:p>
        </w:tc>
      </w:tr>
      <w:tr w:rsidR="00590165" w:rsidRPr="00590165" w:rsidTr="00F7408A">
        <w:trPr>
          <w:trHeight w:val="330"/>
          <w:jc w:val="center"/>
        </w:trPr>
        <w:tc>
          <w:tcPr>
            <w:tcW w:w="1600" w:type="dxa"/>
            <w:tcBorders>
              <w:top w:val="nil"/>
              <w:left w:val="nil"/>
              <w:bottom w:val="nil"/>
              <w:right w:val="nil"/>
            </w:tcBorders>
            <w:shd w:val="clear" w:color="000000" w:fill="1D1B10"/>
            <w:vAlign w:val="center"/>
            <w:hideMark/>
          </w:tcPr>
          <w:p w:rsidR="00590165" w:rsidRPr="00590165" w:rsidRDefault="00590165" w:rsidP="00590165">
            <w:pPr>
              <w:spacing w:after="0" w:line="240" w:lineRule="auto"/>
              <w:jc w:val="center"/>
              <w:rPr>
                <w:rFonts w:ascii="Arial" w:eastAsia="Times New Roman" w:hAnsi="Arial" w:cs="Arial"/>
                <w:b/>
                <w:bCs/>
                <w:color w:val="FFFFFF"/>
                <w:sz w:val="18"/>
                <w:szCs w:val="18"/>
                <w:lang w:eastAsia="es-MX"/>
              </w:rPr>
            </w:pPr>
            <w:r w:rsidRPr="00590165">
              <w:rPr>
                <w:rFonts w:ascii="Arial" w:eastAsia="Times New Roman" w:hAnsi="Arial" w:cs="Arial"/>
                <w:b/>
                <w:bCs/>
                <w:color w:val="FFFFFF"/>
                <w:sz w:val="18"/>
                <w:szCs w:val="18"/>
                <w:lang w:eastAsia="es-MX"/>
              </w:rPr>
              <w:t xml:space="preserve">TOTAL </w:t>
            </w:r>
          </w:p>
        </w:tc>
        <w:tc>
          <w:tcPr>
            <w:tcW w:w="940" w:type="dxa"/>
            <w:tcBorders>
              <w:top w:val="nil"/>
              <w:left w:val="nil"/>
              <w:bottom w:val="nil"/>
              <w:right w:val="nil"/>
            </w:tcBorders>
            <w:shd w:val="clear" w:color="000000" w:fill="1D1B10"/>
            <w:noWrap/>
            <w:vAlign w:val="center"/>
            <w:hideMark/>
          </w:tcPr>
          <w:p w:rsidR="00590165" w:rsidRPr="00590165" w:rsidRDefault="00590165" w:rsidP="00590165">
            <w:pPr>
              <w:spacing w:after="0" w:line="240" w:lineRule="auto"/>
              <w:jc w:val="center"/>
              <w:rPr>
                <w:rFonts w:ascii="Arial" w:eastAsia="Times New Roman" w:hAnsi="Arial" w:cs="Arial"/>
                <w:b/>
                <w:bCs/>
                <w:color w:val="FFFFFF"/>
                <w:sz w:val="18"/>
                <w:szCs w:val="18"/>
                <w:lang w:eastAsia="es-MX"/>
              </w:rPr>
            </w:pPr>
            <w:r w:rsidRPr="00590165">
              <w:rPr>
                <w:rFonts w:ascii="Arial" w:eastAsia="Times New Roman" w:hAnsi="Arial" w:cs="Arial"/>
                <w:b/>
                <w:bCs/>
                <w:color w:val="FFFFFF"/>
                <w:sz w:val="18"/>
                <w:szCs w:val="18"/>
                <w:lang w:eastAsia="es-MX"/>
              </w:rPr>
              <w:t>2,429,380</w:t>
            </w:r>
          </w:p>
        </w:tc>
        <w:tc>
          <w:tcPr>
            <w:tcW w:w="940" w:type="dxa"/>
            <w:tcBorders>
              <w:top w:val="nil"/>
              <w:left w:val="nil"/>
              <w:bottom w:val="nil"/>
              <w:right w:val="nil"/>
            </w:tcBorders>
            <w:shd w:val="clear" w:color="000000" w:fill="1D1B10"/>
            <w:noWrap/>
            <w:vAlign w:val="center"/>
            <w:hideMark/>
          </w:tcPr>
          <w:p w:rsidR="00590165" w:rsidRPr="00590165" w:rsidRDefault="00590165" w:rsidP="00590165">
            <w:pPr>
              <w:spacing w:after="0" w:line="240" w:lineRule="auto"/>
              <w:jc w:val="center"/>
              <w:rPr>
                <w:rFonts w:ascii="Arial" w:eastAsia="Times New Roman" w:hAnsi="Arial" w:cs="Arial"/>
                <w:b/>
                <w:bCs/>
                <w:color w:val="FFFFFF"/>
                <w:sz w:val="18"/>
                <w:szCs w:val="18"/>
                <w:lang w:eastAsia="es-MX"/>
              </w:rPr>
            </w:pPr>
            <w:r w:rsidRPr="00590165">
              <w:rPr>
                <w:rFonts w:ascii="Arial" w:eastAsia="Times New Roman" w:hAnsi="Arial" w:cs="Arial"/>
                <w:b/>
                <w:bCs/>
                <w:color w:val="FFFFFF"/>
                <w:sz w:val="18"/>
                <w:szCs w:val="18"/>
                <w:lang w:eastAsia="es-MX"/>
              </w:rPr>
              <w:t>3,839,900</w:t>
            </w:r>
          </w:p>
        </w:tc>
        <w:tc>
          <w:tcPr>
            <w:tcW w:w="940" w:type="dxa"/>
            <w:tcBorders>
              <w:top w:val="nil"/>
              <w:left w:val="nil"/>
              <w:bottom w:val="nil"/>
              <w:right w:val="nil"/>
            </w:tcBorders>
            <w:shd w:val="clear" w:color="000000" w:fill="1D1B10"/>
            <w:noWrap/>
            <w:vAlign w:val="center"/>
            <w:hideMark/>
          </w:tcPr>
          <w:p w:rsidR="00590165" w:rsidRPr="00590165" w:rsidRDefault="00590165" w:rsidP="00590165">
            <w:pPr>
              <w:spacing w:after="0" w:line="240" w:lineRule="auto"/>
              <w:jc w:val="center"/>
              <w:rPr>
                <w:rFonts w:ascii="Arial" w:eastAsia="Times New Roman" w:hAnsi="Arial" w:cs="Arial"/>
                <w:b/>
                <w:bCs/>
                <w:color w:val="FFFFFF"/>
                <w:sz w:val="18"/>
                <w:szCs w:val="18"/>
                <w:lang w:eastAsia="es-MX"/>
              </w:rPr>
            </w:pPr>
            <w:r w:rsidRPr="00590165">
              <w:rPr>
                <w:rFonts w:ascii="Arial" w:eastAsia="Times New Roman" w:hAnsi="Arial" w:cs="Arial"/>
                <w:b/>
                <w:bCs/>
                <w:color w:val="FFFFFF"/>
                <w:sz w:val="18"/>
                <w:szCs w:val="18"/>
                <w:lang w:eastAsia="es-MX"/>
              </w:rPr>
              <w:t>3,503,750</w:t>
            </w:r>
          </w:p>
        </w:tc>
        <w:tc>
          <w:tcPr>
            <w:tcW w:w="940" w:type="dxa"/>
            <w:tcBorders>
              <w:top w:val="nil"/>
              <w:left w:val="nil"/>
              <w:bottom w:val="nil"/>
              <w:right w:val="nil"/>
            </w:tcBorders>
            <w:shd w:val="clear" w:color="000000" w:fill="1D1B10"/>
            <w:noWrap/>
            <w:vAlign w:val="center"/>
            <w:hideMark/>
          </w:tcPr>
          <w:p w:rsidR="00590165" w:rsidRPr="00590165" w:rsidRDefault="00590165" w:rsidP="00590165">
            <w:pPr>
              <w:spacing w:after="0" w:line="240" w:lineRule="auto"/>
              <w:jc w:val="center"/>
              <w:rPr>
                <w:rFonts w:ascii="Arial" w:eastAsia="Times New Roman" w:hAnsi="Arial" w:cs="Arial"/>
                <w:b/>
                <w:bCs/>
                <w:color w:val="FFFFFF"/>
                <w:sz w:val="18"/>
                <w:szCs w:val="18"/>
                <w:lang w:eastAsia="es-MX"/>
              </w:rPr>
            </w:pPr>
            <w:r w:rsidRPr="00590165">
              <w:rPr>
                <w:rFonts w:ascii="Arial" w:eastAsia="Times New Roman" w:hAnsi="Arial" w:cs="Arial"/>
                <w:b/>
                <w:bCs/>
                <w:color w:val="FFFFFF"/>
                <w:sz w:val="18"/>
                <w:szCs w:val="18"/>
                <w:lang w:eastAsia="es-MX"/>
              </w:rPr>
              <w:t>3,303,296</w:t>
            </w:r>
          </w:p>
        </w:tc>
        <w:tc>
          <w:tcPr>
            <w:tcW w:w="940" w:type="dxa"/>
            <w:tcBorders>
              <w:top w:val="nil"/>
              <w:left w:val="nil"/>
              <w:bottom w:val="nil"/>
              <w:right w:val="nil"/>
            </w:tcBorders>
            <w:shd w:val="clear" w:color="000000" w:fill="1D1B10"/>
            <w:noWrap/>
            <w:vAlign w:val="center"/>
            <w:hideMark/>
          </w:tcPr>
          <w:p w:rsidR="00590165" w:rsidRPr="00590165" w:rsidRDefault="00590165" w:rsidP="00590165">
            <w:pPr>
              <w:spacing w:after="0" w:line="240" w:lineRule="auto"/>
              <w:jc w:val="center"/>
              <w:rPr>
                <w:rFonts w:ascii="Arial" w:eastAsia="Times New Roman" w:hAnsi="Arial" w:cs="Arial"/>
                <w:b/>
                <w:bCs/>
                <w:color w:val="FFFFFF"/>
                <w:sz w:val="18"/>
                <w:szCs w:val="18"/>
                <w:lang w:eastAsia="es-MX"/>
              </w:rPr>
            </w:pPr>
            <w:r w:rsidRPr="00590165">
              <w:rPr>
                <w:rFonts w:ascii="Arial" w:eastAsia="Times New Roman" w:hAnsi="Arial" w:cs="Arial"/>
                <w:b/>
                <w:bCs/>
                <w:color w:val="FFFFFF"/>
                <w:sz w:val="18"/>
                <w:szCs w:val="18"/>
                <w:lang w:eastAsia="es-MX"/>
              </w:rPr>
              <w:t>2,481,014</w:t>
            </w:r>
          </w:p>
        </w:tc>
        <w:tc>
          <w:tcPr>
            <w:tcW w:w="940" w:type="dxa"/>
            <w:tcBorders>
              <w:top w:val="nil"/>
              <w:left w:val="nil"/>
              <w:bottom w:val="nil"/>
              <w:right w:val="nil"/>
            </w:tcBorders>
            <w:shd w:val="clear" w:color="000000" w:fill="1D1B10"/>
            <w:noWrap/>
            <w:vAlign w:val="center"/>
            <w:hideMark/>
          </w:tcPr>
          <w:p w:rsidR="00590165" w:rsidRPr="00590165" w:rsidRDefault="00590165" w:rsidP="00590165">
            <w:pPr>
              <w:spacing w:after="0" w:line="240" w:lineRule="auto"/>
              <w:jc w:val="center"/>
              <w:rPr>
                <w:rFonts w:ascii="Arial" w:eastAsia="Times New Roman" w:hAnsi="Arial" w:cs="Arial"/>
                <w:b/>
                <w:bCs/>
                <w:color w:val="FFFFFF"/>
                <w:sz w:val="18"/>
                <w:szCs w:val="18"/>
                <w:lang w:eastAsia="es-MX"/>
              </w:rPr>
            </w:pPr>
            <w:r w:rsidRPr="00590165">
              <w:rPr>
                <w:rFonts w:ascii="Arial" w:eastAsia="Times New Roman" w:hAnsi="Arial" w:cs="Arial"/>
                <w:b/>
                <w:bCs/>
                <w:color w:val="FFFFFF"/>
                <w:sz w:val="18"/>
                <w:szCs w:val="18"/>
                <w:lang w:eastAsia="es-MX"/>
              </w:rPr>
              <w:t>1,953,882</w:t>
            </w:r>
          </w:p>
        </w:tc>
        <w:tc>
          <w:tcPr>
            <w:tcW w:w="940" w:type="dxa"/>
            <w:tcBorders>
              <w:top w:val="nil"/>
              <w:left w:val="nil"/>
              <w:bottom w:val="nil"/>
              <w:right w:val="nil"/>
            </w:tcBorders>
            <w:shd w:val="clear" w:color="000000" w:fill="1D1B10"/>
            <w:noWrap/>
            <w:vAlign w:val="center"/>
            <w:hideMark/>
          </w:tcPr>
          <w:p w:rsidR="00590165" w:rsidRPr="00590165" w:rsidRDefault="00590165" w:rsidP="00590165">
            <w:pPr>
              <w:spacing w:after="0" w:line="240" w:lineRule="auto"/>
              <w:jc w:val="center"/>
              <w:rPr>
                <w:rFonts w:ascii="Arial" w:eastAsia="Times New Roman" w:hAnsi="Arial" w:cs="Arial"/>
                <w:b/>
                <w:bCs/>
                <w:color w:val="FFFFFF"/>
                <w:sz w:val="18"/>
                <w:szCs w:val="18"/>
                <w:lang w:eastAsia="es-MX"/>
              </w:rPr>
            </w:pPr>
            <w:r w:rsidRPr="00590165">
              <w:rPr>
                <w:rFonts w:ascii="Arial" w:eastAsia="Times New Roman" w:hAnsi="Arial" w:cs="Arial"/>
                <w:b/>
                <w:bCs/>
                <w:color w:val="FFFFFF"/>
                <w:sz w:val="18"/>
                <w:szCs w:val="18"/>
                <w:lang w:eastAsia="es-MX"/>
              </w:rPr>
              <w:t>1,799,758</w:t>
            </w:r>
          </w:p>
        </w:tc>
        <w:tc>
          <w:tcPr>
            <w:tcW w:w="940" w:type="dxa"/>
            <w:tcBorders>
              <w:top w:val="nil"/>
              <w:left w:val="nil"/>
              <w:bottom w:val="nil"/>
              <w:right w:val="nil"/>
            </w:tcBorders>
            <w:shd w:val="clear" w:color="000000" w:fill="1D1B10"/>
            <w:noWrap/>
            <w:vAlign w:val="center"/>
            <w:hideMark/>
          </w:tcPr>
          <w:p w:rsidR="00590165" w:rsidRPr="00590165" w:rsidRDefault="00590165" w:rsidP="00590165">
            <w:pPr>
              <w:spacing w:after="0" w:line="240" w:lineRule="auto"/>
              <w:jc w:val="center"/>
              <w:rPr>
                <w:rFonts w:ascii="Arial" w:eastAsia="Times New Roman" w:hAnsi="Arial" w:cs="Arial"/>
                <w:b/>
                <w:bCs/>
                <w:color w:val="FFFFFF"/>
                <w:sz w:val="18"/>
                <w:szCs w:val="18"/>
                <w:lang w:eastAsia="es-MX"/>
              </w:rPr>
            </w:pPr>
            <w:r w:rsidRPr="00590165">
              <w:rPr>
                <w:rFonts w:ascii="Arial" w:eastAsia="Times New Roman" w:hAnsi="Arial" w:cs="Arial"/>
                <w:b/>
                <w:bCs/>
                <w:color w:val="FFFFFF"/>
                <w:sz w:val="18"/>
                <w:szCs w:val="18"/>
                <w:lang w:eastAsia="es-MX"/>
              </w:rPr>
              <w:t>1,788,883</w:t>
            </w:r>
          </w:p>
        </w:tc>
        <w:tc>
          <w:tcPr>
            <w:tcW w:w="940" w:type="dxa"/>
            <w:tcBorders>
              <w:top w:val="nil"/>
              <w:left w:val="nil"/>
              <w:bottom w:val="nil"/>
              <w:right w:val="nil"/>
            </w:tcBorders>
            <w:shd w:val="clear" w:color="000000" w:fill="1D1B10"/>
            <w:noWrap/>
            <w:vAlign w:val="center"/>
            <w:hideMark/>
          </w:tcPr>
          <w:p w:rsidR="00590165" w:rsidRPr="00590165" w:rsidRDefault="00590165" w:rsidP="00590165">
            <w:pPr>
              <w:spacing w:after="0" w:line="240" w:lineRule="auto"/>
              <w:jc w:val="center"/>
              <w:rPr>
                <w:rFonts w:ascii="Arial" w:eastAsia="Times New Roman" w:hAnsi="Arial" w:cs="Arial"/>
                <w:b/>
                <w:bCs/>
                <w:color w:val="FFFFFF"/>
                <w:sz w:val="18"/>
                <w:szCs w:val="18"/>
                <w:lang w:eastAsia="es-MX"/>
              </w:rPr>
            </w:pPr>
            <w:r w:rsidRPr="00590165">
              <w:rPr>
                <w:rFonts w:ascii="Arial" w:eastAsia="Times New Roman" w:hAnsi="Arial" w:cs="Arial"/>
                <w:b/>
                <w:bCs/>
                <w:color w:val="FFFFFF"/>
                <w:sz w:val="18"/>
                <w:szCs w:val="18"/>
                <w:lang w:eastAsia="es-MX"/>
              </w:rPr>
              <w:t>2,128,947</w:t>
            </w:r>
          </w:p>
        </w:tc>
        <w:tc>
          <w:tcPr>
            <w:tcW w:w="940" w:type="dxa"/>
            <w:tcBorders>
              <w:top w:val="nil"/>
              <w:left w:val="nil"/>
              <w:bottom w:val="nil"/>
              <w:right w:val="nil"/>
            </w:tcBorders>
            <w:shd w:val="clear" w:color="000000" w:fill="1D1B10"/>
            <w:noWrap/>
            <w:vAlign w:val="center"/>
            <w:hideMark/>
          </w:tcPr>
          <w:p w:rsidR="00590165" w:rsidRPr="00590165" w:rsidRDefault="00590165" w:rsidP="00590165">
            <w:pPr>
              <w:spacing w:after="0" w:line="240" w:lineRule="auto"/>
              <w:jc w:val="center"/>
              <w:rPr>
                <w:rFonts w:ascii="Arial" w:eastAsia="Times New Roman" w:hAnsi="Arial" w:cs="Arial"/>
                <w:b/>
                <w:bCs/>
                <w:color w:val="FFFFFF"/>
                <w:sz w:val="18"/>
                <w:szCs w:val="18"/>
                <w:lang w:eastAsia="es-MX"/>
              </w:rPr>
            </w:pPr>
            <w:r w:rsidRPr="00590165">
              <w:rPr>
                <w:rFonts w:ascii="Arial" w:eastAsia="Times New Roman" w:hAnsi="Arial" w:cs="Arial"/>
                <w:b/>
                <w:bCs/>
                <w:color w:val="FFFFFF"/>
                <w:sz w:val="18"/>
                <w:szCs w:val="18"/>
                <w:lang w:eastAsia="es-MX"/>
              </w:rPr>
              <w:t>1,163,209</w:t>
            </w:r>
          </w:p>
        </w:tc>
        <w:tc>
          <w:tcPr>
            <w:tcW w:w="1120" w:type="dxa"/>
            <w:tcBorders>
              <w:top w:val="nil"/>
              <w:left w:val="nil"/>
              <w:bottom w:val="nil"/>
              <w:right w:val="nil"/>
            </w:tcBorders>
            <w:shd w:val="clear" w:color="000000" w:fill="FFFFFF"/>
            <w:noWrap/>
            <w:vAlign w:val="center"/>
            <w:hideMark/>
          </w:tcPr>
          <w:p w:rsidR="00590165" w:rsidRPr="00590165" w:rsidRDefault="00590165" w:rsidP="00590165">
            <w:pPr>
              <w:spacing w:after="0" w:line="240" w:lineRule="auto"/>
              <w:jc w:val="center"/>
              <w:rPr>
                <w:rFonts w:ascii="Arial" w:eastAsia="Times New Roman" w:hAnsi="Arial" w:cs="Arial"/>
                <w:b/>
                <w:bCs/>
                <w:color w:val="FFFFFF"/>
                <w:sz w:val="18"/>
                <w:szCs w:val="18"/>
                <w:lang w:eastAsia="es-MX"/>
              </w:rPr>
            </w:pPr>
            <w:r w:rsidRPr="00590165">
              <w:rPr>
                <w:rFonts w:ascii="Arial" w:eastAsia="Times New Roman" w:hAnsi="Arial" w:cs="Arial"/>
                <w:b/>
                <w:bCs/>
                <w:color w:val="FFFFFF"/>
                <w:sz w:val="18"/>
                <w:szCs w:val="18"/>
                <w:lang w:eastAsia="es-MX"/>
              </w:rPr>
              <w:t> </w:t>
            </w:r>
          </w:p>
        </w:tc>
      </w:tr>
    </w:tbl>
    <w:p w:rsidR="001D78A2" w:rsidRPr="00152C55" w:rsidRDefault="001D78A2" w:rsidP="00152C55">
      <w:pPr>
        <w:spacing w:after="0" w:line="240" w:lineRule="auto"/>
        <w:rPr>
          <w:rFonts w:ascii="Arial" w:hAnsi="Arial" w:cs="Arial"/>
          <w:sz w:val="20"/>
          <w:szCs w:val="20"/>
        </w:rPr>
      </w:pPr>
      <w:r w:rsidRPr="00152C55">
        <w:rPr>
          <w:rFonts w:ascii="Arial" w:hAnsi="Arial" w:cs="Arial"/>
          <w:sz w:val="20"/>
          <w:szCs w:val="20"/>
        </w:rPr>
        <w:t>Fuente: Elaboración propia con datos de la CONSAR.</w:t>
      </w:r>
    </w:p>
    <w:p w:rsidR="001D78A2" w:rsidRPr="00152C55" w:rsidRDefault="001D78A2" w:rsidP="00152C55">
      <w:pPr>
        <w:spacing w:after="0" w:line="240" w:lineRule="auto"/>
        <w:rPr>
          <w:rFonts w:ascii="Arial" w:hAnsi="Arial" w:cs="Arial"/>
          <w:sz w:val="20"/>
          <w:szCs w:val="20"/>
        </w:rPr>
      </w:pPr>
      <w:r w:rsidRPr="00152C55">
        <w:rPr>
          <w:rFonts w:ascii="Arial" w:hAnsi="Arial" w:cs="Arial"/>
          <w:sz w:val="20"/>
          <w:szCs w:val="20"/>
        </w:rPr>
        <w:t>Cifras acumuladas en el año.</w:t>
      </w:r>
    </w:p>
    <w:p w:rsidR="00590165" w:rsidRPr="00590165" w:rsidRDefault="001D78A2" w:rsidP="00590165">
      <w:pPr>
        <w:spacing w:after="0" w:line="240" w:lineRule="auto"/>
        <w:rPr>
          <w:rFonts w:ascii="Arial" w:hAnsi="Arial" w:cs="Arial"/>
          <w:sz w:val="20"/>
          <w:szCs w:val="20"/>
        </w:rPr>
        <w:sectPr w:rsidR="00590165" w:rsidRPr="00590165" w:rsidSect="00590165">
          <w:pgSz w:w="15840" w:h="12240" w:orient="landscape"/>
          <w:pgMar w:top="1701" w:right="1418" w:bottom="1701" w:left="1418" w:header="709" w:footer="709" w:gutter="0"/>
          <w:cols w:space="708"/>
          <w:docGrid w:linePitch="360"/>
        </w:sectPr>
      </w:pPr>
      <w:r w:rsidRPr="00152C55">
        <w:rPr>
          <w:rFonts w:ascii="Arial" w:hAnsi="Arial" w:cs="Arial"/>
          <w:sz w:val="20"/>
          <w:szCs w:val="20"/>
        </w:rPr>
        <w:t xml:space="preserve">N / A.- No aplica debido a que la Afore no operaba en ese periodo, sea por fusión con otra administradora o por tratarse de </w:t>
      </w:r>
      <w:r w:rsidR="00590165">
        <w:rPr>
          <w:rFonts w:ascii="Arial" w:hAnsi="Arial" w:cs="Arial"/>
          <w:sz w:val="20"/>
          <w:szCs w:val="20"/>
        </w:rPr>
        <w:t>una Afore de reciente creación.</w:t>
      </w:r>
    </w:p>
    <w:p w:rsidR="00863F38" w:rsidRPr="00A93228" w:rsidRDefault="00863F38" w:rsidP="00E340D8">
      <w:pPr>
        <w:spacing w:after="0" w:line="480" w:lineRule="auto"/>
        <w:ind w:firstLine="709"/>
        <w:jc w:val="both"/>
        <w:rPr>
          <w:rFonts w:ascii="Arial" w:hAnsi="Arial" w:cs="Arial"/>
          <w:color w:val="000000" w:themeColor="text1"/>
          <w:sz w:val="24"/>
          <w:szCs w:val="24"/>
          <w:lang w:val="es-ES"/>
        </w:rPr>
      </w:pPr>
      <w:r w:rsidRPr="00A93228">
        <w:rPr>
          <w:rFonts w:ascii="Arial" w:hAnsi="Arial" w:cs="Arial"/>
          <w:color w:val="000000" w:themeColor="text1"/>
          <w:sz w:val="24"/>
          <w:szCs w:val="24"/>
          <w:lang w:val="es-ES"/>
        </w:rPr>
        <w:lastRenderedPageBreak/>
        <w:t>Otro indicador que debe destacarse es el relativo a los traspasos por AFORE. En efecto, ¿Qué administradoras concentran el mayor número de traspasos? O bien ¿Cuáles son las administradoras que los trabajadores eligen para emigrar?</w:t>
      </w:r>
      <w:r w:rsidR="00C97490" w:rsidRPr="00A93228">
        <w:rPr>
          <w:rFonts w:ascii="Arial" w:hAnsi="Arial" w:cs="Arial"/>
          <w:color w:val="000000" w:themeColor="text1"/>
          <w:sz w:val="24"/>
          <w:szCs w:val="24"/>
          <w:lang w:val="es-ES"/>
        </w:rPr>
        <w:t xml:space="preserve"> </w:t>
      </w:r>
      <w:r w:rsidR="00C9232D" w:rsidRPr="00A93228">
        <w:rPr>
          <w:rFonts w:ascii="Arial" w:hAnsi="Arial" w:cs="Arial"/>
          <w:color w:val="000000" w:themeColor="text1"/>
          <w:sz w:val="24"/>
          <w:szCs w:val="24"/>
          <w:lang w:val="es-ES"/>
        </w:rPr>
        <w:t xml:space="preserve">Coppel recibió durante el periodo en estudio el 12.48% del total de cuentas recibidas. Le siguieron Banamex con el 11.65%, Invercap con un 11.13% y Bancomer con un 10.64%; estás cuatro administradoras concentraron el 46% de los totales. Hay que señalar que la administradora que viene recibiendo el mayor número de cuentas es una empresa comercial, en tanto que la segunda y cuarta empresas eran norteamericanas y españolas.  </w:t>
      </w:r>
      <w:r w:rsidRPr="00A93228">
        <w:rPr>
          <w:rFonts w:ascii="Arial" w:hAnsi="Arial" w:cs="Arial"/>
          <w:color w:val="000000" w:themeColor="text1"/>
          <w:sz w:val="24"/>
          <w:szCs w:val="24"/>
          <w:lang w:val="es-ES"/>
        </w:rPr>
        <w:t xml:space="preserve"> </w:t>
      </w:r>
      <w:r w:rsidR="00CC1B90" w:rsidRPr="00A93228">
        <w:rPr>
          <w:rFonts w:ascii="Arial" w:hAnsi="Arial" w:cs="Arial"/>
          <w:color w:val="000000" w:themeColor="text1"/>
          <w:sz w:val="24"/>
          <w:szCs w:val="24"/>
          <w:lang w:val="es-ES"/>
        </w:rPr>
        <w:t xml:space="preserve"> </w:t>
      </w:r>
    </w:p>
    <w:p w:rsidR="00D41C47" w:rsidRPr="00CC3D48" w:rsidRDefault="00DB67C6" w:rsidP="00CC3D48">
      <w:pPr>
        <w:spacing w:after="0" w:line="480" w:lineRule="auto"/>
        <w:ind w:firstLine="709"/>
        <w:jc w:val="both"/>
        <w:rPr>
          <w:rFonts w:ascii="Arial" w:hAnsi="Arial" w:cs="Arial"/>
          <w:color w:val="000000" w:themeColor="text1"/>
          <w:sz w:val="24"/>
          <w:szCs w:val="24"/>
          <w:lang w:val="es-ES"/>
        </w:rPr>
        <w:sectPr w:rsidR="00D41C47" w:rsidRPr="00CC3D48" w:rsidSect="002639CF">
          <w:pgSz w:w="12240" w:h="15840"/>
          <w:pgMar w:top="1417" w:right="1701" w:bottom="1417" w:left="1701" w:header="708" w:footer="708" w:gutter="0"/>
          <w:cols w:space="708"/>
          <w:docGrid w:linePitch="360"/>
        </w:sectPr>
      </w:pPr>
      <w:r w:rsidRPr="00A93228">
        <w:rPr>
          <w:rFonts w:ascii="Arial" w:hAnsi="Arial" w:cs="Arial"/>
          <w:color w:val="000000" w:themeColor="text1"/>
          <w:sz w:val="24"/>
          <w:szCs w:val="24"/>
          <w:lang w:val="es-ES"/>
        </w:rPr>
        <w:t xml:space="preserve">De otro lado, </w:t>
      </w:r>
      <w:r w:rsidR="0009276F" w:rsidRPr="00A93228">
        <w:rPr>
          <w:rFonts w:ascii="Arial" w:hAnsi="Arial" w:cs="Arial"/>
          <w:color w:val="000000" w:themeColor="text1"/>
          <w:sz w:val="24"/>
          <w:szCs w:val="24"/>
          <w:lang w:val="es-ES"/>
        </w:rPr>
        <w:t>estimamos</w:t>
      </w:r>
      <w:r w:rsidRPr="00A93228">
        <w:rPr>
          <w:rFonts w:ascii="Arial" w:hAnsi="Arial" w:cs="Arial"/>
          <w:color w:val="000000" w:themeColor="text1"/>
          <w:sz w:val="24"/>
          <w:szCs w:val="24"/>
          <w:lang w:val="es-ES"/>
        </w:rPr>
        <w:t xml:space="preserve">, </w:t>
      </w:r>
      <w:r w:rsidR="0009276F" w:rsidRPr="00A93228">
        <w:rPr>
          <w:rFonts w:ascii="Arial" w:hAnsi="Arial" w:cs="Arial"/>
          <w:color w:val="000000" w:themeColor="text1"/>
          <w:sz w:val="24"/>
          <w:szCs w:val="24"/>
          <w:lang w:val="es-ES"/>
        </w:rPr>
        <w:t xml:space="preserve">la dinámica de las cuentas cedidas por </w:t>
      </w:r>
      <w:r w:rsidRPr="00A93228">
        <w:rPr>
          <w:rFonts w:ascii="Arial" w:hAnsi="Arial" w:cs="Arial"/>
          <w:color w:val="000000" w:themeColor="text1"/>
          <w:sz w:val="24"/>
          <w:szCs w:val="24"/>
          <w:lang w:val="es-ES"/>
        </w:rPr>
        <w:t>administradora</w:t>
      </w:r>
      <w:r w:rsidR="0009276F" w:rsidRPr="00A93228">
        <w:rPr>
          <w:rFonts w:ascii="Arial" w:hAnsi="Arial" w:cs="Arial"/>
          <w:color w:val="000000" w:themeColor="text1"/>
          <w:sz w:val="24"/>
          <w:szCs w:val="24"/>
          <w:lang w:val="es-ES"/>
        </w:rPr>
        <w:t xml:space="preserve"> entre 2005-2014. Así tenemos que Banamex liberó en promedio el 15.45% de sus cuentas, Bancomer el 12.42%, Sura un 12.22% y Profuturo GNP un 11.57%; en conjunto sufrieron el 52% de los traspasos cedidos</w:t>
      </w:r>
      <w:r w:rsidR="005001AA">
        <w:rPr>
          <w:rFonts w:ascii="Arial" w:hAnsi="Arial" w:cs="Arial"/>
          <w:color w:val="000000" w:themeColor="text1"/>
          <w:sz w:val="24"/>
          <w:szCs w:val="24"/>
          <w:lang w:val="es-ES"/>
        </w:rPr>
        <w:t xml:space="preserve"> </w:t>
      </w:r>
      <w:r w:rsidR="00332D4D" w:rsidRPr="000C09C9">
        <w:rPr>
          <w:rFonts w:ascii="Arial" w:hAnsi="Arial" w:cs="Arial"/>
          <w:color w:val="000000" w:themeColor="text1"/>
          <w:sz w:val="24"/>
          <w:szCs w:val="24"/>
          <w:lang w:val="es-ES"/>
        </w:rPr>
        <w:t>(cuadro 10</w:t>
      </w:r>
      <w:r w:rsidR="00C040F2" w:rsidRPr="000C09C9">
        <w:rPr>
          <w:rFonts w:ascii="Arial" w:hAnsi="Arial" w:cs="Arial"/>
          <w:color w:val="000000" w:themeColor="text1"/>
          <w:sz w:val="24"/>
          <w:szCs w:val="24"/>
          <w:lang w:val="es-ES"/>
        </w:rPr>
        <w:t>)</w:t>
      </w:r>
      <w:r w:rsidR="0009276F" w:rsidRPr="000C09C9">
        <w:rPr>
          <w:rFonts w:ascii="Arial" w:hAnsi="Arial" w:cs="Arial"/>
          <w:color w:val="000000" w:themeColor="text1"/>
          <w:sz w:val="24"/>
          <w:szCs w:val="24"/>
          <w:lang w:val="es-ES"/>
        </w:rPr>
        <w:t>.</w:t>
      </w:r>
      <w:r w:rsidR="00765CAF" w:rsidRPr="00A93228">
        <w:rPr>
          <w:rFonts w:ascii="Arial" w:hAnsi="Arial" w:cs="Arial"/>
          <w:color w:val="000000" w:themeColor="text1"/>
          <w:sz w:val="24"/>
          <w:szCs w:val="24"/>
          <w:lang w:val="es-ES"/>
        </w:rPr>
        <w:t xml:space="preserve"> Este indicador ilustra que las administradoras con menor número de cuentas registradas son también las que menos cuentas liberan o bien que las empresas financieras de origen nacional y multinacional que concentran el mayor número de cuentas</w:t>
      </w:r>
      <w:r w:rsidR="00F83F80" w:rsidRPr="00A93228">
        <w:rPr>
          <w:rFonts w:ascii="Arial" w:hAnsi="Arial" w:cs="Arial"/>
          <w:color w:val="000000" w:themeColor="text1"/>
          <w:sz w:val="24"/>
          <w:szCs w:val="24"/>
          <w:lang w:val="es-ES"/>
        </w:rPr>
        <w:t xml:space="preserve"> son al mismo tiempo las</w:t>
      </w:r>
      <w:r w:rsidR="00CC3D48">
        <w:rPr>
          <w:rFonts w:ascii="Arial" w:hAnsi="Arial" w:cs="Arial"/>
          <w:color w:val="000000" w:themeColor="text1"/>
          <w:sz w:val="24"/>
          <w:szCs w:val="24"/>
          <w:lang w:val="es-ES"/>
        </w:rPr>
        <w:t xml:space="preserve"> que abandonan los trabajad</w:t>
      </w:r>
      <w:r w:rsidR="00C213DA">
        <w:rPr>
          <w:rFonts w:ascii="Arial" w:hAnsi="Arial" w:cs="Arial"/>
          <w:color w:val="000000" w:themeColor="text1"/>
          <w:sz w:val="24"/>
          <w:szCs w:val="24"/>
          <w:lang w:val="es-ES"/>
        </w:rPr>
        <w:t>ores.</w:t>
      </w:r>
    </w:p>
    <w:p w:rsidR="008A02C5" w:rsidRPr="00A93228" w:rsidRDefault="008A02C5" w:rsidP="00C67CD9">
      <w:pPr>
        <w:spacing w:line="480" w:lineRule="auto"/>
        <w:ind w:firstLine="708"/>
        <w:jc w:val="both"/>
        <w:rPr>
          <w:rFonts w:ascii="Arial" w:hAnsi="Arial" w:cs="Arial"/>
          <w:color w:val="000000" w:themeColor="text1"/>
          <w:sz w:val="24"/>
          <w:szCs w:val="24"/>
          <w:lang w:val="es-ES"/>
        </w:rPr>
      </w:pPr>
      <w:r w:rsidRPr="00A93228">
        <w:rPr>
          <w:rFonts w:ascii="Arial" w:hAnsi="Arial" w:cs="Arial"/>
          <w:color w:val="000000" w:themeColor="text1"/>
          <w:sz w:val="24"/>
          <w:szCs w:val="24"/>
          <w:lang w:val="es-ES"/>
        </w:rPr>
        <w:lastRenderedPageBreak/>
        <w:t>Un promedio interesante de destacar tiene que ver con los traspasos netos por administradora, los recibidos menos los cedidos, el cual muestra que cinco de ellas registraron saldo positivo, mientras que las otras seis alcanzaron números rojos. Coppel  registra los traspasos netos más altos de todo el s</w:t>
      </w:r>
      <w:r w:rsidR="00122B15" w:rsidRPr="00A93228">
        <w:rPr>
          <w:rFonts w:ascii="Arial" w:hAnsi="Arial" w:cs="Arial"/>
          <w:color w:val="000000" w:themeColor="text1"/>
          <w:sz w:val="24"/>
          <w:szCs w:val="24"/>
          <w:lang w:val="es-ES"/>
        </w:rPr>
        <w:t>istema, 188 mil entre 2005-2014;</w:t>
      </w:r>
      <w:r w:rsidRPr="00A93228">
        <w:rPr>
          <w:rFonts w:ascii="Arial" w:hAnsi="Arial" w:cs="Arial"/>
          <w:color w:val="000000" w:themeColor="text1"/>
          <w:sz w:val="24"/>
          <w:szCs w:val="24"/>
          <w:lang w:val="es-ES"/>
        </w:rPr>
        <w:t xml:space="preserve"> le siguió Invercap con 138 mi</w:t>
      </w:r>
      <w:r w:rsidR="00CE1A03">
        <w:rPr>
          <w:rFonts w:ascii="Arial" w:hAnsi="Arial" w:cs="Arial"/>
          <w:color w:val="000000" w:themeColor="text1"/>
          <w:sz w:val="24"/>
          <w:szCs w:val="24"/>
          <w:lang w:val="es-ES"/>
        </w:rPr>
        <w:t xml:space="preserve">l, mientras que  Sura promedio </w:t>
      </w:r>
      <w:r w:rsidRPr="00A93228">
        <w:rPr>
          <w:rFonts w:ascii="Arial" w:hAnsi="Arial" w:cs="Arial"/>
          <w:color w:val="000000" w:themeColor="text1"/>
          <w:sz w:val="24"/>
          <w:szCs w:val="24"/>
          <w:lang w:val="es-ES"/>
        </w:rPr>
        <w:t>117</w:t>
      </w:r>
      <w:r w:rsidR="00CE1A03">
        <w:rPr>
          <w:rFonts w:ascii="Arial" w:hAnsi="Arial" w:cs="Arial"/>
          <w:color w:val="000000" w:themeColor="text1"/>
          <w:sz w:val="24"/>
          <w:szCs w:val="24"/>
          <w:lang w:val="es-ES"/>
        </w:rPr>
        <w:t xml:space="preserve"> mil</w:t>
      </w:r>
      <w:r w:rsidRPr="00A93228">
        <w:rPr>
          <w:rFonts w:ascii="Arial" w:hAnsi="Arial" w:cs="Arial"/>
          <w:color w:val="000000" w:themeColor="text1"/>
          <w:sz w:val="24"/>
          <w:szCs w:val="24"/>
          <w:lang w:val="es-ES"/>
        </w:rPr>
        <w:t xml:space="preserve"> traspasos netos</w:t>
      </w:r>
      <w:r w:rsidR="00122B15" w:rsidRPr="00A93228">
        <w:rPr>
          <w:rFonts w:ascii="Arial" w:hAnsi="Arial" w:cs="Arial"/>
          <w:color w:val="000000" w:themeColor="text1"/>
          <w:sz w:val="24"/>
          <w:szCs w:val="24"/>
          <w:lang w:val="es-ES"/>
        </w:rPr>
        <w:t>, derivado de liberar más cue</w:t>
      </w:r>
      <w:r w:rsidR="005001AA">
        <w:rPr>
          <w:rFonts w:ascii="Arial" w:hAnsi="Arial" w:cs="Arial"/>
          <w:color w:val="000000" w:themeColor="text1"/>
          <w:sz w:val="24"/>
          <w:szCs w:val="24"/>
          <w:lang w:val="es-ES"/>
        </w:rPr>
        <w:t xml:space="preserve">ntas de las recibidas </w:t>
      </w:r>
      <w:r w:rsidR="00332D4D" w:rsidRPr="00702451">
        <w:rPr>
          <w:rFonts w:ascii="Arial" w:hAnsi="Arial" w:cs="Arial"/>
          <w:color w:val="000000" w:themeColor="text1"/>
          <w:sz w:val="24"/>
          <w:szCs w:val="24"/>
          <w:lang w:val="es-ES"/>
        </w:rPr>
        <w:t>(cuadro 11</w:t>
      </w:r>
      <w:r w:rsidR="00D41C47" w:rsidRPr="00702451">
        <w:rPr>
          <w:rFonts w:ascii="Arial" w:hAnsi="Arial" w:cs="Arial"/>
          <w:color w:val="000000" w:themeColor="text1"/>
          <w:sz w:val="24"/>
          <w:szCs w:val="24"/>
          <w:lang w:val="es-ES"/>
        </w:rPr>
        <w:t>)</w:t>
      </w:r>
      <w:r w:rsidR="00122B15" w:rsidRPr="00702451">
        <w:rPr>
          <w:rFonts w:ascii="Arial" w:hAnsi="Arial" w:cs="Arial"/>
          <w:color w:val="000000" w:themeColor="text1"/>
          <w:sz w:val="24"/>
          <w:szCs w:val="24"/>
          <w:lang w:val="es-ES"/>
        </w:rPr>
        <w:t>.</w:t>
      </w:r>
      <w:r w:rsidRPr="00A93228">
        <w:rPr>
          <w:rFonts w:ascii="Arial" w:hAnsi="Arial" w:cs="Arial"/>
          <w:color w:val="000000" w:themeColor="text1"/>
          <w:sz w:val="24"/>
          <w:szCs w:val="24"/>
          <w:lang w:val="es-ES"/>
        </w:rPr>
        <w:t xml:space="preserve">  </w:t>
      </w:r>
    </w:p>
    <w:p w:rsidR="008A02C5" w:rsidRPr="00A93228" w:rsidRDefault="008A02C5" w:rsidP="006E10B9">
      <w:pPr>
        <w:spacing w:line="480" w:lineRule="auto"/>
        <w:jc w:val="both"/>
        <w:rPr>
          <w:rFonts w:ascii="Arial" w:hAnsi="Arial" w:cs="Arial"/>
          <w:color w:val="000000" w:themeColor="text1"/>
          <w:sz w:val="24"/>
          <w:szCs w:val="24"/>
          <w:lang w:val="es-ES"/>
        </w:rPr>
      </w:pPr>
    </w:p>
    <w:p w:rsidR="001D4D15" w:rsidRDefault="001D4D15" w:rsidP="006E10B9">
      <w:pPr>
        <w:spacing w:line="480" w:lineRule="auto"/>
        <w:jc w:val="both"/>
        <w:rPr>
          <w:rFonts w:ascii="Arial" w:hAnsi="Arial" w:cs="Arial"/>
          <w:color w:val="000000" w:themeColor="text1"/>
          <w:sz w:val="24"/>
          <w:szCs w:val="24"/>
          <w:lang w:val="es-ES"/>
        </w:rPr>
      </w:pPr>
    </w:p>
    <w:p w:rsidR="005001AA" w:rsidRDefault="005001AA" w:rsidP="006E10B9">
      <w:pPr>
        <w:spacing w:line="480" w:lineRule="auto"/>
        <w:jc w:val="both"/>
        <w:rPr>
          <w:rFonts w:ascii="Arial" w:hAnsi="Arial" w:cs="Arial"/>
          <w:color w:val="000000" w:themeColor="text1"/>
          <w:sz w:val="24"/>
          <w:szCs w:val="24"/>
          <w:lang w:val="es-ES"/>
        </w:rPr>
      </w:pPr>
    </w:p>
    <w:p w:rsidR="00C67CD9" w:rsidRDefault="00C67CD9" w:rsidP="006E10B9">
      <w:pPr>
        <w:spacing w:line="480" w:lineRule="auto"/>
        <w:jc w:val="both"/>
        <w:rPr>
          <w:rFonts w:ascii="Arial" w:hAnsi="Arial" w:cs="Arial"/>
          <w:color w:val="000000" w:themeColor="text1"/>
          <w:sz w:val="24"/>
          <w:szCs w:val="24"/>
          <w:lang w:val="es-ES"/>
        </w:rPr>
      </w:pPr>
    </w:p>
    <w:p w:rsidR="00C67CD9" w:rsidRDefault="00C67CD9" w:rsidP="006E10B9">
      <w:pPr>
        <w:spacing w:line="480" w:lineRule="auto"/>
        <w:jc w:val="both"/>
        <w:rPr>
          <w:rFonts w:ascii="Arial" w:hAnsi="Arial" w:cs="Arial"/>
          <w:color w:val="000000" w:themeColor="text1"/>
          <w:sz w:val="24"/>
          <w:szCs w:val="24"/>
          <w:lang w:val="es-ES"/>
        </w:rPr>
      </w:pPr>
    </w:p>
    <w:p w:rsidR="003035FA" w:rsidRDefault="003035FA" w:rsidP="00CC3D48">
      <w:pPr>
        <w:pStyle w:val="Puesto"/>
        <w:jc w:val="left"/>
        <w:sectPr w:rsidR="003035FA" w:rsidSect="002639CF">
          <w:pgSz w:w="12240" w:h="15840"/>
          <w:pgMar w:top="1417" w:right="1701" w:bottom="1417" w:left="1701" w:header="708" w:footer="708" w:gutter="0"/>
          <w:cols w:space="708"/>
          <w:docGrid w:linePitch="360"/>
        </w:sectPr>
      </w:pPr>
    </w:p>
    <w:p w:rsidR="001C6570" w:rsidRPr="003F35A7" w:rsidRDefault="008A1222" w:rsidP="00B923F3">
      <w:pPr>
        <w:pStyle w:val="Ttulo1"/>
        <w:numPr>
          <w:ilvl w:val="0"/>
          <w:numId w:val="11"/>
        </w:numPr>
        <w:spacing w:before="0" w:after="400"/>
        <w:ind w:left="1077" w:hanging="357"/>
        <w:jc w:val="both"/>
      </w:pPr>
      <w:bookmarkStart w:id="100" w:name="_Toc401571178"/>
      <w:bookmarkStart w:id="101" w:name="_Toc401577569"/>
      <w:bookmarkStart w:id="102" w:name="_Toc401578516"/>
      <w:bookmarkStart w:id="103" w:name="_Toc401580980"/>
      <w:bookmarkStart w:id="104" w:name="_Toc401581469"/>
      <w:bookmarkStart w:id="105" w:name="_Toc401586010"/>
      <w:bookmarkStart w:id="106" w:name="_Toc402948942"/>
      <w:r w:rsidRPr="003F35A7">
        <w:lastRenderedPageBreak/>
        <w:t>EVIDENCIA EMPÍRICA DE LOS TRASPASOS</w:t>
      </w:r>
      <w:bookmarkEnd w:id="100"/>
      <w:bookmarkEnd w:id="101"/>
      <w:bookmarkEnd w:id="102"/>
      <w:bookmarkEnd w:id="103"/>
      <w:bookmarkEnd w:id="104"/>
      <w:bookmarkEnd w:id="105"/>
      <w:bookmarkEnd w:id="106"/>
    </w:p>
    <w:p w:rsidR="003109B9" w:rsidRDefault="003109B9" w:rsidP="003109B9">
      <w:pPr>
        <w:pStyle w:val="Ttulo2"/>
      </w:pPr>
      <w:bookmarkStart w:id="107" w:name="_Toc402948943"/>
      <w:r>
        <w:t>Metodología</w:t>
      </w:r>
      <w:bookmarkEnd w:id="107"/>
    </w:p>
    <w:p w:rsidR="0089523C" w:rsidRPr="00A93228" w:rsidRDefault="0089523C" w:rsidP="006E10B9">
      <w:pPr>
        <w:spacing w:line="480" w:lineRule="auto"/>
        <w:jc w:val="both"/>
        <w:rPr>
          <w:rFonts w:ascii="Arial" w:eastAsia="Times New Roman" w:hAnsi="Arial" w:cs="Arial"/>
          <w:color w:val="000000" w:themeColor="text1"/>
          <w:sz w:val="24"/>
          <w:szCs w:val="24"/>
          <w:lang w:eastAsia="es-MX"/>
        </w:rPr>
      </w:pPr>
      <w:r w:rsidRPr="00A93228">
        <w:rPr>
          <w:rFonts w:ascii="Arial" w:eastAsia="Times New Roman" w:hAnsi="Arial" w:cs="Arial"/>
          <w:color w:val="000000" w:themeColor="text1"/>
          <w:sz w:val="24"/>
          <w:szCs w:val="24"/>
          <w:lang w:eastAsia="es-MX"/>
        </w:rPr>
        <w:t>1.- Recopilación de estadísticas de traspasos en la CONSAR y AIOS.</w:t>
      </w:r>
    </w:p>
    <w:p w:rsidR="0089523C" w:rsidRPr="00A93228" w:rsidRDefault="0089523C" w:rsidP="006E10B9">
      <w:pPr>
        <w:spacing w:line="480" w:lineRule="auto"/>
        <w:jc w:val="both"/>
        <w:rPr>
          <w:rFonts w:ascii="Arial" w:eastAsia="Times New Roman" w:hAnsi="Arial" w:cs="Arial"/>
          <w:color w:val="000000" w:themeColor="text1"/>
          <w:sz w:val="24"/>
          <w:szCs w:val="24"/>
          <w:lang w:eastAsia="es-MX"/>
        </w:rPr>
      </w:pPr>
      <w:r w:rsidRPr="00A93228">
        <w:rPr>
          <w:rFonts w:ascii="Arial" w:eastAsia="Times New Roman" w:hAnsi="Arial" w:cs="Arial"/>
          <w:color w:val="000000" w:themeColor="text1"/>
          <w:sz w:val="24"/>
          <w:szCs w:val="24"/>
          <w:lang w:eastAsia="es-MX"/>
        </w:rPr>
        <w:t xml:space="preserve">2.- Elaboración de una Base de Datos por AFORE en el periodo </w:t>
      </w:r>
      <w:r w:rsidR="00C23211">
        <w:rPr>
          <w:rFonts w:ascii="Arial" w:eastAsia="Times New Roman" w:hAnsi="Arial" w:cs="Arial"/>
          <w:color w:val="000000" w:themeColor="text1"/>
          <w:sz w:val="24"/>
          <w:szCs w:val="24"/>
          <w:lang w:eastAsia="es-MX"/>
        </w:rPr>
        <w:t>2005-2013</w:t>
      </w:r>
      <w:r w:rsidR="006136B8">
        <w:rPr>
          <w:rFonts w:ascii="Arial" w:eastAsia="Times New Roman" w:hAnsi="Arial" w:cs="Arial"/>
          <w:color w:val="000000" w:themeColor="text1"/>
          <w:sz w:val="24"/>
          <w:szCs w:val="24"/>
          <w:lang w:eastAsia="es-MX"/>
        </w:rPr>
        <w:t>: traspasos recibidos</w:t>
      </w:r>
      <w:r w:rsidRPr="00A93228">
        <w:rPr>
          <w:rFonts w:ascii="Arial" w:eastAsia="Times New Roman" w:hAnsi="Arial" w:cs="Arial"/>
          <w:color w:val="000000" w:themeColor="text1"/>
          <w:sz w:val="24"/>
          <w:szCs w:val="24"/>
          <w:lang w:eastAsia="es-MX"/>
        </w:rPr>
        <w:t>, rendimientos por SIEFORE, comisiones  y rendimiento neto.</w:t>
      </w:r>
    </w:p>
    <w:p w:rsidR="0089523C" w:rsidRPr="00A93228" w:rsidRDefault="0089523C" w:rsidP="006E10B9">
      <w:pPr>
        <w:spacing w:line="480" w:lineRule="auto"/>
        <w:jc w:val="both"/>
        <w:rPr>
          <w:rFonts w:ascii="Arial" w:eastAsia="Times New Roman" w:hAnsi="Arial" w:cs="Arial"/>
          <w:color w:val="000000" w:themeColor="text1"/>
          <w:sz w:val="24"/>
          <w:szCs w:val="24"/>
          <w:lang w:eastAsia="es-MX"/>
        </w:rPr>
      </w:pPr>
      <w:r w:rsidRPr="00A93228">
        <w:rPr>
          <w:rFonts w:ascii="Arial" w:eastAsia="Times New Roman" w:hAnsi="Arial" w:cs="Arial"/>
          <w:color w:val="000000" w:themeColor="text1"/>
          <w:sz w:val="24"/>
          <w:szCs w:val="24"/>
          <w:lang w:eastAsia="es-MX"/>
        </w:rPr>
        <w:t xml:space="preserve">3.- Para determinar la dependencia que explique el comportamiento de las variables de interés se realizara un estudio de correlación. Así, se desea analizar la relación </w:t>
      </w:r>
      <w:r w:rsidR="00183676">
        <w:rPr>
          <w:rFonts w:ascii="Arial" w:eastAsia="Times New Roman" w:hAnsi="Arial" w:cs="Arial"/>
          <w:color w:val="000000" w:themeColor="text1"/>
          <w:sz w:val="24"/>
          <w:szCs w:val="24"/>
          <w:lang w:eastAsia="es-MX"/>
        </w:rPr>
        <w:t xml:space="preserve">existente entre traspasos recibidos </w:t>
      </w:r>
      <w:r w:rsidRPr="00A93228">
        <w:rPr>
          <w:rFonts w:ascii="Arial" w:eastAsia="Times New Roman" w:hAnsi="Arial" w:cs="Arial"/>
          <w:color w:val="000000" w:themeColor="text1"/>
          <w:sz w:val="24"/>
          <w:szCs w:val="24"/>
          <w:lang w:eastAsia="es-MX"/>
        </w:rPr>
        <w:t xml:space="preserve">(variable </w:t>
      </w:r>
      <w:r w:rsidR="00183676">
        <w:rPr>
          <w:rFonts w:ascii="Arial" w:eastAsia="Times New Roman" w:hAnsi="Arial" w:cs="Arial"/>
          <w:color w:val="000000" w:themeColor="text1"/>
          <w:sz w:val="24"/>
          <w:szCs w:val="24"/>
          <w:lang w:eastAsia="es-MX"/>
        </w:rPr>
        <w:t xml:space="preserve">dependiente) y rendimiento </w:t>
      </w:r>
      <w:r w:rsidRPr="00A93228">
        <w:rPr>
          <w:rFonts w:ascii="Arial" w:eastAsia="Times New Roman" w:hAnsi="Arial" w:cs="Arial"/>
          <w:color w:val="000000" w:themeColor="text1"/>
          <w:sz w:val="24"/>
          <w:szCs w:val="24"/>
          <w:lang w:eastAsia="es-MX"/>
        </w:rPr>
        <w:t>(variable independiente).</w:t>
      </w:r>
    </w:p>
    <w:p w:rsidR="00E62531" w:rsidRDefault="0089523C" w:rsidP="006136B8">
      <w:pPr>
        <w:spacing w:line="480" w:lineRule="auto"/>
        <w:ind w:firstLine="708"/>
        <w:jc w:val="both"/>
        <w:rPr>
          <w:rFonts w:ascii="Arial" w:eastAsia="Times New Roman" w:hAnsi="Arial" w:cs="Arial"/>
          <w:color w:val="000000" w:themeColor="text1"/>
          <w:sz w:val="24"/>
          <w:szCs w:val="24"/>
          <w:lang w:eastAsia="es-MX"/>
        </w:rPr>
      </w:pPr>
      <w:r w:rsidRPr="00A93228">
        <w:rPr>
          <w:rFonts w:ascii="Arial" w:eastAsia="Times New Roman" w:hAnsi="Arial" w:cs="Arial"/>
          <w:color w:val="000000" w:themeColor="text1"/>
          <w:sz w:val="24"/>
          <w:szCs w:val="24"/>
          <w:lang w:eastAsia="es-MX"/>
        </w:rPr>
        <w:t>El método que se empleara será el de coeficiente de correlación de Pearson el cual evalúa si existe una asociación lineal entre dos variables cuantitativas y se expresa como:</w:t>
      </w:r>
    </w:p>
    <w:p w:rsidR="0089523C" w:rsidRPr="00FA6248" w:rsidRDefault="00FA6248" w:rsidP="00FA6248">
      <w:pPr>
        <w:spacing w:line="480" w:lineRule="auto"/>
        <w:ind w:firstLine="708"/>
        <w:jc w:val="both"/>
        <w:rPr>
          <w:rFonts w:ascii="Arial" w:eastAsia="Times New Roman" w:hAnsi="Arial" w:cs="Arial"/>
          <w:color w:val="000000" w:themeColor="text1"/>
          <w:sz w:val="28"/>
          <w:szCs w:val="28"/>
          <w:lang w:eastAsia="es-MX"/>
        </w:rPr>
      </w:pPr>
      <m:oMathPara>
        <m:oMath>
          <m:r>
            <w:rPr>
              <w:rFonts w:ascii="Cambria Math" w:eastAsia="Times New Roman" w:hAnsi="Cambria Math" w:cs="Arial"/>
              <w:color w:val="000000" w:themeColor="text1"/>
              <w:sz w:val="28"/>
              <w:szCs w:val="28"/>
              <w:lang w:eastAsia="es-MX"/>
            </w:rPr>
            <m:t>r=</m:t>
          </m:r>
          <m:f>
            <m:fPr>
              <m:ctrlPr>
                <w:rPr>
                  <w:rFonts w:ascii="Cambria Math" w:eastAsia="Times New Roman" w:hAnsi="Cambria Math" w:cs="Arial"/>
                  <w:i/>
                  <w:color w:val="000000" w:themeColor="text1"/>
                  <w:sz w:val="28"/>
                  <w:szCs w:val="28"/>
                  <w:lang w:eastAsia="es-MX"/>
                </w:rPr>
              </m:ctrlPr>
            </m:fPr>
            <m:num>
              <m:r>
                <w:rPr>
                  <w:rFonts w:ascii="Cambria Math" w:eastAsia="Times New Roman" w:hAnsi="Cambria Math" w:cs="Arial"/>
                  <w:color w:val="000000" w:themeColor="text1"/>
                  <w:sz w:val="28"/>
                  <w:szCs w:val="28"/>
                  <w:lang w:eastAsia="es-MX"/>
                </w:rPr>
                <m:t>Cov(X,Y)</m:t>
              </m:r>
            </m:num>
            <m:den>
              <m:sSub>
                <m:sSubPr>
                  <m:ctrlPr>
                    <w:rPr>
                      <w:rFonts w:ascii="Cambria Math" w:eastAsia="Times New Roman" w:hAnsi="Cambria Math" w:cs="Arial"/>
                      <w:i/>
                      <w:color w:val="000000" w:themeColor="text1"/>
                      <w:sz w:val="28"/>
                      <w:szCs w:val="28"/>
                      <w:lang w:eastAsia="es-MX"/>
                    </w:rPr>
                  </m:ctrlPr>
                </m:sSubPr>
                <m:e>
                  <m:r>
                    <w:rPr>
                      <w:rFonts w:ascii="Cambria Math" w:eastAsia="Times New Roman" w:hAnsi="Cambria Math" w:cs="Arial"/>
                      <w:color w:val="000000" w:themeColor="text1"/>
                      <w:sz w:val="28"/>
                      <w:szCs w:val="28"/>
                      <w:lang w:eastAsia="es-MX"/>
                    </w:rPr>
                    <m:t>S</m:t>
                  </m:r>
                </m:e>
                <m:sub>
                  <m:r>
                    <w:rPr>
                      <w:rFonts w:ascii="Cambria Math" w:eastAsia="Times New Roman" w:hAnsi="Cambria Math" w:cs="Arial"/>
                      <w:color w:val="000000" w:themeColor="text1"/>
                      <w:sz w:val="28"/>
                      <w:szCs w:val="28"/>
                      <w:lang w:eastAsia="es-MX"/>
                    </w:rPr>
                    <m:t>X</m:t>
                  </m:r>
                </m:sub>
              </m:sSub>
              <m:sSub>
                <m:sSubPr>
                  <m:ctrlPr>
                    <w:rPr>
                      <w:rFonts w:ascii="Cambria Math" w:eastAsia="Times New Roman" w:hAnsi="Cambria Math" w:cs="Arial"/>
                      <w:i/>
                      <w:color w:val="000000" w:themeColor="text1"/>
                      <w:sz w:val="28"/>
                      <w:szCs w:val="28"/>
                      <w:lang w:eastAsia="es-MX"/>
                    </w:rPr>
                  </m:ctrlPr>
                </m:sSubPr>
                <m:e>
                  <m:r>
                    <w:rPr>
                      <w:rFonts w:ascii="Cambria Math" w:eastAsia="Times New Roman" w:hAnsi="Cambria Math" w:cs="Arial"/>
                      <w:color w:val="000000" w:themeColor="text1"/>
                      <w:sz w:val="28"/>
                      <w:szCs w:val="28"/>
                      <w:lang w:eastAsia="es-MX"/>
                    </w:rPr>
                    <m:t>S</m:t>
                  </m:r>
                </m:e>
                <m:sub>
                  <m:r>
                    <w:rPr>
                      <w:rFonts w:ascii="Cambria Math" w:eastAsia="Times New Roman" w:hAnsi="Cambria Math" w:cs="Arial"/>
                      <w:color w:val="000000" w:themeColor="text1"/>
                      <w:sz w:val="28"/>
                      <w:szCs w:val="28"/>
                      <w:lang w:eastAsia="es-MX"/>
                    </w:rPr>
                    <m:t>Y</m:t>
                  </m:r>
                </m:sub>
              </m:sSub>
            </m:den>
          </m:f>
          <m:r>
            <w:rPr>
              <w:rFonts w:ascii="Cambria Math" w:eastAsia="Times New Roman" w:hAnsi="Cambria Math" w:cs="Arial"/>
              <w:color w:val="000000" w:themeColor="text1"/>
              <w:sz w:val="28"/>
              <w:szCs w:val="28"/>
              <w:lang w:eastAsia="es-MX"/>
            </w:rPr>
            <m:t>=</m:t>
          </m:r>
          <m:f>
            <m:fPr>
              <m:ctrlPr>
                <w:rPr>
                  <w:rFonts w:ascii="Cambria Math" w:eastAsia="Times New Roman" w:hAnsi="Cambria Math" w:cs="Arial"/>
                  <w:i/>
                  <w:color w:val="000000" w:themeColor="text1"/>
                  <w:sz w:val="28"/>
                  <w:szCs w:val="28"/>
                  <w:lang w:eastAsia="es-MX"/>
                </w:rPr>
              </m:ctrlPr>
            </m:fPr>
            <m:num>
              <m:r>
                <w:rPr>
                  <w:rFonts w:ascii="Cambria Math" w:eastAsia="Times New Roman" w:hAnsi="Cambria Math" w:cs="Arial"/>
                  <w:color w:val="000000" w:themeColor="text1"/>
                  <w:sz w:val="28"/>
                  <w:szCs w:val="28"/>
                  <w:lang w:eastAsia="es-MX"/>
                </w:rPr>
                <m:t>n</m:t>
              </m:r>
              <m:nary>
                <m:naryPr>
                  <m:chr m:val="∑"/>
                  <m:limLoc m:val="undOvr"/>
                  <m:ctrlPr>
                    <w:rPr>
                      <w:rFonts w:ascii="Cambria Math" w:eastAsia="Times New Roman" w:hAnsi="Cambria Math" w:cs="Arial"/>
                      <w:i/>
                      <w:color w:val="000000" w:themeColor="text1"/>
                      <w:sz w:val="28"/>
                      <w:szCs w:val="28"/>
                      <w:lang w:eastAsia="es-MX"/>
                    </w:rPr>
                  </m:ctrlPr>
                </m:naryPr>
                <m:sub>
                  <m:r>
                    <w:rPr>
                      <w:rFonts w:ascii="Cambria Math" w:eastAsia="Times New Roman" w:hAnsi="Cambria Math" w:cs="Arial"/>
                      <w:color w:val="000000" w:themeColor="text1"/>
                      <w:sz w:val="28"/>
                      <w:szCs w:val="28"/>
                      <w:lang w:eastAsia="es-MX"/>
                    </w:rPr>
                    <m:t>i=1</m:t>
                  </m:r>
                </m:sub>
                <m:sup>
                  <m:r>
                    <w:rPr>
                      <w:rFonts w:ascii="Cambria Math" w:eastAsia="Times New Roman" w:hAnsi="Cambria Math" w:cs="Arial"/>
                      <w:color w:val="000000" w:themeColor="text1"/>
                      <w:sz w:val="28"/>
                      <w:szCs w:val="28"/>
                      <w:lang w:eastAsia="es-MX"/>
                    </w:rPr>
                    <m:t>n</m:t>
                  </m:r>
                </m:sup>
                <m:e>
                  <m:sSub>
                    <m:sSubPr>
                      <m:ctrlPr>
                        <w:rPr>
                          <w:rFonts w:ascii="Cambria Math" w:eastAsia="Times New Roman" w:hAnsi="Cambria Math" w:cs="Arial"/>
                          <w:i/>
                          <w:color w:val="000000" w:themeColor="text1"/>
                          <w:sz w:val="28"/>
                          <w:szCs w:val="28"/>
                          <w:lang w:eastAsia="es-MX"/>
                        </w:rPr>
                      </m:ctrlPr>
                    </m:sSubPr>
                    <m:e>
                      <m:r>
                        <w:rPr>
                          <w:rFonts w:ascii="Cambria Math" w:eastAsia="Times New Roman" w:hAnsi="Cambria Math" w:cs="Arial"/>
                          <w:color w:val="000000" w:themeColor="text1"/>
                          <w:sz w:val="28"/>
                          <w:szCs w:val="28"/>
                          <w:lang w:eastAsia="es-MX"/>
                        </w:rPr>
                        <m:t>X</m:t>
                      </m:r>
                    </m:e>
                    <m:sub>
                      <m:r>
                        <w:rPr>
                          <w:rFonts w:ascii="Cambria Math" w:eastAsia="Times New Roman" w:hAnsi="Cambria Math" w:cs="Arial"/>
                          <w:color w:val="000000" w:themeColor="text1"/>
                          <w:sz w:val="28"/>
                          <w:szCs w:val="28"/>
                          <w:lang w:eastAsia="es-MX"/>
                        </w:rPr>
                        <m:t>i</m:t>
                      </m:r>
                    </m:sub>
                  </m:sSub>
                  <m:sSub>
                    <m:sSubPr>
                      <m:ctrlPr>
                        <w:rPr>
                          <w:rFonts w:ascii="Cambria Math" w:eastAsia="Times New Roman" w:hAnsi="Cambria Math" w:cs="Arial"/>
                          <w:i/>
                          <w:color w:val="000000" w:themeColor="text1"/>
                          <w:sz w:val="28"/>
                          <w:szCs w:val="28"/>
                          <w:lang w:eastAsia="es-MX"/>
                        </w:rPr>
                      </m:ctrlPr>
                    </m:sSubPr>
                    <m:e>
                      <m:r>
                        <w:rPr>
                          <w:rFonts w:ascii="Cambria Math" w:eastAsia="Times New Roman" w:hAnsi="Cambria Math" w:cs="Arial"/>
                          <w:color w:val="000000" w:themeColor="text1"/>
                          <w:sz w:val="28"/>
                          <w:szCs w:val="28"/>
                          <w:lang w:eastAsia="es-MX"/>
                        </w:rPr>
                        <m:t>Y</m:t>
                      </m:r>
                    </m:e>
                    <m:sub>
                      <m:r>
                        <w:rPr>
                          <w:rFonts w:ascii="Cambria Math" w:eastAsia="Times New Roman" w:hAnsi="Cambria Math" w:cs="Arial"/>
                          <w:color w:val="000000" w:themeColor="text1"/>
                          <w:sz w:val="28"/>
                          <w:szCs w:val="28"/>
                          <w:lang w:eastAsia="es-MX"/>
                        </w:rPr>
                        <m:t>i</m:t>
                      </m:r>
                    </m:sub>
                  </m:sSub>
                  <m:r>
                    <w:rPr>
                      <w:rFonts w:ascii="Cambria Math" w:eastAsia="Times New Roman" w:hAnsi="Cambria Math" w:cs="Arial"/>
                      <w:color w:val="000000" w:themeColor="text1"/>
                      <w:sz w:val="28"/>
                      <w:szCs w:val="28"/>
                      <w:lang w:eastAsia="es-MX"/>
                    </w:rPr>
                    <m:t>-</m:t>
                  </m:r>
                  <m:d>
                    <m:dPr>
                      <m:ctrlPr>
                        <w:rPr>
                          <w:rFonts w:ascii="Cambria Math" w:eastAsia="Times New Roman" w:hAnsi="Cambria Math" w:cs="Arial"/>
                          <w:i/>
                          <w:color w:val="000000" w:themeColor="text1"/>
                          <w:sz w:val="28"/>
                          <w:szCs w:val="28"/>
                          <w:lang w:eastAsia="es-MX"/>
                        </w:rPr>
                      </m:ctrlPr>
                    </m:dPr>
                    <m:e>
                      <m:nary>
                        <m:naryPr>
                          <m:chr m:val="∑"/>
                          <m:limLoc m:val="undOvr"/>
                          <m:ctrlPr>
                            <w:rPr>
                              <w:rFonts w:ascii="Cambria Math" w:eastAsia="Times New Roman" w:hAnsi="Cambria Math" w:cs="Arial"/>
                              <w:i/>
                              <w:color w:val="000000" w:themeColor="text1"/>
                              <w:sz w:val="28"/>
                              <w:szCs w:val="28"/>
                              <w:lang w:eastAsia="es-MX"/>
                            </w:rPr>
                          </m:ctrlPr>
                        </m:naryPr>
                        <m:sub>
                          <m:r>
                            <w:rPr>
                              <w:rFonts w:ascii="Cambria Math" w:eastAsia="Times New Roman" w:hAnsi="Cambria Math" w:cs="Arial"/>
                              <w:color w:val="000000" w:themeColor="text1"/>
                              <w:sz w:val="28"/>
                              <w:szCs w:val="28"/>
                              <w:lang w:eastAsia="es-MX"/>
                            </w:rPr>
                            <m:t>i=1</m:t>
                          </m:r>
                        </m:sub>
                        <m:sup>
                          <m:r>
                            <w:rPr>
                              <w:rFonts w:ascii="Cambria Math" w:eastAsia="Times New Roman" w:hAnsi="Cambria Math" w:cs="Arial"/>
                              <w:color w:val="000000" w:themeColor="text1"/>
                              <w:sz w:val="28"/>
                              <w:szCs w:val="28"/>
                              <w:lang w:eastAsia="es-MX"/>
                            </w:rPr>
                            <m:t>n</m:t>
                          </m:r>
                        </m:sup>
                        <m:e>
                          <m:sSub>
                            <m:sSubPr>
                              <m:ctrlPr>
                                <w:rPr>
                                  <w:rFonts w:ascii="Cambria Math" w:eastAsia="Times New Roman" w:hAnsi="Cambria Math" w:cs="Arial"/>
                                  <w:i/>
                                  <w:color w:val="000000" w:themeColor="text1"/>
                                  <w:sz w:val="28"/>
                                  <w:szCs w:val="28"/>
                                  <w:lang w:eastAsia="es-MX"/>
                                </w:rPr>
                              </m:ctrlPr>
                            </m:sSubPr>
                            <m:e>
                              <m:r>
                                <w:rPr>
                                  <w:rFonts w:ascii="Cambria Math" w:eastAsia="Times New Roman" w:hAnsi="Cambria Math" w:cs="Arial"/>
                                  <w:color w:val="000000" w:themeColor="text1"/>
                                  <w:sz w:val="28"/>
                                  <w:szCs w:val="28"/>
                                  <w:lang w:eastAsia="es-MX"/>
                                </w:rPr>
                                <m:t>X</m:t>
                              </m:r>
                            </m:e>
                            <m:sub>
                              <m:r>
                                <w:rPr>
                                  <w:rFonts w:ascii="Cambria Math" w:eastAsia="Times New Roman" w:hAnsi="Cambria Math" w:cs="Arial"/>
                                  <w:color w:val="000000" w:themeColor="text1"/>
                                  <w:sz w:val="28"/>
                                  <w:szCs w:val="28"/>
                                  <w:lang w:eastAsia="es-MX"/>
                                </w:rPr>
                                <m:t>i</m:t>
                              </m:r>
                            </m:sub>
                          </m:sSub>
                        </m:e>
                      </m:nary>
                    </m:e>
                  </m:d>
                  <m:d>
                    <m:dPr>
                      <m:ctrlPr>
                        <w:rPr>
                          <w:rFonts w:ascii="Cambria Math" w:eastAsia="Times New Roman" w:hAnsi="Cambria Math" w:cs="Arial"/>
                          <w:i/>
                          <w:color w:val="000000" w:themeColor="text1"/>
                          <w:sz w:val="28"/>
                          <w:szCs w:val="28"/>
                          <w:lang w:eastAsia="es-MX"/>
                        </w:rPr>
                      </m:ctrlPr>
                    </m:dPr>
                    <m:e>
                      <m:nary>
                        <m:naryPr>
                          <m:chr m:val="∑"/>
                          <m:limLoc m:val="undOvr"/>
                          <m:ctrlPr>
                            <w:rPr>
                              <w:rFonts w:ascii="Cambria Math" w:eastAsia="Times New Roman" w:hAnsi="Cambria Math" w:cs="Arial"/>
                              <w:i/>
                              <w:color w:val="000000" w:themeColor="text1"/>
                              <w:sz w:val="28"/>
                              <w:szCs w:val="28"/>
                              <w:lang w:eastAsia="es-MX"/>
                            </w:rPr>
                          </m:ctrlPr>
                        </m:naryPr>
                        <m:sub>
                          <m:r>
                            <w:rPr>
                              <w:rFonts w:ascii="Cambria Math" w:eastAsia="Times New Roman" w:hAnsi="Cambria Math" w:cs="Arial"/>
                              <w:color w:val="000000" w:themeColor="text1"/>
                              <w:sz w:val="28"/>
                              <w:szCs w:val="28"/>
                              <w:lang w:eastAsia="es-MX"/>
                            </w:rPr>
                            <m:t>i=1</m:t>
                          </m:r>
                        </m:sub>
                        <m:sup>
                          <m:r>
                            <w:rPr>
                              <w:rFonts w:ascii="Cambria Math" w:eastAsia="Times New Roman" w:hAnsi="Cambria Math" w:cs="Arial"/>
                              <w:color w:val="000000" w:themeColor="text1"/>
                              <w:sz w:val="28"/>
                              <w:szCs w:val="28"/>
                              <w:lang w:eastAsia="es-MX"/>
                            </w:rPr>
                            <m:t>n</m:t>
                          </m:r>
                        </m:sup>
                        <m:e>
                          <m:sSub>
                            <m:sSubPr>
                              <m:ctrlPr>
                                <w:rPr>
                                  <w:rFonts w:ascii="Cambria Math" w:eastAsia="Times New Roman" w:hAnsi="Cambria Math" w:cs="Arial"/>
                                  <w:i/>
                                  <w:color w:val="000000" w:themeColor="text1"/>
                                  <w:sz w:val="28"/>
                                  <w:szCs w:val="28"/>
                                  <w:lang w:eastAsia="es-MX"/>
                                </w:rPr>
                              </m:ctrlPr>
                            </m:sSubPr>
                            <m:e>
                              <m:r>
                                <w:rPr>
                                  <w:rFonts w:ascii="Cambria Math" w:eastAsia="Times New Roman" w:hAnsi="Cambria Math" w:cs="Arial"/>
                                  <w:color w:val="000000" w:themeColor="text1"/>
                                  <w:sz w:val="28"/>
                                  <w:szCs w:val="28"/>
                                  <w:lang w:eastAsia="es-MX"/>
                                </w:rPr>
                                <m:t>Y</m:t>
                              </m:r>
                            </m:e>
                            <m:sub>
                              <m:r>
                                <w:rPr>
                                  <w:rFonts w:ascii="Cambria Math" w:eastAsia="Times New Roman" w:hAnsi="Cambria Math" w:cs="Arial"/>
                                  <w:color w:val="000000" w:themeColor="text1"/>
                                  <w:sz w:val="28"/>
                                  <w:szCs w:val="28"/>
                                  <w:lang w:eastAsia="es-MX"/>
                                </w:rPr>
                                <m:t>i</m:t>
                              </m:r>
                            </m:sub>
                          </m:sSub>
                        </m:e>
                      </m:nary>
                    </m:e>
                  </m:d>
                </m:e>
              </m:nary>
            </m:num>
            <m:den>
              <m:rad>
                <m:radPr>
                  <m:degHide m:val="1"/>
                  <m:ctrlPr>
                    <w:rPr>
                      <w:rFonts w:ascii="Cambria Math" w:eastAsia="Times New Roman" w:hAnsi="Cambria Math" w:cs="Arial"/>
                      <w:i/>
                      <w:color w:val="000000" w:themeColor="text1"/>
                      <w:sz w:val="28"/>
                      <w:szCs w:val="28"/>
                      <w:lang w:eastAsia="es-MX"/>
                    </w:rPr>
                  </m:ctrlPr>
                </m:radPr>
                <m:deg/>
                <m:e>
                  <m:r>
                    <w:rPr>
                      <w:rFonts w:ascii="Cambria Math" w:eastAsia="Times New Roman" w:hAnsi="Cambria Math" w:cs="Arial"/>
                      <w:color w:val="000000" w:themeColor="text1"/>
                      <w:sz w:val="28"/>
                      <w:szCs w:val="28"/>
                      <w:lang w:eastAsia="es-MX"/>
                    </w:rPr>
                    <m:t>n</m:t>
                  </m:r>
                  <m:nary>
                    <m:naryPr>
                      <m:chr m:val="∑"/>
                      <m:limLoc m:val="undOvr"/>
                      <m:ctrlPr>
                        <w:rPr>
                          <w:rFonts w:ascii="Cambria Math" w:eastAsia="Times New Roman" w:hAnsi="Cambria Math" w:cs="Arial"/>
                          <w:i/>
                          <w:color w:val="000000" w:themeColor="text1"/>
                          <w:sz w:val="28"/>
                          <w:szCs w:val="28"/>
                          <w:lang w:eastAsia="es-MX"/>
                        </w:rPr>
                      </m:ctrlPr>
                    </m:naryPr>
                    <m:sub>
                      <m:r>
                        <w:rPr>
                          <w:rFonts w:ascii="Cambria Math" w:eastAsia="Times New Roman" w:hAnsi="Cambria Math" w:cs="Arial"/>
                          <w:color w:val="000000" w:themeColor="text1"/>
                          <w:sz w:val="28"/>
                          <w:szCs w:val="28"/>
                          <w:lang w:eastAsia="es-MX"/>
                        </w:rPr>
                        <m:t>i=1</m:t>
                      </m:r>
                    </m:sub>
                    <m:sup>
                      <m:r>
                        <w:rPr>
                          <w:rFonts w:ascii="Cambria Math" w:eastAsia="Times New Roman" w:hAnsi="Cambria Math" w:cs="Arial"/>
                          <w:color w:val="000000" w:themeColor="text1"/>
                          <w:sz w:val="28"/>
                          <w:szCs w:val="28"/>
                          <w:lang w:eastAsia="es-MX"/>
                        </w:rPr>
                        <m:t>n</m:t>
                      </m:r>
                    </m:sup>
                    <m:e>
                      <m:sSup>
                        <m:sSupPr>
                          <m:ctrlPr>
                            <w:rPr>
                              <w:rFonts w:ascii="Cambria Math" w:eastAsia="Times New Roman" w:hAnsi="Cambria Math" w:cs="Arial"/>
                              <w:i/>
                              <w:color w:val="000000" w:themeColor="text1"/>
                              <w:sz w:val="28"/>
                              <w:szCs w:val="28"/>
                              <w:lang w:eastAsia="es-MX"/>
                            </w:rPr>
                          </m:ctrlPr>
                        </m:sSupPr>
                        <m:e>
                          <m:sSub>
                            <m:sSubPr>
                              <m:ctrlPr>
                                <w:rPr>
                                  <w:rFonts w:ascii="Cambria Math" w:eastAsia="Times New Roman" w:hAnsi="Cambria Math" w:cs="Arial"/>
                                  <w:i/>
                                  <w:color w:val="000000" w:themeColor="text1"/>
                                  <w:sz w:val="28"/>
                                  <w:szCs w:val="28"/>
                                  <w:lang w:eastAsia="es-MX"/>
                                </w:rPr>
                              </m:ctrlPr>
                            </m:sSubPr>
                            <m:e>
                              <m:r>
                                <w:rPr>
                                  <w:rFonts w:ascii="Cambria Math" w:eastAsia="Times New Roman" w:hAnsi="Cambria Math" w:cs="Arial"/>
                                  <w:color w:val="000000" w:themeColor="text1"/>
                                  <w:sz w:val="28"/>
                                  <w:szCs w:val="28"/>
                                  <w:lang w:eastAsia="es-MX"/>
                                </w:rPr>
                                <m:t>X</m:t>
                              </m:r>
                            </m:e>
                            <m:sub>
                              <m:r>
                                <w:rPr>
                                  <w:rFonts w:ascii="Cambria Math" w:eastAsia="Times New Roman" w:hAnsi="Cambria Math" w:cs="Arial"/>
                                  <w:color w:val="000000" w:themeColor="text1"/>
                                  <w:sz w:val="28"/>
                                  <w:szCs w:val="28"/>
                                  <w:lang w:eastAsia="es-MX"/>
                                </w:rPr>
                                <m:t>i</m:t>
                              </m:r>
                            </m:sub>
                          </m:sSub>
                        </m:e>
                        <m:sup>
                          <m:r>
                            <w:rPr>
                              <w:rFonts w:ascii="Cambria Math" w:eastAsia="Times New Roman" w:hAnsi="Cambria Math" w:cs="Arial"/>
                              <w:color w:val="000000" w:themeColor="text1"/>
                              <w:sz w:val="28"/>
                              <w:szCs w:val="28"/>
                              <w:lang w:eastAsia="es-MX"/>
                            </w:rPr>
                            <m:t>2</m:t>
                          </m:r>
                        </m:sup>
                      </m:sSup>
                      <m:r>
                        <w:rPr>
                          <w:rFonts w:ascii="Cambria Math" w:eastAsia="Times New Roman" w:hAnsi="Cambria Math" w:cs="Arial"/>
                          <w:color w:val="000000" w:themeColor="text1"/>
                          <w:sz w:val="28"/>
                          <w:szCs w:val="28"/>
                          <w:lang w:eastAsia="es-MX"/>
                        </w:rPr>
                        <m:t>-</m:t>
                      </m:r>
                      <m:sSup>
                        <m:sSupPr>
                          <m:ctrlPr>
                            <w:rPr>
                              <w:rFonts w:ascii="Cambria Math" w:eastAsia="Times New Roman" w:hAnsi="Cambria Math" w:cs="Arial"/>
                              <w:i/>
                              <w:color w:val="000000" w:themeColor="text1"/>
                              <w:sz w:val="28"/>
                              <w:szCs w:val="28"/>
                              <w:lang w:eastAsia="es-MX"/>
                            </w:rPr>
                          </m:ctrlPr>
                        </m:sSupPr>
                        <m:e>
                          <m:r>
                            <w:rPr>
                              <w:rFonts w:ascii="Cambria Math" w:eastAsia="Times New Roman" w:hAnsi="Cambria Math" w:cs="Arial"/>
                              <w:color w:val="000000" w:themeColor="text1"/>
                              <w:sz w:val="28"/>
                              <w:szCs w:val="28"/>
                              <w:lang w:eastAsia="es-MX"/>
                            </w:rPr>
                            <m:t>(</m:t>
                          </m:r>
                          <m:nary>
                            <m:naryPr>
                              <m:chr m:val="∑"/>
                              <m:limLoc m:val="undOvr"/>
                              <m:ctrlPr>
                                <w:rPr>
                                  <w:rFonts w:ascii="Cambria Math" w:eastAsia="Times New Roman" w:hAnsi="Cambria Math" w:cs="Arial"/>
                                  <w:i/>
                                  <w:color w:val="000000" w:themeColor="text1"/>
                                  <w:sz w:val="28"/>
                                  <w:szCs w:val="28"/>
                                  <w:lang w:eastAsia="es-MX"/>
                                </w:rPr>
                              </m:ctrlPr>
                            </m:naryPr>
                            <m:sub>
                              <m:r>
                                <w:rPr>
                                  <w:rFonts w:ascii="Cambria Math" w:eastAsia="Times New Roman" w:hAnsi="Cambria Math" w:cs="Arial"/>
                                  <w:color w:val="000000" w:themeColor="text1"/>
                                  <w:sz w:val="28"/>
                                  <w:szCs w:val="28"/>
                                  <w:lang w:eastAsia="es-MX"/>
                                </w:rPr>
                                <m:t>i=1</m:t>
                              </m:r>
                            </m:sub>
                            <m:sup>
                              <m:r>
                                <w:rPr>
                                  <w:rFonts w:ascii="Cambria Math" w:eastAsia="Times New Roman" w:hAnsi="Cambria Math" w:cs="Arial"/>
                                  <w:color w:val="000000" w:themeColor="text1"/>
                                  <w:sz w:val="28"/>
                                  <w:szCs w:val="28"/>
                                  <w:lang w:eastAsia="es-MX"/>
                                </w:rPr>
                                <m:t>n</m:t>
                              </m:r>
                            </m:sup>
                            <m:e>
                              <m:sSub>
                                <m:sSubPr>
                                  <m:ctrlPr>
                                    <w:rPr>
                                      <w:rFonts w:ascii="Cambria Math" w:eastAsia="Times New Roman" w:hAnsi="Cambria Math" w:cs="Arial"/>
                                      <w:i/>
                                      <w:color w:val="000000" w:themeColor="text1"/>
                                      <w:sz w:val="28"/>
                                      <w:szCs w:val="28"/>
                                      <w:lang w:eastAsia="es-MX"/>
                                    </w:rPr>
                                  </m:ctrlPr>
                                </m:sSubPr>
                                <m:e>
                                  <m:r>
                                    <w:rPr>
                                      <w:rFonts w:ascii="Cambria Math" w:eastAsia="Times New Roman" w:hAnsi="Cambria Math" w:cs="Arial"/>
                                      <w:color w:val="000000" w:themeColor="text1"/>
                                      <w:sz w:val="28"/>
                                      <w:szCs w:val="28"/>
                                      <w:lang w:eastAsia="es-MX"/>
                                    </w:rPr>
                                    <m:t>X</m:t>
                                  </m:r>
                                </m:e>
                                <m:sub>
                                  <m:r>
                                    <w:rPr>
                                      <w:rFonts w:ascii="Cambria Math" w:eastAsia="Times New Roman" w:hAnsi="Cambria Math" w:cs="Arial"/>
                                      <w:color w:val="000000" w:themeColor="text1"/>
                                      <w:sz w:val="28"/>
                                      <w:szCs w:val="28"/>
                                      <w:lang w:eastAsia="es-MX"/>
                                    </w:rPr>
                                    <m:t>i</m:t>
                                  </m:r>
                                </m:sub>
                              </m:sSub>
                              <m:r>
                                <w:rPr>
                                  <w:rFonts w:ascii="Cambria Math" w:eastAsia="Times New Roman" w:hAnsi="Cambria Math" w:cs="Arial"/>
                                  <w:color w:val="000000" w:themeColor="text1"/>
                                  <w:sz w:val="28"/>
                                  <w:szCs w:val="28"/>
                                  <w:lang w:eastAsia="es-MX"/>
                                </w:rPr>
                                <m:t>)</m:t>
                              </m:r>
                            </m:e>
                          </m:nary>
                        </m:e>
                        <m:sup>
                          <m:r>
                            <w:rPr>
                              <w:rFonts w:ascii="Cambria Math" w:eastAsia="Times New Roman" w:hAnsi="Cambria Math" w:cs="Arial"/>
                              <w:color w:val="000000" w:themeColor="text1"/>
                              <w:sz w:val="28"/>
                              <w:szCs w:val="28"/>
                              <w:lang w:eastAsia="es-MX"/>
                            </w:rPr>
                            <m:t>2</m:t>
                          </m:r>
                        </m:sup>
                      </m:sSup>
                    </m:e>
                  </m:nary>
                </m:e>
              </m:rad>
              <m:rad>
                <m:radPr>
                  <m:degHide m:val="1"/>
                  <m:ctrlPr>
                    <w:rPr>
                      <w:rFonts w:ascii="Cambria Math" w:eastAsia="Times New Roman" w:hAnsi="Cambria Math" w:cs="Arial"/>
                      <w:i/>
                      <w:color w:val="000000" w:themeColor="text1"/>
                      <w:sz w:val="28"/>
                      <w:szCs w:val="28"/>
                      <w:lang w:eastAsia="es-MX"/>
                    </w:rPr>
                  </m:ctrlPr>
                </m:radPr>
                <m:deg/>
                <m:e>
                  <m:r>
                    <w:rPr>
                      <w:rFonts w:ascii="Cambria Math" w:eastAsia="Times New Roman" w:hAnsi="Cambria Math" w:cs="Arial"/>
                      <w:color w:val="000000" w:themeColor="text1"/>
                      <w:sz w:val="28"/>
                      <w:szCs w:val="28"/>
                      <w:lang w:eastAsia="es-MX"/>
                    </w:rPr>
                    <m:t>n</m:t>
                  </m:r>
                  <m:nary>
                    <m:naryPr>
                      <m:chr m:val="∑"/>
                      <m:limLoc m:val="undOvr"/>
                      <m:ctrlPr>
                        <w:rPr>
                          <w:rFonts w:ascii="Cambria Math" w:eastAsia="Times New Roman" w:hAnsi="Cambria Math" w:cs="Arial"/>
                          <w:i/>
                          <w:color w:val="000000" w:themeColor="text1"/>
                          <w:sz w:val="28"/>
                          <w:szCs w:val="28"/>
                          <w:lang w:eastAsia="es-MX"/>
                        </w:rPr>
                      </m:ctrlPr>
                    </m:naryPr>
                    <m:sub>
                      <m:r>
                        <w:rPr>
                          <w:rFonts w:ascii="Cambria Math" w:eastAsia="Times New Roman" w:hAnsi="Cambria Math" w:cs="Arial"/>
                          <w:color w:val="000000" w:themeColor="text1"/>
                          <w:sz w:val="28"/>
                          <w:szCs w:val="28"/>
                          <w:lang w:eastAsia="es-MX"/>
                        </w:rPr>
                        <m:t>i=1</m:t>
                      </m:r>
                    </m:sub>
                    <m:sup>
                      <m:r>
                        <w:rPr>
                          <w:rFonts w:ascii="Cambria Math" w:eastAsia="Times New Roman" w:hAnsi="Cambria Math" w:cs="Arial"/>
                          <w:color w:val="000000" w:themeColor="text1"/>
                          <w:sz w:val="28"/>
                          <w:szCs w:val="28"/>
                          <w:lang w:eastAsia="es-MX"/>
                        </w:rPr>
                        <m:t>n</m:t>
                      </m:r>
                    </m:sup>
                    <m:e>
                      <m:sSup>
                        <m:sSupPr>
                          <m:ctrlPr>
                            <w:rPr>
                              <w:rFonts w:ascii="Cambria Math" w:eastAsia="Times New Roman" w:hAnsi="Cambria Math" w:cs="Arial"/>
                              <w:i/>
                              <w:color w:val="000000" w:themeColor="text1"/>
                              <w:sz w:val="28"/>
                              <w:szCs w:val="28"/>
                              <w:lang w:eastAsia="es-MX"/>
                            </w:rPr>
                          </m:ctrlPr>
                        </m:sSupPr>
                        <m:e>
                          <m:sSub>
                            <m:sSubPr>
                              <m:ctrlPr>
                                <w:rPr>
                                  <w:rFonts w:ascii="Cambria Math" w:eastAsia="Times New Roman" w:hAnsi="Cambria Math" w:cs="Arial"/>
                                  <w:i/>
                                  <w:color w:val="000000" w:themeColor="text1"/>
                                  <w:sz w:val="28"/>
                                  <w:szCs w:val="28"/>
                                  <w:lang w:eastAsia="es-MX"/>
                                </w:rPr>
                              </m:ctrlPr>
                            </m:sSubPr>
                            <m:e>
                              <m:r>
                                <w:rPr>
                                  <w:rFonts w:ascii="Cambria Math" w:eastAsia="Times New Roman" w:hAnsi="Cambria Math" w:cs="Arial"/>
                                  <w:color w:val="000000" w:themeColor="text1"/>
                                  <w:sz w:val="28"/>
                                  <w:szCs w:val="28"/>
                                  <w:lang w:eastAsia="es-MX"/>
                                </w:rPr>
                                <m:t>Y</m:t>
                              </m:r>
                            </m:e>
                            <m:sub>
                              <m:r>
                                <w:rPr>
                                  <w:rFonts w:ascii="Cambria Math" w:eastAsia="Times New Roman" w:hAnsi="Cambria Math" w:cs="Arial"/>
                                  <w:color w:val="000000" w:themeColor="text1"/>
                                  <w:sz w:val="28"/>
                                  <w:szCs w:val="28"/>
                                  <w:lang w:eastAsia="es-MX"/>
                                </w:rPr>
                                <m:t>i</m:t>
                              </m:r>
                            </m:sub>
                          </m:sSub>
                        </m:e>
                        <m:sup>
                          <m:r>
                            <w:rPr>
                              <w:rFonts w:ascii="Cambria Math" w:eastAsia="Times New Roman" w:hAnsi="Cambria Math" w:cs="Arial"/>
                              <w:color w:val="000000" w:themeColor="text1"/>
                              <w:sz w:val="28"/>
                              <w:szCs w:val="28"/>
                              <w:lang w:eastAsia="es-MX"/>
                            </w:rPr>
                            <m:t>2</m:t>
                          </m:r>
                        </m:sup>
                      </m:sSup>
                      <m:r>
                        <w:rPr>
                          <w:rFonts w:ascii="Cambria Math" w:eastAsia="Times New Roman" w:hAnsi="Cambria Math" w:cs="Arial"/>
                          <w:color w:val="000000" w:themeColor="text1"/>
                          <w:sz w:val="28"/>
                          <w:szCs w:val="28"/>
                          <w:lang w:eastAsia="es-MX"/>
                        </w:rPr>
                        <m:t>-</m:t>
                      </m:r>
                      <m:sSup>
                        <m:sSupPr>
                          <m:ctrlPr>
                            <w:rPr>
                              <w:rFonts w:ascii="Cambria Math" w:eastAsia="Times New Roman" w:hAnsi="Cambria Math" w:cs="Arial"/>
                              <w:i/>
                              <w:color w:val="000000" w:themeColor="text1"/>
                              <w:sz w:val="28"/>
                              <w:szCs w:val="28"/>
                              <w:lang w:eastAsia="es-MX"/>
                            </w:rPr>
                          </m:ctrlPr>
                        </m:sSupPr>
                        <m:e>
                          <m:r>
                            <w:rPr>
                              <w:rFonts w:ascii="Cambria Math" w:eastAsia="Times New Roman" w:hAnsi="Cambria Math" w:cs="Arial"/>
                              <w:color w:val="000000" w:themeColor="text1"/>
                              <w:sz w:val="28"/>
                              <w:szCs w:val="28"/>
                              <w:lang w:eastAsia="es-MX"/>
                            </w:rPr>
                            <m:t>(</m:t>
                          </m:r>
                          <m:nary>
                            <m:naryPr>
                              <m:chr m:val="∑"/>
                              <m:limLoc m:val="undOvr"/>
                              <m:ctrlPr>
                                <w:rPr>
                                  <w:rFonts w:ascii="Cambria Math" w:eastAsia="Times New Roman" w:hAnsi="Cambria Math" w:cs="Arial"/>
                                  <w:i/>
                                  <w:color w:val="000000" w:themeColor="text1"/>
                                  <w:sz w:val="28"/>
                                  <w:szCs w:val="28"/>
                                  <w:lang w:eastAsia="es-MX"/>
                                </w:rPr>
                              </m:ctrlPr>
                            </m:naryPr>
                            <m:sub>
                              <m:r>
                                <w:rPr>
                                  <w:rFonts w:ascii="Cambria Math" w:eastAsia="Times New Roman" w:hAnsi="Cambria Math" w:cs="Arial"/>
                                  <w:color w:val="000000" w:themeColor="text1"/>
                                  <w:sz w:val="28"/>
                                  <w:szCs w:val="28"/>
                                  <w:lang w:eastAsia="es-MX"/>
                                </w:rPr>
                                <m:t>i=1</m:t>
                              </m:r>
                            </m:sub>
                            <m:sup>
                              <m:r>
                                <w:rPr>
                                  <w:rFonts w:ascii="Cambria Math" w:eastAsia="Times New Roman" w:hAnsi="Cambria Math" w:cs="Arial"/>
                                  <w:color w:val="000000" w:themeColor="text1"/>
                                  <w:sz w:val="28"/>
                                  <w:szCs w:val="28"/>
                                  <w:lang w:eastAsia="es-MX"/>
                                </w:rPr>
                                <m:t>n</m:t>
                              </m:r>
                            </m:sup>
                            <m:e>
                              <m:sSub>
                                <m:sSubPr>
                                  <m:ctrlPr>
                                    <w:rPr>
                                      <w:rFonts w:ascii="Cambria Math" w:eastAsia="Times New Roman" w:hAnsi="Cambria Math" w:cs="Arial"/>
                                      <w:i/>
                                      <w:color w:val="000000" w:themeColor="text1"/>
                                      <w:sz w:val="28"/>
                                      <w:szCs w:val="28"/>
                                      <w:lang w:eastAsia="es-MX"/>
                                    </w:rPr>
                                  </m:ctrlPr>
                                </m:sSubPr>
                                <m:e>
                                  <m:r>
                                    <w:rPr>
                                      <w:rFonts w:ascii="Cambria Math" w:eastAsia="Times New Roman" w:hAnsi="Cambria Math" w:cs="Arial"/>
                                      <w:color w:val="000000" w:themeColor="text1"/>
                                      <w:sz w:val="28"/>
                                      <w:szCs w:val="28"/>
                                      <w:lang w:eastAsia="es-MX"/>
                                    </w:rPr>
                                    <m:t>Y</m:t>
                                  </m:r>
                                </m:e>
                                <m:sub>
                                  <m:r>
                                    <w:rPr>
                                      <w:rFonts w:ascii="Cambria Math" w:eastAsia="Times New Roman" w:hAnsi="Cambria Math" w:cs="Arial"/>
                                      <w:color w:val="000000" w:themeColor="text1"/>
                                      <w:sz w:val="28"/>
                                      <w:szCs w:val="28"/>
                                      <w:lang w:eastAsia="es-MX"/>
                                    </w:rPr>
                                    <m:t>i</m:t>
                                  </m:r>
                                </m:sub>
                              </m:sSub>
                              <m:r>
                                <w:rPr>
                                  <w:rFonts w:ascii="Cambria Math" w:eastAsia="Times New Roman" w:hAnsi="Cambria Math" w:cs="Arial"/>
                                  <w:color w:val="000000" w:themeColor="text1"/>
                                  <w:sz w:val="28"/>
                                  <w:szCs w:val="28"/>
                                  <w:lang w:eastAsia="es-MX"/>
                                </w:rPr>
                                <m:t>)</m:t>
                              </m:r>
                            </m:e>
                          </m:nary>
                        </m:e>
                        <m:sup>
                          <m:r>
                            <w:rPr>
                              <w:rFonts w:ascii="Cambria Math" w:eastAsia="Times New Roman" w:hAnsi="Cambria Math" w:cs="Arial"/>
                              <w:color w:val="000000" w:themeColor="text1"/>
                              <w:sz w:val="28"/>
                              <w:szCs w:val="28"/>
                              <w:lang w:eastAsia="es-MX"/>
                            </w:rPr>
                            <m:t>2</m:t>
                          </m:r>
                        </m:sup>
                      </m:sSup>
                    </m:e>
                  </m:nary>
                </m:e>
              </m:rad>
            </m:den>
          </m:f>
        </m:oMath>
      </m:oMathPara>
    </w:p>
    <w:p w:rsidR="0089523C" w:rsidRPr="00A93228" w:rsidRDefault="0089523C" w:rsidP="006E10B9">
      <w:pPr>
        <w:spacing w:line="480" w:lineRule="auto"/>
        <w:jc w:val="both"/>
        <w:rPr>
          <w:rFonts w:ascii="Arial" w:eastAsia="Times New Roman" w:hAnsi="Arial" w:cs="Arial"/>
          <w:color w:val="000000" w:themeColor="text1"/>
          <w:sz w:val="24"/>
          <w:szCs w:val="24"/>
          <w:lang w:eastAsia="es-MX"/>
        </w:rPr>
      </w:pPr>
      <w:r w:rsidRPr="00A93228">
        <w:rPr>
          <w:rFonts w:ascii="Arial" w:eastAsia="Times New Roman" w:hAnsi="Arial" w:cs="Arial"/>
          <w:color w:val="000000" w:themeColor="text1"/>
          <w:sz w:val="24"/>
          <w:szCs w:val="24"/>
          <w:lang w:eastAsia="es-MX"/>
        </w:rPr>
        <w:t>4.- Para la obtención de cada valor r en esta investigación se hará uso del paquete estadístico llamado Statistical Package for Social Sciences (SPSS). Se incluirán diagramas de dispersión por AFORE el cual permite visualizar gráficamente el comportamiento de ambas variables.</w:t>
      </w:r>
    </w:p>
    <w:p w:rsidR="0089523C" w:rsidRPr="00A93228" w:rsidRDefault="0089523C" w:rsidP="006E10B9">
      <w:pPr>
        <w:spacing w:line="480" w:lineRule="auto"/>
        <w:jc w:val="both"/>
        <w:rPr>
          <w:rFonts w:ascii="Arial" w:eastAsia="Times New Roman" w:hAnsi="Arial" w:cs="Arial"/>
          <w:color w:val="000000" w:themeColor="text1"/>
          <w:sz w:val="24"/>
          <w:szCs w:val="24"/>
          <w:lang w:eastAsia="es-MX"/>
        </w:rPr>
      </w:pPr>
      <w:r w:rsidRPr="00A93228">
        <w:rPr>
          <w:rFonts w:ascii="Arial" w:eastAsia="Times New Roman" w:hAnsi="Arial" w:cs="Arial"/>
          <w:color w:val="000000" w:themeColor="text1"/>
          <w:sz w:val="24"/>
          <w:szCs w:val="24"/>
          <w:lang w:eastAsia="es-MX"/>
        </w:rPr>
        <w:lastRenderedPageBreak/>
        <w:t>5.- Un coeficiente de correlación varía entre -1 y 1, donde el signo indica la dirección de la relación positiva o negativa. Para su practicidad e interpretación se presenta la s</w:t>
      </w:r>
      <w:r w:rsidR="00B31406">
        <w:rPr>
          <w:rFonts w:ascii="Arial" w:eastAsia="Times New Roman" w:hAnsi="Arial" w:cs="Arial"/>
          <w:color w:val="000000" w:themeColor="text1"/>
          <w:sz w:val="24"/>
          <w:szCs w:val="24"/>
          <w:lang w:eastAsia="es-MX"/>
        </w:rPr>
        <w:t>iguiente tabla:</w:t>
      </w:r>
    </w:p>
    <w:tbl>
      <w:tblPr>
        <w:tblStyle w:val="Cuadrculadetablaclara1"/>
        <w:tblW w:w="0" w:type="auto"/>
        <w:jc w:val="center"/>
        <w:tblLook w:val="04A0" w:firstRow="1" w:lastRow="0" w:firstColumn="1" w:lastColumn="0" w:noHBand="0" w:noVBand="1"/>
      </w:tblPr>
      <w:tblGrid>
        <w:gridCol w:w="2839"/>
        <w:gridCol w:w="2840"/>
      </w:tblGrid>
      <w:tr w:rsidR="0089523C" w:rsidRPr="00A93228" w:rsidTr="0089523C">
        <w:trPr>
          <w:trHeight w:val="237"/>
          <w:jc w:val="center"/>
        </w:trPr>
        <w:tc>
          <w:tcPr>
            <w:tcW w:w="2839" w:type="dxa"/>
          </w:tcPr>
          <w:p w:rsidR="0089523C" w:rsidRPr="00A93228" w:rsidRDefault="0089523C" w:rsidP="00B31406">
            <w:pPr>
              <w:spacing w:line="360" w:lineRule="auto"/>
              <w:jc w:val="center"/>
              <w:rPr>
                <w:rFonts w:ascii="Arial" w:eastAsia="Times New Roman" w:hAnsi="Arial" w:cs="Arial"/>
                <w:b/>
                <w:color w:val="000000" w:themeColor="text1"/>
                <w:sz w:val="24"/>
                <w:szCs w:val="24"/>
                <w:lang w:eastAsia="es-MX"/>
              </w:rPr>
            </w:pPr>
            <w:r w:rsidRPr="00A93228">
              <w:rPr>
                <w:rFonts w:ascii="Arial" w:eastAsia="Times New Roman" w:hAnsi="Arial" w:cs="Arial"/>
                <w:b/>
                <w:color w:val="000000" w:themeColor="text1"/>
                <w:sz w:val="24"/>
                <w:szCs w:val="24"/>
                <w:lang w:eastAsia="es-MX"/>
              </w:rPr>
              <w:t>Valores de r</w:t>
            </w:r>
          </w:p>
        </w:tc>
        <w:tc>
          <w:tcPr>
            <w:tcW w:w="2840" w:type="dxa"/>
          </w:tcPr>
          <w:p w:rsidR="0089523C" w:rsidRPr="00A93228" w:rsidRDefault="0089523C" w:rsidP="00B31406">
            <w:pPr>
              <w:spacing w:line="360" w:lineRule="auto"/>
              <w:jc w:val="center"/>
              <w:rPr>
                <w:rFonts w:ascii="Arial" w:eastAsia="Times New Roman" w:hAnsi="Arial" w:cs="Arial"/>
                <w:b/>
                <w:color w:val="000000" w:themeColor="text1"/>
                <w:sz w:val="24"/>
                <w:szCs w:val="24"/>
                <w:lang w:eastAsia="es-MX"/>
              </w:rPr>
            </w:pPr>
            <w:r w:rsidRPr="00A93228">
              <w:rPr>
                <w:rFonts w:ascii="Arial" w:eastAsia="Times New Roman" w:hAnsi="Arial" w:cs="Arial"/>
                <w:b/>
                <w:color w:val="000000" w:themeColor="text1"/>
                <w:sz w:val="24"/>
                <w:szCs w:val="24"/>
                <w:lang w:eastAsia="es-MX"/>
              </w:rPr>
              <w:t>Tipo y grado de correlación</w:t>
            </w:r>
          </w:p>
        </w:tc>
      </w:tr>
      <w:tr w:rsidR="0089523C" w:rsidRPr="00A93228" w:rsidTr="0089523C">
        <w:trPr>
          <w:trHeight w:val="213"/>
          <w:jc w:val="center"/>
        </w:trPr>
        <w:tc>
          <w:tcPr>
            <w:tcW w:w="2839" w:type="dxa"/>
          </w:tcPr>
          <w:p w:rsidR="0089523C" w:rsidRPr="00A93228" w:rsidRDefault="0089523C" w:rsidP="00B31406">
            <w:pPr>
              <w:spacing w:line="360" w:lineRule="auto"/>
              <w:jc w:val="center"/>
              <w:rPr>
                <w:rFonts w:ascii="Arial" w:eastAsia="Times New Roman" w:hAnsi="Arial" w:cs="Arial"/>
                <w:color w:val="000000" w:themeColor="text1"/>
                <w:sz w:val="24"/>
                <w:szCs w:val="24"/>
                <w:lang w:eastAsia="es-MX"/>
              </w:rPr>
            </w:pPr>
            <w:r w:rsidRPr="00A93228">
              <w:rPr>
                <w:rFonts w:ascii="Arial" w:eastAsia="Times New Roman" w:hAnsi="Arial" w:cs="Arial"/>
                <w:color w:val="000000" w:themeColor="text1"/>
                <w:sz w:val="24"/>
                <w:szCs w:val="24"/>
                <w:lang w:eastAsia="es-MX"/>
              </w:rPr>
              <w:t>-1</w:t>
            </w:r>
          </w:p>
        </w:tc>
        <w:tc>
          <w:tcPr>
            <w:tcW w:w="2840" w:type="dxa"/>
          </w:tcPr>
          <w:p w:rsidR="0089523C" w:rsidRPr="00A93228" w:rsidRDefault="0089523C" w:rsidP="00B31406">
            <w:pPr>
              <w:spacing w:line="360" w:lineRule="auto"/>
              <w:jc w:val="center"/>
              <w:rPr>
                <w:rFonts w:ascii="Arial" w:eastAsia="Times New Roman" w:hAnsi="Arial" w:cs="Arial"/>
                <w:color w:val="000000" w:themeColor="text1"/>
                <w:sz w:val="24"/>
                <w:szCs w:val="24"/>
                <w:lang w:eastAsia="es-MX"/>
              </w:rPr>
            </w:pPr>
            <w:r w:rsidRPr="00A93228">
              <w:rPr>
                <w:rFonts w:ascii="Arial" w:eastAsia="Times New Roman" w:hAnsi="Arial" w:cs="Arial"/>
                <w:color w:val="000000" w:themeColor="text1"/>
                <w:sz w:val="24"/>
                <w:szCs w:val="24"/>
                <w:lang w:eastAsia="es-MX"/>
              </w:rPr>
              <w:t>Negativa perfecta</w:t>
            </w:r>
          </w:p>
        </w:tc>
      </w:tr>
      <w:tr w:rsidR="0089523C" w:rsidRPr="00A93228" w:rsidTr="0089523C">
        <w:trPr>
          <w:trHeight w:val="364"/>
          <w:jc w:val="center"/>
        </w:trPr>
        <w:tc>
          <w:tcPr>
            <w:tcW w:w="2839" w:type="dxa"/>
          </w:tcPr>
          <w:p w:rsidR="0089523C" w:rsidRPr="00A93228" w:rsidRDefault="0089523C" w:rsidP="00B31406">
            <w:pPr>
              <w:spacing w:line="360" w:lineRule="auto"/>
              <w:jc w:val="both"/>
              <w:rPr>
                <w:rFonts w:ascii="Arial" w:eastAsia="Times New Roman" w:hAnsi="Arial" w:cs="Arial"/>
                <w:color w:val="000000" w:themeColor="text1"/>
                <w:sz w:val="24"/>
                <w:szCs w:val="24"/>
                <w:lang w:eastAsia="es-MX"/>
              </w:rPr>
            </w:pPr>
            <m:oMathPara>
              <m:oMath>
                <m:r>
                  <w:rPr>
                    <w:rFonts w:ascii="Cambria Math" w:eastAsia="Times New Roman" w:hAnsi="Cambria Math" w:cs="Arial"/>
                    <w:color w:val="000000" w:themeColor="text1"/>
                    <w:sz w:val="24"/>
                    <w:szCs w:val="24"/>
                    <w:lang w:eastAsia="es-MX"/>
                  </w:rPr>
                  <m:t>-</m:t>
                </m:r>
                <m:r>
                  <m:rPr>
                    <m:sty m:val="bi"/>
                  </m:rPr>
                  <w:rPr>
                    <w:rFonts w:ascii="Cambria Math" w:eastAsia="Times New Roman" w:hAnsi="Cambria Math" w:cs="Arial"/>
                    <w:color w:val="000000" w:themeColor="text1"/>
                    <w:sz w:val="24"/>
                    <w:szCs w:val="24"/>
                    <w:lang w:eastAsia="es-MX"/>
                  </w:rPr>
                  <m:t>1</m:t>
                </m:r>
                <m:r>
                  <w:rPr>
                    <w:rFonts w:ascii="Cambria Math" w:eastAsia="Times New Roman" w:hAnsi="Cambria Math" w:cs="Arial"/>
                    <w:color w:val="000000" w:themeColor="text1"/>
                    <w:sz w:val="24"/>
                    <w:szCs w:val="24"/>
                    <w:lang w:eastAsia="es-MX"/>
                  </w:rPr>
                  <m:t>&lt;</m:t>
                </m:r>
                <m:r>
                  <m:rPr>
                    <m:sty m:val="bi"/>
                  </m:rPr>
                  <w:rPr>
                    <w:rFonts w:ascii="Cambria Math" w:eastAsia="Times New Roman" w:hAnsi="Cambria Math" w:cs="Arial"/>
                    <w:color w:val="000000" w:themeColor="text1"/>
                    <w:sz w:val="24"/>
                    <w:szCs w:val="24"/>
                    <w:lang w:eastAsia="es-MX"/>
                  </w:rPr>
                  <m:t>r</m:t>
                </m:r>
                <m:r>
                  <w:rPr>
                    <w:rFonts w:ascii="Cambria Math" w:eastAsia="Times New Roman" w:hAnsi="Cambria Math" w:cs="Arial"/>
                    <w:color w:val="000000" w:themeColor="text1"/>
                    <w:sz w:val="24"/>
                    <w:szCs w:val="24"/>
                    <w:lang w:eastAsia="es-MX"/>
                  </w:rPr>
                  <m:t>≤-</m:t>
                </m:r>
                <m:r>
                  <m:rPr>
                    <m:sty m:val="bi"/>
                  </m:rPr>
                  <w:rPr>
                    <w:rFonts w:ascii="Cambria Math" w:eastAsia="Times New Roman" w:hAnsi="Cambria Math" w:cs="Arial"/>
                    <w:color w:val="000000" w:themeColor="text1"/>
                    <w:sz w:val="24"/>
                    <w:szCs w:val="24"/>
                    <w:lang w:eastAsia="es-MX"/>
                  </w:rPr>
                  <m:t>0</m:t>
                </m:r>
                <m:r>
                  <w:rPr>
                    <w:rFonts w:ascii="Cambria Math" w:eastAsia="Times New Roman" w:hAnsi="Cambria Math" w:cs="Arial"/>
                    <w:color w:val="000000" w:themeColor="text1"/>
                    <w:sz w:val="24"/>
                    <w:szCs w:val="24"/>
                    <w:lang w:eastAsia="es-MX"/>
                  </w:rPr>
                  <m:t>.</m:t>
                </m:r>
                <m:r>
                  <m:rPr>
                    <m:sty m:val="bi"/>
                  </m:rPr>
                  <w:rPr>
                    <w:rFonts w:ascii="Cambria Math" w:eastAsia="Times New Roman" w:hAnsi="Cambria Math" w:cs="Arial"/>
                    <w:color w:val="000000" w:themeColor="text1"/>
                    <w:sz w:val="24"/>
                    <w:szCs w:val="24"/>
                    <w:lang w:eastAsia="es-MX"/>
                  </w:rPr>
                  <m:t>8</m:t>
                </m:r>
              </m:oMath>
            </m:oMathPara>
          </w:p>
        </w:tc>
        <w:tc>
          <w:tcPr>
            <w:tcW w:w="2840" w:type="dxa"/>
          </w:tcPr>
          <w:p w:rsidR="0089523C" w:rsidRPr="00A93228" w:rsidRDefault="0089523C" w:rsidP="00B31406">
            <w:pPr>
              <w:spacing w:line="360" w:lineRule="auto"/>
              <w:jc w:val="center"/>
              <w:rPr>
                <w:rFonts w:ascii="Arial" w:eastAsia="Times New Roman" w:hAnsi="Arial" w:cs="Arial"/>
                <w:color w:val="000000" w:themeColor="text1"/>
                <w:sz w:val="24"/>
                <w:szCs w:val="24"/>
                <w:lang w:eastAsia="es-MX"/>
              </w:rPr>
            </w:pPr>
            <w:r w:rsidRPr="00A93228">
              <w:rPr>
                <w:rFonts w:ascii="Arial" w:eastAsia="Times New Roman" w:hAnsi="Arial" w:cs="Arial"/>
                <w:color w:val="000000" w:themeColor="text1"/>
                <w:sz w:val="24"/>
                <w:szCs w:val="24"/>
                <w:lang w:eastAsia="es-MX"/>
              </w:rPr>
              <w:t>Negativa fuerte</w:t>
            </w:r>
          </w:p>
        </w:tc>
      </w:tr>
      <w:tr w:rsidR="0089523C" w:rsidRPr="00A93228" w:rsidTr="0089523C">
        <w:trPr>
          <w:trHeight w:val="375"/>
          <w:jc w:val="center"/>
        </w:trPr>
        <w:tc>
          <w:tcPr>
            <w:tcW w:w="2839" w:type="dxa"/>
          </w:tcPr>
          <w:p w:rsidR="0089523C" w:rsidRPr="00A93228" w:rsidRDefault="0089523C" w:rsidP="00B31406">
            <w:pPr>
              <w:spacing w:line="360" w:lineRule="auto"/>
              <w:jc w:val="both"/>
              <w:rPr>
                <w:rFonts w:ascii="Arial" w:eastAsia="Times New Roman" w:hAnsi="Arial" w:cs="Arial"/>
                <w:color w:val="000000" w:themeColor="text1"/>
                <w:sz w:val="24"/>
                <w:szCs w:val="24"/>
                <w:lang w:eastAsia="es-MX"/>
              </w:rPr>
            </w:pPr>
            <m:oMathPara>
              <m:oMath>
                <m:r>
                  <w:rPr>
                    <w:rFonts w:ascii="Cambria Math" w:eastAsia="Times New Roman" w:hAnsi="Cambria Math" w:cs="Arial"/>
                    <w:color w:val="000000" w:themeColor="text1"/>
                    <w:sz w:val="24"/>
                    <w:szCs w:val="24"/>
                    <w:lang w:eastAsia="es-MX"/>
                  </w:rPr>
                  <m:t>-</m:t>
                </m:r>
                <m:r>
                  <m:rPr>
                    <m:sty m:val="bi"/>
                  </m:rPr>
                  <w:rPr>
                    <w:rFonts w:ascii="Cambria Math" w:eastAsia="Times New Roman" w:hAnsi="Cambria Math" w:cs="Arial"/>
                    <w:color w:val="000000" w:themeColor="text1"/>
                    <w:sz w:val="24"/>
                    <w:szCs w:val="24"/>
                    <w:lang w:eastAsia="es-MX"/>
                  </w:rPr>
                  <m:t>0</m:t>
                </m:r>
                <m:r>
                  <w:rPr>
                    <w:rFonts w:ascii="Cambria Math" w:eastAsia="Times New Roman" w:hAnsi="Cambria Math" w:cs="Arial"/>
                    <w:color w:val="000000" w:themeColor="text1"/>
                    <w:sz w:val="24"/>
                    <w:szCs w:val="24"/>
                    <w:lang w:eastAsia="es-MX"/>
                  </w:rPr>
                  <m:t>.</m:t>
                </m:r>
                <m:r>
                  <m:rPr>
                    <m:sty m:val="bi"/>
                  </m:rPr>
                  <w:rPr>
                    <w:rFonts w:ascii="Cambria Math" w:eastAsia="Times New Roman" w:hAnsi="Cambria Math" w:cs="Arial"/>
                    <w:color w:val="000000" w:themeColor="text1"/>
                    <w:sz w:val="24"/>
                    <w:szCs w:val="24"/>
                    <w:lang w:eastAsia="es-MX"/>
                  </w:rPr>
                  <m:t>8</m:t>
                </m:r>
                <m:r>
                  <w:rPr>
                    <w:rFonts w:ascii="Cambria Math" w:eastAsia="Times New Roman" w:hAnsi="Cambria Math" w:cs="Arial"/>
                    <w:color w:val="000000" w:themeColor="text1"/>
                    <w:sz w:val="24"/>
                    <w:szCs w:val="24"/>
                    <w:lang w:eastAsia="es-MX"/>
                  </w:rPr>
                  <m:t>&lt;</m:t>
                </m:r>
                <m:r>
                  <m:rPr>
                    <m:sty m:val="bi"/>
                  </m:rPr>
                  <w:rPr>
                    <w:rFonts w:ascii="Cambria Math" w:eastAsia="Times New Roman" w:hAnsi="Cambria Math" w:cs="Arial"/>
                    <w:color w:val="000000" w:themeColor="text1"/>
                    <w:sz w:val="24"/>
                    <w:szCs w:val="24"/>
                    <w:lang w:eastAsia="es-MX"/>
                  </w:rPr>
                  <m:t>r</m:t>
                </m:r>
                <m:r>
                  <w:rPr>
                    <w:rFonts w:ascii="Cambria Math" w:eastAsia="Times New Roman" w:hAnsi="Cambria Math" w:cs="Arial"/>
                    <w:color w:val="000000" w:themeColor="text1"/>
                    <w:sz w:val="24"/>
                    <w:szCs w:val="24"/>
                    <w:lang w:eastAsia="es-MX"/>
                  </w:rPr>
                  <m:t>≤</m:t>
                </m:r>
                <m:r>
                  <m:rPr>
                    <m:sty m:val="bi"/>
                  </m:rPr>
                  <w:rPr>
                    <w:rFonts w:ascii="Cambria Math" w:eastAsia="Times New Roman" w:hAnsi="Cambria Math" w:cs="Arial"/>
                    <w:color w:val="000000" w:themeColor="text1"/>
                    <w:sz w:val="24"/>
                    <w:szCs w:val="24"/>
                    <w:lang w:eastAsia="es-MX"/>
                  </w:rPr>
                  <m:t>0</m:t>
                </m:r>
                <m:r>
                  <w:rPr>
                    <w:rFonts w:ascii="Cambria Math" w:eastAsia="Times New Roman" w:hAnsi="Cambria Math" w:cs="Arial"/>
                    <w:color w:val="000000" w:themeColor="text1"/>
                    <w:sz w:val="24"/>
                    <w:szCs w:val="24"/>
                    <w:lang w:eastAsia="es-MX"/>
                  </w:rPr>
                  <m:t>.</m:t>
                </m:r>
                <m:r>
                  <m:rPr>
                    <m:sty m:val="bi"/>
                  </m:rPr>
                  <w:rPr>
                    <w:rFonts w:ascii="Cambria Math" w:eastAsia="Times New Roman" w:hAnsi="Cambria Math" w:cs="Arial"/>
                    <w:color w:val="000000" w:themeColor="text1"/>
                    <w:sz w:val="24"/>
                    <w:szCs w:val="24"/>
                    <w:lang w:eastAsia="es-MX"/>
                  </w:rPr>
                  <m:t>5</m:t>
                </m:r>
              </m:oMath>
            </m:oMathPara>
          </w:p>
        </w:tc>
        <w:tc>
          <w:tcPr>
            <w:tcW w:w="2840" w:type="dxa"/>
          </w:tcPr>
          <w:p w:rsidR="0089523C" w:rsidRPr="00A93228" w:rsidRDefault="0089523C" w:rsidP="00B31406">
            <w:pPr>
              <w:spacing w:line="360" w:lineRule="auto"/>
              <w:jc w:val="center"/>
              <w:rPr>
                <w:rFonts w:ascii="Arial" w:eastAsia="Times New Roman" w:hAnsi="Arial" w:cs="Arial"/>
                <w:color w:val="000000" w:themeColor="text1"/>
                <w:sz w:val="24"/>
                <w:szCs w:val="24"/>
                <w:lang w:eastAsia="es-MX"/>
              </w:rPr>
            </w:pPr>
            <w:r w:rsidRPr="00A93228">
              <w:rPr>
                <w:rFonts w:ascii="Arial" w:eastAsia="Times New Roman" w:hAnsi="Arial" w:cs="Arial"/>
                <w:color w:val="000000" w:themeColor="text1"/>
                <w:sz w:val="24"/>
                <w:szCs w:val="24"/>
                <w:lang w:eastAsia="es-MX"/>
              </w:rPr>
              <w:t>Negativa moderada</w:t>
            </w:r>
          </w:p>
        </w:tc>
      </w:tr>
      <w:tr w:rsidR="0089523C" w:rsidRPr="00A93228" w:rsidTr="0089523C">
        <w:trPr>
          <w:trHeight w:val="375"/>
          <w:jc w:val="center"/>
        </w:trPr>
        <w:tc>
          <w:tcPr>
            <w:tcW w:w="2839" w:type="dxa"/>
          </w:tcPr>
          <w:p w:rsidR="0089523C" w:rsidRPr="00A93228" w:rsidRDefault="0089523C" w:rsidP="00B31406">
            <w:pPr>
              <w:spacing w:line="360" w:lineRule="auto"/>
              <w:jc w:val="both"/>
              <w:rPr>
                <w:rFonts w:ascii="Arial" w:eastAsia="Times New Roman" w:hAnsi="Arial" w:cs="Arial"/>
                <w:color w:val="000000" w:themeColor="text1"/>
                <w:sz w:val="24"/>
                <w:szCs w:val="24"/>
                <w:lang w:eastAsia="es-MX"/>
              </w:rPr>
            </w:pPr>
            <m:oMathPara>
              <m:oMath>
                <m:r>
                  <w:rPr>
                    <w:rFonts w:ascii="Cambria Math" w:eastAsia="Times New Roman" w:hAnsi="Cambria Math" w:cs="Arial"/>
                    <w:color w:val="000000" w:themeColor="text1"/>
                    <w:sz w:val="24"/>
                    <w:szCs w:val="24"/>
                    <w:lang w:eastAsia="es-MX"/>
                  </w:rPr>
                  <m:t>-</m:t>
                </m:r>
                <m:r>
                  <m:rPr>
                    <m:sty m:val="bi"/>
                  </m:rPr>
                  <w:rPr>
                    <w:rFonts w:ascii="Cambria Math" w:eastAsia="Times New Roman" w:hAnsi="Cambria Math" w:cs="Arial"/>
                    <w:color w:val="000000" w:themeColor="text1"/>
                    <w:sz w:val="24"/>
                    <w:szCs w:val="24"/>
                    <w:lang w:eastAsia="es-MX"/>
                  </w:rPr>
                  <m:t>0</m:t>
                </m:r>
                <m:r>
                  <w:rPr>
                    <w:rFonts w:ascii="Cambria Math" w:eastAsia="Times New Roman" w:hAnsi="Cambria Math" w:cs="Arial"/>
                    <w:color w:val="000000" w:themeColor="text1"/>
                    <w:sz w:val="24"/>
                    <w:szCs w:val="24"/>
                    <w:lang w:eastAsia="es-MX"/>
                  </w:rPr>
                  <m:t>.</m:t>
                </m:r>
                <m:r>
                  <m:rPr>
                    <m:sty m:val="bi"/>
                  </m:rPr>
                  <w:rPr>
                    <w:rFonts w:ascii="Cambria Math" w:eastAsia="Times New Roman" w:hAnsi="Cambria Math" w:cs="Arial"/>
                    <w:color w:val="000000" w:themeColor="text1"/>
                    <w:sz w:val="24"/>
                    <w:szCs w:val="24"/>
                    <w:lang w:eastAsia="es-MX"/>
                  </w:rPr>
                  <m:t>5</m:t>
                </m:r>
                <m:r>
                  <w:rPr>
                    <w:rFonts w:ascii="Cambria Math" w:eastAsia="Times New Roman" w:hAnsi="Cambria Math" w:cs="Arial"/>
                    <w:color w:val="000000" w:themeColor="text1"/>
                    <w:sz w:val="24"/>
                    <w:szCs w:val="24"/>
                    <w:lang w:eastAsia="es-MX"/>
                  </w:rPr>
                  <m:t>&lt;</m:t>
                </m:r>
                <m:r>
                  <m:rPr>
                    <m:sty m:val="bi"/>
                  </m:rPr>
                  <w:rPr>
                    <w:rFonts w:ascii="Cambria Math" w:eastAsia="Times New Roman" w:hAnsi="Cambria Math" w:cs="Arial"/>
                    <w:color w:val="000000" w:themeColor="text1"/>
                    <w:sz w:val="24"/>
                    <w:szCs w:val="24"/>
                    <w:lang w:eastAsia="es-MX"/>
                  </w:rPr>
                  <m:t>r</m:t>
                </m:r>
                <m:r>
                  <w:rPr>
                    <w:rFonts w:ascii="Cambria Math" w:eastAsia="Times New Roman" w:hAnsi="Cambria Math" w:cs="Arial"/>
                    <w:color w:val="000000" w:themeColor="text1"/>
                    <w:sz w:val="24"/>
                    <w:szCs w:val="24"/>
                    <w:lang w:eastAsia="es-MX"/>
                  </w:rPr>
                  <m:t>≤</m:t>
                </m:r>
                <m:r>
                  <m:rPr>
                    <m:sty m:val="bi"/>
                  </m:rPr>
                  <w:rPr>
                    <w:rFonts w:ascii="Cambria Math" w:eastAsia="Times New Roman" w:hAnsi="Cambria Math" w:cs="Arial"/>
                    <w:color w:val="000000" w:themeColor="text1"/>
                    <w:sz w:val="24"/>
                    <w:szCs w:val="24"/>
                    <w:lang w:eastAsia="es-MX"/>
                  </w:rPr>
                  <m:t>0</m:t>
                </m:r>
              </m:oMath>
            </m:oMathPara>
          </w:p>
        </w:tc>
        <w:tc>
          <w:tcPr>
            <w:tcW w:w="2840" w:type="dxa"/>
          </w:tcPr>
          <w:p w:rsidR="0089523C" w:rsidRPr="00A93228" w:rsidRDefault="0089523C" w:rsidP="00B31406">
            <w:pPr>
              <w:spacing w:line="360" w:lineRule="auto"/>
              <w:jc w:val="center"/>
              <w:rPr>
                <w:rFonts w:ascii="Arial" w:eastAsia="Times New Roman" w:hAnsi="Arial" w:cs="Arial"/>
                <w:color w:val="000000" w:themeColor="text1"/>
                <w:sz w:val="24"/>
                <w:szCs w:val="24"/>
                <w:lang w:eastAsia="es-MX"/>
              </w:rPr>
            </w:pPr>
            <w:r w:rsidRPr="00A93228">
              <w:rPr>
                <w:rFonts w:ascii="Arial" w:eastAsia="Times New Roman" w:hAnsi="Arial" w:cs="Arial"/>
                <w:color w:val="000000" w:themeColor="text1"/>
                <w:sz w:val="24"/>
                <w:szCs w:val="24"/>
                <w:lang w:eastAsia="es-MX"/>
              </w:rPr>
              <w:t>Negativa débil</w:t>
            </w:r>
          </w:p>
        </w:tc>
      </w:tr>
      <w:tr w:rsidR="0089523C" w:rsidRPr="00A93228" w:rsidTr="0089523C">
        <w:trPr>
          <w:trHeight w:val="233"/>
          <w:jc w:val="center"/>
        </w:trPr>
        <w:tc>
          <w:tcPr>
            <w:tcW w:w="2839" w:type="dxa"/>
          </w:tcPr>
          <w:p w:rsidR="0089523C" w:rsidRPr="00A93228" w:rsidRDefault="0089523C" w:rsidP="00B31406">
            <w:pPr>
              <w:spacing w:line="360" w:lineRule="auto"/>
              <w:jc w:val="center"/>
              <w:rPr>
                <w:rFonts w:ascii="Arial" w:eastAsia="Times New Roman" w:hAnsi="Arial" w:cs="Arial"/>
                <w:color w:val="000000" w:themeColor="text1"/>
                <w:sz w:val="24"/>
                <w:szCs w:val="24"/>
                <w:lang w:eastAsia="es-MX"/>
              </w:rPr>
            </w:pPr>
            <w:r w:rsidRPr="00A93228">
              <w:rPr>
                <w:rFonts w:ascii="Arial" w:eastAsia="Times New Roman" w:hAnsi="Arial" w:cs="Arial"/>
                <w:color w:val="000000" w:themeColor="text1"/>
                <w:sz w:val="24"/>
                <w:szCs w:val="24"/>
                <w:lang w:eastAsia="es-MX"/>
              </w:rPr>
              <w:t>0</w:t>
            </w:r>
          </w:p>
        </w:tc>
        <w:tc>
          <w:tcPr>
            <w:tcW w:w="2840" w:type="dxa"/>
          </w:tcPr>
          <w:p w:rsidR="0089523C" w:rsidRPr="00A93228" w:rsidRDefault="0089523C" w:rsidP="00B31406">
            <w:pPr>
              <w:spacing w:line="360" w:lineRule="auto"/>
              <w:jc w:val="center"/>
              <w:rPr>
                <w:rFonts w:ascii="Arial" w:eastAsia="Times New Roman" w:hAnsi="Arial" w:cs="Arial"/>
                <w:color w:val="000000" w:themeColor="text1"/>
                <w:sz w:val="24"/>
                <w:szCs w:val="24"/>
                <w:lang w:eastAsia="es-MX"/>
              </w:rPr>
            </w:pPr>
            <w:r w:rsidRPr="00A93228">
              <w:rPr>
                <w:rFonts w:ascii="Arial" w:eastAsia="Times New Roman" w:hAnsi="Arial" w:cs="Arial"/>
                <w:color w:val="000000" w:themeColor="text1"/>
                <w:sz w:val="24"/>
                <w:szCs w:val="24"/>
                <w:lang w:eastAsia="es-MX"/>
              </w:rPr>
              <w:t>No existe</w:t>
            </w:r>
          </w:p>
        </w:tc>
      </w:tr>
      <w:tr w:rsidR="0089523C" w:rsidRPr="00A93228" w:rsidTr="0089523C">
        <w:trPr>
          <w:trHeight w:val="375"/>
          <w:jc w:val="center"/>
        </w:trPr>
        <w:tc>
          <w:tcPr>
            <w:tcW w:w="2839" w:type="dxa"/>
          </w:tcPr>
          <w:p w:rsidR="0089523C" w:rsidRPr="00A93228" w:rsidRDefault="0089523C" w:rsidP="00B31406">
            <w:pPr>
              <w:spacing w:line="360" w:lineRule="auto"/>
              <w:jc w:val="both"/>
              <w:rPr>
                <w:rFonts w:ascii="Arial" w:eastAsia="Times New Roman" w:hAnsi="Arial" w:cs="Arial"/>
                <w:color w:val="000000" w:themeColor="text1"/>
                <w:sz w:val="24"/>
                <w:szCs w:val="24"/>
                <w:lang w:eastAsia="es-MX"/>
              </w:rPr>
            </w:pPr>
            <m:oMathPara>
              <m:oMath>
                <m:r>
                  <m:rPr>
                    <m:sty m:val="bi"/>
                  </m:rPr>
                  <w:rPr>
                    <w:rFonts w:ascii="Cambria Math" w:eastAsia="Times New Roman" w:hAnsi="Cambria Math" w:cs="Arial"/>
                    <w:color w:val="000000" w:themeColor="text1"/>
                    <w:sz w:val="24"/>
                    <w:szCs w:val="24"/>
                    <w:lang w:eastAsia="es-MX"/>
                  </w:rPr>
                  <m:t>0</m:t>
                </m:r>
                <m:r>
                  <w:rPr>
                    <w:rFonts w:ascii="Cambria Math" w:eastAsia="Times New Roman" w:hAnsi="Cambria Math" w:cs="Arial"/>
                    <w:color w:val="000000" w:themeColor="text1"/>
                    <w:sz w:val="24"/>
                    <w:szCs w:val="24"/>
                    <w:lang w:eastAsia="es-MX"/>
                  </w:rPr>
                  <m:t>&lt;</m:t>
                </m:r>
                <m:r>
                  <m:rPr>
                    <m:sty m:val="bi"/>
                  </m:rPr>
                  <w:rPr>
                    <w:rFonts w:ascii="Cambria Math" w:eastAsia="Times New Roman" w:hAnsi="Cambria Math" w:cs="Arial"/>
                    <w:color w:val="000000" w:themeColor="text1"/>
                    <w:sz w:val="24"/>
                    <w:szCs w:val="24"/>
                    <w:lang w:eastAsia="es-MX"/>
                  </w:rPr>
                  <m:t>r</m:t>
                </m:r>
                <m:r>
                  <w:rPr>
                    <w:rFonts w:ascii="Cambria Math" w:eastAsia="Times New Roman" w:hAnsi="Cambria Math" w:cs="Arial"/>
                    <w:color w:val="000000" w:themeColor="text1"/>
                    <w:sz w:val="24"/>
                    <w:szCs w:val="24"/>
                    <w:lang w:eastAsia="es-MX"/>
                  </w:rPr>
                  <m:t>≤</m:t>
                </m:r>
                <m:r>
                  <m:rPr>
                    <m:sty m:val="bi"/>
                  </m:rPr>
                  <w:rPr>
                    <w:rFonts w:ascii="Cambria Math" w:eastAsia="Times New Roman" w:hAnsi="Cambria Math" w:cs="Arial"/>
                    <w:color w:val="000000" w:themeColor="text1"/>
                    <w:sz w:val="24"/>
                    <w:szCs w:val="24"/>
                    <w:lang w:eastAsia="es-MX"/>
                  </w:rPr>
                  <m:t>0</m:t>
                </m:r>
                <m:r>
                  <w:rPr>
                    <w:rFonts w:ascii="Cambria Math" w:eastAsia="Times New Roman" w:hAnsi="Cambria Math" w:cs="Arial"/>
                    <w:color w:val="000000" w:themeColor="text1"/>
                    <w:sz w:val="24"/>
                    <w:szCs w:val="24"/>
                    <w:lang w:eastAsia="es-MX"/>
                  </w:rPr>
                  <m:t>.</m:t>
                </m:r>
                <m:r>
                  <m:rPr>
                    <m:sty m:val="bi"/>
                  </m:rPr>
                  <w:rPr>
                    <w:rFonts w:ascii="Cambria Math" w:eastAsia="Times New Roman" w:hAnsi="Cambria Math" w:cs="Arial"/>
                    <w:color w:val="000000" w:themeColor="text1"/>
                    <w:sz w:val="24"/>
                    <w:szCs w:val="24"/>
                    <w:lang w:eastAsia="es-MX"/>
                  </w:rPr>
                  <m:t>5</m:t>
                </m:r>
              </m:oMath>
            </m:oMathPara>
          </w:p>
        </w:tc>
        <w:tc>
          <w:tcPr>
            <w:tcW w:w="2840" w:type="dxa"/>
          </w:tcPr>
          <w:p w:rsidR="0089523C" w:rsidRPr="00A93228" w:rsidRDefault="0089523C" w:rsidP="00B31406">
            <w:pPr>
              <w:spacing w:line="360" w:lineRule="auto"/>
              <w:jc w:val="center"/>
              <w:rPr>
                <w:rFonts w:ascii="Arial" w:eastAsia="Times New Roman" w:hAnsi="Arial" w:cs="Arial"/>
                <w:color w:val="000000" w:themeColor="text1"/>
                <w:sz w:val="24"/>
                <w:szCs w:val="24"/>
                <w:lang w:eastAsia="es-MX"/>
              </w:rPr>
            </w:pPr>
            <w:r w:rsidRPr="00A93228">
              <w:rPr>
                <w:rFonts w:ascii="Arial" w:eastAsia="Times New Roman" w:hAnsi="Arial" w:cs="Arial"/>
                <w:color w:val="000000" w:themeColor="text1"/>
                <w:sz w:val="24"/>
                <w:szCs w:val="24"/>
                <w:lang w:eastAsia="es-MX"/>
              </w:rPr>
              <w:t>Positiva débil</w:t>
            </w:r>
          </w:p>
        </w:tc>
      </w:tr>
      <w:tr w:rsidR="0089523C" w:rsidRPr="00A93228" w:rsidTr="0089523C">
        <w:trPr>
          <w:trHeight w:val="364"/>
          <w:jc w:val="center"/>
        </w:trPr>
        <w:tc>
          <w:tcPr>
            <w:tcW w:w="2839" w:type="dxa"/>
          </w:tcPr>
          <w:p w:rsidR="0089523C" w:rsidRPr="00A93228" w:rsidRDefault="0089523C" w:rsidP="00B31406">
            <w:pPr>
              <w:spacing w:line="360" w:lineRule="auto"/>
              <w:jc w:val="both"/>
              <w:rPr>
                <w:rFonts w:ascii="Arial" w:eastAsia="Times New Roman" w:hAnsi="Arial" w:cs="Arial"/>
                <w:color w:val="000000" w:themeColor="text1"/>
                <w:sz w:val="24"/>
                <w:szCs w:val="24"/>
                <w:lang w:eastAsia="es-MX"/>
              </w:rPr>
            </w:pPr>
            <m:oMathPara>
              <m:oMath>
                <m:r>
                  <m:rPr>
                    <m:sty m:val="bi"/>
                  </m:rPr>
                  <w:rPr>
                    <w:rFonts w:ascii="Cambria Math" w:eastAsia="Times New Roman" w:hAnsi="Cambria Math" w:cs="Arial"/>
                    <w:color w:val="000000" w:themeColor="text1"/>
                    <w:sz w:val="24"/>
                    <w:szCs w:val="24"/>
                    <w:lang w:eastAsia="es-MX"/>
                  </w:rPr>
                  <m:t>0</m:t>
                </m:r>
                <m:r>
                  <w:rPr>
                    <w:rFonts w:ascii="Cambria Math" w:eastAsia="Times New Roman" w:hAnsi="Cambria Math" w:cs="Arial"/>
                    <w:color w:val="000000" w:themeColor="text1"/>
                    <w:sz w:val="24"/>
                    <w:szCs w:val="24"/>
                    <w:lang w:eastAsia="es-MX"/>
                  </w:rPr>
                  <m:t>.</m:t>
                </m:r>
                <m:r>
                  <m:rPr>
                    <m:sty m:val="bi"/>
                  </m:rPr>
                  <w:rPr>
                    <w:rFonts w:ascii="Cambria Math" w:eastAsia="Times New Roman" w:hAnsi="Cambria Math" w:cs="Arial"/>
                    <w:color w:val="000000" w:themeColor="text1"/>
                    <w:sz w:val="24"/>
                    <w:szCs w:val="24"/>
                    <w:lang w:eastAsia="es-MX"/>
                  </w:rPr>
                  <m:t>5</m:t>
                </m:r>
                <m:r>
                  <w:rPr>
                    <w:rFonts w:ascii="Cambria Math" w:eastAsia="Times New Roman" w:hAnsi="Cambria Math" w:cs="Arial"/>
                    <w:color w:val="000000" w:themeColor="text1"/>
                    <w:sz w:val="24"/>
                    <w:szCs w:val="24"/>
                    <w:lang w:eastAsia="es-MX"/>
                  </w:rPr>
                  <m:t>&lt;</m:t>
                </m:r>
                <m:r>
                  <m:rPr>
                    <m:sty m:val="bi"/>
                  </m:rPr>
                  <w:rPr>
                    <w:rFonts w:ascii="Cambria Math" w:eastAsia="Times New Roman" w:hAnsi="Cambria Math" w:cs="Arial"/>
                    <w:color w:val="000000" w:themeColor="text1"/>
                    <w:sz w:val="24"/>
                    <w:szCs w:val="24"/>
                    <w:lang w:eastAsia="es-MX"/>
                  </w:rPr>
                  <m:t>r</m:t>
                </m:r>
                <m:r>
                  <w:rPr>
                    <w:rFonts w:ascii="Cambria Math" w:eastAsia="Times New Roman" w:hAnsi="Cambria Math" w:cs="Arial"/>
                    <w:color w:val="000000" w:themeColor="text1"/>
                    <w:sz w:val="24"/>
                    <w:szCs w:val="24"/>
                    <w:lang w:eastAsia="es-MX"/>
                  </w:rPr>
                  <m:t>&lt;</m:t>
                </m:r>
                <m:r>
                  <m:rPr>
                    <m:sty m:val="bi"/>
                  </m:rPr>
                  <w:rPr>
                    <w:rFonts w:ascii="Cambria Math" w:eastAsia="Times New Roman" w:hAnsi="Cambria Math" w:cs="Arial"/>
                    <w:color w:val="000000" w:themeColor="text1"/>
                    <w:sz w:val="24"/>
                    <w:szCs w:val="24"/>
                    <w:lang w:eastAsia="es-MX"/>
                  </w:rPr>
                  <m:t>0</m:t>
                </m:r>
                <m:r>
                  <w:rPr>
                    <w:rFonts w:ascii="Cambria Math" w:eastAsia="Times New Roman" w:hAnsi="Cambria Math" w:cs="Arial"/>
                    <w:color w:val="000000" w:themeColor="text1"/>
                    <w:sz w:val="24"/>
                    <w:szCs w:val="24"/>
                    <w:lang w:eastAsia="es-MX"/>
                  </w:rPr>
                  <m:t>.</m:t>
                </m:r>
                <m:r>
                  <m:rPr>
                    <m:sty m:val="bi"/>
                  </m:rPr>
                  <w:rPr>
                    <w:rFonts w:ascii="Cambria Math" w:eastAsia="Times New Roman" w:hAnsi="Cambria Math" w:cs="Arial"/>
                    <w:color w:val="000000" w:themeColor="text1"/>
                    <w:sz w:val="24"/>
                    <w:szCs w:val="24"/>
                    <w:lang w:eastAsia="es-MX"/>
                  </w:rPr>
                  <m:t>8</m:t>
                </m:r>
              </m:oMath>
            </m:oMathPara>
          </w:p>
        </w:tc>
        <w:tc>
          <w:tcPr>
            <w:tcW w:w="2840" w:type="dxa"/>
          </w:tcPr>
          <w:p w:rsidR="0089523C" w:rsidRPr="00A93228" w:rsidRDefault="0089523C" w:rsidP="00B31406">
            <w:pPr>
              <w:spacing w:line="360" w:lineRule="auto"/>
              <w:jc w:val="center"/>
              <w:rPr>
                <w:rFonts w:ascii="Arial" w:eastAsia="Times New Roman" w:hAnsi="Arial" w:cs="Arial"/>
                <w:color w:val="000000" w:themeColor="text1"/>
                <w:sz w:val="24"/>
                <w:szCs w:val="24"/>
                <w:lang w:eastAsia="es-MX"/>
              </w:rPr>
            </w:pPr>
            <w:r w:rsidRPr="00A93228">
              <w:rPr>
                <w:rFonts w:ascii="Arial" w:eastAsia="Times New Roman" w:hAnsi="Arial" w:cs="Arial"/>
                <w:color w:val="000000" w:themeColor="text1"/>
                <w:sz w:val="24"/>
                <w:szCs w:val="24"/>
                <w:lang w:eastAsia="es-MX"/>
              </w:rPr>
              <w:t>Positiva moderada</w:t>
            </w:r>
          </w:p>
        </w:tc>
      </w:tr>
      <w:tr w:rsidR="0089523C" w:rsidRPr="00A93228" w:rsidTr="0089523C">
        <w:trPr>
          <w:trHeight w:val="364"/>
          <w:jc w:val="center"/>
        </w:trPr>
        <w:tc>
          <w:tcPr>
            <w:tcW w:w="2839" w:type="dxa"/>
          </w:tcPr>
          <w:p w:rsidR="0089523C" w:rsidRPr="00A93228" w:rsidRDefault="0089523C" w:rsidP="00B31406">
            <w:pPr>
              <w:spacing w:line="360" w:lineRule="auto"/>
              <w:jc w:val="both"/>
              <w:rPr>
                <w:rFonts w:ascii="Arial" w:eastAsia="Times New Roman" w:hAnsi="Arial" w:cs="Arial"/>
                <w:b/>
                <w:bCs/>
                <w:color w:val="000000" w:themeColor="text1"/>
                <w:sz w:val="24"/>
                <w:szCs w:val="24"/>
                <w:lang w:eastAsia="es-MX"/>
              </w:rPr>
            </w:pPr>
            <m:oMathPara>
              <m:oMath>
                <m:r>
                  <m:rPr>
                    <m:sty m:val="bi"/>
                  </m:rPr>
                  <w:rPr>
                    <w:rFonts w:ascii="Cambria Math" w:eastAsia="Times New Roman" w:hAnsi="Cambria Math" w:cs="Arial"/>
                    <w:color w:val="000000" w:themeColor="text1"/>
                    <w:sz w:val="24"/>
                    <w:szCs w:val="24"/>
                    <w:lang w:eastAsia="es-MX"/>
                  </w:rPr>
                  <m:t>0</m:t>
                </m:r>
                <m:r>
                  <w:rPr>
                    <w:rFonts w:ascii="Cambria Math" w:eastAsia="Times New Roman" w:hAnsi="Cambria Math" w:cs="Arial"/>
                    <w:color w:val="000000" w:themeColor="text1"/>
                    <w:sz w:val="24"/>
                    <w:szCs w:val="24"/>
                    <w:lang w:eastAsia="es-MX"/>
                  </w:rPr>
                  <m:t>.</m:t>
                </m:r>
                <m:r>
                  <m:rPr>
                    <m:sty m:val="bi"/>
                  </m:rPr>
                  <w:rPr>
                    <w:rFonts w:ascii="Cambria Math" w:eastAsia="Times New Roman" w:hAnsi="Cambria Math" w:cs="Arial"/>
                    <w:color w:val="000000" w:themeColor="text1"/>
                    <w:sz w:val="24"/>
                    <w:szCs w:val="24"/>
                    <w:lang w:eastAsia="es-MX"/>
                  </w:rPr>
                  <m:t>8</m:t>
                </m:r>
                <m:r>
                  <w:rPr>
                    <w:rFonts w:ascii="Cambria Math" w:eastAsia="Times New Roman" w:hAnsi="Cambria Math" w:cs="Arial"/>
                    <w:color w:val="000000" w:themeColor="text1"/>
                    <w:sz w:val="24"/>
                    <w:szCs w:val="24"/>
                    <w:lang w:eastAsia="es-MX"/>
                  </w:rPr>
                  <m:t>≤</m:t>
                </m:r>
                <m:r>
                  <m:rPr>
                    <m:sty m:val="bi"/>
                  </m:rPr>
                  <w:rPr>
                    <w:rFonts w:ascii="Cambria Math" w:eastAsia="Times New Roman" w:hAnsi="Cambria Math" w:cs="Arial"/>
                    <w:color w:val="000000" w:themeColor="text1"/>
                    <w:sz w:val="24"/>
                    <w:szCs w:val="24"/>
                    <w:lang w:eastAsia="es-MX"/>
                  </w:rPr>
                  <m:t>r</m:t>
                </m:r>
                <m:r>
                  <w:rPr>
                    <w:rFonts w:ascii="Cambria Math" w:eastAsia="Times New Roman" w:hAnsi="Cambria Math" w:cs="Arial"/>
                    <w:color w:val="000000" w:themeColor="text1"/>
                    <w:sz w:val="24"/>
                    <w:szCs w:val="24"/>
                    <w:lang w:eastAsia="es-MX"/>
                  </w:rPr>
                  <m:t>&lt;</m:t>
                </m:r>
                <m:r>
                  <m:rPr>
                    <m:sty m:val="bi"/>
                  </m:rPr>
                  <w:rPr>
                    <w:rFonts w:ascii="Cambria Math" w:eastAsia="Times New Roman" w:hAnsi="Cambria Math" w:cs="Arial"/>
                    <w:color w:val="000000" w:themeColor="text1"/>
                    <w:sz w:val="24"/>
                    <w:szCs w:val="24"/>
                    <w:lang w:eastAsia="es-MX"/>
                  </w:rPr>
                  <m:t>1</m:t>
                </m:r>
              </m:oMath>
            </m:oMathPara>
          </w:p>
        </w:tc>
        <w:tc>
          <w:tcPr>
            <w:tcW w:w="2840" w:type="dxa"/>
          </w:tcPr>
          <w:p w:rsidR="0089523C" w:rsidRPr="00A93228" w:rsidRDefault="0089523C" w:rsidP="00B31406">
            <w:pPr>
              <w:spacing w:line="360" w:lineRule="auto"/>
              <w:jc w:val="center"/>
              <w:rPr>
                <w:rFonts w:ascii="Arial" w:eastAsia="Times New Roman" w:hAnsi="Arial" w:cs="Arial"/>
                <w:color w:val="000000" w:themeColor="text1"/>
                <w:sz w:val="24"/>
                <w:szCs w:val="24"/>
                <w:lang w:eastAsia="es-MX"/>
              </w:rPr>
            </w:pPr>
            <w:r w:rsidRPr="00A93228">
              <w:rPr>
                <w:rFonts w:ascii="Arial" w:eastAsia="Times New Roman" w:hAnsi="Arial" w:cs="Arial"/>
                <w:color w:val="000000" w:themeColor="text1"/>
                <w:sz w:val="24"/>
                <w:szCs w:val="24"/>
                <w:lang w:eastAsia="es-MX"/>
              </w:rPr>
              <w:t>Positiva fuerte</w:t>
            </w:r>
          </w:p>
        </w:tc>
      </w:tr>
      <w:tr w:rsidR="0089523C" w:rsidRPr="00A93228" w:rsidTr="0089523C">
        <w:trPr>
          <w:trHeight w:val="225"/>
          <w:jc w:val="center"/>
        </w:trPr>
        <w:tc>
          <w:tcPr>
            <w:tcW w:w="2839" w:type="dxa"/>
          </w:tcPr>
          <w:p w:rsidR="0089523C" w:rsidRPr="00A93228" w:rsidRDefault="0089523C" w:rsidP="00B31406">
            <w:pPr>
              <w:spacing w:line="360" w:lineRule="auto"/>
              <w:jc w:val="center"/>
              <w:rPr>
                <w:rFonts w:ascii="Arial" w:eastAsia="Times New Roman" w:hAnsi="Arial" w:cs="Arial"/>
                <w:b/>
                <w:bCs/>
                <w:color w:val="000000" w:themeColor="text1"/>
                <w:sz w:val="24"/>
                <w:szCs w:val="24"/>
                <w:lang w:eastAsia="es-MX"/>
              </w:rPr>
            </w:pPr>
            <w:r w:rsidRPr="00A93228">
              <w:rPr>
                <w:rFonts w:ascii="Arial" w:eastAsia="Times New Roman" w:hAnsi="Arial" w:cs="Arial"/>
                <w:b/>
                <w:bCs/>
                <w:color w:val="000000" w:themeColor="text1"/>
                <w:sz w:val="24"/>
                <w:szCs w:val="24"/>
                <w:lang w:eastAsia="es-MX"/>
              </w:rPr>
              <w:t>1</w:t>
            </w:r>
          </w:p>
        </w:tc>
        <w:tc>
          <w:tcPr>
            <w:tcW w:w="2840" w:type="dxa"/>
          </w:tcPr>
          <w:p w:rsidR="0089523C" w:rsidRPr="00A93228" w:rsidRDefault="0089523C" w:rsidP="00B31406">
            <w:pPr>
              <w:spacing w:line="360" w:lineRule="auto"/>
              <w:jc w:val="center"/>
              <w:rPr>
                <w:rFonts w:ascii="Arial" w:eastAsia="Times New Roman" w:hAnsi="Arial" w:cs="Arial"/>
                <w:color w:val="000000" w:themeColor="text1"/>
                <w:sz w:val="24"/>
                <w:szCs w:val="24"/>
                <w:lang w:eastAsia="es-MX"/>
              </w:rPr>
            </w:pPr>
            <w:r w:rsidRPr="00A93228">
              <w:rPr>
                <w:rFonts w:ascii="Arial" w:eastAsia="Times New Roman" w:hAnsi="Arial" w:cs="Arial"/>
                <w:color w:val="000000" w:themeColor="text1"/>
                <w:sz w:val="24"/>
                <w:szCs w:val="24"/>
                <w:lang w:eastAsia="es-MX"/>
              </w:rPr>
              <w:t>Positiva perfecta</w:t>
            </w:r>
          </w:p>
        </w:tc>
      </w:tr>
    </w:tbl>
    <w:p w:rsidR="00B31406" w:rsidRDefault="00B31406" w:rsidP="006E10B9">
      <w:pPr>
        <w:spacing w:line="480" w:lineRule="auto"/>
        <w:jc w:val="both"/>
        <w:rPr>
          <w:rFonts w:ascii="Arial" w:eastAsia="Times New Roman" w:hAnsi="Arial" w:cs="Arial"/>
          <w:color w:val="000000" w:themeColor="text1"/>
          <w:sz w:val="24"/>
          <w:szCs w:val="24"/>
          <w:lang w:eastAsia="es-MX"/>
        </w:rPr>
      </w:pPr>
    </w:p>
    <w:p w:rsidR="0089523C" w:rsidRPr="00A93228" w:rsidRDefault="0089523C" w:rsidP="00B31406">
      <w:pPr>
        <w:spacing w:line="480" w:lineRule="auto"/>
        <w:ind w:firstLine="708"/>
        <w:jc w:val="both"/>
        <w:rPr>
          <w:rFonts w:ascii="Arial" w:eastAsia="Times New Roman" w:hAnsi="Arial" w:cs="Arial"/>
          <w:color w:val="000000" w:themeColor="text1"/>
          <w:sz w:val="24"/>
          <w:szCs w:val="24"/>
          <w:lang w:eastAsia="es-MX"/>
        </w:rPr>
      </w:pPr>
      <w:r w:rsidRPr="00A93228">
        <w:rPr>
          <w:rFonts w:ascii="Arial" w:eastAsia="Times New Roman" w:hAnsi="Arial" w:cs="Arial"/>
          <w:color w:val="000000" w:themeColor="text1"/>
          <w:sz w:val="24"/>
          <w:szCs w:val="24"/>
          <w:lang w:eastAsia="es-MX"/>
        </w:rPr>
        <w:t xml:space="preserve">Una vez obtenidos los coeficientes </w:t>
      </w:r>
      <w:r w:rsidR="00183676">
        <w:rPr>
          <w:rFonts w:ascii="Arial" w:eastAsia="Times New Roman" w:hAnsi="Arial" w:cs="Arial"/>
          <w:color w:val="000000" w:themeColor="text1"/>
          <w:sz w:val="24"/>
          <w:szCs w:val="24"/>
          <w:lang w:eastAsia="es-MX"/>
        </w:rPr>
        <w:t>de correlación</w:t>
      </w:r>
      <w:r w:rsidRPr="00A93228">
        <w:rPr>
          <w:rFonts w:ascii="Arial" w:eastAsia="Times New Roman" w:hAnsi="Arial" w:cs="Arial"/>
          <w:color w:val="000000" w:themeColor="text1"/>
          <w:sz w:val="24"/>
          <w:szCs w:val="24"/>
          <w:lang w:eastAsia="es-MX"/>
        </w:rPr>
        <w:t xml:space="preserve"> de los traspasos</w:t>
      </w:r>
      <w:r w:rsidR="00183676">
        <w:rPr>
          <w:rFonts w:ascii="Arial" w:eastAsia="Times New Roman" w:hAnsi="Arial" w:cs="Arial"/>
          <w:color w:val="000000" w:themeColor="text1"/>
          <w:sz w:val="24"/>
          <w:szCs w:val="24"/>
          <w:lang w:eastAsia="es-MX"/>
        </w:rPr>
        <w:t xml:space="preserve"> recibidos vs rendimiento</w:t>
      </w:r>
      <w:r w:rsidRPr="00A93228">
        <w:rPr>
          <w:rFonts w:ascii="Arial" w:eastAsia="Times New Roman" w:hAnsi="Arial" w:cs="Arial"/>
          <w:color w:val="000000" w:themeColor="text1"/>
          <w:sz w:val="24"/>
          <w:szCs w:val="24"/>
          <w:lang w:eastAsia="es-MX"/>
        </w:rPr>
        <w:t>, se analizara la relación entre la variable dependiente con otras variables que buscan explicar su comportamiento y finalmente se representaran en una sola tabla los resultados obtenidos para determinar cuál variable es la que tiene un mayor impacto en caso de que exista.</w:t>
      </w:r>
    </w:p>
    <w:p w:rsidR="00B838B0" w:rsidRDefault="00B838B0" w:rsidP="006E10B9">
      <w:pPr>
        <w:spacing w:before="100" w:beforeAutospacing="1" w:after="100" w:afterAutospacing="1" w:line="480" w:lineRule="auto"/>
        <w:jc w:val="both"/>
        <w:rPr>
          <w:rFonts w:ascii="Arial" w:hAnsi="Arial" w:cs="Arial"/>
          <w:sz w:val="24"/>
          <w:szCs w:val="24"/>
        </w:rPr>
      </w:pPr>
    </w:p>
    <w:p w:rsidR="006C16CA" w:rsidRDefault="006C16CA" w:rsidP="00762D9F">
      <w:pPr>
        <w:spacing w:line="480" w:lineRule="auto"/>
        <w:jc w:val="both"/>
        <w:rPr>
          <w:rFonts w:ascii="Arial" w:hAnsi="Arial" w:cs="Arial"/>
          <w:sz w:val="24"/>
          <w:szCs w:val="24"/>
        </w:rPr>
      </w:pPr>
    </w:p>
    <w:p w:rsidR="00634AB2" w:rsidRDefault="00634AB2" w:rsidP="00762D9F">
      <w:pPr>
        <w:spacing w:line="480" w:lineRule="auto"/>
        <w:jc w:val="both"/>
        <w:rPr>
          <w:rFonts w:ascii="Arial" w:hAnsi="Arial" w:cs="Arial"/>
          <w:sz w:val="24"/>
          <w:szCs w:val="24"/>
        </w:rPr>
      </w:pPr>
    </w:p>
    <w:p w:rsidR="00634AB2" w:rsidRPr="008A58D8" w:rsidRDefault="00634AB2" w:rsidP="00762D9F">
      <w:pPr>
        <w:spacing w:line="480" w:lineRule="auto"/>
        <w:jc w:val="both"/>
        <w:rPr>
          <w:rFonts w:ascii="Arial" w:hAnsi="Arial" w:cs="Arial"/>
          <w:sz w:val="24"/>
          <w:szCs w:val="24"/>
        </w:rPr>
      </w:pPr>
    </w:p>
    <w:p w:rsidR="00762D9F" w:rsidRPr="009A0CC1" w:rsidRDefault="009A0CC1" w:rsidP="009A0CC1">
      <w:pPr>
        <w:jc w:val="center"/>
        <w:rPr>
          <w:rFonts w:ascii="Arial" w:hAnsi="Arial" w:cs="Arial"/>
          <w:b/>
          <w:sz w:val="24"/>
          <w:szCs w:val="24"/>
        </w:rPr>
      </w:pPr>
      <w:r w:rsidRPr="009A0CC1">
        <w:rPr>
          <w:rFonts w:ascii="Arial" w:hAnsi="Arial" w:cs="Arial"/>
          <w:b/>
          <w:sz w:val="24"/>
          <w:szCs w:val="24"/>
        </w:rPr>
        <w:lastRenderedPageBreak/>
        <w:t>Traspasos recibidos vs rendimiento neto</w:t>
      </w:r>
    </w:p>
    <w:tbl>
      <w:tblPr>
        <w:tblStyle w:val="Tablaconcuadrcula"/>
        <w:tblW w:w="892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84"/>
        <w:gridCol w:w="4670"/>
      </w:tblGrid>
      <w:tr w:rsidR="00762D9F" w:rsidTr="006454CE">
        <w:trPr>
          <w:jc w:val="center"/>
        </w:trPr>
        <w:tc>
          <w:tcPr>
            <w:tcW w:w="4133" w:type="dxa"/>
          </w:tcPr>
          <w:p w:rsidR="00762D9F" w:rsidRDefault="00762D9F" w:rsidP="00762D9F">
            <w:pPr>
              <w:jc w:val="center"/>
              <w:rPr>
                <w:rFonts w:ascii="Times New Roman" w:hAnsi="Times New Roman" w:cs="Times New Roman"/>
                <w:noProof/>
                <w:sz w:val="24"/>
                <w:szCs w:val="24"/>
                <w:lang w:eastAsia="es-MX"/>
              </w:rPr>
            </w:pPr>
            <w:r>
              <w:rPr>
                <w:rFonts w:ascii="Times New Roman" w:hAnsi="Times New Roman" w:cs="Times New Roman"/>
                <w:noProof/>
                <w:sz w:val="24"/>
                <w:szCs w:val="24"/>
                <w:lang w:eastAsia="es-MX"/>
              </w:rPr>
              <w:drawing>
                <wp:inline distT="0" distB="0" distL="0" distR="0">
                  <wp:extent cx="2701082" cy="2160000"/>
                  <wp:effectExtent l="0" t="0" r="4445"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01082" cy="2160000"/>
                          </a:xfrm>
                          <a:prstGeom prst="rect">
                            <a:avLst/>
                          </a:prstGeom>
                          <a:noFill/>
                          <a:ln>
                            <a:noFill/>
                          </a:ln>
                        </pic:spPr>
                      </pic:pic>
                    </a:graphicData>
                  </a:graphic>
                </wp:inline>
              </w:drawing>
            </w:r>
          </w:p>
        </w:tc>
        <w:tc>
          <w:tcPr>
            <w:tcW w:w="4793" w:type="dxa"/>
          </w:tcPr>
          <w:tbl>
            <w:tblPr>
              <w:tblW w:w="455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337"/>
              <w:gridCol w:w="1061"/>
              <w:gridCol w:w="991"/>
              <w:gridCol w:w="1161"/>
            </w:tblGrid>
            <w:tr w:rsidR="00762D9F" w:rsidRPr="004039A7" w:rsidTr="00B923F3">
              <w:trPr>
                <w:cantSplit/>
                <w:jc w:val="center"/>
              </w:trPr>
              <w:tc>
                <w:tcPr>
                  <w:tcW w:w="4550" w:type="dxa"/>
                  <w:gridSpan w:val="4"/>
                  <w:tcBorders>
                    <w:top w:val="nil"/>
                    <w:left w:val="nil"/>
                    <w:bottom w:val="nil"/>
                    <w:right w:val="nil"/>
                  </w:tcBorders>
                  <w:shd w:val="clear" w:color="auto" w:fill="FFFFFF"/>
                </w:tcPr>
                <w:p w:rsidR="00762D9F" w:rsidRPr="004039A7" w:rsidRDefault="00762D9F" w:rsidP="00762D9F">
                  <w:pPr>
                    <w:autoSpaceDE w:val="0"/>
                    <w:autoSpaceDN w:val="0"/>
                    <w:adjustRightInd w:val="0"/>
                    <w:spacing w:after="0" w:line="240" w:lineRule="auto"/>
                    <w:ind w:left="60" w:right="60"/>
                    <w:jc w:val="center"/>
                    <w:rPr>
                      <w:rFonts w:ascii="Arial" w:hAnsi="Arial" w:cs="Arial"/>
                      <w:color w:val="000000"/>
                      <w:sz w:val="18"/>
                      <w:szCs w:val="18"/>
                    </w:rPr>
                  </w:pPr>
                  <w:r w:rsidRPr="004039A7">
                    <w:rPr>
                      <w:rFonts w:ascii="Arial" w:hAnsi="Arial" w:cs="Arial"/>
                      <w:b/>
                      <w:bCs/>
                      <w:color w:val="000000"/>
                      <w:sz w:val="18"/>
                      <w:szCs w:val="18"/>
                    </w:rPr>
                    <w:t>Correlaciones</w:t>
                  </w:r>
                  <w:r>
                    <w:rPr>
                      <w:rFonts w:ascii="Arial" w:hAnsi="Arial" w:cs="Arial"/>
                      <w:b/>
                      <w:bCs/>
                      <w:color w:val="000000"/>
                      <w:sz w:val="18"/>
                      <w:szCs w:val="18"/>
                    </w:rPr>
                    <w:t xml:space="preserve"> 2005</w:t>
                  </w:r>
                </w:p>
              </w:tc>
            </w:tr>
            <w:tr w:rsidR="00762D9F" w:rsidRPr="004039A7" w:rsidTr="00B923F3">
              <w:trPr>
                <w:cantSplit/>
                <w:jc w:val="center"/>
              </w:trPr>
              <w:tc>
                <w:tcPr>
                  <w:tcW w:w="2398" w:type="dxa"/>
                  <w:gridSpan w:val="2"/>
                  <w:tcBorders>
                    <w:top w:val="single" w:sz="16" w:space="0" w:color="000000"/>
                    <w:left w:val="single" w:sz="16" w:space="0" w:color="000000"/>
                    <w:bottom w:val="single" w:sz="16" w:space="0" w:color="000000"/>
                    <w:right w:val="nil"/>
                  </w:tcBorders>
                  <w:shd w:val="clear" w:color="auto" w:fill="FFFFFF"/>
                </w:tcPr>
                <w:p w:rsidR="00762D9F" w:rsidRPr="004039A7" w:rsidRDefault="00762D9F" w:rsidP="00762D9F">
                  <w:pPr>
                    <w:autoSpaceDE w:val="0"/>
                    <w:autoSpaceDN w:val="0"/>
                    <w:adjustRightInd w:val="0"/>
                    <w:spacing w:after="0" w:line="240" w:lineRule="auto"/>
                    <w:ind w:left="60" w:right="60"/>
                    <w:rPr>
                      <w:rFonts w:ascii="Arial" w:hAnsi="Arial" w:cs="Arial"/>
                      <w:color w:val="000000"/>
                      <w:sz w:val="18"/>
                      <w:szCs w:val="18"/>
                    </w:rPr>
                  </w:pPr>
                </w:p>
              </w:tc>
              <w:tc>
                <w:tcPr>
                  <w:tcW w:w="991" w:type="dxa"/>
                  <w:tcBorders>
                    <w:top w:val="single" w:sz="16" w:space="0" w:color="000000"/>
                    <w:left w:val="single" w:sz="16" w:space="0" w:color="000000"/>
                    <w:bottom w:val="single" w:sz="16" w:space="0" w:color="000000"/>
                  </w:tcBorders>
                  <w:shd w:val="clear" w:color="auto" w:fill="FFFFFF"/>
                </w:tcPr>
                <w:p w:rsidR="00762D9F" w:rsidRPr="004039A7" w:rsidRDefault="00762D9F" w:rsidP="00762D9F">
                  <w:pPr>
                    <w:autoSpaceDE w:val="0"/>
                    <w:autoSpaceDN w:val="0"/>
                    <w:adjustRightInd w:val="0"/>
                    <w:spacing w:after="0" w:line="240" w:lineRule="auto"/>
                    <w:ind w:left="60" w:right="60"/>
                    <w:jc w:val="center"/>
                    <w:rPr>
                      <w:rFonts w:ascii="Arial" w:hAnsi="Arial" w:cs="Arial"/>
                      <w:color w:val="000000"/>
                      <w:sz w:val="18"/>
                      <w:szCs w:val="18"/>
                    </w:rPr>
                  </w:pPr>
                  <w:r w:rsidRPr="004039A7">
                    <w:rPr>
                      <w:rFonts w:ascii="Arial" w:hAnsi="Arial" w:cs="Arial"/>
                      <w:color w:val="000000"/>
                      <w:sz w:val="18"/>
                      <w:szCs w:val="18"/>
                    </w:rPr>
                    <w:t>Traspasos Recibidos</w:t>
                  </w:r>
                </w:p>
              </w:tc>
              <w:tc>
                <w:tcPr>
                  <w:tcW w:w="1161" w:type="dxa"/>
                  <w:tcBorders>
                    <w:top w:val="single" w:sz="16" w:space="0" w:color="000000"/>
                    <w:bottom w:val="single" w:sz="16" w:space="0" w:color="000000"/>
                    <w:right w:val="single" w:sz="16" w:space="0" w:color="000000"/>
                  </w:tcBorders>
                  <w:shd w:val="clear" w:color="auto" w:fill="FFFFFF"/>
                </w:tcPr>
                <w:p w:rsidR="00762D9F" w:rsidRPr="004039A7" w:rsidRDefault="00762D9F" w:rsidP="00762D9F">
                  <w:pPr>
                    <w:autoSpaceDE w:val="0"/>
                    <w:autoSpaceDN w:val="0"/>
                    <w:adjustRightInd w:val="0"/>
                    <w:spacing w:after="0" w:line="240" w:lineRule="auto"/>
                    <w:ind w:left="60" w:right="60"/>
                    <w:jc w:val="center"/>
                    <w:rPr>
                      <w:rFonts w:ascii="Arial" w:hAnsi="Arial" w:cs="Arial"/>
                      <w:color w:val="000000"/>
                      <w:sz w:val="18"/>
                      <w:szCs w:val="18"/>
                    </w:rPr>
                  </w:pPr>
                  <w:r w:rsidRPr="004039A7">
                    <w:rPr>
                      <w:rFonts w:ascii="Arial" w:hAnsi="Arial" w:cs="Arial"/>
                      <w:color w:val="000000"/>
                      <w:sz w:val="18"/>
                      <w:szCs w:val="18"/>
                    </w:rPr>
                    <w:t>Rendimiento Neto</w:t>
                  </w:r>
                </w:p>
              </w:tc>
            </w:tr>
            <w:tr w:rsidR="00762D9F" w:rsidRPr="004039A7" w:rsidTr="00B923F3">
              <w:trPr>
                <w:cantSplit/>
                <w:jc w:val="center"/>
              </w:trPr>
              <w:tc>
                <w:tcPr>
                  <w:tcW w:w="1337" w:type="dxa"/>
                  <w:vMerge w:val="restart"/>
                  <w:tcBorders>
                    <w:top w:val="single" w:sz="16" w:space="0" w:color="000000"/>
                    <w:left w:val="single" w:sz="16" w:space="0" w:color="000000"/>
                    <w:bottom w:val="nil"/>
                    <w:right w:val="nil"/>
                  </w:tcBorders>
                  <w:shd w:val="clear" w:color="auto" w:fill="FFFFFF"/>
                  <w:vAlign w:val="center"/>
                </w:tcPr>
                <w:p w:rsidR="00762D9F" w:rsidRPr="004039A7" w:rsidRDefault="00762D9F" w:rsidP="00762D9F">
                  <w:pPr>
                    <w:autoSpaceDE w:val="0"/>
                    <w:autoSpaceDN w:val="0"/>
                    <w:adjustRightInd w:val="0"/>
                    <w:spacing w:after="0" w:line="240" w:lineRule="auto"/>
                    <w:ind w:left="60" w:right="60"/>
                    <w:rPr>
                      <w:rFonts w:ascii="Arial" w:hAnsi="Arial" w:cs="Arial"/>
                      <w:color w:val="000000"/>
                      <w:sz w:val="18"/>
                      <w:szCs w:val="18"/>
                    </w:rPr>
                  </w:pPr>
                  <w:r w:rsidRPr="004039A7">
                    <w:rPr>
                      <w:rFonts w:ascii="Arial" w:hAnsi="Arial" w:cs="Arial"/>
                      <w:color w:val="000000"/>
                      <w:sz w:val="18"/>
                      <w:szCs w:val="18"/>
                    </w:rPr>
                    <w:t>Traspasos Recibidos</w:t>
                  </w:r>
                </w:p>
              </w:tc>
              <w:tc>
                <w:tcPr>
                  <w:tcW w:w="1061" w:type="dxa"/>
                  <w:tcBorders>
                    <w:top w:val="single" w:sz="16" w:space="0" w:color="000000"/>
                    <w:left w:val="nil"/>
                    <w:bottom w:val="nil"/>
                    <w:right w:val="single" w:sz="16" w:space="0" w:color="000000"/>
                  </w:tcBorders>
                  <w:shd w:val="clear" w:color="auto" w:fill="FFFFFF"/>
                  <w:vAlign w:val="center"/>
                </w:tcPr>
                <w:p w:rsidR="00762D9F" w:rsidRPr="004039A7" w:rsidRDefault="00762D9F" w:rsidP="00762D9F">
                  <w:pPr>
                    <w:autoSpaceDE w:val="0"/>
                    <w:autoSpaceDN w:val="0"/>
                    <w:adjustRightInd w:val="0"/>
                    <w:spacing w:after="0" w:line="240" w:lineRule="auto"/>
                    <w:ind w:left="60" w:right="60"/>
                    <w:rPr>
                      <w:rFonts w:ascii="Arial" w:hAnsi="Arial" w:cs="Arial"/>
                      <w:color w:val="000000"/>
                      <w:sz w:val="18"/>
                      <w:szCs w:val="18"/>
                    </w:rPr>
                  </w:pPr>
                  <w:r w:rsidRPr="004039A7">
                    <w:rPr>
                      <w:rFonts w:ascii="Arial" w:hAnsi="Arial" w:cs="Arial"/>
                      <w:color w:val="000000"/>
                      <w:sz w:val="18"/>
                      <w:szCs w:val="18"/>
                    </w:rPr>
                    <w:t>Correlación de Pearson</w:t>
                  </w:r>
                </w:p>
              </w:tc>
              <w:tc>
                <w:tcPr>
                  <w:tcW w:w="991" w:type="dxa"/>
                  <w:tcBorders>
                    <w:top w:val="single" w:sz="16" w:space="0" w:color="000000"/>
                    <w:left w:val="single" w:sz="16" w:space="0" w:color="000000"/>
                    <w:bottom w:val="nil"/>
                  </w:tcBorders>
                  <w:shd w:val="clear" w:color="auto" w:fill="FFFFFF"/>
                  <w:vAlign w:val="center"/>
                </w:tcPr>
                <w:p w:rsidR="00762D9F" w:rsidRPr="004039A7"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4039A7">
                    <w:rPr>
                      <w:rFonts w:ascii="Arial" w:hAnsi="Arial" w:cs="Arial"/>
                      <w:color w:val="000000"/>
                      <w:sz w:val="18"/>
                      <w:szCs w:val="18"/>
                    </w:rPr>
                    <w:t>1</w:t>
                  </w:r>
                </w:p>
              </w:tc>
              <w:tc>
                <w:tcPr>
                  <w:tcW w:w="1161" w:type="dxa"/>
                  <w:tcBorders>
                    <w:top w:val="single" w:sz="16" w:space="0" w:color="000000"/>
                    <w:bottom w:val="nil"/>
                    <w:right w:val="single" w:sz="16" w:space="0" w:color="000000"/>
                  </w:tcBorders>
                  <w:shd w:val="clear" w:color="auto" w:fill="FFFFFF"/>
                  <w:vAlign w:val="center"/>
                </w:tcPr>
                <w:p w:rsidR="00762D9F" w:rsidRPr="004039A7"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4039A7">
                    <w:rPr>
                      <w:rFonts w:ascii="Arial" w:hAnsi="Arial" w:cs="Arial"/>
                      <w:color w:val="000000"/>
                      <w:sz w:val="18"/>
                      <w:szCs w:val="18"/>
                    </w:rPr>
                    <w:t>.397</w:t>
                  </w:r>
                </w:p>
              </w:tc>
            </w:tr>
            <w:tr w:rsidR="00762D9F" w:rsidRPr="004039A7" w:rsidTr="00B923F3">
              <w:trPr>
                <w:cantSplit/>
                <w:jc w:val="center"/>
              </w:trPr>
              <w:tc>
                <w:tcPr>
                  <w:tcW w:w="1337" w:type="dxa"/>
                  <w:vMerge/>
                  <w:tcBorders>
                    <w:top w:val="single" w:sz="16" w:space="0" w:color="000000"/>
                    <w:left w:val="single" w:sz="16" w:space="0" w:color="000000"/>
                    <w:bottom w:val="nil"/>
                    <w:right w:val="nil"/>
                  </w:tcBorders>
                  <w:shd w:val="clear" w:color="auto" w:fill="FFFFFF"/>
                  <w:vAlign w:val="center"/>
                </w:tcPr>
                <w:p w:rsidR="00762D9F" w:rsidRPr="004039A7" w:rsidRDefault="00762D9F" w:rsidP="00762D9F">
                  <w:pPr>
                    <w:autoSpaceDE w:val="0"/>
                    <w:autoSpaceDN w:val="0"/>
                    <w:adjustRightInd w:val="0"/>
                    <w:spacing w:after="0" w:line="240" w:lineRule="auto"/>
                    <w:rPr>
                      <w:rFonts w:ascii="Arial" w:hAnsi="Arial" w:cs="Arial"/>
                      <w:color w:val="000000"/>
                      <w:sz w:val="18"/>
                      <w:szCs w:val="18"/>
                    </w:rPr>
                  </w:pPr>
                </w:p>
              </w:tc>
              <w:tc>
                <w:tcPr>
                  <w:tcW w:w="1061" w:type="dxa"/>
                  <w:tcBorders>
                    <w:top w:val="nil"/>
                    <w:left w:val="nil"/>
                    <w:bottom w:val="nil"/>
                    <w:right w:val="single" w:sz="16" w:space="0" w:color="000000"/>
                  </w:tcBorders>
                  <w:shd w:val="clear" w:color="auto" w:fill="FFFFFF"/>
                  <w:vAlign w:val="center"/>
                </w:tcPr>
                <w:p w:rsidR="00762D9F" w:rsidRPr="004039A7" w:rsidRDefault="00762D9F" w:rsidP="00762D9F">
                  <w:pPr>
                    <w:autoSpaceDE w:val="0"/>
                    <w:autoSpaceDN w:val="0"/>
                    <w:adjustRightInd w:val="0"/>
                    <w:spacing w:after="0" w:line="240" w:lineRule="auto"/>
                    <w:ind w:left="60" w:right="60"/>
                    <w:rPr>
                      <w:rFonts w:ascii="Arial" w:hAnsi="Arial" w:cs="Arial"/>
                      <w:color w:val="000000"/>
                      <w:sz w:val="18"/>
                      <w:szCs w:val="18"/>
                    </w:rPr>
                  </w:pPr>
                  <w:r w:rsidRPr="004039A7">
                    <w:rPr>
                      <w:rFonts w:ascii="Arial" w:hAnsi="Arial" w:cs="Arial"/>
                      <w:color w:val="000000"/>
                      <w:sz w:val="18"/>
                      <w:szCs w:val="18"/>
                    </w:rPr>
                    <w:t>Sig. (bilateral)</w:t>
                  </w:r>
                </w:p>
              </w:tc>
              <w:tc>
                <w:tcPr>
                  <w:tcW w:w="991" w:type="dxa"/>
                  <w:tcBorders>
                    <w:top w:val="nil"/>
                    <w:left w:val="single" w:sz="16" w:space="0" w:color="000000"/>
                    <w:bottom w:val="nil"/>
                  </w:tcBorders>
                  <w:shd w:val="clear" w:color="auto" w:fill="FFFFFF"/>
                </w:tcPr>
                <w:p w:rsidR="00762D9F" w:rsidRPr="004039A7" w:rsidRDefault="00762D9F" w:rsidP="00762D9F">
                  <w:pPr>
                    <w:autoSpaceDE w:val="0"/>
                    <w:autoSpaceDN w:val="0"/>
                    <w:adjustRightInd w:val="0"/>
                    <w:spacing w:after="0" w:line="240" w:lineRule="auto"/>
                    <w:rPr>
                      <w:rFonts w:ascii="Times New Roman" w:hAnsi="Times New Roman" w:cs="Times New Roman"/>
                      <w:sz w:val="24"/>
                      <w:szCs w:val="24"/>
                    </w:rPr>
                  </w:pPr>
                </w:p>
              </w:tc>
              <w:tc>
                <w:tcPr>
                  <w:tcW w:w="1161" w:type="dxa"/>
                  <w:tcBorders>
                    <w:top w:val="nil"/>
                    <w:bottom w:val="nil"/>
                    <w:right w:val="single" w:sz="16" w:space="0" w:color="000000"/>
                  </w:tcBorders>
                  <w:shd w:val="clear" w:color="auto" w:fill="FFFFFF"/>
                  <w:vAlign w:val="center"/>
                </w:tcPr>
                <w:p w:rsidR="00762D9F" w:rsidRPr="004039A7"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4039A7">
                    <w:rPr>
                      <w:rFonts w:ascii="Arial" w:hAnsi="Arial" w:cs="Arial"/>
                      <w:color w:val="000000"/>
                      <w:sz w:val="18"/>
                      <w:szCs w:val="18"/>
                    </w:rPr>
                    <w:t>.128</w:t>
                  </w:r>
                </w:p>
              </w:tc>
            </w:tr>
            <w:tr w:rsidR="00762D9F" w:rsidRPr="004039A7" w:rsidTr="00B923F3">
              <w:trPr>
                <w:cantSplit/>
                <w:jc w:val="center"/>
              </w:trPr>
              <w:tc>
                <w:tcPr>
                  <w:tcW w:w="1337" w:type="dxa"/>
                  <w:vMerge/>
                  <w:tcBorders>
                    <w:top w:val="single" w:sz="16" w:space="0" w:color="000000"/>
                    <w:left w:val="single" w:sz="16" w:space="0" w:color="000000"/>
                    <w:bottom w:val="nil"/>
                    <w:right w:val="nil"/>
                  </w:tcBorders>
                  <w:shd w:val="clear" w:color="auto" w:fill="FFFFFF"/>
                  <w:vAlign w:val="center"/>
                </w:tcPr>
                <w:p w:rsidR="00762D9F" w:rsidRPr="004039A7" w:rsidRDefault="00762D9F" w:rsidP="00762D9F">
                  <w:pPr>
                    <w:autoSpaceDE w:val="0"/>
                    <w:autoSpaceDN w:val="0"/>
                    <w:adjustRightInd w:val="0"/>
                    <w:spacing w:after="0" w:line="240" w:lineRule="auto"/>
                    <w:rPr>
                      <w:rFonts w:ascii="Arial" w:hAnsi="Arial" w:cs="Arial"/>
                      <w:color w:val="000000"/>
                      <w:sz w:val="18"/>
                      <w:szCs w:val="18"/>
                    </w:rPr>
                  </w:pPr>
                </w:p>
              </w:tc>
              <w:tc>
                <w:tcPr>
                  <w:tcW w:w="1061" w:type="dxa"/>
                  <w:tcBorders>
                    <w:top w:val="nil"/>
                    <w:left w:val="nil"/>
                    <w:bottom w:val="nil"/>
                    <w:right w:val="single" w:sz="16" w:space="0" w:color="000000"/>
                  </w:tcBorders>
                  <w:shd w:val="clear" w:color="auto" w:fill="FFFFFF"/>
                  <w:vAlign w:val="center"/>
                </w:tcPr>
                <w:p w:rsidR="00762D9F" w:rsidRPr="004039A7" w:rsidRDefault="00762D9F" w:rsidP="00762D9F">
                  <w:pPr>
                    <w:autoSpaceDE w:val="0"/>
                    <w:autoSpaceDN w:val="0"/>
                    <w:adjustRightInd w:val="0"/>
                    <w:spacing w:after="0" w:line="240" w:lineRule="auto"/>
                    <w:ind w:left="60" w:right="60"/>
                    <w:rPr>
                      <w:rFonts w:ascii="Arial" w:hAnsi="Arial" w:cs="Arial"/>
                      <w:color w:val="000000"/>
                      <w:sz w:val="18"/>
                      <w:szCs w:val="18"/>
                    </w:rPr>
                  </w:pPr>
                  <w:r w:rsidRPr="004039A7">
                    <w:rPr>
                      <w:rFonts w:ascii="Arial" w:hAnsi="Arial" w:cs="Arial"/>
                      <w:color w:val="000000"/>
                      <w:sz w:val="18"/>
                      <w:szCs w:val="18"/>
                    </w:rPr>
                    <w:t>N</w:t>
                  </w:r>
                </w:p>
              </w:tc>
              <w:tc>
                <w:tcPr>
                  <w:tcW w:w="991" w:type="dxa"/>
                  <w:tcBorders>
                    <w:top w:val="nil"/>
                    <w:left w:val="single" w:sz="16" w:space="0" w:color="000000"/>
                    <w:bottom w:val="nil"/>
                  </w:tcBorders>
                  <w:shd w:val="clear" w:color="auto" w:fill="FFFFFF"/>
                  <w:vAlign w:val="center"/>
                </w:tcPr>
                <w:p w:rsidR="00762D9F" w:rsidRPr="004039A7"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 xml:space="preserve"> </w:t>
                  </w:r>
                  <w:r w:rsidRPr="004039A7">
                    <w:rPr>
                      <w:rFonts w:ascii="Arial" w:hAnsi="Arial" w:cs="Arial"/>
                      <w:color w:val="000000"/>
                      <w:sz w:val="18"/>
                      <w:szCs w:val="18"/>
                    </w:rPr>
                    <w:t>16</w:t>
                  </w:r>
                </w:p>
              </w:tc>
              <w:tc>
                <w:tcPr>
                  <w:tcW w:w="1161" w:type="dxa"/>
                  <w:tcBorders>
                    <w:top w:val="nil"/>
                    <w:bottom w:val="nil"/>
                    <w:right w:val="single" w:sz="16" w:space="0" w:color="000000"/>
                  </w:tcBorders>
                  <w:shd w:val="clear" w:color="auto" w:fill="FFFFFF"/>
                  <w:vAlign w:val="center"/>
                </w:tcPr>
                <w:p w:rsidR="00762D9F" w:rsidRPr="004039A7"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4039A7">
                    <w:rPr>
                      <w:rFonts w:ascii="Arial" w:hAnsi="Arial" w:cs="Arial"/>
                      <w:color w:val="000000"/>
                      <w:sz w:val="18"/>
                      <w:szCs w:val="18"/>
                    </w:rPr>
                    <w:t>16</w:t>
                  </w:r>
                </w:p>
              </w:tc>
            </w:tr>
            <w:tr w:rsidR="00762D9F" w:rsidRPr="004039A7" w:rsidTr="00B923F3">
              <w:trPr>
                <w:cantSplit/>
                <w:jc w:val="center"/>
              </w:trPr>
              <w:tc>
                <w:tcPr>
                  <w:tcW w:w="1337" w:type="dxa"/>
                  <w:vMerge w:val="restart"/>
                  <w:tcBorders>
                    <w:top w:val="nil"/>
                    <w:left w:val="single" w:sz="16" w:space="0" w:color="000000"/>
                    <w:bottom w:val="single" w:sz="16" w:space="0" w:color="000000"/>
                    <w:right w:val="nil"/>
                  </w:tcBorders>
                  <w:shd w:val="clear" w:color="auto" w:fill="FFFFFF"/>
                  <w:vAlign w:val="center"/>
                </w:tcPr>
                <w:p w:rsidR="00762D9F" w:rsidRPr="004039A7" w:rsidRDefault="00762D9F" w:rsidP="00762D9F">
                  <w:pPr>
                    <w:autoSpaceDE w:val="0"/>
                    <w:autoSpaceDN w:val="0"/>
                    <w:adjustRightInd w:val="0"/>
                    <w:spacing w:after="0" w:line="240" w:lineRule="auto"/>
                    <w:ind w:left="60" w:right="60"/>
                    <w:rPr>
                      <w:rFonts w:ascii="Arial" w:hAnsi="Arial" w:cs="Arial"/>
                      <w:color w:val="000000"/>
                      <w:sz w:val="18"/>
                      <w:szCs w:val="18"/>
                    </w:rPr>
                  </w:pPr>
                  <w:r w:rsidRPr="004039A7">
                    <w:rPr>
                      <w:rFonts w:ascii="Arial" w:hAnsi="Arial" w:cs="Arial"/>
                      <w:color w:val="000000"/>
                      <w:sz w:val="18"/>
                      <w:szCs w:val="18"/>
                    </w:rPr>
                    <w:t>Rendimiento Neto</w:t>
                  </w:r>
                </w:p>
              </w:tc>
              <w:tc>
                <w:tcPr>
                  <w:tcW w:w="1061" w:type="dxa"/>
                  <w:tcBorders>
                    <w:top w:val="nil"/>
                    <w:left w:val="nil"/>
                    <w:bottom w:val="nil"/>
                    <w:right w:val="single" w:sz="16" w:space="0" w:color="000000"/>
                  </w:tcBorders>
                  <w:shd w:val="clear" w:color="auto" w:fill="FFFFFF"/>
                  <w:vAlign w:val="center"/>
                </w:tcPr>
                <w:p w:rsidR="00762D9F" w:rsidRPr="004039A7" w:rsidRDefault="00762D9F" w:rsidP="00762D9F">
                  <w:pPr>
                    <w:autoSpaceDE w:val="0"/>
                    <w:autoSpaceDN w:val="0"/>
                    <w:adjustRightInd w:val="0"/>
                    <w:spacing w:after="0" w:line="240" w:lineRule="auto"/>
                    <w:ind w:left="60" w:right="60"/>
                    <w:rPr>
                      <w:rFonts w:ascii="Arial" w:hAnsi="Arial" w:cs="Arial"/>
                      <w:color w:val="000000"/>
                      <w:sz w:val="18"/>
                      <w:szCs w:val="18"/>
                    </w:rPr>
                  </w:pPr>
                  <w:r w:rsidRPr="004039A7">
                    <w:rPr>
                      <w:rFonts w:ascii="Arial" w:hAnsi="Arial" w:cs="Arial"/>
                      <w:color w:val="000000"/>
                      <w:sz w:val="18"/>
                      <w:szCs w:val="18"/>
                    </w:rPr>
                    <w:t>Correlación de Pearson</w:t>
                  </w:r>
                </w:p>
              </w:tc>
              <w:tc>
                <w:tcPr>
                  <w:tcW w:w="991" w:type="dxa"/>
                  <w:tcBorders>
                    <w:top w:val="nil"/>
                    <w:left w:val="single" w:sz="16" w:space="0" w:color="000000"/>
                    <w:bottom w:val="nil"/>
                  </w:tcBorders>
                  <w:shd w:val="clear" w:color="auto" w:fill="FFFFFF"/>
                  <w:vAlign w:val="center"/>
                </w:tcPr>
                <w:p w:rsidR="00762D9F" w:rsidRPr="004039A7"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4039A7">
                    <w:rPr>
                      <w:rFonts w:ascii="Arial" w:hAnsi="Arial" w:cs="Arial"/>
                      <w:color w:val="000000"/>
                      <w:sz w:val="18"/>
                      <w:szCs w:val="18"/>
                    </w:rPr>
                    <w:t>.397</w:t>
                  </w:r>
                </w:p>
              </w:tc>
              <w:tc>
                <w:tcPr>
                  <w:tcW w:w="1161" w:type="dxa"/>
                  <w:tcBorders>
                    <w:top w:val="nil"/>
                    <w:bottom w:val="nil"/>
                    <w:right w:val="single" w:sz="16" w:space="0" w:color="000000"/>
                  </w:tcBorders>
                  <w:shd w:val="clear" w:color="auto" w:fill="FFFFFF"/>
                  <w:vAlign w:val="center"/>
                </w:tcPr>
                <w:p w:rsidR="00762D9F" w:rsidRPr="004039A7"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4039A7">
                    <w:rPr>
                      <w:rFonts w:ascii="Arial" w:hAnsi="Arial" w:cs="Arial"/>
                      <w:color w:val="000000"/>
                      <w:sz w:val="18"/>
                      <w:szCs w:val="18"/>
                    </w:rPr>
                    <w:t>1</w:t>
                  </w:r>
                </w:p>
              </w:tc>
            </w:tr>
            <w:tr w:rsidR="00762D9F" w:rsidRPr="004039A7" w:rsidTr="00B923F3">
              <w:trPr>
                <w:cantSplit/>
                <w:jc w:val="center"/>
              </w:trPr>
              <w:tc>
                <w:tcPr>
                  <w:tcW w:w="1337" w:type="dxa"/>
                  <w:vMerge/>
                  <w:tcBorders>
                    <w:top w:val="nil"/>
                    <w:left w:val="single" w:sz="16" w:space="0" w:color="000000"/>
                    <w:bottom w:val="single" w:sz="16" w:space="0" w:color="000000"/>
                    <w:right w:val="nil"/>
                  </w:tcBorders>
                  <w:shd w:val="clear" w:color="auto" w:fill="FFFFFF"/>
                  <w:vAlign w:val="center"/>
                </w:tcPr>
                <w:p w:rsidR="00762D9F" w:rsidRPr="004039A7" w:rsidRDefault="00762D9F" w:rsidP="00762D9F">
                  <w:pPr>
                    <w:autoSpaceDE w:val="0"/>
                    <w:autoSpaceDN w:val="0"/>
                    <w:adjustRightInd w:val="0"/>
                    <w:spacing w:after="0" w:line="240" w:lineRule="auto"/>
                    <w:rPr>
                      <w:rFonts w:ascii="Arial" w:hAnsi="Arial" w:cs="Arial"/>
                      <w:color w:val="000000"/>
                      <w:sz w:val="18"/>
                      <w:szCs w:val="18"/>
                    </w:rPr>
                  </w:pPr>
                </w:p>
              </w:tc>
              <w:tc>
                <w:tcPr>
                  <w:tcW w:w="1061" w:type="dxa"/>
                  <w:tcBorders>
                    <w:top w:val="nil"/>
                    <w:left w:val="nil"/>
                    <w:bottom w:val="nil"/>
                    <w:right w:val="single" w:sz="16" w:space="0" w:color="000000"/>
                  </w:tcBorders>
                  <w:shd w:val="clear" w:color="auto" w:fill="FFFFFF"/>
                  <w:vAlign w:val="center"/>
                </w:tcPr>
                <w:p w:rsidR="00762D9F" w:rsidRPr="004039A7" w:rsidRDefault="00762D9F" w:rsidP="00762D9F">
                  <w:pPr>
                    <w:autoSpaceDE w:val="0"/>
                    <w:autoSpaceDN w:val="0"/>
                    <w:adjustRightInd w:val="0"/>
                    <w:spacing w:after="0" w:line="240" w:lineRule="auto"/>
                    <w:ind w:left="60" w:right="60"/>
                    <w:rPr>
                      <w:rFonts w:ascii="Arial" w:hAnsi="Arial" w:cs="Arial"/>
                      <w:color w:val="000000"/>
                      <w:sz w:val="18"/>
                      <w:szCs w:val="18"/>
                    </w:rPr>
                  </w:pPr>
                  <w:r w:rsidRPr="004039A7">
                    <w:rPr>
                      <w:rFonts w:ascii="Arial" w:hAnsi="Arial" w:cs="Arial"/>
                      <w:color w:val="000000"/>
                      <w:sz w:val="18"/>
                      <w:szCs w:val="18"/>
                    </w:rPr>
                    <w:t>Sig. (bilateral)</w:t>
                  </w:r>
                </w:p>
              </w:tc>
              <w:tc>
                <w:tcPr>
                  <w:tcW w:w="991" w:type="dxa"/>
                  <w:tcBorders>
                    <w:top w:val="nil"/>
                    <w:left w:val="single" w:sz="16" w:space="0" w:color="000000"/>
                    <w:bottom w:val="nil"/>
                  </w:tcBorders>
                  <w:shd w:val="clear" w:color="auto" w:fill="FFFFFF"/>
                  <w:vAlign w:val="center"/>
                </w:tcPr>
                <w:p w:rsidR="00762D9F" w:rsidRPr="004039A7"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4039A7">
                    <w:rPr>
                      <w:rFonts w:ascii="Arial" w:hAnsi="Arial" w:cs="Arial"/>
                      <w:color w:val="000000"/>
                      <w:sz w:val="18"/>
                      <w:szCs w:val="18"/>
                    </w:rPr>
                    <w:t>.128</w:t>
                  </w:r>
                </w:p>
              </w:tc>
              <w:tc>
                <w:tcPr>
                  <w:tcW w:w="1161" w:type="dxa"/>
                  <w:tcBorders>
                    <w:top w:val="nil"/>
                    <w:bottom w:val="nil"/>
                    <w:right w:val="single" w:sz="16" w:space="0" w:color="000000"/>
                  </w:tcBorders>
                  <w:shd w:val="clear" w:color="auto" w:fill="FFFFFF"/>
                </w:tcPr>
                <w:p w:rsidR="00762D9F" w:rsidRPr="004039A7" w:rsidRDefault="00762D9F" w:rsidP="00762D9F">
                  <w:pPr>
                    <w:autoSpaceDE w:val="0"/>
                    <w:autoSpaceDN w:val="0"/>
                    <w:adjustRightInd w:val="0"/>
                    <w:spacing w:after="0" w:line="240" w:lineRule="auto"/>
                    <w:rPr>
                      <w:rFonts w:ascii="Times New Roman" w:hAnsi="Times New Roman" w:cs="Times New Roman"/>
                      <w:sz w:val="24"/>
                      <w:szCs w:val="24"/>
                    </w:rPr>
                  </w:pPr>
                </w:p>
              </w:tc>
            </w:tr>
            <w:tr w:rsidR="00762D9F" w:rsidRPr="004039A7" w:rsidTr="00B923F3">
              <w:trPr>
                <w:cantSplit/>
                <w:jc w:val="center"/>
              </w:trPr>
              <w:tc>
                <w:tcPr>
                  <w:tcW w:w="1337" w:type="dxa"/>
                  <w:vMerge/>
                  <w:tcBorders>
                    <w:top w:val="nil"/>
                    <w:left w:val="single" w:sz="16" w:space="0" w:color="000000"/>
                    <w:bottom w:val="single" w:sz="16" w:space="0" w:color="000000"/>
                    <w:right w:val="nil"/>
                  </w:tcBorders>
                  <w:shd w:val="clear" w:color="auto" w:fill="FFFFFF"/>
                  <w:vAlign w:val="center"/>
                </w:tcPr>
                <w:p w:rsidR="00762D9F" w:rsidRPr="004039A7" w:rsidRDefault="00762D9F" w:rsidP="00762D9F">
                  <w:pPr>
                    <w:autoSpaceDE w:val="0"/>
                    <w:autoSpaceDN w:val="0"/>
                    <w:adjustRightInd w:val="0"/>
                    <w:spacing w:after="0" w:line="240" w:lineRule="auto"/>
                    <w:rPr>
                      <w:rFonts w:ascii="Times New Roman" w:hAnsi="Times New Roman" w:cs="Times New Roman"/>
                      <w:sz w:val="24"/>
                      <w:szCs w:val="24"/>
                    </w:rPr>
                  </w:pPr>
                </w:p>
              </w:tc>
              <w:tc>
                <w:tcPr>
                  <w:tcW w:w="1061" w:type="dxa"/>
                  <w:tcBorders>
                    <w:top w:val="nil"/>
                    <w:left w:val="nil"/>
                    <w:bottom w:val="single" w:sz="16" w:space="0" w:color="000000"/>
                    <w:right w:val="single" w:sz="16" w:space="0" w:color="000000"/>
                  </w:tcBorders>
                  <w:shd w:val="clear" w:color="auto" w:fill="FFFFFF"/>
                  <w:vAlign w:val="center"/>
                </w:tcPr>
                <w:p w:rsidR="00762D9F" w:rsidRPr="004039A7" w:rsidRDefault="00762D9F" w:rsidP="00762D9F">
                  <w:pPr>
                    <w:autoSpaceDE w:val="0"/>
                    <w:autoSpaceDN w:val="0"/>
                    <w:adjustRightInd w:val="0"/>
                    <w:spacing w:after="0" w:line="240" w:lineRule="auto"/>
                    <w:ind w:left="60" w:right="60"/>
                    <w:rPr>
                      <w:rFonts w:ascii="Arial" w:hAnsi="Arial" w:cs="Arial"/>
                      <w:color w:val="000000"/>
                      <w:sz w:val="18"/>
                      <w:szCs w:val="18"/>
                    </w:rPr>
                  </w:pPr>
                  <w:r w:rsidRPr="004039A7">
                    <w:rPr>
                      <w:rFonts w:ascii="Arial" w:hAnsi="Arial" w:cs="Arial"/>
                      <w:color w:val="000000"/>
                      <w:sz w:val="18"/>
                      <w:szCs w:val="18"/>
                    </w:rPr>
                    <w:t>N</w:t>
                  </w:r>
                </w:p>
              </w:tc>
              <w:tc>
                <w:tcPr>
                  <w:tcW w:w="991" w:type="dxa"/>
                  <w:tcBorders>
                    <w:top w:val="nil"/>
                    <w:left w:val="single" w:sz="16" w:space="0" w:color="000000"/>
                    <w:bottom w:val="single" w:sz="16" w:space="0" w:color="000000"/>
                  </w:tcBorders>
                  <w:shd w:val="clear" w:color="auto" w:fill="FFFFFF"/>
                  <w:vAlign w:val="center"/>
                </w:tcPr>
                <w:p w:rsidR="00762D9F" w:rsidRPr="004039A7"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4039A7">
                    <w:rPr>
                      <w:rFonts w:ascii="Arial" w:hAnsi="Arial" w:cs="Arial"/>
                      <w:color w:val="000000"/>
                      <w:sz w:val="18"/>
                      <w:szCs w:val="18"/>
                    </w:rPr>
                    <w:t>16</w:t>
                  </w:r>
                </w:p>
              </w:tc>
              <w:tc>
                <w:tcPr>
                  <w:tcW w:w="1161" w:type="dxa"/>
                  <w:tcBorders>
                    <w:top w:val="nil"/>
                    <w:bottom w:val="single" w:sz="16" w:space="0" w:color="000000"/>
                    <w:right w:val="single" w:sz="16" w:space="0" w:color="000000"/>
                  </w:tcBorders>
                  <w:shd w:val="clear" w:color="auto" w:fill="FFFFFF"/>
                  <w:vAlign w:val="center"/>
                </w:tcPr>
                <w:p w:rsidR="00762D9F" w:rsidRPr="004039A7"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4039A7">
                    <w:rPr>
                      <w:rFonts w:ascii="Arial" w:hAnsi="Arial" w:cs="Arial"/>
                      <w:color w:val="000000"/>
                      <w:sz w:val="18"/>
                      <w:szCs w:val="18"/>
                    </w:rPr>
                    <w:t>16</w:t>
                  </w:r>
                </w:p>
              </w:tc>
            </w:tr>
          </w:tbl>
          <w:p w:rsidR="00762D9F" w:rsidRPr="00760A7A" w:rsidRDefault="00762D9F" w:rsidP="00762D9F">
            <w:pPr>
              <w:autoSpaceDE w:val="0"/>
              <w:autoSpaceDN w:val="0"/>
              <w:adjustRightInd w:val="0"/>
              <w:ind w:left="60" w:right="60"/>
              <w:rPr>
                <w:rFonts w:ascii="Arial" w:hAnsi="Arial" w:cs="Arial"/>
                <w:b/>
                <w:bCs/>
                <w:color w:val="000000"/>
                <w:sz w:val="18"/>
                <w:szCs w:val="18"/>
              </w:rPr>
            </w:pPr>
          </w:p>
        </w:tc>
      </w:tr>
      <w:tr w:rsidR="00762D9F" w:rsidTr="006454CE">
        <w:trPr>
          <w:jc w:val="center"/>
        </w:trPr>
        <w:tc>
          <w:tcPr>
            <w:tcW w:w="4133" w:type="dxa"/>
          </w:tcPr>
          <w:p w:rsidR="00762D9F" w:rsidRDefault="00762D9F" w:rsidP="00762D9F">
            <w:r>
              <w:rPr>
                <w:rFonts w:ascii="Times New Roman" w:hAnsi="Times New Roman" w:cs="Times New Roman"/>
                <w:noProof/>
                <w:sz w:val="24"/>
                <w:szCs w:val="24"/>
                <w:lang w:eastAsia="es-MX"/>
              </w:rPr>
              <w:drawing>
                <wp:inline distT="0" distB="0" distL="0" distR="0">
                  <wp:extent cx="2701082" cy="2160000"/>
                  <wp:effectExtent l="0" t="0" r="4445"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701082" cy="2160000"/>
                          </a:xfrm>
                          <a:prstGeom prst="rect">
                            <a:avLst/>
                          </a:prstGeom>
                          <a:noFill/>
                          <a:ln>
                            <a:noFill/>
                          </a:ln>
                        </pic:spPr>
                      </pic:pic>
                    </a:graphicData>
                  </a:graphic>
                </wp:inline>
              </w:drawing>
            </w:r>
          </w:p>
        </w:tc>
        <w:tc>
          <w:tcPr>
            <w:tcW w:w="4793" w:type="dxa"/>
          </w:tcPr>
          <w:tbl>
            <w:tblPr>
              <w:tblW w:w="0" w:type="auto"/>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172"/>
              <w:gridCol w:w="1091"/>
              <w:gridCol w:w="1017"/>
              <w:gridCol w:w="1174"/>
            </w:tblGrid>
            <w:tr w:rsidR="00762D9F" w:rsidRPr="00760A7A" w:rsidTr="00762D9F">
              <w:trPr>
                <w:cantSplit/>
                <w:jc w:val="center"/>
              </w:trPr>
              <w:tc>
                <w:tcPr>
                  <w:tcW w:w="0" w:type="auto"/>
                  <w:gridSpan w:val="4"/>
                  <w:tcBorders>
                    <w:top w:val="nil"/>
                    <w:left w:val="nil"/>
                    <w:bottom w:val="nil"/>
                    <w:right w:val="nil"/>
                  </w:tcBorders>
                  <w:shd w:val="clear" w:color="auto" w:fill="FFFFFF"/>
                </w:tcPr>
                <w:p w:rsidR="00762D9F" w:rsidRPr="00760A7A" w:rsidRDefault="00762D9F" w:rsidP="00762D9F">
                  <w:pPr>
                    <w:autoSpaceDE w:val="0"/>
                    <w:autoSpaceDN w:val="0"/>
                    <w:adjustRightInd w:val="0"/>
                    <w:spacing w:after="0" w:line="240" w:lineRule="auto"/>
                    <w:ind w:left="60" w:right="60"/>
                    <w:jc w:val="center"/>
                    <w:rPr>
                      <w:rFonts w:ascii="Arial" w:hAnsi="Arial" w:cs="Arial"/>
                      <w:color w:val="000000"/>
                      <w:sz w:val="18"/>
                      <w:szCs w:val="18"/>
                    </w:rPr>
                  </w:pPr>
                  <w:r w:rsidRPr="00760A7A">
                    <w:rPr>
                      <w:rFonts w:ascii="Arial" w:hAnsi="Arial" w:cs="Arial"/>
                      <w:b/>
                      <w:bCs/>
                      <w:color w:val="000000"/>
                      <w:sz w:val="18"/>
                      <w:szCs w:val="18"/>
                    </w:rPr>
                    <w:t>Correlaciones</w:t>
                  </w:r>
                  <w:r>
                    <w:rPr>
                      <w:rFonts w:ascii="Arial" w:hAnsi="Arial" w:cs="Arial"/>
                      <w:b/>
                      <w:bCs/>
                      <w:color w:val="000000"/>
                      <w:sz w:val="18"/>
                      <w:szCs w:val="18"/>
                    </w:rPr>
                    <w:t xml:space="preserve"> 2006</w:t>
                  </w:r>
                </w:p>
              </w:tc>
            </w:tr>
            <w:tr w:rsidR="00762D9F" w:rsidRPr="00760A7A" w:rsidTr="00762D9F">
              <w:trPr>
                <w:cantSplit/>
                <w:jc w:val="center"/>
              </w:trPr>
              <w:tc>
                <w:tcPr>
                  <w:tcW w:w="0" w:type="auto"/>
                  <w:gridSpan w:val="2"/>
                  <w:tcBorders>
                    <w:top w:val="single" w:sz="16" w:space="0" w:color="000000"/>
                    <w:left w:val="single" w:sz="16" w:space="0" w:color="000000"/>
                    <w:bottom w:val="single" w:sz="16" w:space="0" w:color="000000"/>
                    <w:right w:val="nil"/>
                  </w:tcBorders>
                  <w:shd w:val="clear" w:color="auto" w:fill="FFFFFF"/>
                </w:tcPr>
                <w:p w:rsidR="00762D9F" w:rsidRPr="00760A7A" w:rsidRDefault="00762D9F" w:rsidP="00762D9F">
                  <w:pPr>
                    <w:autoSpaceDE w:val="0"/>
                    <w:autoSpaceDN w:val="0"/>
                    <w:adjustRightInd w:val="0"/>
                    <w:spacing w:after="0" w:line="240" w:lineRule="auto"/>
                    <w:ind w:left="60" w:right="60"/>
                    <w:rPr>
                      <w:rFonts w:ascii="Arial" w:hAnsi="Arial" w:cs="Arial"/>
                      <w:color w:val="000000"/>
                      <w:sz w:val="18"/>
                      <w:szCs w:val="18"/>
                    </w:rPr>
                  </w:pPr>
                </w:p>
              </w:tc>
              <w:tc>
                <w:tcPr>
                  <w:tcW w:w="0" w:type="auto"/>
                  <w:tcBorders>
                    <w:top w:val="single" w:sz="16" w:space="0" w:color="000000"/>
                    <w:left w:val="single" w:sz="16" w:space="0" w:color="000000"/>
                    <w:bottom w:val="single" w:sz="16" w:space="0" w:color="000000"/>
                  </w:tcBorders>
                  <w:shd w:val="clear" w:color="auto" w:fill="FFFFFF"/>
                </w:tcPr>
                <w:p w:rsidR="00762D9F" w:rsidRPr="00760A7A" w:rsidRDefault="00762D9F" w:rsidP="00762D9F">
                  <w:pPr>
                    <w:autoSpaceDE w:val="0"/>
                    <w:autoSpaceDN w:val="0"/>
                    <w:adjustRightInd w:val="0"/>
                    <w:spacing w:after="0" w:line="240" w:lineRule="auto"/>
                    <w:ind w:left="60" w:right="60"/>
                    <w:jc w:val="center"/>
                    <w:rPr>
                      <w:rFonts w:ascii="Arial" w:hAnsi="Arial" w:cs="Arial"/>
                      <w:color w:val="000000"/>
                      <w:sz w:val="18"/>
                      <w:szCs w:val="18"/>
                    </w:rPr>
                  </w:pPr>
                  <w:r w:rsidRPr="00760A7A">
                    <w:rPr>
                      <w:rFonts w:ascii="Arial" w:hAnsi="Arial" w:cs="Arial"/>
                      <w:color w:val="000000"/>
                      <w:sz w:val="18"/>
                      <w:szCs w:val="18"/>
                    </w:rPr>
                    <w:t>Traspasos Recibidos</w:t>
                  </w:r>
                </w:p>
              </w:tc>
              <w:tc>
                <w:tcPr>
                  <w:tcW w:w="0" w:type="auto"/>
                  <w:tcBorders>
                    <w:top w:val="single" w:sz="16" w:space="0" w:color="000000"/>
                    <w:bottom w:val="single" w:sz="16" w:space="0" w:color="000000"/>
                    <w:right w:val="single" w:sz="16" w:space="0" w:color="000000"/>
                  </w:tcBorders>
                  <w:shd w:val="clear" w:color="auto" w:fill="FFFFFF"/>
                </w:tcPr>
                <w:p w:rsidR="00762D9F" w:rsidRPr="00760A7A" w:rsidRDefault="00762D9F" w:rsidP="00762D9F">
                  <w:pPr>
                    <w:autoSpaceDE w:val="0"/>
                    <w:autoSpaceDN w:val="0"/>
                    <w:adjustRightInd w:val="0"/>
                    <w:spacing w:after="0" w:line="240" w:lineRule="auto"/>
                    <w:ind w:left="60" w:right="60"/>
                    <w:jc w:val="center"/>
                    <w:rPr>
                      <w:rFonts w:ascii="Arial" w:hAnsi="Arial" w:cs="Arial"/>
                      <w:color w:val="000000"/>
                      <w:sz w:val="18"/>
                      <w:szCs w:val="18"/>
                    </w:rPr>
                  </w:pPr>
                  <w:r w:rsidRPr="00760A7A">
                    <w:rPr>
                      <w:rFonts w:ascii="Arial" w:hAnsi="Arial" w:cs="Arial"/>
                      <w:color w:val="000000"/>
                      <w:sz w:val="18"/>
                      <w:szCs w:val="18"/>
                    </w:rPr>
                    <w:t>Rendimiento Neto</w:t>
                  </w:r>
                </w:p>
              </w:tc>
            </w:tr>
            <w:tr w:rsidR="00762D9F" w:rsidRPr="00760A7A" w:rsidTr="00762D9F">
              <w:trPr>
                <w:cantSplit/>
                <w:jc w:val="center"/>
              </w:trPr>
              <w:tc>
                <w:tcPr>
                  <w:tcW w:w="0" w:type="auto"/>
                  <w:vMerge w:val="restart"/>
                  <w:tcBorders>
                    <w:top w:val="single" w:sz="16" w:space="0" w:color="000000"/>
                    <w:left w:val="single" w:sz="16" w:space="0" w:color="000000"/>
                    <w:bottom w:val="nil"/>
                    <w:right w:val="nil"/>
                  </w:tcBorders>
                  <w:shd w:val="clear" w:color="auto" w:fill="FFFFFF"/>
                  <w:vAlign w:val="center"/>
                </w:tcPr>
                <w:p w:rsidR="00762D9F" w:rsidRPr="00760A7A" w:rsidRDefault="00762D9F" w:rsidP="00762D9F">
                  <w:pPr>
                    <w:autoSpaceDE w:val="0"/>
                    <w:autoSpaceDN w:val="0"/>
                    <w:adjustRightInd w:val="0"/>
                    <w:spacing w:after="0" w:line="240" w:lineRule="auto"/>
                    <w:ind w:left="60" w:right="60"/>
                    <w:rPr>
                      <w:rFonts w:ascii="Arial" w:hAnsi="Arial" w:cs="Arial"/>
                      <w:color w:val="000000"/>
                      <w:sz w:val="18"/>
                      <w:szCs w:val="18"/>
                    </w:rPr>
                  </w:pPr>
                  <w:r w:rsidRPr="00760A7A">
                    <w:rPr>
                      <w:rFonts w:ascii="Arial" w:hAnsi="Arial" w:cs="Arial"/>
                      <w:color w:val="000000"/>
                      <w:sz w:val="18"/>
                      <w:szCs w:val="18"/>
                    </w:rPr>
                    <w:t>Traspasos Recibidos</w:t>
                  </w:r>
                </w:p>
              </w:tc>
              <w:tc>
                <w:tcPr>
                  <w:tcW w:w="0" w:type="auto"/>
                  <w:tcBorders>
                    <w:top w:val="single" w:sz="16" w:space="0" w:color="000000"/>
                    <w:left w:val="nil"/>
                    <w:bottom w:val="nil"/>
                    <w:right w:val="single" w:sz="16" w:space="0" w:color="000000"/>
                  </w:tcBorders>
                  <w:shd w:val="clear" w:color="auto" w:fill="FFFFFF"/>
                  <w:vAlign w:val="center"/>
                </w:tcPr>
                <w:p w:rsidR="00762D9F" w:rsidRPr="00760A7A" w:rsidRDefault="00762D9F" w:rsidP="00762D9F">
                  <w:pPr>
                    <w:autoSpaceDE w:val="0"/>
                    <w:autoSpaceDN w:val="0"/>
                    <w:adjustRightInd w:val="0"/>
                    <w:spacing w:after="0" w:line="240" w:lineRule="auto"/>
                    <w:ind w:left="60" w:right="60"/>
                    <w:rPr>
                      <w:rFonts w:ascii="Arial" w:hAnsi="Arial" w:cs="Arial"/>
                      <w:color w:val="000000"/>
                      <w:sz w:val="18"/>
                      <w:szCs w:val="18"/>
                    </w:rPr>
                  </w:pPr>
                  <w:r w:rsidRPr="00760A7A">
                    <w:rPr>
                      <w:rFonts w:ascii="Arial" w:hAnsi="Arial" w:cs="Arial"/>
                      <w:color w:val="000000"/>
                      <w:sz w:val="18"/>
                      <w:szCs w:val="18"/>
                    </w:rPr>
                    <w:t>Correlación de Pearson</w:t>
                  </w:r>
                </w:p>
              </w:tc>
              <w:tc>
                <w:tcPr>
                  <w:tcW w:w="0" w:type="auto"/>
                  <w:tcBorders>
                    <w:top w:val="single" w:sz="16" w:space="0" w:color="000000"/>
                    <w:left w:val="single" w:sz="16" w:space="0" w:color="000000"/>
                    <w:bottom w:val="nil"/>
                  </w:tcBorders>
                  <w:shd w:val="clear" w:color="auto" w:fill="FFFFFF"/>
                  <w:vAlign w:val="center"/>
                </w:tcPr>
                <w:p w:rsidR="00762D9F" w:rsidRPr="00760A7A"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760A7A">
                    <w:rPr>
                      <w:rFonts w:ascii="Arial" w:hAnsi="Arial" w:cs="Arial"/>
                      <w:color w:val="000000"/>
                      <w:sz w:val="18"/>
                      <w:szCs w:val="18"/>
                    </w:rPr>
                    <w:t>1</w:t>
                  </w:r>
                </w:p>
              </w:tc>
              <w:tc>
                <w:tcPr>
                  <w:tcW w:w="0" w:type="auto"/>
                  <w:tcBorders>
                    <w:top w:val="single" w:sz="16" w:space="0" w:color="000000"/>
                    <w:bottom w:val="nil"/>
                    <w:right w:val="single" w:sz="16" w:space="0" w:color="000000"/>
                  </w:tcBorders>
                  <w:shd w:val="clear" w:color="auto" w:fill="FFFFFF"/>
                  <w:vAlign w:val="center"/>
                </w:tcPr>
                <w:p w:rsidR="00762D9F" w:rsidRPr="00760A7A"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760A7A">
                    <w:rPr>
                      <w:rFonts w:ascii="Arial" w:hAnsi="Arial" w:cs="Arial"/>
                      <w:color w:val="000000"/>
                      <w:sz w:val="18"/>
                      <w:szCs w:val="18"/>
                    </w:rPr>
                    <w:t>.480</w:t>
                  </w:r>
                  <w:r w:rsidRPr="00760A7A">
                    <w:rPr>
                      <w:rFonts w:ascii="Arial" w:hAnsi="Arial" w:cs="Arial"/>
                      <w:color w:val="000000"/>
                      <w:sz w:val="18"/>
                      <w:szCs w:val="18"/>
                      <w:vertAlign w:val="superscript"/>
                    </w:rPr>
                    <w:t>*</w:t>
                  </w:r>
                </w:p>
              </w:tc>
            </w:tr>
            <w:tr w:rsidR="00762D9F" w:rsidRPr="00760A7A" w:rsidTr="00762D9F">
              <w:trPr>
                <w:cantSplit/>
                <w:jc w:val="center"/>
              </w:trPr>
              <w:tc>
                <w:tcPr>
                  <w:tcW w:w="0" w:type="auto"/>
                  <w:vMerge/>
                  <w:tcBorders>
                    <w:top w:val="single" w:sz="16" w:space="0" w:color="000000"/>
                    <w:left w:val="single" w:sz="16" w:space="0" w:color="000000"/>
                    <w:bottom w:val="nil"/>
                    <w:right w:val="nil"/>
                  </w:tcBorders>
                  <w:shd w:val="clear" w:color="auto" w:fill="FFFFFF"/>
                  <w:vAlign w:val="center"/>
                </w:tcPr>
                <w:p w:rsidR="00762D9F" w:rsidRPr="00760A7A" w:rsidRDefault="00762D9F" w:rsidP="00762D9F">
                  <w:pPr>
                    <w:autoSpaceDE w:val="0"/>
                    <w:autoSpaceDN w:val="0"/>
                    <w:adjustRightInd w:val="0"/>
                    <w:spacing w:after="0" w:line="240" w:lineRule="auto"/>
                    <w:rPr>
                      <w:rFonts w:ascii="Arial" w:hAnsi="Arial" w:cs="Arial"/>
                      <w:color w:val="000000"/>
                      <w:sz w:val="18"/>
                      <w:szCs w:val="18"/>
                    </w:rPr>
                  </w:pPr>
                </w:p>
              </w:tc>
              <w:tc>
                <w:tcPr>
                  <w:tcW w:w="0" w:type="auto"/>
                  <w:tcBorders>
                    <w:top w:val="nil"/>
                    <w:left w:val="nil"/>
                    <w:bottom w:val="nil"/>
                    <w:right w:val="single" w:sz="16" w:space="0" w:color="000000"/>
                  </w:tcBorders>
                  <w:shd w:val="clear" w:color="auto" w:fill="FFFFFF"/>
                  <w:vAlign w:val="center"/>
                </w:tcPr>
                <w:p w:rsidR="00762D9F" w:rsidRPr="00760A7A" w:rsidRDefault="00762D9F" w:rsidP="00762D9F">
                  <w:pPr>
                    <w:autoSpaceDE w:val="0"/>
                    <w:autoSpaceDN w:val="0"/>
                    <w:adjustRightInd w:val="0"/>
                    <w:spacing w:after="0" w:line="240" w:lineRule="auto"/>
                    <w:ind w:left="60" w:right="60"/>
                    <w:rPr>
                      <w:rFonts w:ascii="Arial" w:hAnsi="Arial" w:cs="Arial"/>
                      <w:color w:val="000000"/>
                      <w:sz w:val="18"/>
                      <w:szCs w:val="18"/>
                    </w:rPr>
                  </w:pPr>
                  <w:r w:rsidRPr="00760A7A">
                    <w:rPr>
                      <w:rFonts w:ascii="Arial" w:hAnsi="Arial" w:cs="Arial"/>
                      <w:color w:val="000000"/>
                      <w:sz w:val="18"/>
                      <w:szCs w:val="18"/>
                    </w:rPr>
                    <w:t>Sig. (bilateral)</w:t>
                  </w:r>
                </w:p>
              </w:tc>
              <w:tc>
                <w:tcPr>
                  <w:tcW w:w="0" w:type="auto"/>
                  <w:tcBorders>
                    <w:top w:val="nil"/>
                    <w:left w:val="single" w:sz="16" w:space="0" w:color="000000"/>
                    <w:bottom w:val="nil"/>
                  </w:tcBorders>
                  <w:shd w:val="clear" w:color="auto" w:fill="FFFFFF"/>
                </w:tcPr>
                <w:p w:rsidR="00762D9F" w:rsidRPr="00760A7A" w:rsidRDefault="00762D9F" w:rsidP="00762D9F">
                  <w:pPr>
                    <w:autoSpaceDE w:val="0"/>
                    <w:autoSpaceDN w:val="0"/>
                    <w:adjustRightInd w:val="0"/>
                    <w:spacing w:after="0" w:line="240" w:lineRule="auto"/>
                    <w:rPr>
                      <w:rFonts w:ascii="Times New Roman" w:hAnsi="Times New Roman" w:cs="Times New Roman"/>
                      <w:sz w:val="24"/>
                      <w:szCs w:val="24"/>
                    </w:rPr>
                  </w:pPr>
                </w:p>
              </w:tc>
              <w:tc>
                <w:tcPr>
                  <w:tcW w:w="0" w:type="auto"/>
                  <w:tcBorders>
                    <w:top w:val="nil"/>
                    <w:bottom w:val="nil"/>
                    <w:right w:val="single" w:sz="16" w:space="0" w:color="000000"/>
                  </w:tcBorders>
                  <w:shd w:val="clear" w:color="auto" w:fill="FFFFFF"/>
                  <w:vAlign w:val="center"/>
                </w:tcPr>
                <w:p w:rsidR="00762D9F" w:rsidRPr="00760A7A"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760A7A">
                    <w:rPr>
                      <w:rFonts w:ascii="Arial" w:hAnsi="Arial" w:cs="Arial"/>
                      <w:color w:val="000000"/>
                      <w:sz w:val="18"/>
                      <w:szCs w:val="18"/>
                    </w:rPr>
                    <w:t>.032</w:t>
                  </w:r>
                </w:p>
              </w:tc>
            </w:tr>
            <w:tr w:rsidR="00762D9F" w:rsidRPr="00760A7A" w:rsidTr="00762D9F">
              <w:trPr>
                <w:cantSplit/>
                <w:jc w:val="center"/>
              </w:trPr>
              <w:tc>
                <w:tcPr>
                  <w:tcW w:w="0" w:type="auto"/>
                  <w:vMerge/>
                  <w:tcBorders>
                    <w:top w:val="single" w:sz="16" w:space="0" w:color="000000"/>
                    <w:left w:val="single" w:sz="16" w:space="0" w:color="000000"/>
                    <w:bottom w:val="nil"/>
                    <w:right w:val="nil"/>
                  </w:tcBorders>
                  <w:shd w:val="clear" w:color="auto" w:fill="FFFFFF"/>
                  <w:vAlign w:val="center"/>
                </w:tcPr>
                <w:p w:rsidR="00762D9F" w:rsidRPr="00760A7A" w:rsidRDefault="00762D9F" w:rsidP="00762D9F">
                  <w:pPr>
                    <w:autoSpaceDE w:val="0"/>
                    <w:autoSpaceDN w:val="0"/>
                    <w:adjustRightInd w:val="0"/>
                    <w:spacing w:after="0" w:line="240" w:lineRule="auto"/>
                    <w:rPr>
                      <w:rFonts w:ascii="Arial" w:hAnsi="Arial" w:cs="Arial"/>
                      <w:color w:val="000000"/>
                      <w:sz w:val="18"/>
                      <w:szCs w:val="18"/>
                    </w:rPr>
                  </w:pPr>
                </w:p>
              </w:tc>
              <w:tc>
                <w:tcPr>
                  <w:tcW w:w="0" w:type="auto"/>
                  <w:tcBorders>
                    <w:top w:val="nil"/>
                    <w:left w:val="nil"/>
                    <w:bottom w:val="nil"/>
                    <w:right w:val="single" w:sz="16" w:space="0" w:color="000000"/>
                  </w:tcBorders>
                  <w:shd w:val="clear" w:color="auto" w:fill="FFFFFF"/>
                  <w:vAlign w:val="center"/>
                </w:tcPr>
                <w:p w:rsidR="00762D9F" w:rsidRPr="00760A7A" w:rsidRDefault="00762D9F" w:rsidP="00762D9F">
                  <w:pPr>
                    <w:autoSpaceDE w:val="0"/>
                    <w:autoSpaceDN w:val="0"/>
                    <w:adjustRightInd w:val="0"/>
                    <w:spacing w:after="0" w:line="240" w:lineRule="auto"/>
                    <w:ind w:left="60" w:right="60"/>
                    <w:rPr>
                      <w:rFonts w:ascii="Arial" w:hAnsi="Arial" w:cs="Arial"/>
                      <w:color w:val="000000"/>
                      <w:sz w:val="18"/>
                      <w:szCs w:val="18"/>
                    </w:rPr>
                  </w:pPr>
                  <w:r w:rsidRPr="00760A7A">
                    <w:rPr>
                      <w:rFonts w:ascii="Arial" w:hAnsi="Arial" w:cs="Arial"/>
                      <w:color w:val="000000"/>
                      <w:sz w:val="18"/>
                      <w:szCs w:val="18"/>
                    </w:rPr>
                    <w:t>N</w:t>
                  </w:r>
                </w:p>
              </w:tc>
              <w:tc>
                <w:tcPr>
                  <w:tcW w:w="0" w:type="auto"/>
                  <w:tcBorders>
                    <w:top w:val="nil"/>
                    <w:left w:val="single" w:sz="16" w:space="0" w:color="000000"/>
                    <w:bottom w:val="nil"/>
                  </w:tcBorders>
                  <w:shd w:val="clear" w:color="auto" w:fill="FFFFFF"/>
                  <w:vAlign w:val="center"/>
                </w:tcPr>
                <w:p w:rsidR="00762D9F" w:rsidRPr="00760A7A"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21</w:t>
                  </w:r>
                </w:p>
              </w:tc>
              <w:tc>
                <w:tcPr>
                  <w:tcW w:w="0" w:type="auto"/>
                  <w:tcBorders>
                    <w:top w:val="nil"/>
                    <w:bottom w:val="nil"/>
                    <w:right w:val="single" w:sz="16" w:space="0" w:color="000000"/>
                  </w:tcBorders>
                  <w:shd w:val="clear" w:color="auto" w:fill="FFFFFF"/>
                  <w:vAlign w:val="center"/>
                </w:tcPr>
                <w:p w:rsidR="00762D9F" w:rsidRPr="00760A7A"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21</w:t>
                  </w:r>
                </w:p>
              </w:tc>
            </w:tr>
            <w:tr w:rsidR="00762D9F" w:rsidRPr="00760A7A" w:rsidTr="00762D9F">
              <w:trPr>
                <w:cantSplit/>
                <w:jc w:val="center"/>
              </w:trPr>
              <w:tc>
                <w:tcPr>
                  <w:tcW w:w="0" w:type="auto"/>
                  <w:vMerge w:val="restart"/>
                  <w:tcBorders>
                    <w:top w:val="nil"/>
                    <w:left w:val="single" w:sz="16" w:space="0" w:color="000000"/>
                    <w:bottom w:val="single" w:sz="16" w:space="0" w:color="000000"/>
                    <w:right w:val="nil"/>
                  </w:tcBorders>
                  <w:shd w:val="clear" w:color="auto" w:fill="FFFFFF"/>
                  <w:vAlign w:val="center"/>
                </w:tcPr>
                <w:p w:rsidR="00762D9F" w:rsidRPr="00760A7A" w:rsidRDefault="00762D9F" w:rsidP="00762D9F">
                  <w:pPr>
                    <w:autoSpaceDE w:val="0"/>
                    <w:autoSpaceDN w:val="0"/>
                    <w:adjustRightInd w:val="0"/>
                    <w:spacing w:after="0" w:line="240" w:lineRule="auto"/>
                    <w:ind w:left="60" w:right="60"/>
                    <w:rPr>
                      <w:rFonts w:ascii="Arial" w:hAnsi="Arial" w:cs="Arial"/>
                      <w:color w:val="000000"/>
                      <w:sz w:val="18"/>
                      <w:szCs w:val="18"/>
                    </w:rPr>
                  </w:pPr>
                  <w:r w:rsidRPr="00760A7A">
                    <w:rPr>
                      <w:rFonts w:ascii="Arial" w:hAnsi="Arial" w:cs="Arial"/>
                      <w:color w:val="000000"/>
                      <w:sz w:val="18"/>
                      <w:szCs w:val="18"/>
                    </w:rPr>
                    <w:t>Rendimiento Neto</w:t>
                  </w:r>
                </w:p>
              </w:tc>
              <w:tc>
                <w:tcPr>
                  <w:tcW w:w="0" w:type="auto"/>
                  <w:tcBorders>
                    <w:top w:val="nil"/>
                    <w:left w:val="nil"/>
                    <w:bottom w:val="nil"/>
                    <w:right w:val="single" w:sz="16" w:space="0" w:color="000000"/>
                  </w:tcBorders>
                  <w:shd w:val="clear" w:color="auto" w:fill="FFFFFF"/>
                  <w:vAlign w:val="center"/>
                </w:tcPr>
                <w:p w:rsidR="00762D9F" w:rsidRPr="00760A7A" w:rsidRDefault="00762D9F" w:rsidP="00762D9F">
                  <w:pPr>
                    <w:autoSpaceDE w:val="0"/>
                    <w:autoSpaceDN w:val="0"/>
                    <w:adjustRightInd w:val="0"/>
                    <w:spacing w:after="0" w:line="240" w:lineRule="auto"/>
                    <w:ind w:left="60" w:right="60"/>
                    <w:rPr>
                      <w:rFonts w:ascii="Arial" w:hAnsi="Arial" w:cs="Arial"/>
                      <w:color w:val="000000"/>
                      <w:sz w:val="18"/>
                      <w:szCs w:val="18"/>
                    </w:rPr>
                  </w:pPr>
                  <w:r w:rsidRPr="00760A7A">
                    <w:rPr>
                      <w:rFonts w:ascii="Arial" w:hAnsi="Arial" w:cs="Arial"/>
                      <w:color w:val="000000"/>
                      <w:sz w:val="18"/>
                      <w:szCs w:val="18"/>
                    </w:rPr>
                    <w:t>Correlación de Pearson</w:t>
                  </w:r>
                </w:p>
              </w:tc>
              <w:tc>
                <w:tcPr>
                  <w:tcW w:w="0" w:type="auto"/>
                  <w:tcBorders>
                    <w:top w:val="nil"/>
                    <w:left w:val="single" w:sz="16" w:space="0" w:color="000000"/>
                    <w:bottom w:val="nil"/>
                  </w:tcBorders>
                  <w:shd w:val="clear" w:color="auto" w:fill="FFFFFF"/>
                  <w:vAlign w:val="center"/>
                </w:tcPr>
                <w:p w:rsidR="00762D9F" w:rsidRPr="00760A7A"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760A7A">
                    <w:rPr>
                      <w:rFonts w:ascii="Arial" w:hAnsi="Arial" w:cs="Arial"/>
                      <w:color w:val="000000"/>
                      <w:sz w:val="18"/>
                      <w:szCs w:val="18"/>
                    </w:rPr>
                    <w:t>.480</w:t>
                  </w:r>
                  <w:r w:rsidRPr="00760A7A">
                    <w:rPr>
                      <w:rFonts w:ascii="Arial" w:hAnsi="Arial" w:cs="Arial"/>
                      <w:color w:val="000000"/>
                      <w:sz w:val="18"/>
                      <w:szCs w:val="18"/>
                      <w:vertAlign w:val="superscript"/>
                    </w:rPr>
                    <w:t>*</w:t>
                  </w:r>
                </w:p>
              </w:tc>
              <w:tc>
                <w:tcPr>
                  <w:tcW w:w="0" w:type="auto"/>
                  <w:tcBorders>
                    <w:top w:val="nil"/>
                    <w:bottom w:val="nil"/>
                    <w:right w:val="single" w:sz="16" w:space="0" w:color="000000"/>
                  </w:tcBorders>
                  <w:shd w:val="clear" w:color="auto" w:fill="FFFFFF"/>
                  <w:vAlign w:val="center"/>
                </w:tcPr>
                <w:p w:rsidR="00762D9F" w:rsidRPr="00760A7A"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760A7A">
                    <w:rPr>
                      <w:rFonts w:ascii="Arial" w:hAnsi="Arial" w:cs="Arial"/>
                      <w:color w:val="000000"/>
                      <w:sz w:val="18"/>
                      <w:szCs w:val="18"/>
                    </w:rPr>
                    <w:t>1</w:t>
                  </w:r>
                </w:p>
              </w:tc>
            </w:tr>
            <w:tr w:rsidR="00762D9F" w:rsidRPr="00760A7A" w:rsidTr="00762D9F">
              <w:trPr>
                <w:cantSplit/>
                <w:jc w:val="center"/>
              </w:trPr>
              <w:tc>
                <w:tcPr>
                  <w:tcW w:w="0" w:type="auto"/>
                  <w:vMerge/>
                  <w:tcBorders>
                    <w:top w:val="nil"/>
                    <w:left w:val="single" w:sz="16" w:space="0" w:color="000000"/>
                    <w:bottom w:val="single" w:sz="16" w:space="0" w:color="000000"/>
                    <w:right w:val="nil"/>
                  </w:tcBorders>
                  <w:shd w:val="clear" w:color="auto" w:fill="FFFFFF"/>
                  <w:vAlign w:val="center"/>
                </w:tcPr>
                <w:p w:rsidR="00762D9F" w:rsidRPr="00760A7A" w:rsidRDefault="00762D9F" w:rsidP="00762D9F">
                  <w:pPr>
                    <w:autoSpaceDE w:val="0"/>
                    <w:autoSpaceDN w:val="0"/>
                    <w:adjustRightInd w:val="0"/>
                    <w:spacing w:after="0" w:line="240" w:lineRule="auto"/>
                    <w:rPr>
                      <w:rFonts w:ascii="Arial" w:hAnsi="Arial" w:cs="Arial"/>
                      <w:color w:val="000000"/>
                      <w:sz w:val="18"/>
                      <w:szCs w:val="18"/>
                    </w:rPr>
                  </w:pPr>
                </w:p>
              </w:tc>
              <w:tc>
                <w:tcPr>
                  <w:tcW w:w="0" w:type="auto"/>
                  <w:tcBorders>
                    <w:top w:val="nil"/>
                    <w:left w:val="nil"/>
                    <w:bottom w:val="nil"/>
                    <w:right w:val="single" w:sz="16" w:space="0" w:color="000000"/>
                  </w:tcBorders>
                  <w:shd w:val="clear" w:color="auto" w:fill="FFFFFF"/>
                  <w:vAlign w:val="center"/>
                </w:tcPr>
                <w:p w:rsidR="00762D9F" w:rsidRPr="00760A7A" w:rsidRDefault="00762D9F" w:rsidP="00762D9F">
                  <w:pPr>
                    <w:autoSpaceDE w:val="0"/>
                    <w:autoSpaceDN w:val="0"/>
                    <w:adjustRightInd w:val="0"/>
                    <w:spacing w:after="0" w:line="240" w:lineRule="auto"/>
                    <w:ind w:left="60" w:right="60"/>
                    <w:rPr>
                      <w:rFonts w:ascii="Arial" w:hAnsi="Arial" w:cs="Arial"/>
                      <w:color w:val="000000"/>
                      <w:sz w:val="18"/>
                      <w:szCs w:val="18"/>
                    </w:rPr>
                  </w:pPr>
                  <w:r w:rsidRPr="00760A7A">
                    <w:rPr>
                      <w:rFonts w:ascii="Arial" w:hAnsi="Arial" w:cs="Arial"/>
                      <w:color w:val="000000"/>
                      <w:sz w:val="18"/>
                      <w:szCs w:val="18"/>
                    </w:rPr>
                    <w:t>Sig. (bilateral)</w:t>
                  </w:r>
                </w:p>
              </w:tc>
              <w:tc>
                <w:tcPr>
                  <w:tcW w:w="0" w:type="auto"/>
                  <w:tcBorders>
                    <w:top w:val="nil"/>
                    <w:left w:val="single" w:sz="16" w:space="0" w:color="000000"/>
                    <w:bottom w:val="nil"/>
                  </w:tcBorders>
                  <w:shd w:val="clear" w:color="auto" w:fill="FFFFFF"/>
                  <w:vAlign w:val="center"/>
                </w:tcPr>
                <w:p w:rsidR="00762D9F" w:rsidRPr="00760A7A"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760A7A">
                    <w:rPr>
                      <w:rFonts w:ascii="Arial" w:hAnsi="Arial" w:cs="Arial"/>
                      <w:color w:val="000000"/>
                      <w:sz w:val="18"/>
                      <w:szCs w:val="18"/>
                    </w:rPr>
                    <w:t>.032</w:t>
                  </w:r>
                </w:p>
              </w:tc>
              <w:tc>
                <w:tcPr>
                  <w:tcW w:w="0" w:type="auto"/>
                  <w:tcBorders>
                    <w:top w:val="nil"/>
                    <w:bottom w:val="nil"/>
                    <w:right w:val="single" w:sz="16" w:space="0" w:color="000000"/>
                  </w:tcBorders>
                  <w:shd w:val="clear" w:color="auto" w:fill="FFFFFF"/>
                </w:tcPr>
                <w:p w:rsidR="00762D9F" w:rsidRPr="00760A7A" w:rsidRDefault="00762D9F" w:rsidP="00762D9F">
                  <w:pPr>
                    <w:autoSpaceDE w:val="0"/>
                    <w:autoSpaceDN w:val="0"/>
                    <w:adjustRightInd w:val="0"/>
                    <w:spacing w:after="0" w:line="240" w:lineRule="auto"/>
                    <w:rPr>
                      <w:rFonts w:ascii="Times New Roman" w:hAnsi="Times New Roman" w:cs="Times New Roman"/>
                      <w:sz w:val="24"/>
                      <w:szCs w:val="24"/>
                    </w:rPr>
                  </w:pPr>
                </w:p>
              </w:tc>
            </w:tr>
            <w:tr w:rsidR="00762D9F" w:rsidRPr="00760A7A" w:rsidTr="00762D9F">
              <w:trPr>
                <w:cantSplit/>
                <w:jc w:val="center"/>
              </w:trPr>
              <w:tc>
                <w:tcPr>
                  <w:tcW w:w="0" w:type="auto"/>
                  <w:vMerge/>
                  <w:tcBorders>
                    <w:top w:val="nil"/>
                    <w:left w:val="single" w:sz="16" w:space="0" w:color="000000"/>
                    <w:bottom w:val="single" w:sz="16" w:space="0" w:color="000000"/>
                    <w:right w:val="nil"/>
                  </w:tcBorders>
                  <w:shd w:val="clear" w:color="auto" w:fill="FFFFFF"/>
                  <w:vAlign w:val="center"/>
                </w:tcPr>
                <w:p w:rsidR="00762D9F" w:rsidRPr="00760A7A" w:rsidRDefault="00762D9F" w:rsidP="00762D9F">
                  <w:pPr>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single" w:sz="16" w:space="0" w:color="000000"/>
                    <w:right w:val="single" w:sz="16" w:space="0" w:color="000000"/>
                  </w:tcBorders>
                  <w:shd w:val="clear" w:color="auto" w:fill="FFFFFF"/>
                  <w:vAlign w:val="center"/>
                </w:tcPr>
                <w:p w:rsidR="00762D9F" w:rsidRPr="00760A7A" w:rsidRDefault="00762D9F" w:rsidP="00762D9F">
                  <w:pPr>
                    <w:autoSpaceDE w:val="0"/>
                    <w:autoSpaceDN w:val="0"/>
                    <w:adjustRightInd w:val="0"/>
                    <w:spacing w:after="0" w:line="240" w:lineRule="auto"/>
                    <w:ind w:left="60" w:right="60"/>
                    <w:rPr>
                      <w:rFonts w:ascii="Arial" w:hAnsi="Arial" w:cs="Arial"/>
                      <w:color w:val="000000"/>
                      <w:sz w:val="18"/>
                      <w:szCs w:val="18"/>
                    </w:rPr>
                  </w:pPr>
                  <w:r w:rsidRPr="00760A7A">
                    <w:rPr>
                      <w:rFonts w:ascii="Arial" w:hAnsi="Arial" w:cs="Arial"/>
                      <w:color w:val="000000"/>
                      <w:sz w:val="18"/>
                      <w:szCs w:val="18"/>
                    </w:rPr>
                    <w:t>N</w:t>
                  </w:r>
                </w:p>
              </w:tc>
              <w:tc>
                <w:tcPr>
                  <w:tcW w:w="0" w:type="auto"/>
                  <w:tcBorders>
                    <w:top w:val="nil"/>
                    <w:left w:val="single" w:sz="16" w:space="0" w:color="000000"/>
                    <w:bottom w:val="single" w:sz="16" w:space="0" w:color="000000"/>
                  </w:tcBorders>
                  <w:shd w:val="clear" w:color="auto" w:fill="FFFFFF"/>
                  <w:vAlign w:val="center"/>
                </w:tcPr>
                <w:p w:rsidR="00762D9F" w:rsidRPr="00760A7A"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21</w:t>
                  </w:r>
                </w:p>
              </w:tc>
              <w:tc>
                <w:tcPr>
                  <w:tcW w:w="0" w:type="auto"/>
                  <w:tcBorders>
                    <w:top w:val="nil"/>
                    <w:bottom w:val="single" w:sz="16" w:space="0" w:color="000000"/>
                    <w:right w:val="single" w:sz="16" w:space="0" w:color="000000"/>
                  </w:tcBorders>
                  <w:shd w:val="clear" w:color="auto" w:fill="FFFFFF"/>
                  <w:vAlign w:val="center"/>
                </w:tcPr>
                <w:p w:rsidR="00762D9F" w:rsidRPr="00760A7A"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21</w:t>
                  </w:r>
                </w:p>
              </w:tc>
            </w:tr>
            <w:tr w:rsidR="00762D9F" w:rsidRPr="00760A7A" w:rsidTr="00762D9F">
              <w:trPr>
                <w:cantSplit/>
                <w:jc w:val="center"/>
              </w:trPr>
              <w:tc>
                <w:tcPr>
                  <w:tcW w:w="0" w:type="auto"/>
                  <w:gridSpan w:val="4"/>
                  <w:tcBorders>
                    <w:top w:val="nil"/>
                    <w:left w:val="nil"/>
                    <w:bottom w:val="nil"/>
                    <w:right w:val="nil"/>
                  </w:tcBorders>
                  <w:shd w:val="clear" w:color="auto" w:fill="FFFFFF"/>
                </w:tcPr>
                <w:p w:rsidR="00762D9F" w:rsidRPr="00760A7A" w:rsidRDefault="00762D9F" w:rsidP="00762D9F">
                  <w:pPr>
                    <w:autoSpaceDE w:val="0"/>
                    <w:autoSpaceDN w:val="0"/>
                    <w:adjustRightInd w:val="0"/>
                    <w:spacing w:after="0" w:line="240" w:lineRule="auto"/>
                    <w:ind w:left="60" w:right="60"/>
                    <w:rPr>
                      <w:rFonts w:ascii="Arial" w:hAnsi="Arial" w:cs="Arial"/>
                      <w:color w:val="000000"/>
                      <w:sz w:val="18"/>
                      <w:szCs w:val="18"/>
                    </w:rPr>
                  </w:pPr>
                  <w:r w:rsidRPr="00760A7A">
                    <w:rPr>
                      <w:rFonts w:ascii="Arial" w:hAnsi="Arial" w:cs="Arial"/>
                      <w:color w:val="000000"/>
                      <w:sz w:val="18"/>
                      <w:szCs w:val="18"/>
                    </w:rPr>
                    <w:t>*. La correlación es significante al nivel 0,05 (bilateral).</w:t>
                  </w:r>
                </w:p>
              </w:tc>
            </w:tr>
          </w:tbl>
          <w:p w:rsidR="00762D9F" w:rsidRDefault="00762D9F" w:rsidP="00762D9F"/>
        </w:tc>
      </w:tr>
      <w:tr w:rsidR="00762D9F" w:rsidTr="006454CE">
        <w:trPr>
          <w:jc w:val="center"/>
        </w:trPr>
        <w:tc>
          <w:tcPr>
            <w:tcW w:w="4133" w:type="dxa"/>
          </w:tcPr>
          <w:p w:rsidR="00762D9F" w:rsidRDefault="00762D9F" w:rsidP="00762D9F">
            <w:r>
              <w:rPr>
                <w:rFonts w:ascii="Times New Roman" w:hAnsi="Times New Roman" w:cs="Times New Roman"/>
                <w:noProof/>
                <w:sz w:val="24"/>
                <w:szCs w:val="24"/>
                <w:lang w:eastAsia="es-MX"/>
              </w:rPr>
              <w:drawing>
                <wp:inline distT="0" distB="0" distL="0" distR="0">
                  <wp:extent cx="2701082" cy="2160000"/>
                  <wp:effectExtent l="0" t="0" r="4445"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01082" cy="2160000"/>
                          </a:xfrm>
                          <a:prstGeom prst="rect">
                            <a:avLst/>
                          </a:prstGeom>
                          <a:noFill/>
                          <a:ln>
                            <a:noFill/>
                          </a:ln>
                        </pic:spPr>
                      </pic:pic>
                    </a:graphicData>
                  </a:graphic>
                </wp:inline>
              </w:drawing>
            </w:r>
          </w:p>
        </w:tc>
        <w:tc>
          <w:tcPr>
            <w:tcW w:w="4793" w:type="dxa"/>
          </w:tcPr>
          <w:tbl>
            <w:tblPr>
              <w:tblW w:w="0" w:type="auto"/>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172"/>
              <w:gridCol w:w="1091"/>
              <w:gridCol w:w="1017"/>
              <w:gridCol w:w="1174"/>
            </w:tblGrid>
            <w:tr w:rsidR="00762D9F" w:rsidRPr="003C7F48" w:rsidTr="00762D9F">
              <w:trPr>
                <w:cantSplit/>
                <w:jc w:val="center"/>
              </w:trPr>
              <w:tc>
                <w:tcPr>
                  <w:tcW w:w="0" w:type="auto"/>
                  <w:gridSpan w:val="4"/>
                  <w:tcBorders>
                    <w:top w:val="nil"/>
                    <w:left w:val="nil"/>
                    <w:bottom w:val="nil"/>
                    <w:right w:val="nil"/>
                  </w:tcBorders>
                  <w:shd w:val="clear" w:color="auto" w:fill="FFFFFF"/>
                </w:tcPr>
                <w:p w:rsidR="00762D9F" w:rsidRPr="003C7F48" w:rsidRDefault="00762D9F" w:rsidP="00762D9F">
                  <w:pPr>
                    <w:autoSpaceDE w:val="0"/>
                    <w:autoSpaceDN w:val="0"/>
                    <w:adjustRightInd w:val="0"/>
                    <w:spacing w:after="0" w:line="240" w:lineRule="auto"/>
                    <w:ind w:left="60" w:right="60"/>
                    <w:jc w:val="center"/>
                    <w:rPr>
                      <w:rFonts w:ascii="Arial" w:hAnsi="Arial" w:cs="Arial"/>
                      <w:color w:val="000000"/>
                      <w:sz w:val="18"/>
                      <w:szCs w:val="18"/>
                    </w:rPr>
                  </w:pPr>
                  <w:r w:rsidRPr="003C7F48">
                    <w:rPr>
                      <w:rFonts w:ascii="Arial" w:hAnsi="Arial" w:cs="Arial"/>
                      <w:b/>
                      <w:bCs/>
                      <w:color w:val="000000"/>
                      <w:sz w:val="18"/>
                      <w:szCs w:val="18"/>
                    </w:rPr>
                    <w:t>Correlaciones</w:t>
                  </w:r>
                  <w:r>
                    <w:rPr>
                      <w:rFonts w:ascii="Arial" w:hAnsi="Arial" w:cs="Arial"/>
                      <w:b/>
                      <w:bCs/>
                      <w:color w:val="000000"/>
                      <w:sz w:val="18"/>
                      <w:szCs w:val="18"/>
                    </w:rPr>
                    <w:t xml:space="preserve"> 2007</w:t>
                  </w:r>
                </w:p>
              </w:tc>
            </w:tr>
            <w:tr w:rsidR="00762D9F" w:rsidRPr="003C7F48" w:rsidTr="00762D9F">
              <w:trPr>
                <w:cantSplit/>
                <w:jc w:val="center"/>
              </w:trPr>
              <w:tc>
                <w:tcPr>
                  <w:tcW w:w="0" w:type="auto"/>
                  <w:gridSpan w:val="2"/>
                  <w:tcBorders>
                    <w:top w:val="single" w:sz="16" w:space="0" w:color="000000"/>
                    <w:left w:val="single" w:sz="16" w:space="0" w:color="000000"/>
                    <w:bottom w:val="single" w:sz="16" w:space="0" w:color="000000"/>
                    <w:right w:val="nil"/>
                  </w:tcBorders>
                  <w:shd w:val="clear" w:color="auto" w:fill="FFFFFF"/>
                </w:tcPr>
                <w:p w:rsidR="00762D9F" w:rsidRPr="003C7F48" w:rsidRDefault="00762D9F" w:rsidP="00762D9F">
                  <w:pPr>
                    <w:autoSpaceDE w:val="0"/>
                    <w:autoSpaceDN w:val="0"/>
                    <w:adjustRightInd w:val="0"/>
                    <w:spacing w:after="0" w:line="240" w:lineRule="auto"/>
                    <w:ind w:left="60" w:right="60"/>
                    <w:rPr>
                      <w:rFonts w:ascii="Arial" w:hAnsi="Arial" w:cs="Arial"/>
                      <w:color w:val="000000"/>
                      <w:sz w:val="18"/>
                      <w:szCs w:val="18"/>
                    </w:rPr>
                  </w:pPr>
                </w:p>
              </w:tc>
              <w:tc>
                <w:tcPr>
                  <w:tcW w:w="0" w:type="auto"/>
                  <w:tcBorders>
                    <w:top w:val="single" w:sz="16" w:space="0" w:color="000000"/>
                    <w:left w:val="single" w:sz="16" w:space="0" w:color="000000"/>
                    <w:bottom w:val="single" w:sz="16" w:space="0" w:color="000000"/>
                  </w:tcBorders>
                  <w:shd w:val="clear" w:color="auto" w:fill="FFFFFF"/>
                </w:tcPr>
                <w:p w:rsidR="00762D9F" w:rsidRPr="003C7F48" w:rsidRDefault="00762D9F" w:rsidP="00762D9F">
                  <w:pPr>
                    <w:autoSpaceDE w:val="0"/>
                    <w:autoSpaceDN w:val="0"/>
                    <w:adjustRightInd w:val="0"/>
                    <w:spacing w:after="0" w:line="240" w:lineRule="auto"/>
                    <w:ind w:left="60" w:right="60"/>
                    <w:jc w:val="center"/>
                    <w:rPr>
                      <w:rFonts w:ascii="Arial" w:hAnsi="Arial" w:cs="Arial"/>
                      <w:color w:val="000000"/>
                      <w:sz w:val="18"/>
                      <w:szCs w:val="18"/>
                    </w:rPr>
                  </w:pPr>
                  <w:r w:rsidRPr="003C7F48">
                    <w:rPr>
                      <w:rFonts w:ascii="Arial" w:hAnsi="Arial" w:cs="Arial"/>
                      <w:color w:val="000000"/>
                      <w:sz w:val="18"/>
                      <w:szCs w:val="18"/>
                    </w:rPr>
                    <w:t>Traspasos Recibidos</w:t>
                  </w:r>
                </w:p>
              </w:tc>
              <w:tc>
                <w:tcPr>
                  <w:tcW w:w="0" w:type="auto"/>
                  <w:tcBorders>
                    <w:top w:val="single" w:sz="16" w:space="0" w:color="000000"/>
                    <w:bottom w:val="single" w:sz="16" w:space="0" w:color="000000"/>
                    <w:right w:val="single" w:sz="16" w:space="0" w:color="000000"/>
                  </w:tcBorders>
                  <w:shd w:val="clear" w:color="auto" w:fill="FFFFFF"/>
                </w:tcPr>
                <w:p w:rsidR="00762D9F" w:rsidRPr="003C7F48" w:rsidRDefault="00762D9F" w:rsidP="00762D9F">
                  <w:pPr>
                    <w:autoSpaceDE w:val="0"/>
                    <w:autoSpaceDN w:val="0"/>
                    <w:adjustRightInd w:val="0"/>
                    <w:spacing w:after="0" w:line="240" w:lineRule="auto"/>
                    <w:ind w:left="60" w:right="60"/>
                    <w:jc w:val="center"/>
                    <w:rPr>
                      <w:rFonts w:ascii="Arial" w:hAnsi="Arial" w:cs="Arial"/>
                      <w:color w:val="000000"/>
                      <w:sz w:val="18"/>
                      <w:szCs w:val="18"/>
                    </w:rPr>
                  </w:pPr>
                  <w:r w:rsidRPr="003C7F48">
                    <w:rPr>
                      <w:rFonts w:ascii="Arial" w:hAnsi="Arial" w:cs="Arial"/>
                      <w:color w:val="000000"/>
                      <w:sz w:val="18"/>
                      <w:szCs w:val="18"/>
                    </w:rPr>
                    <w:t>Rendimiento Neto</w:t>
                  </w:r>
                </w:p>
              </w:tc>
            </w:tr>
            <w:tr w:rsidR="00762D9F" w:rsidRPr="003C7F48" w:rsidTr="00762D9F">
              <w:trPr>
                <w:cantSplit/>
                <w:jc w:val="center"/>
              </w:trPr>
              <w:tc>
                <w:tcPr>
                  <w:tcW w:w="0" w:type="auto"/>
                  <w:vMerge w:val="restart"/>
                  <w:tcBorders>
                    <w:top w:val="single" w:sz="16" w:space="0" w:color="000000"/>
                    <w:left w:val="single" w:sz="16" w:space="0" w:color="000000"/>
                    <w:bottom w:val="nil"/>
                    <w:right w:val="nil"/>
                  </w:tcBorders>
                  <w:shd w:val="clear" w:color="auto" w:fill="FFFFFF"/>
                  <w:vAlign w:val="center"/>
                </w:tcPr>
                <w:p w:rsidR="00762D9F" w:rsidRPr="003C7F48" w:rsidRDefault="00762D9F" w:rsidP="00762D9F">
                  <w:pPr>
                    <w:autoSpaceDE w:val="0"/>
                    <w:autoSpaceDN w:val="0"/>
                    <w:adjustRightInd w:val="0"/>
                    <w:spacing w:after="0" w:line="240" w:lineRule="auto"/>
                    <w:ind w:left="60" w:right="60"/>
                    <w:rPr>
                      <w:rFonts w:ascii="Arial" w:hAnsi="Arial" w:cs="Arial"/>
                      <w:color w:val="000000"/>
                      <w:sz w:val="18"/>
                      <w:szCs w:val="18"/>
                    </w:rPr>
                  </w:pPr>
                  <w:r w:rsidRPr="003C7F48">
                    <w:rPr>
                      <w:rFonts w:ascii="Arial" w:hAnsi="Arial" w:cs="Arial"/>
                      <w:color w:val="000000"/>
                      <w:sz w:val="18"/>
                      <w:szCs w:val="18"/>
                    </w:rPr>
                    <w:t>Traspasos Recibidos</w:t>
                  </w:r>
                </w:p>
              </w:tc>
              <w:tc>
                <w:tcPr>
                  <w:tcW w:w="0" w:type="auto"/>
                  <w:tcBorders>
                    <w:top w:val="single" w:sz="16" w:space="0" w:color="000000"/>
                    <w:left w:val="nil"/>
                    <w:bottom w:val="nil"/>
                    <w:right w:val="single" w:sz="16" w:space="0" w:color="000000"/>
                  </w:tcBorders>
                  <w:shd w:val="clear" w:color="auto" w:fill="FFFFFF"/>
                  <w:vAlign w:val="center"/>
                </w:tcPr>
                <w:p w:rsidR="00762D9F" w:rsidRPr="003C7F48" w:rsidRDefault="00762D9F" w:rsidP="00762D9F">
                  <w:pPr>
                    <w:autoSpaceDE w:val="0"/>
                    <w:autoSpaceDN w:val="0"/>
                    <w:adjustRightInd w:val="0"/>
                    <w:spacing w:after="0" w:line="240" w:lineRule="auto"/>
                    <w:ind w:left="60" w:right="60"/>
                    <w:rPr>
                      <w:rFonts w:ascii="Arial" w:hAnsi="Arial" w:cs="Arial"/>
                      <w:color w:val="000000"/>
                      <w:sz w:val="18"/>
                      <w:szCs w:val="18"/>
                    </w:rPr>
                  </w:pPr>
                  <w:r w:rsidRPr="003C7F48">
                    <w:rPr>
                      <w:rFonts w:ascii="Arial" w:hAnsi="Arial" w:cs="Arial"/>
                      <w:color w:val="000000"/>
                      <w:sz w:val="18"/>
                      <w:szCs w:val="18"/>
                    </w:rPr>
                    <w:t>Correlación de Pearson</w:t>
                  </w:r>
                </w:p>
              </w:tc>
              <w:tc>
                <w:tcPr>
                  <w:tcW w:w="0" w:type="auto"/>
                  <w:tcBorders>
                    <w:top w:val="single" w:sz="16" w:space="0" w:color="000000"/>
                    <w:left w:val="single" w:sz="16" w:space="0" w:color="000000"/>
                    <w:bottom w:val="nil"/>
                  </w:tcBorders>
                  <w:shd w:val="clear" w:color="auto" w:fill="FFFFFF"/>
                  <w:vAlign w:val="center"/>
                </w:tcPr>
                <w:p w:rsidR="00762D9F" w:rsidRPr="003C7F48"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3C7F48">
                    <w:rPr>
                      <w:rFonts w:ascii="Arial" w:hAnsi="Arial" w:cs="Arial"/>
                      <w:color w:val="000000"/>
                      <w:sz w:val="18"/>
                      <w:szCs w:val="18"/>
                    </w:rPr>
                    <w:t>1</w:t>
                  </w:r>
                </w:p>
              </w:tc>
              <w:tc>
                <w:tcPr>
                  <w:tcW w:w="0" w:type="auto"/>
                  <w:tcBorders>
                    <w:top w:val="single" w:sz="16" w:space="0" w:color="000000"/>
                    <w:bottom w:val="nil"/>
                    <w:right w:val="single" w:sz="16" w:space="0" w:color="000000"/>
                  </w:tcBorders>
                  <w:shd w:val="clear" w:color="auto" w:fill="FFFFFF"/>
                  <w:vAlign w:val="center"/>
                </w:tcPr>
                <w:p w:rsidR="00762D9F" w:rsidRPr="003C7F48"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3C7F48">
                    <w:rPr>
                      <w:rFonts w:ascii="Arial" w:hAnsi="Arial" w:cs="Arial"/>
                      <w:color w:val="000000"/>
                      <w:sz w:val="18"/>
                      <w:szCs w:val="18"/>
                    </w:rPr>
                    <w:t>.280</w:t>
                  </w:r>
                </w:p>
              </w:tc>
            </w:tr>
            <w:tr w:rsidR="00762D9F" w:rsidRPr="003C7F48" w:rsidTr="00762D9F">
              <w:trPr>
                <w:cantSplit/>
                <w:jc w:val="center"/>
              </w:trPr>
              <w:tc>
                <w:tcPr>
                  <w:tcW w:w="0" w:type="auto"/>
                  <w:vMerge/>
                  <w:tcBorders>
                    <w:top w:val="single" w:sz="16" w:space="0" w:color="000000"/>
                    <w:left w:val="single" w:sz="16" w:space="0" w:color="000000"/>
                    <w:bottom w:val="nil"/>
                    <w:right w:val="nil"/>
                  </w:tcBorders>
                  <w:shd w:val="clear" w:color="auto" w:fill="FFFFFF"/>
                  <w:vAlign w:val="center"/>
                </w:tcPr>
                <w:p w:rsidR="00762D9F" w:rsidRPr="003C7F48" w:rsidRDefault="00762D9F" w:rsidP="00762D9F">
                  <w:pPr>
                    <w:autoSpaceDE w:val="0"/>
                    <w:autoSpaceDN w:val="0"/>
                    <w:adjustRightInd w:val="0"/>
                    <w:spacing w:after="0" w:line="240" w:lineRule="auto"/>
                    <w:rPr>
                      <w:rFonts w:ascii="Arial" w:hAnsi="Arial" w:cs="Arial"/>
                      <w:color w:val="000000"/>
                      <w:sz w:val="18"/>
                      <w:szCs w:val="18"/>
                    </w:rPr>
                  </w:pPr>
                </w:p>
              </w:tc>
              <w:tc>
                <w:tcPr>
                  <w:tcW w:w="0" w:type="auto"/>
                  <w:tcBorders>
                    <w:top w:val="nil"/>
                    <w:left w:val="nil"/>
                    <w:bottom w:val="nil"/>
                    <w:right w:val="single" w:sz="16" w:space="0" w:color="000000"/>
                  </w:tcBorders>
                  <w:shd w:val="clear" w:color="auto" w:fill="FFFFFF"/>
                  <w:vAlign w:val="center"/>
                </w:tcPr>
                <w:p w:rsidR="00762D9F" w:rsidRPr="003C7F48" w:rsidRDefault="00762D9F" w:rsidP="00762D9F">
                  <w:pPr>
                    <w:autoSpaceDE w:val="0"/>
                    <w:autoSpaceDN w:val="0"/>
                    <w:adjustRightInd w:val="0"/>
                    <w:spacing w:after="0" w:line="240" w:lineRule="auto"/>
                    <w:ind w:left="60" w:right="60"/>
                    <w:rPr>
                      <w:rFonts w:ascii="Arial" w:hAnsi="Arial" w:cs="Arial"/>
                      <w:color w:val="000000"/>
                      <w:sz w:val="18"/>
                      <w:szCs w:val="18"/>
                    </w:rPr>
                  </w:pPr>
                  <w:r w:rsidRPr="003C7F48">
                    <w:rPr>
                      <w:rFonts w:ascii="Arial" w:hAnsi="Arial" w:cs="Arial"/>
                      <w:color w:val="000000"/>
                      <w:sz w:val="18"/>
                      <w:szCs w:val="18"/>
                    </w:rPr>
                    <w:t>Sig. (bilateral)</w:t>
                  </w:r>
                </w:p>
              </w:tc>
              <w:tc>
                <w:tcPr>
                  <w:tcW w:w="0" w:type="auto"/>
                  <w:tcBorders>
                    <w:top w:val="nil"/>
                    <w:left w:val="single" w:sz="16" w:space="0" w:color="000000"/>
                    <w:bottom w:val="nil"/>
                  </w:tcBorders>
                  <w:shd w:val="clear" w:color="auto" w:fill="FFFFFF"/>
                </w:tcPr>
                <w:p w:rsidR="00762D9F" w:rsidRPr="003C7F48" w:rsidRDefault="00762D9F" w:rsidP="00762D9F">
                  <w:pPr>
                    <w:autoSpaceDE w:val="0"/>
                    <w:autoSpaceDN w:val="0"/>
                    <w:adjustRightInd w:val="0"/>
                    <w:spacing w:after="0" w:line="240" w:lineRule="auto"/>
                    <w:rPr>
                      <w:rFonts w:ascii="Times New Roman" w:hAnsi="Times New Roman" w:cs="Times New Roman"/>
                      <w:sz w:val="24"/>
                      <w:szCs w:val="24"/>
                    </w:rPr>
                  </w:pPr>
                </w:p>
              </w:tc>
              <w:tc>
                <w:tcPr>
                  <w:tcW w:w="0" w:type="auto"/>
                  <w:tcBorders>
                    <w:top w:val="nil"/>
                    <w:bottom w:val="nil"/>
                    <w:right w:val="single" w:sz="16" w:space="0" w:color="000000"/>
                  </w:tcBorders>
                  <w:shd w:val="clear" w:color="auto" w:fill="FFFFFF"/>
                  <w:vAlign w:val="center"/>
                </w:tcPr>
                <w:p w:rsidR="00762D9F" w:rsidRPr="003C7F48"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3C7F48">
                    <w:rPr>
                      <w:rFonts w:ascii="Arial" w:hAnsi="Arial" w:cs="Arial"/>
                      <w:color w:val="000000"/>
                      <w:sz w:val="18"/>
                      <w:szCs w:val="18"/>
                    </w:rPr>
                    <w:t>.219</w:t>
                  </w:r>
                </w:p>
              </w:tc>
            </w:tr>
            <w:tr w:rsidR="00762D9F" w:rsidRPr="003C7F48" w:rsidTr="00762D9F">
              <w:trPr>
                <w:cantSplit/>
                <w:jc w:val="center"/>
              </w:trPr>
              <w:tc>
                <w:tcPr>
                  <w:tcW w:w="0" w:type="auto"/>
                  <w:vMerge/>
                  <w:tcBorders>
                    <w:top w:val="single" w:sz="16" w:space="0" w:color="000000"/>
                    <w:left w:val="single" w:sz="16" w:space="0" w:color="000000"/>
                    <w:bottom w:val="nil"/>
                    <w:right w:val="nil"/>
                  </w:tcBorders>
                  <w:shd w:val="clear" w:color="auto" w:fill="FFFFFF"/>
                  <w:vAlign w:val="center"/>
                </w:tcPr>
                <w:p w:rsidR="00762D9F" w:rsidRPr="003C7F48" w:rsidRDefault="00762D9F" w:rsidP="00762D9F">
                  <w:pPr>
                    <w:autoSpaceDE w:val="0"/>
                    <w:autoSpaceDN w:val="0"/>
                    <w:adjustRightInd w:val="0"/>
                    <w:spacing w:after="0" w:line="240" w:lineRule="auto"/>
                    <w:rPr>
                      <w:rFonts w:ascii="Arial" w:hAnsi="Arial" w:cs="Arial"/>
                      <w:color w:val="000000"/>
                      <w:sz w:val="18"/>
                      <w:szCs w:val="18"/>
                    </w:rPr>
                  </w:pPr>
                </w:p>
              </w:tc>
              <w:tc>
                <w:tcPr>
                  <w:tcW w:w="0" w:type="auto"/>
                  <w:tcBorders>
                    <w:top w:val="nil"/>
                    <w:left w:val="nil"/>
                    <w:bottom w:val="nil"/>
                    <w:right w:val="single" w:sz="16" w:space="0" w:color="000000"/>
                  </w:tcBorders>
                  <w:shd w:val="clear" w:color="auto" w:fill="FFFFFF"/>
                  <w:vAlign w:val="center"/>
                </w:tcPr>
                <w:p w:rsidR="00762D9F" w:rsidRPr="003C7F48" w:rsidRDefault="00762D9F" w:rsidP="00762D9F">
                  <w:pPr>
                    <w:autoSpaceDE w:val="0"/>
                    <w:autoSpaceDN w:val="0"/>
                    <w:adjustRightInd w:val="0"/>
                    <w:spacing w:after="0" w:line="240" w:lineRule="auto"/>
                    <w:ind w:left="60" w:right="60"/>
                    <w:rPr>
                      <w:rFonts w:ascii="Arial" w:hAnsi="Arial" w:cs="Arial"/>
                      <w:color w:val="000000"/>
                      <w:sz w:val="18"/>
                      <w:szCs w:val="18"/>
                    </w:rPr>
                  </w:pPr>
                  <w:r w:rsidRPr="003C7F48">
                    <w:rPr>
                      <w:rFonts w:ascii="Arial" w:hAnsi="Arial" w:cs="Arial"/>
                      <w:color w:val="000000"/>
                      <w:sz w:val="18"/>
                      <w:szCs w:val="18"/>
                    </w:rPr>
                    <w:t>N</w:t>
                  </w:r>
                </w:p>
              </w:tc>
              <w:tc>
                <w:tcPr>
                  <w:tcW w:w="0" w:type="auto"/>
                  <w:tcBorders>
                    <w:top w:val="nil"/>
                    <w:left w:val="single" w:sz="16" w:space="0" w:color="000000"/>
                    <w:bottom w:val="nil"/>
                  </w:tcBorders>
                  <w:shd w:val="clear" w:color="auto" w:fill="FFFFFF"/>
                  <w:vAlign w:val="center"/>
                </w:tcPr>
                <w:p w:rsidR="00762D9F" w:rsidRPr="003C7F48"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3C7F48">
                    <w:rPr>
                      <w:rFonts w:ascii="Arial" w:hAnsi="Arial" w:cs="Arial"/>
                      <w:color w:val="000000"/>
                      <w:sz w:val="18"/>
                      <w:szCs w:val="18"/>
                    </w:rPr>
                    <w:t>21</w:t>
                  </w:r>
                </w:p>
              </w:tc>
              <w:tc>
                <w:tcPr>
                  <w:tcW w:w="0" w:type="auto"/>
                  <w:tcBorders>
                    <w:top w:val="nil"/>
                    <w:bottom w:val="nil"/>
                    <w:right w:val="single" w:sz="16" w:space="0" w:color="000000"/>
                  </w:tcBorders>
                  <w:shd w:val="clear" w:color="auto" w:fill="FFFFFF"/>
                  <w:vAlign w:val="center"/>
                </w:tcPr>
                <w:p w:rsidR="00762D9F" w:rsidRPr="003C7F48"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3C7F48">
                    <w:rPr>
                      <w:rFonts w:ascii="Arial" w:hAnsi="Arial" w:cs="Arial"/>
                      <w:color w:val="000000"/>
                      <w:sz w:val="18"/>
                      <w:szCs w:val="18"/>
                    </w:rPr>
                    <w:t>21</w:t>
                  </w:r>
                </w:p>
              </w:tc>
            </w:tr>
            <w:tr w:rsidR="00762D9F" w:rsidRPr="003C7F48" w:rsidTr="00762D9F">
              <w:trPr>
                <w:cantSplit/>
                <w:jc w:val="center"/>
              </w:trPr>
              <w:tc>
                <w:tcPr>
                  <w:tcW w:w="0" w:type="auto"/>
                  <w:vMerge w:val="restart"/>
                  <w:tcBorders>
                    <w:top w:val="nil"/>
                    <w:left w:val="single" w:sz="16" w:space="0" w:color="000000"/>
                    <w:bottom w:val="single" w:sz="16" w:space="0" w:color="000000"/>
                    <w:right w:val="nil"/>
                  </w:tcBorders>
                  <w:shd w:val="clear" w:color="auto" w:fill="FFFFFF"/>
                  <w:vAlign w:val="center"/>
                </w:tcPr>
                <w:p w:rsidR="00762D9F" w:rsidRPr="003C7F48" w:rsidRDefault="00762D9F" w:rsidP="00762D9F">
                  <w:pPr>
                    <w:autoSpaceDE w:val="0"/>
                    <w:autoSpaceDN w:val="0"/>
                    <w:adjustRightInd w:val="0"/>
                    <w:spacing w:after="0" w:line="240" w:lineRule="auto"/>
                    <w:ind w:left="60" w:right="60"/>
                    <w:rPr>
                      <w:rFonts w:ascii="Arial" w:hAnsi="Arial" w:cs="Arial"/>
                      <w:color w:val="000000"/>
                      <w:sz w:val="18"/>
                      <w:szCs w:val="18"/>
                    </w:rPr>
                  </w:pPr>
                  <w:r w:rsidRPr="003C7F48">
                    <w:rPr>
                      <w:rFonts w:ascii="Arial" w:hAnsi="Arial" w:cs="Arial"/>
                      <w:color w:val="000000"/>
                      <w:sz w:val="18"/>
                      <w:szCs w:val="18"/>
                    </w:rPr>
                    <w:t>Rendimiento Neto</w:t>
                  </w:r>
                </w:p>
              </w:tc>
              <w:tc>
                <w:tcPr>
                  <w:tcW w:w="0" w:type="auto"/>
                  <w:tcBorders>
                    <w:top w:val="nil"/>
                    <w:left w:val="nil"/>
                    <w:bottom w:val="nil"/>
                    <w:right w:val="single" w:sz="16" w:space="0" w:color="000000"/>
                  </w:tcBorders>
                  <w:shd w:val="clear" w:color="auto" w:fill="FFFFFF"/>
                  <w:vAlign w:val="center"/>
                </w:tcPr>
                <w:p w:rsidR="00762D9F" w:rsidRPr="003C7F48" w:rsidRDefault="00762D9F" w:rsidP="00762D9F">
                  <w:pPr>
                    <w:autoSpaceDE w:val="0"/>
                    <w:autoSpaceDN w:val="0"/>
                    <w:adjustRightInd w:val="0"/>
                    <w:spacing w:after="0" w:line="240" w:lineRule="auto"/>
                    <w:ind w:left="60" w:right="60"/>
                    <w:rPr>
                      <w:rFonts w:ascii="Arial" w:hAnsi="Arial" w:cs="Arial"/>
                      <w:color w:val="000000"/>
                      <w:sz w:val="18"/>
                      <w:szCs w:val="18"/>
                    </w:rPr>
                  </w:pPr>
                  <w:r w:rsidRPr="003C7F48">
                    <w:rPr>
                      <w:rFonts w:ascii="Arial" w:hAnsi="Arial" w:cs="Arial"/>
                      <w:color w:val="000000"/>
                      <w:sz w:val="18"/>
                      <w:szCs w:val="18"/>
                    </w:rPr>
                    <w:t>Correlación de Pearson</w:t>
                  </w:r>
                </w:p>
              </w:tc>
              <w:tc>
                <w:tcPr>
                  <w:tcW w:w="0" w:type="auto"/>
                  <w:tcBorders>
                    <w:top w:val="nil"/>
                    <w:left w:val="single" w:sz="16" w:space="0" w:color="000000"/>
                    <w:bottom w:val="nil"/>
                  </w:tcBorders>
                  <w:shd w:val="clear" w:color="auto" w:fill="FFFFFF"/>
                  <w:vAlign w:val="center"/>
                </w:tcPr>
                <w:p w:rsidR="00762D9F" w:rsidRPr="003C7F48"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3C7F48">
                    <w:rPr>
                      <w:rFonts w:ascii="Arial" w:hAnsi="Arial" w:cs="Arial"/>
                      <w:color w:val="000000"/>
                      <w:sz w:val="18"/>
                      <w:szCs w:val="18"/>
                    </w:rPr>
                    <w:t>.280</w:t>
                  </w:r>
                </w:p>
              </w:tc>
              <w:tc>
                <w:tcPr>
                  <w:tcW w:w="0" w:type="auto"/>
                  <w:tcBorders>
                    <w:top w:val="nil"/>
                    <w:bottom w:val="nil"/>
                    <w:right w:val="single" w:sz="16" w:space="0" w:color="000000"/>
                  </w:tcBorders>
                  <w:shd w:val="clear" w:color="auto" w:fill="FFFFFF"/>
                  <w:vAlign w:val="center"/>
                </w:tcPr>
                <w:p w:rsidR="00762D9F" w:rsidRPr="003C7F48"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3C7F48">
                    <w:rPr>
                      <w:rFonts w:ascii="Arial" w:hAnsi="Arial" w:cs="Arial"/>
                      <w:color w:val="000000"/>
                      <w:sz w:val="18"/>
                      <w:szCs w:val="18"/>
                    </w:rPr>
                    <w:t>1</w:t>
                  </w:r>
                </w:p>
              </w:tc>
            </w:tr>
            <w:tr w:rsidR="00762D9F" w:rsidRPr="003C7F48" w:rsidTr="00762D9F">
              <w:trPr>
                <w:cantSplit/>
                <w:jc w:val="center"/>
              </w:trPr>
              <w:tc>
                <w:tcPr>
                  <w:tcW w:w="0" w:type="auto"/>
                  <w:vMerge/>
                  <w:tcBorders>
                    <w:top w:val="nil"/>
                    <w:left w:val="single" w:sz="16" w:space="0" w:color="000000"/>
                    <w:bottom w:val="single" w:sz="16" w:space="0" w:color="000000"/>
                    <w:right w:val="nil"/>
                  </w:tcBorders>
                  <w:shd w:val="clear" w:color="auto" w:fill="FFFFFF"/>
                  <w:vAlign w:val="center"/>
                </w:tcPr>
                <w:p w:rsidR="00762D9F" w:rsidRPr="003C7F48" w:rsidRDefault="00762D9F" w:rsidP="00762D9F">
                  <w:pPr>
                    <w:autoSpaceDE w:val="0"/>
                    <w:autoSpaceDN w:val="0"/>
                    <w:adjustRightInd w:val="0"/>
                    <w:spacing w:after="0" w:line="240" w:lineRule="auto"/>
                    <w:rPr>
                      <w:rFonts w:ascii="Arial" w:hAnsi="Arial" w:cs="Arial"/>
                      <w:color w:val="000000"/>
                      <w:sz w:val="18"/>
                      <w:szCs w:val="18"/>
                    </w:rPr>
                  </w:pPr>
                </w:p>
              </w:tc>
              <w:tc>
                <w:tcPr>
                  <w:tcW w:w="0" w:type="auto"/>
                  <w:tcBorders>
                    <w:top w:val="nil"/>
                    <w:left w:val="nil"/>
                    <w:bottom w:val="nil"/>
                    <w:right w:val="single" w:sz="16" w:space="0" w:color="000000"/>
                  </w:tcBorders>
                  <w:shd w:val="clear" w:color="auto" w:fill="FFFFFF"/>
                  <w:vAlign w:val="center"/>
                </w:tcPr>
                <w:p w:rsidR="00762D9F" w:rsidRPr="003C7F48" w:rsidRDefault="00762D9F" w:rsidP="00762D9F">
                  <w:pPr>
                    <w:autoSpaceDE w:val="0"/>
                    <w:autoSpaceDN w:val="0"/>
                    <w:adjustRightInd w:val="0"/>
                    <w:spacing w:after="0" w:line="240" w:lineRule="auto"/>
                    <w:ind w:left="60" w:right="60"/>
                    <w:rPr>
                      <w:rFonts w:ascii="Arial" w:hAnsi="Arial" w:cs="Arial"/>
                      <w:color w:val="000000"/>
                      <w:sz w:val="18"/>
                      <w:szCs w:val="18"/>
                    </w:rPr>
                  </w:pPr>
                  <w:r w:rsidRPr="003C7F48">
                    <w:rPr>
                      <w:rFonts w:ascii="Arial" w:hAnsi="Arial" w:cs="Arial"/>
                      <w:color w:val="000000"/>
                      <w:sz w:val="18"/>
                      <w:szCs w:val="18"/>
                    </w:rPr>
                    <w:t>Sig. (bilateral)</w:t>
                  </w:r>
                </w:p>
              </w:tc>
              <w:tc>
                <w:tcPr>
                  <w:tcW w:w="0" w:type="auto"/>
                  <w:tcBorders>
                    <w:top w:val="nil"/>
                    <w:left w:val="single" w:sz="16" w:space="0" w:color="000000"/>
                    <w:bottom w:val="nil"/>
                  </w:tcBorders>
                  <w:shd w:val="clear" w:color="auto" w:fill="FFFFFF"/>
                  <w:vAlign w:val="center"/>
                </w:tcPr>
                <w:p w:rsidR="00762D9F" w:rsidRPr="003C7F48"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3C7F48">
                    <w:rPr>
                      <w:rFonts w:ascii="Arial" w:hAnsi="Arial" w:cs="Arial"/>
                      <w:color w:val="000000"/>
                      <w:sz w:val="18"/>
                      <w:szCs w:val="18"/>
                    </w:rPr>
                    <w:t>.219</w:t>
                  </w:r>
                </w:p>
              </w:tc>
              <w:tc>
                <w:tcPr>
                  <w:tcW w:w="0" w:type="auto"/>
                  <w:tcBorders>
                    <w:top w:val="nil"/>
                    <w:bottom w:val="nil"/>
                    <w:right w:val="single" w:sz="16" w:space="0" w:color="000000"/>
                  </w:tcBorders>
                  <w:shd w:val="clear" w:color="auto" w:fill="FFFFFF"/>
                </w:tcPr>
                <w:p w:rsidR="00762D9F" w:rsidRPr="003C7F48" w:rsidRDefault="00762D9F" w:rsidP="00762D9F">
                  <w:pPr>
                    <w:autoSpaceDE w:val="0"/>
                    <w:autoSpaceDN w:val="0"/>
                    <w:adjustRightInd w:val="0"/>
                    <w:spacing w:after="0" w:line="240" w:lineRule="auto"/>
                    <w:rPr>
                      <w:rFonts w:ascii="Times New Roman" w:hAnsi="Times New Roman" w:cs="Times New Roman"/>
                      <w:sz w:val="24"/>
                      <w:szCs w:val="24"/>
                    </w:rPr>
                  </w:pPr>
                </w:p>
              </w:tc>
            </w:tr>
            <w:tr w:rsidR="00762D9F" w:rsidRPr="003C7F48" w:rsidTr="00762D9F">
              <w:trPr>
                <w:cantSplit/>
                <w:jc w:val="center"/>
              </w:trPr>
              <w:tc>
                <w:tcPr>
                  <w:tcW w:w="0" w:type="auto"/>
                  <w:vMerge/>
                  <w:tcBorders>
                    <w:top w:val="nil"/>
                    <w:left w:val="single" w:sz="16" w:space="0" w:color="000000"/>
                    <w:bottom w:val="single" w:sz="16" w:space="0" w:color="000000"/>
                    <w:right w:val="nil"/>
                  </w:tcBorders>
                  <w:shd w:val="clear" w:color="auto" w:fill="FFFFFF"/>
                  <w:vAlign w:val="center"/>
                </w:tcPr>
                <w:p w:rsidR="00762D9F" w:rsidRPr="003C7F48" w:rsidRDefault="00762D9F" w:rsidP="00762D9F">
                  <w:pPr>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single" w:sz="16" w:space="0" w:color="000000"/>
                    <w:right w:val="single" w:sz="16" w:space="0" w:color="000000"/>
                  </w:tcBorders>
                  <w:shd w:val="clear" w:color="auto" w:fill="FFFFFF"/>
                  <w:vAlign w:val="center"/>
                </w:tcPr>
                <w:p w:rsidR="00762D9F" w:rsidRPr="003C7F48" w:rsidRDefault="00762D9F" w:rsidP="00762D9F">
                  <w:pPr>
                    <w:autoSpaceDE w:val="0"/>
                    <w:autoSpaceDN w:val="0"/>
                    <w:adjustRightInd w:val="0"/>
                    <w:spacing w:after="0" w:line="240" w:lineRule="auto"/>
                    <w:ind w:left="60" w:right="60"/>
                    <w:rPr>
                      <w:rFonts w:ascii="Arial" w:hAnsi="Arial" w:cs="Arial"/>
                      <w:color w:val="000000"/>
                      <w:sz w:val="18"/>
                      <w:szCs w:val="18"/>
                    </w:rPr>
                  </w:pPr>
                  <w:r w:rsidRPr="003C7F48">
                    <w:rPr>
                      <w:rFonts w:ascii="Arial" w:hAnsi="Arial" w:cs="Arial"/>
                      <w:color w:val="000000"/>
                      <w:sz w:val="18"/>
                      <w:szCs w:val="18"/>
                    </w:rPr>
                    <w:t>N</w:t>
                  </w:r>
                </w:p>
              </w:tc>
              <w:tc>
                <w:tcPr>
                  <w:tcW w:w="0" w:type="auto"/>
                  <w:tcBorders>
                    <w:top w:val="nil"/>
                    <w:left w:val="single" w:sz="16" w:space="0" w:color="000000"/>
                    <w:bottom w:val="single" w:sz="16" w:space="0" w:color="000000"/>
                  </w:tcBorders>
                  <w:shd w:val="clear" w:color="auto" w:fill="FFFFFF"/>
                  <w:vAlign w:val="center"/>
                </w:tcPr>
                <w:p w:rsidR="00762D9F" w:rsidRPr="003C7F48"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3C7F48">
                    <w:rPr>
                      <w:rFonts w:ascii="Arial" w:hAnsi="Arial" w:cs="Arial"/>
                      <w:color w:val="000000"/>
                      <w:sz w:val="18"/>
                      <w:szCs w:val="18"/>
                    </w:rPr>
                    <w:t>21</w:t>
                  </w:r>
                </w:p>
              </w:tc>
              <w:tc>
                <w:tcPr>
                  <w:tcW w:w="0" w:type="auto"/>
                  <w:tcBorders>
                    <w:top w:val="nil"/>
                    <w:bottom w:val="single" w:sz="16" w:space="0" w:color="000000"/>
                    <w:right w:val="single" w:sz="16" w:space="0" w:color="000000"/>
                  </w:tcBorders>
                  <w:shd w:val="clear" w:color="auto" w:fill="FFFFFF"/>
                  <w:vAlign w:val="center"/>
                </w:tcPr>
                <w:p w:rsidR="00762D9F" w:rsidRPr="003C7F48"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3C7F48">
                    <w:rPr>
                      <w:rFonts w:ascii="Arial" w:hAnsi="Arial" w:cs="Arial"/>
                      <w:color w:val="000000"/>
                      <w:sz w:val="18"/>
                      <w:szCs w:val="18"/>
                    </w:rPr>
                    <w:t>21</w:t>
                  </w:r>
                </w:p>
              </w:tc>
            </w:tr>
          </w:tbl>
          <w:p w:rsidR="00762D9F" w:rsidRDefault="00762D9F" w:rsidP="00762D9F"/>
        </w:tc>
      </w:tr>
      <w:tr w:rsidR="00762D9F" w:rsidTr="006454CE">
        <w:trPr>
          <w:jc w:val="center"/>
        </w:trPr>
        <w:tc>
          <w:tcPr>
            <w:tcW w:w="4133" w:type="dxa"/>
          </w:tcPr>
          <w:p w:rsidR="00762D9F" w:rsidRDefault="00762D9F" w:rsidP="00762D9F">
            <w:r>
              <w:rPr>
                <w:rFonts w:ascii="Times New Roman" w:hAnsi="Times New Roman" w:cs="Times New Roman"/>
                <w:noProof/>
                <w:sz w:val="24"/>
                <w:szCs w:val="24"/>
                <w:lang w:eastAsia="es-MX"/>
              </w:rPr>
              <w:lastRenderedPageBreak/>
              <w:drawing>
                <wp:inline distT="0" distB="0" distL="0" distR="0">
                  <wp:extent cx="2701082" cy="2160000"/>
                  <wp:effectExtent l="0" t="0" r="4445"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701082" cy="2160000"/>
                          </a:xfrm>
                          <a:prstGeom prst="rect">
                            <a:avLst/>
                          </a:prstGeom>
                          <a:noFill/>
                          <a:ln>
                            <a:noFill/>
                          </a:ln>
                        </pic:spPr>
                      </pic:pic>
                    </a:graphicData>
                  </a:graphic>
                </wp:inline>
              </w:drawing>
            </w:r>
          </w:p>
        </w:tc>
        <w:tc>
          <w:tcPr>
            <w:tcW w:w="4793" w:type="dxa"/>
          </w:tcPr>
          <w:tbl>
            <w:tblPr>
              <w:tblW w:w="0" w:type="auto"/>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172"/>
              <w:gridCol w:w="1091"/>
              <w:gridCol w:w="1017"/>
              <w:gridCol w:w="1174"/>
            </w:tblGrid>
            <w:tr w:rsidR="00762D9F" w:rsidRPr="003D0F1E" w:rsidTr="00762D9F">
              <w:trPr>
                <w:cantSplit/>
                <w:jc w:val="center"/>
              </w:trPr>
              <w:tc>
                <w:tcPr>
                  <w:tcW w:w="0" w:type="auto"/>
                  <w:gridSpan w:val="4"/>
                  <w:tcBorders>
                    <w:top w:val="nil"/>
                    <w:left w:val="nil"/>
                    <w:bottom w:val="nil"/>
                    <w:right w:val="nil"/>
                  </w:tcBorders>
                  <w:shd w:val="clear" w:color="auto" w:fill="FFFFFF"/>
                </w:tcPr>
                <w:p w:rsidR="00762D9F" w:rsidRPr="003D0F1E" w:rsidRDefault="00762D9F" w:rsidP="00762D9F">
                  <w:pPr>
                    <w:autoSpaceDE w:val="0"/>
                    <w:autoSpaceDN w:val="0"/>
                    <w:adjustRightInd w:val="0"/>
                    <w:spacing w:after="0" w:line="240" w:lineRule="auto"/>
                    <w:ind w:left="60" w:right="60"/>
                    <w:jc w:val="center"/>
                    <w:rPr>
                      <w:rFonts w:ascii="Arial" w:hAnsi="Arial" w:cs="Arial"/>
                      <w:color w:val="000000"/>
                      <w:sz w:val="18"/>
                      <w:szCs w:val="18"/>
                    </w:rPr>
                  </w:pPr>
                  <w:r w:rsidRPr="003D0F1E">
                    <w:rPr>
                      <w:rFonts w:ascii="Arial" w:hAnsi="Arial" w:cs="Arial"/>
                      <w:b/>
                      <w:bCs/>
                      <w:color w:val="000000"/>
                      <w:sz w:val="18"/>
                      <w:szCs w:val="18"/>
                    </w:rPr>
                    <w:t>Correlaciones</w:t>
                  </w:r>
                  <w:r>
                    <w:rPr>
                      <w:rFonts w:ascii="Arial" w:hAnsi="Arial" w:cs="Arial"/>
                      <w:b/>
                      <w:bCs/>
                      <w:color w:val="000000"/>
                      <w:sz w:val="18"/>
                      <w:szCs w:val="18"/>
                    </w:rPr>
                    <w:t xml:space="preserve"> 2008</w:t>
                  </w:r>
                </w:p>
              </w:tc>
            </w:tr>
            <w:tr w:rsidR="00762D9F" w:rsidRPr="003D0F1E" w:rsidTr="00762D9F">
              <w:trPr>
                <w:cantSplit/>
                <w:jc w:val="center"/>
              </w:trPr>
              <w:tc>
                <w:tcPr>
                  <w:tcW w:w="0" w:type="auto"/>
                  <w:gridSpan w:val="2"/>
                  <w:tcBorders>
                    <w:top w:val="single" w:sz="16" w:space="0" w:color="000000"/>
                    <w:left w:val="single" w:sz="16" w:space="0" w:color="000000"/>
                    <w:bottom w:val="single" w:sz="16" w:space="0" w:color="000000"/>
                    <w:right w:val="nil"/>
                  </w:tcBorders>
                  <w:shd w:val="clear" w:color="auto" w:fill="FFFFFF"/>
                </w:tcPr>
                <w:p w:rsidR="00762D9F" w:rsidRPr="003D0F1E" w:rsidRDefault="00762D9F" w:rsidP="00762D9F">
                  <w:pPr>
                    <w:autoSpaceDE w:val="0"/>
                    <w:autoSpaceDN w:val="0"/>
                    <w:adjustRightInd w:val="0"/>
                    <w:spacing w:after="0" w:line="240" w:lineRule="auto"/>
                    <w:ind w:left="60" w:right="60"/>
                    <w:rPr>
                      <w:rFonts w:ascii="Arial" w:hAnsi="Arial" w:cs="Arial"/>
                      <w:color w:val="000000"/>
                      <w:sz w:val="18"/>
                      <w:szCs w:val="18"/>
                    </w:rPr>
                  </w:pPr>
                </w:p>
              </w:tc>
              <w:tc>
                <w:tcPr>
                  <w:tcW w:w="0" w:type="auto"/>
                  <w:tcBorders>
                    <w:top w:val="single" w:sz="16" w:space="0" w:color="000000"/>
                    <w:left w:val="single" w:sz="16" w:space="0" w:color="000000"/>
                    <w:bottom w:val="single" w:sz="16" w:space="0" w:color="000000"/>
                  </w:tcBorders>
                  <w:shd w:val="clear" w:color="auto" w:fill="FFFFFF"/>
                </w:tcPr>
                <w:p w:rsidR="00762D9F" w:rsidRPr="003D0F1E" w:rsidRDefault="00762D9F" w:rsidP="00762D9F">
                  <w:pPr>
                    <w:autoSpaceDE w:val="0"/>
                    <w:autoSpaceDN w:val="0"/>
                    <w:adjustRightInd w:val="0"/>
                    <w:spacing w:after="0" w:line="240" w:lineRule="auto"/>
                    <w:ind w:left="60" w:right="60"/>
                    <w:jc w:val="center"/>
                    <w:rPr>
                      <w:rFonts w:ascii="Arial" w:hAnsi="Arial" w:cs="Arial"/>
                      <w:color w:val="000000"/>
                      <w:sz w:val="18"/>
                      <w:szCs w:val="18"/>
                    </w:rPr>
                  </w:pPr>
                  <w:r w:rsidRPr="003D0F1E">
                    <w:rPr>
                      <w:rFonts w:ascii="Arial" w:hAnsi="Arial" w:cs="Arial"/>
                      <w:color w:val="000000"/>
                      <w:sz w:val="18"/>
                      <w:szCs w:val="18"/>
                    </w:rPr>
                    <w:t>Traspasos Recibidos</w:t>
                  </w:r>
                </w:p>
              </w:tc>
              <w:tc>
                <w:tcPr>
                  <w:tcW w:w="0" w:type="auto"/>
                  <w:tcBorders>
                    <w:top w:val="single" w:sz="16" w:space="0" w:color="000000"/>
                    <w:bottom w:val="single" w:sz="16" w:space="0" w:color="000000"/>
                    <w:right w:val="single" w:sz="16" w:space="0" w:color="000000"/>
                  </w:tcBorders>
                  <w:shd w:val="clear" w:color="auto" w:fill="FFFFFF"/>
                </w:tcPr>
                <w:p w:rsidR="00762D9F" w:rsidRPr="003D0F1E" w:rsidRDefault="00762D9F" w:rsidP="00762D9F">
                  <w:pPr>
                    <w:autoSpaceDE w:val="0"/>
                    <w:autoSpaceDN w:val="0"/>
                    <w:adjustRightInd w:val="0"/>
                    <w:spacing w:after="0" w:line="240" w:lineRule="auto"/>
                    <w:ind w:left="60" w:right="60"/>
                    <w:jc w:val="center"/>
                    <w:rPr>
                      <w:rFonts w:ascii="Arial" w:hAnsi="Arial" w:cs="Arial"/>
                      <w:color w:val="000000"/>
                      <w:sz w:val="18"/>
                      <w:szCs w:val="18"/>
                    </w:rPr>
                  </w:pPr>
                  <w:r w:rsidRPr="003D0F1E">
                    <w:rPr>
                      <w:rFonts w:ascii="Arial" w:hAnsi="Arial" w:cs="Arial"/>
                      <w:color w:val="000000"/>
                      <w:sz w:val="18"/>
                      <w:szCs w:val="18"/>
                    </w:rPr>
                    <w:t>Rendimiento Neto</w:t>
                  </w:r>
                </w:p>
              </w:tc>
            </w:tr>
            <w:tr w:rsidR="00762D9F" w:rsidRPr="003D0F1E" w:rsidTr="00762D9F">
              <w:trPr>
                <w:cantSplit/>
                <w:jc w:val="center"/>
              </w:trPr>
              <w:tc>
                <w:tcPr>
                  <w:tcW w:w="0" w:type="auto"/>
                  <w:vMerge w:val="restart"/>
                  <w:tcBorders>
                    <w:top w:val="single" w:sz="16" w:space="0" w:color="000000"/>
                    <w:left w:val="single" w:sz="16" w:space="0" w:color="000000"/>
                    <w:bottom w:val="nil"/>
                    <w:right w:val="nil"/>
                  </w:tcBorders>
                  <w:shd w:val="clear" w:color="auto" w:fill="FFFFFF"/>
                  <w:vAlign w:val="center"/>
                </w:tcPr>
                <w:p w:rsidR="00762D9F" w:rsidRPr="003D0F1E" w:rsidRDefault="00762D9F" w:rsidP="00762D9F">
                  <w:pPr>
                    <w:autoSpaceDE w:val="0"/>
                    <w:autoSpaceDN w:val="0"/>
                    <w:adjustRightInd w:val="0"/>
                    <w:spacing w:after="0" w:line="240" w:lineRule="auto"/>
                    <w:ind w:left="60" w:right="60"/>
                    <w:rPr>
                      <w:rFonts w:ascii="Arial" w:hAnsi="Arial" w:cs="Arial"/>
                      <w:color w:val="000000"/>
                      <w:sz w:val="18"/>
                      <w:szCs w:val="18"/>
                    </w:rPr>
                  </w:pPr>
                  <w:r w:rsidRPr="003D0F1E">
                    <w:rPr>
                      <w:rFonts w:ascii="Arial" w:hAnsi="Arial" w:cs="Arial"/>
                      <w:color w:val="000000"/>
                      <w:sz w:val="18"/>
                      <w:szCs w:val="18"/>
                    </w:rPr>
                    <w:t>Traspasos Recibidos</w:t>
                  </w:r>
                </w:p>
              </w:tc>
              <w:tc>
                <w:tcPr>
                  <w:tcW w:w="0" w:type="auto"/>
                  <w:tcBorders>
                    <w:top w:val="single" w:sz="16" w:space="0" w:color="000000"/>
                    <w:left w:val="nil"/>
                    <w:bottom w:val="nil"/>
                    <w:right w:val="single" w:sz="16" w:space="0" w:color="000000"/>
                  </w:tcBorders>
                  <w:shd w:val="clear" w:color="auto" w:fill="FFFFFF"/>
                  <w:vAlign w:val="center"/>
                </w:tcPr>
                <w:p w:rsidR="00762D9F" w:rsidRPr="003D0F1E" w:rsidRDefault="00762D9F" w:rsidP="00762D9F">
                  <w:pPr>
                    <w:autoSpaceDE w:val="0"/>
                    <w:autoSpaceDN w:val="0"/>
                    <w:adjustRightInd w:val="0"/>
                    <w:spacing w:after="0" w:line="240" w:lineRule="auto"/>
                    <w:ind w:left="60" w:right="60"/>
                    <w:rPr>
                      <w:rFonts w:ascii="Arial" w:hAnsi="Arial" w:cs="Arial"/>
                      <w:color w:val="000000"/>
                      <w:sz w:val="18"/>
                      <w:szCs w:val="18"/>
                    </w:rPr>
                  </w:pPr>
                  <w:r w:rsidRPr="003D0F1E">
                    <w:rPr>
                      <w:rFonts w:ascii="Arial" w:hAnsi="Arial" w:cs="Arial"/>
                      <w:color w:val="000000"/>
                      <w:sz w:val="18"/>
                      <w:szCs w:val="18"/>
                    </w:rPr>
                    <w:t>Correlación de Pearson</w:t>
                  </w:r>
                </w:p>
              </w:tc>
              <w:tc>
                <w:tcPr>
                  <w:tcW w:w="0" w:type="auto"/>
                  <w:tcBorders>
                    <w:top w:val="single" w:sz="16" w:space="0" w:color="000000"/>
                    <w:left w:val="single" w:sz="16" w:space="0" w:color="000000"/>
                    <w:bottom w:val="nil"/>
                  </w:tcBorders>
                  <w:shd w:val="clear" w:color="auto" w:fill="FFFFFF"/>
                  <w:vAlign w:val="center"/>
                </w:tcPr>
                <w:p w:rsidR="00762D9F" w:rsidRPr="003D0F1E"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3D0F1E">
                    <w:rPr>
                      <w:rFonts w:ascii="Arial" w:hAnsi="Arial" w:cs="Arial"/>
                      <w:color w:val="000000"/>
                      <w:sz w:val="18"/>
                      <w:szCs w:val="18"/>
                    </w:rPr>
                    <w:t>1</w:t>
                  </w:r>
                </w:p>
              </w:tc>
              <w:tc>
                <w:tcPr>
                  <w:tcW w:w="0" w:type="auto"/>
                  <w:tcBorders>
                    <w:top w:val="single" w:sz="16" w:space="0" w:color="000000"/>
                    <w:bottom w:val="nil"/>
                    <w:right w:val="single" w:sz="16" w:space="0" w:color="000000"/>
                  </w:tcBorders>
                  <w:shd w:val="clear" w:color="auto" w:fill="FFFFFF"/>
                  <w:vAlign w:val="center"/>
                </w:tcPr>
                <w:p w:rsidR="00762D9F" w:rsidRPr="003D0F1E"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3D0F1E">
                    <w:rPr>
                      <w:rFonts w:ascii="Arial" w:hAnsi="Arial" w:cs="Arial"/>
                      <w:color w:val="000000"/>
                      <w:sz w:val="18"/>
                      <w:szCs w:val="18"/>
                    </w:rPr>
                    <w:t>-.403</w:t>
                  </w:r>
                </w:p>
              </w:tc>
            </w:tr>
            <w:tr w:rsidR="00762D9F" w:rsidRPr="003D0F1E" w:rsidTr="00762D9F">
              <w:trPr>
                <w:cantSplit/>
                <w:jc w:val="center"/>
              </w:trPr>
              <w:tc>
                <w:tcPr>
                  <w:tcW w:w="0" w:type="auto"/>
                  <w:vMerge/>
                  <w:tcBorders>
                    <w:top w:val="single" w:sz="16" w:space="0" w:color="000000"/>
                    <w:left w:val="single" w:sz="16" w:space="0" w:color="000000"/>
                    <w:bottom w:val="nil"/>
                    <w:right w:val="nil"/>
                  </w:tcBorders>
                  <w:shd w:val="clear" w:color="auto" w:fill="FFFFFF"/>
                  <w:vAlign w:val="center"/>
                </w:tcPr>
                <w:p w:rsidR="00762D9F" w:rsidRPr="003D0F1E" w:rsidRDefault="00762D9F" w:rsidP="00762D9F">
                  <w:pPr>
                    <w:autoSpaceDE w:val="0"/>
                    <w:autoSpaceDN w:val="0"/>
                    <w:adjustRightInd w:val="0"/>
                    <w:spacing w:after="0" w:line="240" w:lineRule="auto"/>
                    <w:rPr>
                      <w:rFonts w:ascii="Arial" w:hAnsi="Arial" w:cs="Arial"/>
                      <w:color w:val="000000"/>
                      <w:sz w:val="18"/>
                      <w:szCs w:val="18"/>
                    </w:rPr>
                  </w:pPr>
                </w:p>
              </w:tc>
              <w:tc>
                <w:tcPr>
                  <w:tcW w:w="0" w:type="auto"/>
                  <w:tcBorders>
                    <w:top w:val="nil"/>
                    <w:left w:val="nil"/>
                    <w:bottom w:val="nil"/>
                    <w:right w:val="single" w:sz="16" w:space="0" w:color="000000"/>
                  </w:tcBorders>
                  <w:shd w:val="clear" w:color="auto" w:fill="FFFFFF"/>
                  <w:vAlign w:val="center"/>
                </w:tcPr>
                <w:p w:rsidR="00762D9F" w:rsidRPr="003D0F1E" w:rsidRDefault="00762D9F" w:rsidP="00762D9F">
                  <w:pPr>
                    <w:autoSpaceDE w:val="0"/>
                    <w:autoSpaceDN w:val="0"/>
                    <w:adjustRightInd w:val="0"/>
                    <w:spacing w:after="0" w:line="240" w:lineRule="auto"/>
                    <w:ind w:left="60" w:right="60"/>
                    <w:rPr>
                      <w:rFonts w:ascii="Arial" w:hAnsi="Arial" w:cs="Arial"/>
                      <w:color w:val="000000"/>
                      <w:sz w:val="18"/>
                      <w:szCs w:val="18"/>
                    </w:rPr>
                  </w:pPr>
                  <w:r w:rsidRPr="003D0F1E">
                    <w:rPr>
                      <w:rFonts w:ascii="Arial" w:hAnsi="Arial" w:cs="Arial"/>
                      <w:color w:val="000000"/>
                      <w:sz w:val="18"/>
                      <w:szCs w:val="18"/>
                    </w:rPr>
                    <w:t>Sig. (bilateral)</w:t>
                  </w:r>
                </w:p>
              </w:tc>
              <w:tc>
                <w:tcPr>
                  <w:tcW w:w="0" w:type="auto"/>
                  <w:tcBorders>
                    <w:top w:val="nil"/>
                    <w:left w:val="single" w:sz="16" w:space="0" w:color="000000"/>
                    <w:bottom w:val="nil"/>
                  </w:tcBorders>
                  <w:shd w:val="clear" w:color="auto" w:fill="FFFFFF"/>
                </w:tcPr>
                <w:p w:rsidR="00762D9F" w:rsidRPr="003D0F1E" w:rsidRDefault="00762D9F" w:rsidP="00762D9F">
                  <w:pPr>
                    <w:autoSpaceDE w:val="0"/>
                    <w:autoSpaceDN w:val="0"/>
                    <w:adjustRightInd w:val="0"/>
                    <w:spacing w:after="0" w:line="240" w:lineRule="auto"/>
                    <w:rPr>
                      <w:rFonts w:ascii="Times New Roman" w:hAnsi="Times New Roman" w:cs="Times New Roman"/>
                      <w:sz w:val="24"/>
                      <w:szCs w:val="24"/>
                    </w:rPr>
                  </w:pPr>
                </w:p>
              </w:tc>
              <w:tc>
                <w:tcPr>
                  <w:tcW w:w="0" w:type="auto"/>
                  <w:tcBorders>
                    <w:top w:val="nil"/>
                    <w:bottom w:val="nil"/>
                    <w:right w:val="single" w:sz="16" w:space="0" w:color="000000"/>
                  </w:tcBorders>
                  <w:shd w:val="clear" w:color="auto" w:fill="FFFFFF"/>
                  <w:vAlign w:val="center"/>
                </w:tcPr>
                <w:p w:rsidR="00762D9F" w:rsidRPr="003D0F1E"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3D0F1E">
                    <w:rPr>
                      <w:rFonts w:ascii="Arial" w:hAnsi="Arial" w:cs="Arial"/>
                      <w:color w:val="000000"/>
                      <w:sz w:val="18"/>
                      <w:szCs w:val="18"/>
                    </w:rPr>
                    <w:t>.097</w:t>
                  </w:r>
                </w:p>
              </w:tc>
            </w:tr>
            <w:tr w:rsidR="00762D9F" w:rsidRPr="003D0F1E" w:rsidTr="00762D9F">
              <w:trPr>
                <w:cantSplit/>
                <w:jc w:val="center"/>
              </w:trPr>
              <w:tc>
                <w:tcPr>
                  <w:tcW w:w="0" w:type="auto"/>
                  <w:vMerge/>
                  <w:tcBorders>
                    <w:top w:val="single" w:sz="16" w:space="0" w:color="000000"/>
                    <w:left w:val="single" w:sz="16" w:space="0" w:color="000000"/>
                    <w:bottom w:val="nil"/>
                    <w:right w:val="nil"/>
                  </w:tcBorders>
                  <w:shd w:val="clear" w:color="auto" w:fill="FFFFFF"/>
                  <w:vAlign w:val="center"/>
                </w:tcPr>
                <w:p w:rsidR="00762D9F" w:rsidRPr="003D0F1E" w:rsidRDefault="00762D9F" w:rsidP="00762D9F">
                  <w:pPr>
                    <w:autoSpaceDE w:val="0"/>
                    <w:autoSpaceDN w:val="0"/>
                    <w:adjustRightInd w:val="0"/>
                    <w:spacing w:after="0" w:line="240" w:lineRule="auto"/>
                    <w:rPr>
                      <w:rFonts w:ascii="Arial" w:hAnsi="Arial" w:cs="Arial"/>
                      <w:color w:val="000000"/>
                      <w:sz w:val="18"/>
                      <w:szCs w:val="18"/>
                    </w:rPr>
                  </w:pPr>
                </w:p>
              </w:tc>
              <w:tc>
                <w:tcPr>
                  <w:tcW w:w="0" w:type="auto"/>
                  <w:tcBorders>
                    <w:top w:val="nil"/>
                    <w:left w:val="nil"/>
                    <w:bottom w:val="nil"/>
                    <w:right w:val="single" w:sz="16" w:space="0" w:color="000000"/>
                  </w:tcBorders>
                  <w:shd w:val="clear" w:color="auto" w:fill="FFFFFF"/>
                  <w:vAlign w:val="center"/>
                </w:tcPr>
                <w:p w:rsidR="00762D9F" w:rsidRPr="003D0F1E" w:rsidRDefault="00762D9F" w:rsidP="00762D9F">
                  <w:pPr>
                    <w:autoSpaceDE w:val="0"/>
                    <w:autoSpaceDN w:val="0"/>
                    <w:adjustRightInd w:val="0"/>
                    <w:spacing w:after="0" w:line="240" w:lineRule="auto"/>
                    <w:ind w:left="60" w:right="60"/>
                    <w:rPr>
                      <w:rFonts w:ascii="Arial" w:hAnsi="Arial" w:cs="Arial"/>
                      <w:color w:val="000000"/>
                      <w:sz w:val="18"/>
                      <w:szCs w:val="18"/>
                    </w:rPr>
                  </w:pPr>
                  <w:r w:rsidRPr="003D0F1E">
                    <w:rPr>
                      <w:rFonts w:ascii="Arial" w:hAnsi="Arial" w:cs="Arial"/>
                      <w:color w:val="000000"/>
                      <w:sz w:val="18"/>
                      <w:szCs w:val="18"/>
                    </w:rPr>
                    <w:t>N</w:t>
                  </w:r>
                </w:p>
              </w:tc>
              <w:tc>
                <w:tcPr>
                  <w:tcW w:w="0" w:type="auto"/>
                  <w:tcBorders>
                    <w:top w:val="nil"/>
                    <w:left w:val="single" w:sz="16" w:space="0" w:color="000000"/>
                    <w:bottom w:val="nil"/>
                  </w:tcBorders>
                  <w:shd w:val="clear" w:color="auto" w:fill="FFFFFF"/>
                  <w:vAlign w:val="center"/>
                </w:tcPr>
                <w:p w:rsidR="00762D9F" w:rsidRPr="003D0F1E"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19</w:t>
                  </w:r>
                </w:p>
              </w:tc>
              <w:tc>
                <w:tcPr>
                  <w:tcW w:w="0" w:type="auto"/>
                  <w:tcBorders>
                    <w:top w:val="nil"/>
                    <w:bottom w:val="nil"/>
                    <w:right w:val="single" w:sz="16" w:space="0" w:color="000000"/>
                  </w:tcBorders>
                  <w:shd w:val="clear" w:color="auto" w:fill="FFFFFF"/>
                  <w:vAlign w:val="center"/>
                </w:tcPr>
                <w:p w:rsidR="00762D9F" w:rsidRPr="003D0F1E"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19</w:t>
                  </w:r>
                </w:p>
              </w:tc>
            </w:tr>
            <w:tr w:rsidR="00762D9F" w:rsidRPr="003D0F1E" w:rsidTr="00762D9F">
              <w:trPr>
                <w:cantSplit/>
                <w:jc w:val="center"/>
              </w:trPr>
              <w:tc>
                <w:tcPr>
                  <w:tcW w:w="0" w:type="auto"/>
                  <w:vMerge w:val="restart"/>
                  <w:tcBorders>
                    <w:top w:val="nil"/>
                    <w:left w:val="single" w:sz="16" w:space="0" w:color="000000"/>
                    <w:bottom w:val="single" w:sz="16" w:space="0" w:color="000000"/>
                    <w:right w:val="nil"/>
                  </w:tcBorders>
                  <w:shd w:val="clear" w:color="auto" w:fill="FFFFFF"/>
                  <w:vAlign w:val="center"/>
                </w:tcPr>
                <w:p w:rsidR="00762D9F" w:rsidRPr="003D0F1E" w:rsidRDefault="00762D9F" w:rsidP="00762D9F">
                  <w:pPr>
                    <w:autoSpaceDE w:val="0"/>
                    <w:autoSpaceDN w:val="0"/>
                    <w:adjustRightInd w:val="0"/>
                    <w:spacing w:after="0" w:line="240" w:lineRule="auto"/>
                    <w:ind w:left="60" w:right="60"/>
                    <w:rPr>
                      <w:rFonts w:ascii="Arial" w:hAnsi="Arial" w:cs="Arial"/>
                      <w:color w:val="000000"/>
                      <w:sz w:val="18"/>
                      <w:szCs w:val="18"/>
                    </w:rPr>
                  </w:pPr>
                  <w:r w:rsidRPr="003D0F1E">
                    <w:rPr>
                      <w:rFonts w:ascii="Arial" w:hAnsi="Arial" w:cs="Arial"/>
                      <w:color w:val="000000"/>
                      <w:sz w:val="18"/>
                      <w:szCs w:val="18"/>
                    </w:rPr>
                    <w:t>Rendimiento Neto</w:t>
                  </w:r>
                </w:p>
              </w:tc>
              <w:tc>
                <w:tcPr>
                  <w:tcW w:w="0" w:type="auto"/>
                  <w:tcBorders>
                    <w:top w:val="nil"/>
                    <w:left w:val="nil"/>
                    <w:bottom w:val="nil"/>
                    <w:right w:val="single" w:sz="16" w:space="0" w:color="000000"/>
                  </w:tcBorders>
                  <w:shd w:val="clear" w:color="auto" w:fill="FFFFFF"/>
                  <w:vAlign w:val="center"/>
                </w:tcPr>
                <w:p w:rsidR="00762D9F" w:rsidRPr="003D0F1E" w:rsidRDefault="00762D9F" w:rsidP="00762D9F">
                  <w:pPr>
                    <w:autoSpaceDE w:val="0"/>
                    <w:autoSpaceDN w:val="0"/>
                    <w:adjustRightInd w:val="0"/>
                    <w:spacing w:after="0" w:line="240" w:lineRule="auto"/>
                    <w:ind w:left="60" w:right="60"/>
                    <w:rPr>
                      <w:rFonts w:ascii="Arial" w:hAnsi="Arial" w:cs="Arial"/>
                      <w:color w:val="000000"/>
                      <w:sz w:val="18"/>
                      <w:szCs w:val="18"/>
                    </w:rPr>
                  </w:pPr>
                  <w:r w:rsidRPr="003D0F1E">
                    <w:rPr>
                      <w:rFonts w:ascii="Arial" w:hAnsi="Arial" w:cs="Arial"/>
                      <w:color w:val="000000"/>
                      <w:sz w:val="18"/>
                      <w:szCs w:val="18"/>
                    </w:rPr>
                    <w:t>Correlación de Pearson</w:t>
                  </w:r>
                </w:p>
              </w:tc>
              <w:tc>
                <w:tcPr>
                  <w:tcW w:w="0" w:type="auto"/>
                  <w:tcBorders>
                    <w:top w:val="nil"/>
                    <w:left w:val="single" w:sz="16" w:space="0" w:color="000000"/>
                    <w:bottom w:val="nil"/>
                  </w:tcBorders>
                  <w:shd w:val="clear" w:color="auto" w:fill="FFFFFF"/>
                  <w:vAlign w:val="center"/>
                </w:tcPr>
                <w:p w:rsidR="00762D9F" w:rsidRPr="003D0F1E"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3D0F1E">
                    <w:rPr>
                      <w:rFonts w:ascii="Arial" w:hAnsi="Arial" w:cs="Arial"/>
                      <w:color w:val="000000"/>
                      <w:sz w:val="18"/>
                      <w:szCs w:val="18"/>
                    </w:rPr>
                    <w:t>-.403</w:t>
                  </w:r>
                </w:p>
              </w:tc>
              <w:tc>
                <w:tcPr>
                  <w:tcW w:w="0" w:type="auto"/>
                  <w:tcBorders>
                    <w:top w:val="nil"/>
                    <w:bottom w:val="nil"/>
                    <w:right w:val="single" w:sz="16" w:space="0" w:color="000000"/>
                  </w:tcBorders>
                  <w:shd w:val="clear" w:color="auto" w:fill="FFFFFF"/>
                  <w:vAlign w:val="center"/>
                </w:tcPr>
                <w:p w:rsidR="00762D9F" w:rsidRPr="003D0F1E"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3D0F1E">
                    <w:rPr>
                      <w:rFonts w:ascii="Arial" w:hAnsi="Arial" w:cs="Arial"/>
                      <w:color w:val="000000"/>
                      <w:sz w:val="18"/>
                      <w:szCs w:val="18"/>
                    </w:rPr>
                    <w:t>1</w:t>
                  </w:r>
                </w:p>
              </w:tc>
            </w:tr>
            <w:tr w:rsidR="00762D9F" w:rsidRPr="003D0F1E" w:rsidTr="00762D9F">
              <w:trPr>
                <w:cantSplit/>
                <w:jc w:val="center"/>
              </w:trPr>
              <w:tc>
                <w:tcPr>
                  <w:tcW w:w="0" w:type="auto"/>
                  <w:vMerge/>
                  <w:tcBorders>
                    <w:top w:val="nil"/>
                    <w:left w:val="single" w:sz="16" w:space="0" w:color="000000"/>
                    <w:bottom w:val="single" w:sz="16" w:space="0" w:color="000000"/>
                    <w:right w:val="nil"/>
                  </w:tcBorders>
                  <w:shd w:val="clear" w:color="auto" w:fill="FFFFFF"/>
                  <w:vAlign w:val="center"/>
                </w:tcPr>
                <w:p w:rsidR="00762D9F" w:rsidRPr="003D0F1E" w:rsidRDefault="00762D9F" w:rsidP="00762D9F">
                  <w:pPr>
                    <w:autoSpaceDE w:val="0"/>
                    <w:autoSpaceDN w:val="0"/>
                    <w:adjustRightInd w:val="0"/>
                    <w:spacing w:after="0" w:line="240" w:lineRule="auto"/>
                    <w:rPr>
                      <w:rFonts w:ascii="Arial" w:hAnsi="Arial" w:cs="Arial"/>
                      <w:color w:val="000000"/>
                      <w:sz w:val="18"/>
                      <w:szCs w:val="18"/>
                    </w:rPr>
                  </w:pPr>
                </w:p>
              </w:tc>
              <w:tc>
                <w:tcPr>
                  <w:tcW w:w="0" w:type="auto"/>
                  <w:tcBorders>
                    <w:top w:val="nil"/>
                    <w:left w:val="nil"/>
                    <w:bottom w:val="nil"/>
                    <w:right w:val="single" w:sz="16" w:space="0" w:color="000000"/>
                  </w:tcBorders>
                  <w:shd w:val="clear" w:color="auto" w:fill="FFFFFF"/>
                  <w:vAlign w:val="center"/>
                </w:tcPr>
                <w:p w:rsidR="00762D9F" w:rsidRPr="003D0F1E" w:rsidRDefault="00762D9F" w:rsidP="00762D9F">
                  <w:pPr>
                    <w:autoSpaceDE w:val="0"/>
                    <w:autoSpaceDN w:val="0"/>
                    <w:adjustRightInd w:val="0"/>
                    <w:spacing w:after="0" w:line="240" w:lineRule="auto"/>
                    <w:ind w:left="60" w:right="60"/>
                    <w:rPr>
                      <w:rFonts w:ascii="Arial" w:hAnsi="Arial" w:cs="Arial"/>
                      <w:color w:val="000000"/>
                      <w:sz w:val="18"/>
                      <w:szCs w:val="18"/>
                    </w:rPr>
                  </w:pPr>
                  <w:r w:rsidRPr="003D0F1E">
                    <w:rPr>
                      <w:rFonts w:ascii="Arial" w:hAnsi="Arial" w:cs="Arial"/>
                      <w:color w:val="000000"/>
                      <w:sz w:val="18"/>
                      <w:szCs w:val="18"/>
                    </w:rPr>
                    <w:t>Sig. (bilateral)</w:t>
                  </w:r>
                </w:p>
              </w:tc>
              <w:tc>
                <w:tcPr>
                  <w:tcW w:w="0" w:type="auto"/>
                  <w:tcBorders>
                    <w:top w:val="nil"/>
                    <w:left w:val="single" w:sz="16" w:space="0" w:color="000000"/>
                    <w:bottom w:val="nil"/>
                  </w:tcBorders>
                  <w:shd w:val="clear" w:color="auto" w:fill="FFFFFF"/>
                  <w:vAlign w:val="center"/>
                </w:tcPr>
                <w:p w:rsidR="00762D9F" w:rsidRPr="003D0F1E"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3D0F1E">
                    <w:rPr>
                      <w:rFonts w:ascii="Arial" w:hAnsi="Arial" w:cs="Arial"/>
                      <w:color w:val="000000"/>
                      <w:sz w:val="18"/>
                      <w:szCs w:val="18"/>
                    </w:rPr>
                    <w:t>.097</w:t>
                  </w:r>
                </w:p>
              </w:tc>
              <w:tc>
                <w:tcPr>
                  <w:tcW w:w="0" w:type="auto"/>
                  <w:tcBorders>
                    <w:top w:val="nil"/>
                    <w:bottom w:val="nil"/>
                    <w:right w:val="single" w:sz="16" w:space="0" w:color="000000"/>
                  </w:tcBorders>
                  <w:shd w:val="clear" w:color="auto" w:fill="FFFFFF"/>
                </w:tcPr>
                <w:p w:rsidR="00762D9F" w:rsidRPr="003D0F1E" w:rsidRDefault="00762D9F" w:rsidP="00762D9F">
                  <w:pPr>
                    <w:autoSpaceDE w:val="0"/>
                    <w:autoSpaceDN w:val="0"/>
                    <w:adjustRightInd w:val="0"/>
                    <w:spacing w:after="0" w:line="240" w:lineRule="auto"/>
                    <w:rPr>
                      <w:rFonts w:ascii="Times New Roman" w:hAnsi="Times New Roman" w:cs="Times New Roman"/>
                      <w:sz w:val="24"/>
                      <w:szCs w:val="24"/>
                    </w:rPr>
                  </w:pPr>
                </w:p>
              </w:tc>
            </w:tr>
            <w:tr w:rsidR="00762D9F" w:rsidRPr="003D0F1E" w:rsidTr="00762D9F">
              <w:trPr>
                <w:cantSplit/>
                <w:jc w:val="center"/>
              </w:trPr>
              <w:tc>
                <w:tcPr>
                  <w:tcW w:w="0" w:type="auto"/>
                  <w:vMerge/>
                  <w:tcBorders>
                    <w:top w:val="nil"/>
                    <w:left w:val="single" w:sz="16" w:space="0" w:color="000000"/>
                    <w:bottom w:val="single" w:sz="16" w:space="0" w:color="000000"/>
                    <w:right w:val="nil"/>
                  </w:tcBorders>
                  <w:shd w:val="clear" w:color="auto" w:fill="FFFFFF"/>
                  <w:vAlign w:val="center"/>
                </w:tcPr>
                <w:p w:rsidR="00762D9F" w:rsidRPr="003D0F1E" w:rsidRDefault="00762D9F" w:rsidP="00762D9F">
                  <w:pPr>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single" w:sz="16" w:space="0" w:color="000000"/>
                    <w:right w:val="single" w:sz="16" w:space="0" w:color="000000"/>
                  </w:tcBorders>
                  <w:shd w:val="clear" w:color="auto" w:fill="FFFFFF"/>
                  <w:vAlign w:val="center"/>
                </w:tcPr>
                <w:p w:rsidR="00762D9F" w:rsidRPr="003D0F1E" w:rsidRDefault="00762D9F" w:rsidP="00762D9F">
                  <w:pPr>
                    <w:autoSpaceDE w:val="0"/>
                    <w:autoSpaceDN w:val="0"/>
                    <w:adjustRightInd w:val="0"/>
                    <w:spacing w:after="0" w:line="240" w:lineRule="auto"/>
                    <w:ind w:left="60" w:right="60"/>
                    <w:rPr>
                      <w:rFonts w:ascii="Arial" w:hAnsi="Arial" w:cs="Arial"/>
                      <w:color w:val="000000"/>
                      <w:sz w:val="18"/>
                      <w:szCs w:val="18"/>
                    </w:rPr>
                  </w:pPr>
                  <w:r w:rsidRPr="003D0F1E">
                    <w:rPr>
                      <w:rFonts w:ascii="Arial" w:hAnsi="Arial" w:cs="Arial"/>
                      <w:color w:val="000000"/>
                      <w:sz w:val="18"/>
                      <w:szCs w:val="18"/>
                    </w:rPr>
                    <w:t>N</w:t>
                  </w:r>
                </w:p>
              </w:tc>
              <w:tc>
                <w:tcPr>
                  <w:tcW w:w="0" w:type="auto"/>
                  <w:tcBorders>
                    <w:top w:val="nil"/>
                    <w:left w:val="single" w:sz="16" w:space="0" w:color="000000"/>
                    <w:bottom w:val="single" w:sz="16" w:space="0" w:color="000000"/>
                  </w:tcBorders>
                  <w:shd w:val="clear" w:color="auto" w:fill="FFFFFF"/>
                  <w:vAlign w:val="center"/>
                </w:tcPr>
                <w:p w:rsidR="00762D9F" w:rsidRPr="003D0F1E"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19</w:t>
                  </w:r>
                </w:p>
              </w:tc>
              <w:tc>
                <w:tcPr>
                  <w:tcW w:w="0" w:type="auto"/>
                  <w:tcBorders>
                    <w:top w:val="nil"/>
                    <w:bottom w:val="single" w:sz="16" w:space="0" w:color="000000"/>
                    <w:right w:val="single" w:sz="16" w:space="0" w:color="000000"/>
                  </w:tcBorders>
                  <w:shd w:val="clear" w:color="auto" w:fill="FFFFFF"/>
                  <w:vAlign w:val="center"/>
                </w:tcPr>
                <w:p w:rsidR="00762D9F" w:rsidRPr="003D0F1E"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19</w:t>
                  </w:r>
                </w:p>
              </w:tc>
            </w:tr>
          </w:tbl>
          <w:p w:rsidR="00762D9F" w:rsidRDefault="00762D9F" w:rsidP="00762D9F"/>
        </w:tc>
      </w:tr>
      <w:tr w:rsidR="00762D9F" w:rsidTr="006454CE">
        <w:trPr>
          <w:jc w:val="center"/>
        </w:trPr>
        <w:tc>
          <w:tcPr>
            <w:tcW w:w="4133" w:type="dxa"/>
          </w:tcPr>
          <w:p w:rsidR="00762D9F" w:rsidRDefault="00762D9F" w:rsidP="00762D9F">
            <w:r>
              <w:rPr>
                <w:rFonts w:ascii="Times New Roman" w:hAnsi="Times New Roman" w:cs="Times New Roman"/>
                <w:noProof/>
                <w:sz w:val="24"/>
                <w:szCs w:val="24"/>
                <w:lang w:eastAsia="es-MX"/>
              </w:rPr>
              <w:drawing>
                <wp:inline distT="0" distB="0" distL="0" distR="0">
                  <wp:extent cx="2701082" cy="2160000"/>
                  <wp:effectExtent l="0" t="0" r="4445"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701082" cy="2160000"/>
                          </a:xfrm>
                          <a:prstGeom prst="rect">
                            <a:avLst/>
                          </a:prstGeom>
                          <a:noFill/>
                          <a:ln>
                            <a:noFill/>
                          </a:ln>
                        </pic:spPr>
                      </pic:pic>
                    </a:graphicData>
                  </a:graphic>
                </wp:inline>
              </w:drawing>
            </w:r>
          </w:p>
        </w:tc>
        <w:tc>
          <w:tcPr>
            <w:tcW w:w="4793" w:type="dxa"/>
          </w:tcPr>
          <w:p w:rsidR="00762D9F" w:rsidRDefault="00762D9F" w:rsidP="00762D9F"/>
          <w:tbl>
            <w:tblPr>
              <w:tblW w:w="0" w:type="auto"/>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172"/>
              <w:gridCol w:w="1091"/>
              <w:gridCol w:w="1017"/>
              <w:gridCol w:w="1174"/>
            </w:tblGrid>
            <w:tr w:rsidR="00762D9F" w:rsidRPr="00A7020E" w:rsidTr="00762D9F">
              <w:trPr>
                <w:cantSplit/>
                <w:jc w:val="center"/>
              </w:trPr>
              <w:tc>
                <w:tcPr>
                  <w:tcW w:w="0" w:type="auto"/>
                  <w:gridSpan w:val="4"/>
                  <w:tcBorders>
                    <w:top w:val="nil"/>
                    <w:left w:val="nil"/>
                    <w:bottom w:val="nil"/>
                    <w:right w:val="nil"/>
                  </w:tcBorders>
                  <w:shd w:val="clear" w:color="auto" w:fill="FFFFFF"/>
                </w:tcPr>
                <w:p w:rsidR="00762D9F" w:rsidRPr="00A7020E" w:rsidRDefault="00762D9F" w:rsidP="00762D9F">
                  <w:pPr>
                    <w:autoSpaceDE w:val="0"/>
                    <w:autoSpaceDN w:val="0"/>
                    <w:adjustRightInd w:val="0"/>
                    <w:spacing w:after="0" w:line="240" w:lineRule="auto"/>
                    <w:ind w:left="60" w:right="60"/>
                    <w:jc w:val="center"/>
                    <w:rPr>
                      <w:rFonts w:ascii="Arial" w:hAnsi="Arial" w:cs="Arial"/>
                      <w:color w:val="000000"/>
                      <w:sz w:val="18"/>
                      <w:szCs w:val="18"/>
                    </w:rPr>
                  </w:pPr>
                  <w:r w:rsidRPr="00A7020E">
                    <w:rPr>
                      <w:rFonts w:ascii="Arial" w:hAnsi="Arial" w:cs="Arial"/>
                      <w:b/>
                      <w:bCs/>
                      <w:color w:val="000000"/>
                      <w:sz w:val="18"/>
                      <w:szCs w:val="18"/>
                    </w:rPr>
                    <w:t>Correlaciones</w:t>
                  </w:r>
                  <w:r>
                    <w:rPr>
                      <w:rFonts w:ascii="Arial" w:hAnsi="Arial" w:cs="Arial"/>
                      <w:b/>
                      <w:bCs/>
                      <w:color w:val="000000"/>
                      <w:sz w:val="18"/>
                      <w:szCs w:val="18"/>
                    </w:rPr>
                    <w:t xml:space="preserve"> 2009</w:t>
                  </w:r>
                </w:p>
              </w:tc>
            </w:tr>
            <w:tr w:rsidR="00762D9F" w:rsidRPr="00A7020E" w:rsidTr="00762D9F">
              <w:trPr>
                <w:cantSplit/>
                <w:jc w:val="center"/>
              </w:trPr>
              <w:tc>
                <w:tcPr>
                  <w:tcW w:w="0" w:type="auto"/>
                  <w:gridSpan w:val="2"/>
                  <w:tcBorders>
                    <w:top w:val="single" w:sz="16" w:space="0" w:color="000000"/>
                    <w:left w:val="single" w:sz="16" w:space="0" w:color="000000"/>
                    <w:bottom w:val="single" w:sz="16" w:space="0" w:color="000000"/>
                    <w:right w:val="nil"/>
                  </w:tcBorders>
                  <w:shd w:val="clear" w:color="auto" w:fill="FFFFFF"/>
                </w:tcPr>
                <w:p w:rsidR="00762D9F" w:rsidRPr="00A7020E" w:rsidRDefault="00762D9F" w:rsidP="00762D9F">
                  <w:pPr>
                    <w:autoSpaceDE w:val="0"/>
                    <w:autoSpaceDN w:val="0"/>
                    <w:adjustRightInd w:val="0"/>
                    <w:spacing w:after="0" w:line="240" w:lineRule="auto"/>
                    <w:ind w:left="60" w:right="60"/>
                    <w:rPr>
                      <w:rFonts w:ascii="Arial" w:hAnsi="Arial" w:cs="Arial"/>
                      <w:color w:val="000000"/>
                      <w:sz w:val="18"/>
                      <w:szCs w:val="18"/>
                    </w:rPr>
                  </w:pPr>
                </w:p>
              </w:tc>
              <w:tc>
                <w:tcPr>
                  <w:tcW w:w="0" w:type="auto"/>
                  <w:tcBorders>
                    <w:top w:val="single" w:sz="16" w:space="0" w:color="000000"/>
                    <w:left w:val="single" w:sz="16" w:space="0" w:color="000000"/>
                    <w:bottom w:val="single" w:sz="16" w:space="0" w:color="000000"/>
                  </w:tcBorders>
                  <w:shd w:val="clear" w:color="auto" w:fill="FFFFFF"/>
                </w:tcPr>
                <w:p w:rsidR="00762D9F" w:rsidRPr="00A7020E" w:rsidRDefault="00762D9F" w:rsidP="00762D9F">
                  <w:pPr>
                    <w:autoSpaceDE w:val="0"/>
                    <w:autoSpaceDN w:val="0"/>
                    <w:adjustRightInd w:val="0"/>
                    <w:spacing w:after="0" w:line="240" w:lineRule="auto"/>
                    <w:ind w:left="60" w:right="60"/>
                    <w:jc w:val="center"/>
                    <w:rPr>
                      <w:rFonts w:ascii="Arial" w:hAnsi="Arial" w:cs="Arial"/>
                      <w:color w:val="000000"/>
                      <w:sz w:val="18"/>
                      <w:szCs w:val="18"/>
                    </w:rPr>
                  </w:pPr>
                  <w:r w:rsidRPr="00A7020E">
                    <w:rPr>
                      <w:rFonts w:ascii="Arial" w:hAnsi="Arial" w:cs="Arial"/>
                      <w:color w:val="000000"/>
                      <w:sz w:val="18"/>
                      <w:szCs w:val="18"/>
                    </w:rPr>
                    <w:t>Traspasos Recibidos</w:t>
                  </w:r>
                </w:p>
              </w:tc>
              <w:tc>
                <w:tcPr>
                  <w:tcW w:w="0" w:type="auto"/>
                  <w:tcBorders>
                    <w:top w:val="single" w:sz="16" w:space="0" w:color="000000"/>
                    <w:bottom w:val="single" w:sz="16" w:space="0" w:color="000000"/>
                    <w:right w:val="single" w:sz="16" w:space="0" w:color="000000"/>
                  </w:tcBorders>
                  <w:shd w:val="clear" w:color="auto" w:fill="FFFFFF"/>
                </w:tcPr>
                <w:p w:rsidR="00762D9F" w:rsidRPr="00A7020E" w:rsidRDefault="00762D9F" w:rsidP="00762D9F">
                  <w:pPr>
                    <w:autoSpaceDE w:val="0"/>
                    <w:autoSpaceDN w:val="0"/>
                    <w:adjustRightInd w:val="0"/>
                    <w:spacing w:after="0" w:line="240" w:lineRule="auto"/>
                    <w:ind w:left="60" w:right="60"/>
                    <w:jc w:val="center"/>
                    <w:rPr>
                      <w:rFonts w:ascii="Arial" w:hAnsi="Arial" w:cs="Arial"/>
                      <w:color w:val="000000"/>
                      <w:sz w:val="18"/>
                      <w:szCs w:val="18"/>
                    </w:rPr>
                  </w:pPr>
                  <w:r w:rsidRPr="00A7020E">
                    <w:rPr>
                      <w:rFonts w:ascii="Arial" w:hAnsi="Arial" w:cs="Arial"/>
                      <w:color w:val="000000"/>
                      <w:sz w:val="18"/>
                      <w:szCs w:val="18"/>
                    </w:rPr>
                    <w:t>Rendimiento Neto</w:t>
                  </w:r>
                </w:p>
              </w:tc>
            </w:tr>
            <w:tr w:rsidR="00762D9F" w:rsidRPr="00A7020E" w:rsidTr="00762D9F">
              <w:trPr>
                <w:cantSplit/>
                <w:jc w:val="center"/>
              </w:trPr>
              <w:tc>
                <w:tcPr>
                  <w:tcW w:w="0" w:type="auto"/>
                  <w:vMerge w:val="restart"/>
                  <w:tcBorders>
                    <w:top w:val="single" w:sz="16" w:space="0" w:color="000000"/>
                    <w:left w:val="single" w:sz="16" w:space="0" w:color="000000"/>
                    <w:bottom w:val="nil"/>
                    <w:right w:val="nil"/>
                  </w:tcBorders>
                  <w:shd w:val="clear" w:color="auto" w:fill="FFFFFF"/>
                  <w:vAlign w:val="center"/>
                </w:tcPr>
                <w:p w:rsidR="00762D9F" w:rsidRPr="00A7020E" w:rsidRDefault="00762D9F" w:rsidP="00762D9F">
                  <w:pPr>
                    <w:autoSpaceDE w:val="0"/>
                    <w:autoSpaceDN w:val="0"/>
                    <w:adjustRightInd w:val="0"/>
                    <w:spacing w:after="0" w:line="240" w:lineRule="auto"/>
                    <w:ind w:left="60" w:right="60"/>
                    <w:rPr>
                      <w:rFonts w:ascii="Arial" w:hAnsi="Arial" w:cs="Arial"/>
                      <w:color w:val="000000"/>
                      <w:sz w:val="18"/>
                      <w:szCs w:val="18"/>
                    </w:rPr>
                  </w:pPr>
                  <w:r w:rsidRPr="00A7020E">
                    <w:rPr>
                      <w:rFonts w:ascii="Arial" w:hAnsi="Arial" w:cs="Arial"/>
                      <w:color w:val="000000"/>
                      <w:sz w:val="18"/>
                      <w:szCs w:val="18"/>
                    </w:rPr>
                    <w:t>Traspasos Recibidos</w:t>
                  </w:r>
                </w:p>
              </w:tc>
              <w:tc>
                <w:tcPr>
                  <w:tcW w:w="0" w:type="auto"/>
                  <w:tcBorders>
                    <w:top w:val="single" w:sz="16" w:space="0" w:color="000000"/>
                    <w:left w:val="nil"/>
                    <w:bottom w:val="nil"/>
                    <w:right w:val="single" w:sz="16" w:space="0" w:color="000000"/>
                  </w:tcBorders>
                  <w:shd w:val="clear" w:color="auto" w:fill="FFFFFF"/>
                  <w:vAlign w:val="center"/>
                </w:tcPr>
                <w:p w:rsidR="00762D9F" w:rsidRPr="00A7020E" w:rsidRDefault="00762D9F" w:rsidP="00762D9F">
                  <w:pPr>
                    <w:autoSpaceDE w:val="0"/>
                    <w:autoSpaceDN w:val="0"/>
                    <w:adjustRightInd w:val="0"/>
                    <w:spacing w:after="0" w:line="240" w:lineRule="auto"/>
                    <w:ind w:left="60" w:right="60"/>
                    <w:rPr>
                      <w:rFonts w:ascii="Arial" w:hAnsi="Arial" w:cs="Arial"/>
                      <w:color w:val="000000"/>
                      <w:sz w:val="18"/>
                      <w:szCs w:val="18"/>
                    </w:rPr>
                  </w:pPr>
                  <w:r w:rsidRPr="00A7020E">
                    <w:rPr>
                      <w:rFonts w:ascii="Arial" w:hAnsi="Arial" w:cs="Arial"/>
                      <w:color w:val="000000"/>
                      <w:sz w:val="18"/>
                      <w:szCs w:val="18"/>
                    </w:rPr>
                    <w:t>Correlación de Pearson</w:t>
                  </w:r>
                </w:p>
              </w:tc>
              <w:tc>
                <w:tcPr>
                  <w:tcW w:w="0" w:type="auto"/>
                  <w:tcBorders>
                    <w:top w:val="single" w:sz="16" w:space="0" w:color="000000"/>
                    <w:left w:val="single" w:sz="16" w:space="0" w:color="000000"/>
                    <w:bottom w:val="nil"/>
                  </w:tcBorders>
                  <w:shd w:val="clear" w:color="auto" w:fill="FFFFFF"/>
                  <w:vAlign w:val="center"/>
                </w:tcPr>
                <w:p w:rsidR="00762D9F" w:rsidRPr="00A7020E"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A7020E">
                    <w:rPr>
                      <w:rFonts w:ascii="Arial" w:hAnsi="Arial" w:cs="Arial"/>
                      <w:color w:val="000000"/>
                      <w:sz w:val="18"/>
                      <w:szCs w:val="18"/>
                    </w:rPr>
                    <w:t>1</w:t>
                  </w:r>
                </w:p>
              </w:tc>
              <w:tc>
                <w:tcPr>
                  <w:tcW w:w="0" w:type="auto"/>
                  <w:tcBorders>
                    <w:top w:val="single" w:sz="16" w:space="0" w:color="000000"/>
                    <w:bottom w:val="nil"/>
                    <w:right w:val="single" w:sz="16" w:space="0" w:color="000000"/>
                  </w:tcBorders>
                  <w:shd w:val="clear" w:color="auto" w:fill="FFFFFF"/>
                  <w:vAlign w:val="center"/>
                </w:tcPr>
                <w:p w:rsidR="00762D9F" w:rsidRPr="00A7020E"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A7020E">
                    <w:rPr>
                      <w:rFonts w:ascii="Arial" w:hAnsi="Arial" w:cs="Arial"/>
                      <w:color w:val="000000"/>
                      <w:sz w:val="18"/>
                      <w:szCs w:val="18"/>
                    </w:rPr>
                    <w:t>-.269</w:t>
                  </w:r>
                </w:p>
              </w:tc>
            </w:tr>
            <w:tr w:rsidR="00762D9F" w:rsidRPr="00A7020E" w:rsidTr="00762D9F">
              <w:trPr>
                <w:cantSplit/>
                <w:jc w:val="center"/>
              </w:trPr>
              <w:tc>
                <w:tcPr>
                  <w:tcW w:w="0" w:type="auto"/>
                  <w:vMerge/>
                  <w:tcBorders>
                    <w:top w:val="single" w:sz="16" w:space="0" w:color="000000"/>
                    <w:left w:val="single" w:sz="16" w:space="0" w:color="000000"/>
                    <w:bottom w:val="nil"/>
                    <w:right w:val="nil"/>
                  </w:tcBorders>
                  <w:shd w:val="clear" w:color="auto" w:fill="FFFFFF"/>
                  <w:vAlign w:val="center"/>
                </w:tcPr>
                <w:p w:rsidR="00762D9F" w:rsidRPr="00A7020E" w:rsidRDefault="00762D9F" w:rsidP="00762D9F">
                  <w:pPr>
                    <w:autoSpaceDE w:val="0"/>
                    <w:autoSpaceDN w:val="0"/>
                    <w:adjustRightInd w:val="0"/>
                    <w:spacing w:after="0" w:line="240" w:lineRule="auto"/>
                    <w:rPr>
                      <w:rFonts w:ascii="Arial" w:hAnsi="Arial" w:cs="Arial"/>
                      <w:color w:val="000000"/>
                      <w:sz w:val="18"/>
                      <w:szCs w:val="18"/>
                    </w:rPr>
                  </w:pPr>
                </w:p>
              </w:tc>
              <w:tc>
                <w:tcPr>
                  <w:tcW w:w="0" w:type="auto"/>
                  <w:tcBorders>
                    <w:top w:val="nil"/>
                    <w:left w:val="nil"/>
                    <w:bottom w:val="nil"/>
                    <w:right w:val="single" w:sz="16" w:space="0" w:color="000000"/>
                  </w:tcBorders>
                  <w:shd w:val="clear" w:color="auto" w:fill="FFFFFF"/>
                  <w:vAlign w:val="center"/>
                </w:tcPr>
                <w:p w:rsidR="00762D9F" w:rsidRPr="00A7020E" w:rsidRDefault="00762D9F" w:rsidP="00762D9F">
                  <w:pPr>
                    <w:autoSpaceDE w:val="0"/>
                    <w:autoSpaceDN w:val="0"/>
                    <w:adjustRightInd w:val="0"/>
                    <w:spacing w:after="0" w:line="240" w:lineRule="auto"/>
                    <w:ind w:left="60" w:right="60"/>
                    <w:rPr>
                      <w:rFonts w:ascii="Arial" w:hAnsi="Arial" w:cs="Arial"/>
                      <w:color w:val="000000"/>
                      <w:sz w:val="18"/>
                      <w:szCs w:val="18"/>
                    </w:rPr>
                  </w:pPr>
                  <w:r w:rsidRPr="00A7020E">
                    <w:rPr>
                      <w:rFonts w:ascii="Arial" w:hAnsi="Arial" w:cs="Arial"/>
                      <w:color w:val="000000"/>
                      <w:sz w:val="18"/>
                      <w:szCs w:val="18"/>
                    </w:rPr>
                    <w:t>Sig. (bilateral)</w:t>
                  </w:r>
                </w:p>
              </w:tc>
              <w:tc>
                <w:tcPr>
                  <w:tcW w:w="0" w:type="auto"/>
                  <w:tcBorders>
                    <w:top w:val="nil"/>
                    <w:left w:val="single" w:sz="16" w:space="0" w:color="000000"/>
                    <w:bottom w:val="nil"/>
                  </w:tcBorders>
                  <w:shd w:val="clear" w:color="auto" w:fill="FFFFFF"/>
                </w:tcPr>
                <w:p w:rsidR="00762D9F" w:rsidRPr="00A7020E" w:rsidRDefault="00762D9F" w:rsidP="00762D9F">
                  <w:pPr>
                    <w:autoSpaceDE w:val="0"/>
                    <w:autoSpaceDN w:val="0"/>
                    <w:adjustRightInd w:val="0"/>
                    <w:spacing w:after="0" w:line="240" w:lineRule="auto"/>
                    <w:rPr>
                      <w:rFonts w:ascii="Times New Roman" w:hAnsi="Times New Roman" w:cs="Times New Roman"/>
                      <w:sz w:val="24"/>
                      <w:szCs w:val="24"/>
                    </w:rPr>
                  </w:pPr>
                </w:p>
              </w:tc>
              <w:tc>
                <w:tcPr>
                  <w:tcW w:w="0" w:type="auto"/>
                  <w:tcBorders>
                    <w:top w:val="nil"/>
                    <w:bottom w:val="nil"/>
                    <w:right w:val="single" w:sz="16" w:space="0" w:color="000000"/>
                  </w:tcBorders>
                  <w:shd w:val="clear" w:color="auto" w:fill="FFFFFF"/>
                  <w:vAlign w:val="center"/>
                </w:tcPr>
                <w:p w:rsidR="00762D9F" w:rsidRPr="00A7020E"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A7020E">
                    <w:rPr>
                      <w:rFonts w:ascii="Arial" w:hAnsi="Arial" w:cs="Arial"/>
                      <w:color w:val="000000"/>
                      <w:sz w:val="18"/>
                      <w:szCs w:val="18"/>
                    </w:rPr>
                    <w:t>.333</w:t>
                  </w:r>
                </w:p>
              </w:tc>
            </w:tr>
            <w:tr w:rsidR="00762D9F" w:rsidRPr="00A7020E" w:rsidTr="00762D9F">
              <w:trPr>
                <w:cantSplit/>
                <w:jc w:val="center"/>
              </w:trPr>
              <w:tc>
                <w:tcPr>
                  <w:tcW w:w="0" w:type="auto"/>
                  <w:vMerge/>
                  <w:tcBorders>
                    <w:top w:val="single" w:sz="16" w:space="0" w:color="000000"/>
                    <w:left w:val="single" w:sz="16" w:space="0" w:color="000000"/>
                    <w:bottom w:val="nil"/>
                    <w:right w:val="nil"/>
                  </w:tcBorders>
                  <w:shd w:val="clear" w:color="auto" w:fill="FFFFFF"/>
                  <w:vAlign w:val="center"/>
                </w:tcPr>
                <w:p w:rsidR="00762D9F" w:rsidRPr="00A7020E" w:rsidRDefault="00762D9F" w:rsidP="00762D9F">
                  <w:pPr>
                    <w:autoSpaceDE w:val="0"/>
                    <w:autoSpaceDN w:val="0"/>
                    <w:adjustRightInd w:val="0"/>
                    <w:spacing w:after="0" w:line="240" w:lineRule="auto"/>
                    <w:rPr>
                      <w:rFonts w:ascii="Arial" w:hAnsi="Arial" w:cs="Arial"/>
                      <w:color w:val="000000"/>
                      <w:sz w:val="18"/>
                      <w:szCs w:val="18"/>
                    </w:rPr>
                  </w:pPr>
                </w:p>
              </w:tc>
              <w:tc>
                <w:tcPr>
                  <w:tcW w:w="0" w:type="auto"/>
                  <w:tcBorders>
                    <w:top w:val="nil"/>
                    <w:left w:val="nil"/>
                    <w:bottom w:val="nil"/>
                    <w:right w:val="single" w:sz="16" w:space="0" w:color="000000"/>
                  </w:tcBorders>
                  <w:shd w:val="clear" w:color="auto" w:fill="FFFFFF"/>
                  <w:vAlign w:val="center"/>
                </w:tcPr>
                <w:p w:rsidR="00762D9F" w:rsidRPr="00A7020E" w:rsidRDefault="00762D9F" w:rsidP="00762D9F">
                  <w:pPr>
                    <w:autoSpaceDE w:val="0"/>
                    <w:autoSpaceDN w:val="0"/>
                    <w:adjustRightInd w:val="0"/>
                    <w:spacing w:after="0" w:line="240" w:lineRule="auto"/>
                    <w:ind w:left="60" w:right="60"/>
                    <w:rPr>
                      <w:rFonts w:ascii="Arial" w:hAnsi="Arial" w:cs="Arial"/>
                      <w:color w:val="000000"/>
                      <w:sz w:val="18"/>
                      <w:szCs w:val="18"/>
                    </w:rPr>
                  </w:pPr>
                  <w:r w:rsidRPr="00A7020E">
                    <w:rPr>
                      <w:rFonts w:ascii="Arial" w:hAnsi="Arial" w:cs="Arial"/>
                      <w:color w:val="000000"/>
                      <w:sz w:val="18"/>
                      <w:szCs w:val="18"/>
                    </w:rPr>
                    <w:t>N</w:t>
                  </w:r>
                </w:p>
              </w:tc>
              <w:tc>
                <w:tcPr>
                  <w:tcW w:w="0" w:type="auto"/>
                  <w:tcBorders>
                    <w:top w:val="nil"/>
                    <w:left w:val="single" w:sz="16" w:space="0" w:color="000000"/>
                    <w:bottom w:val="nil"/>
                  </w:tcBorders>
                  <w:shd w:val="clear" w:color="auto" w:fill="FFFFFF"/>
                  <w:vAlign w:val="center"/>
                </w:tcPr>
                <w:p w:rsidR="00762D9F" w:rsidRPr="00A7020E"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16</w:t>
                  </w:r>
                </w:p>
              </w:tc>
              <w:tc>
                <w:tcPr>
                  <w:tcW w:w="0" w:type="auto"/>
                  <w:tcBorders>
                    <w:top w:val="nil"/>
                    <w:bottom w:val="nil"/>
                    <w:right w:val="single" w:sz="16" w:space="0" w:color="000000"/>
                  </w:tcBorders>
                  <w:shd w:val="clear" w:color="auto" w:fill="FFFFFF"/>
                  <w:vAlign w:val="center"/>
                </w:tcPr>
                <w:p w:rsidR="00762D9F" w:rsidRPr="00A7020E"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16</w:t>
                  </w:r>
                </w:p>
              </w:tc>
            </w:tr>
            <w:tr w:rsidR="00762D9F" w:rsidRPr="00A7020E" w:rsidTr="00762D9F">
              <w:trPr>
                <w:cantSplit/>
                <w:jc w:val="center"/>
              </w:trPr>
              <w:tc>
                <w:tcPr>
                  <w:tcW w:w="0" w:type="auto"/>
                  <w:vMerge w:val="restart"/>
                  <w:tcBorders>
                    <w:top w:val="nil"/>
                    <w:left w:val="single" w:sz="16" w:space="0" w:color="000000"/>
                    <w:bottom w:val="single" w:sz="16" w:space="0" w:color="000000"/>
                    <w:right w:val="nil"/>
                  </w:tcBorders>
                  <w:shd w:val="clear" w:color="auto" w:fill="FFFFFF"/>
                  <w:vAlign w:val="center"/>
                </w:tcPr>
                <w:p w:rsidR="00762D9F" w:rsidRPr="00A7020E" w:rsidRDefault="00762D9F" w:rsidP="00762D9F">
                  <w:pPr>
                    <w:autoSpaceDE w:val="0"/>
                    <w:autoSpaceDN w:val="0"/>
                    <w:adjustRightInd w:val="0"/>
                    <w:spacing w:after="0" w:line="240" w:lineRule="auto"/>
                    <w:ind w:left="60" w:right="60"/>
                    <w:rPr>
                      <w:rFonts w:ascii="Arial" w:hAnsi="Arial" w:cs="Arial"/>
                      <w:color w:val="000000"/>
                      <w:sz w:val="18"/>
                      <w:szCs w:val="18"/>
                    </w:rPr>
                  </w:pPr>
                  <w:r w:rsidRPr="00A7020E">
                    <w:rPr>
                      <w:rFonts w:ascii="Arial" w:hAnsi="Arial" w:cs="Arial"/>
                      <w:color w:val="000000"/>
                      <w:sz w:val="18"/>
                      <w:szCs w:val="18"/>
                    </w:rPr>
                    <w:t>Rendimiento Neto</w:t>
                  </w:r>
                </w:p>
              </w:tc>
              <w:tc>
                <w:tcPr>
                  <w:tcW w:w="0" w:type="auto"/>
                  <w:tcBorders>
                    <w:top w:val="nil"/>
                    <w:left w:val="nil"/>
                    <w:bottom w:val="nil"/>
                    <w:right w:val="single" w:sz="16" w:space="0" w:color="000000"/>
                  </w:tcBorders>
                  <w:shd w:val="clear" w:color="auto" w:fill="FFFFFF"/>
                  <w:vAlign w:val="center"/>
                </w:tcPr>
                <w:p w:rsidR="00762D9F" w:rsidRPr="00A7020E" w:rsidRDefault="00762D9F" w:rsidP="00762D9F">
                  <w:pPr>
                    <w:autoSpaceDE w:val="0"/>
                    <w:autoSpaceDN w:val="0"/>
                    <w:adjustRightInd w:val="0"/>
                    <w:spacing w:after="0" w:line="240" w:lineRule="auto"/>
                    <w:ind w:left="60" w:right="60"/>
                    <w:rPr>
                      <w:rFonts w:ascii="Arial" w:hAnsi="Arial" w:cs="Arial"/>
                      <w:color w:val="000000"/>
                      <w:sz w:val="18"/>
                      <w:szCs w:val="18"/>
                    </w:rPr>
                  </w:pPr>
                  <w:r w:rsidRPr="00A7020E">
                    <w:rPr>
                      <w:rFonts w:ascii="Arial" w:hAnsi="Arial" w:cs="Arial"/>
                      <w:color w:val="000000"/>
                      <w:sz w:val="18"/>
                      <w:szCs w:val="18"/>
                    </w:rPr>
                    <w:t>Correlación de Pearson</w:t>
                  </w:r>
                </w:p>
              </w:tc>
              <w:tc>
                <w:tcPr>
                  <w:tcW w:w="0" w:type="auto"/>
                  <w:tcBorders>
                    <w:top w:val="nil"/>
                    <w:left w:val="single" w:sz="16" w:space="0" w:color="000000"/>
                    <w:bottom w:val="nil"/>
                  </w:tcBorders>
                  <w:shd w:val="clear" w:color="auto" w:fill="FFFFFF"/>
                  <w:vAlign w:val="center"/>
                </w:tcPr>
                <w:p w:rsidR="00762D9F" w:rsidRPr="00A7020E"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A7020E">
                    <w:rPr>
                      <w:rFonts w:ascii="Arial" w:hAnsi="Arial" w:cs="Arial"/>
                      <w:color w:val="000000"/>
                      <w:sz w:val="18"/>
                      <w:szCs w:val="18"/>
                    </w:rPr>
                    <w:t>-.269</w:t>
                  </w:r>
                </w:p>
              </w:tc>
              <w:tc>
                <w:tcPr>
                  <w:tcW w:w="0" w:type="auto"/>
                  <w:tcBorders>
                    <w:top w:val="nil"/>
                    <w:bottom w:val="nil"/>
                    <w:right w:val="single" w:sz="16" w:space="0" w:color="000000"/>
                  </w:tcBorders>
                  <w:shd w:val="clear" w:color="auto" w:fill="FFFFFF"/>
                  <w:vAlign w:val="center"/>
                </w:tcPr>
                <w:p w:rsidR="00762D9F" w:rsidRPr="00A7020E"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A7020E">
                    <w:rPr>
                      <w:rFonts w:ascii="Arial" w:hAnsi="Arial" w:cs="Arial"/>
                      <w:color w:val="000000"/>
                      <w:sz w:val="18"/>
                      <w:szCs w:val="18"/>
                    </w:rPr>
                    <w:t>1</w:t>
                  </w:r>
                </w:p>
              </w:tc>
            </w:tr>
            <w:tr w:rsidR="00762D9F" w:rsidRPr="00A7020E" w:rsidTr="00762D9F">
              <w:trPr>
                <w:cantSplit/>
                <w:jc w:val="center"/>
              </w:trPr>
              <w:tc>
                <w:tcPr>
                  <w:tcW w:w="0" w:type="auto"/>
                  <w:vMerge/>
                  <w:tcBorders>
                    <w:top w:val="nil"/>
                    <w:left w:val="single" w:sz="16" w:space="0" w:color="000000"/>
                    <w:bottom w:val="single" w:sz="16" w:space="0" w:color="000000"/>
                    <w:right w:val="nil"/>
                  </w:tcBorders>
                  <w:shd w:val="clear" w:color="auto" w:fill="FFFFFF"/>
                  <w:vAlign w:val="center"/>
                </w:tcPr>
                <w:p w:rsidR="00762D9F" w:rsidRPr="00A7020E" w:rsidRDefault="00762D9F" w:rsidP="00762D9F">
                  <w:pPr>
                    <w:autoSpaceDE w:val="0"/>
                    <w:autoSpaceDN w:val="0"/>
                    <w:adjustRightInd w:val="0"/>
                    <w:spacing w:after="0" w:line="240" w:lineRule="auto"/>
                    <w:rPr>
                      <w:rFonts w:ascii="Arial" w:hAnsi="Arial" w:cs="Arial"/>
                      <w:color w:val="000000"/>
                      <w:sz w:val="18"/>
                      <w:szCs w:val="18"/>
                    </w:rPr>
                  </w:pPr>
                </w:p>
              </w:tc>
              <w:tc>
                <w:tcPr>
                  <w:tcW w:w="0" w:type="auto"/>
                  <w:tcBorders>
                    <w:top w:val="nil"/>
                    <w:left w:val="nil"/>
                    <w:bottom w:val="nil"/>
                    <w:right w:val="single" w:sz="16" w:space="0" w:color="000000"/>
                  </w:tcBorders>
                  <w:shd w:val="clear" w:color="auto" w:fill="FFFFFF"/>
                  <w:vAlign w:val="center"/>
                </w:tcPr>
                <w:p w:rsidR="00762D9F" w:rsidRPr="00A7020E" w:rsidRDefault="00762D9F" w:rsidP="00762D9F">
                  <w:pPr>
                    <w:autoSpaceDE w:val="0"/>
                    <w:autoSpaceDN w:val="0"/>
                    <w:adjustRightInd w:val="0"/>
                    <w:spacing w:after="0" w:line="240" w:lineRule="auto"/>
                    <w:ind w:left="60" w:right="60"/>
                    <w:rPr>
                      <w:rFonts w:ascii="Arial" w:hAnsi="Arial" w:cs="Arial"/>
                      <w:color w:val="000000"/>
                      <w:sz w:val="18"/>
                      <w:szCs w:val="18"/>
                    </w:rPr>
                  </w:pPr>
                  <w:r w:rsidRPr="00A7020E">
                    <w:rPr>
                      <w:rFonts w:ascii="Arial" w:hAnsi="Arial" w:cs="Arial"/>
                      <w:color w:val="000000"/>
                      <w:sz w:val="18"/>
                      <w:szCs w:val="18"/>
                    </w:rPr>
                    <w:t>Sig. (bilateral)</w:t>
                  </w:r>
                </w:p>
              </w:tc>
              <w:tc>
                <w:tcPr>
                  <w:tcW w:w="0" w:type="auto"/>
                  <w:tcBorders>
                    <w:top w:val="nil"/>
                    <w:left w:val="single" w:sz="16" w:space="0" w:color="000000"/>
                    <w:bottom w:val="nil"/>
                  </w:tcBorders>
                  <w:shd w:val="clear" w:color="auto" w:fill="FFFFFF"/>
                  <w:vAlign w:val="center"/>
                </w:tcPr>
                <w:p w:rsidR="00762D9F" w:rsidRPr="00A7020E"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A7020E">
                    <w:rPr>
                      <w:rFonts w:ascii="Arial" w:hAnsi="Arial" w:cs="Arial"/>
                      <w:color w:val="000000"/>
                      <w:sz w:val="18"/>
                      <w:szCs w:val="18"/>
                    </w:rPr>
                    <w:t>.333</w:t>
                  </w:r>
                </w:p>
              </w:tc>
              <w:tc>
                <w:tcPr>
                  <w:tcW w:w="0" w:type="auto"/>
                  <w:tcBorders>
                    <w:top w:val="nil"/>
                    <w:bottom w:val="nil"/>
                    <w:right w:val="single" w:sz="16" w:space="0" w:color="000000"/>
                  </w:tcBorders>
                  <w:shd w:val="clear" w:color="auto" w:fill="FFFFFF"/>
                </w:tcPr>
                <w:p w:rsidR="00762D9F" w:rsidRPr="00A7020E" w:rsidRDefault="00762D9F" w:rsidP="00762D9F">
                  <w:pPr>
                    <w:autoSpaceDE w:val="0"/>
                    <w:autoSpaceDN w:val="0"/>
                    <w:adjustRightInd w:val="0"/>
                    <w:spacing w:after="0" w:line="240" w:lineRule="auto"/>
                    <w:rPr>
                      <w:rFonts w:ascii="Times New Roman" w:hAnsi="Times New Roman" w:cs="Times New Roman"/>
                      <w:sz w:val="24"/>
                      <w:szCs w:val="24"/>
                    </w:rPr>
                  </w:pPr>
                </w:p>
              </w:tc>
            </w:tr>
            <w:tr w:rsidR="00762D9F" w:rsidRPr="00A7020E" w:rsidTr="00762D9F">
              <w:trPr>
                <w:cantSplit/>
                <w:jc w:val="center"/>
              </w:trPr>
              <w:tc>
                <w:tcPr>
                  <w:tcW w:w="0" w:type="auto"/>
                  <w:vMerge/>
                  <w:tcBorders>
                    <w:top w:val="nil"/>
                    <w:left w:val="single" w:sz="16" w:space="0" w:color="000000"/>
                    <w:bottom w:val="single" w:sz="16" w:space="0" w:color="000000"/>
                    <w:right w:val="nil"/>
                  </w:tcBorders>
                  <w:shd w:val="clear" w:color="auto" w:fill="FFFFFF"/>
                  <w:vAlign w:val="center"/>
                </w:tcPr>
                <w:p w:rsidR="00762D9F" w:rsidRPr="00A7020E" w:rsidRDefault="00762D9F" w:rsidP="00762D9F">
                  <w:pPr>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single" w:sz="16" w:space="0" w:color="000000"/>
                    <w:right w:val="single" w:sz="16" w:space="0" w:color="000000"/>
                  </w:tcBorders>
                  <w:shd w:val="clear" w:color="auto" w:fill="FFFFFF"/>
                  <w:vAlign w:val="center"/>
                </w:tcPr>
                <w:p w:rsidR="00762D9F" w:rsidRPr="00A7020E" w:rsidRDefault="00762D9F" w:rsidP="00762D9F">
                  <w:pPr>
                    <w:autoSpaceDE w:val="0"/>
                    <w:autoSpaceDN w:val="0"/>
                    <w:adjustRightInd w:val="0"/>
                    <w:spacing w:after="0" w:line="240" w:lineRule="auto"/>
                    <w:ind w:left="60" w:right="60"/>
                    <w:rPr>
                      <w:rFonts w:ascii="Arial" w:hAnsi="Arial" w:cs="Arial"/>
                      <w:color w:val="000000"/>
                      <w:sz w:val="18"/>
                      <w:szCs w:val="18"/>
                    </w:rPr>
                  </w:pPr>
                  <w:r w:rsidRPr="00A7020E">
                    <w:rPr>
                      <w:rFonts w:ascii="Arial" w:hAnsi="Arial" w:cs="Arial"/>
                      <w:color w:val="000000"/>
                      <w:sz w:val="18"/>
                      <w:szCs w:val="18"/>
                    </w:rPr>
                    <w:t>N</w:t>
                  </w:r>
                </w:p>
              </w:tc>
              <w:tc>
                <w:tcPr>
                  <w:tcW w:w="0" w:type="auto"/>
                  <w:tcBorders>
                    <w:top w:val="nil"/>
                    <w:left w:val="single" w:sz="16" w:space="0" w:color="000000"/>
                    <w:bottom w:val="single" w:sz="16" w:space="0" w:color="000000"/>
                  </w:tcBorders>
                  <w:shd w:val="clear" w:color="auto" w:fill="FFFFFF"/>
                  <w:vAlign w:val="center"/>
                </w:tcPr>
                <w:p w:rsidR="00762D9F" w:rsidRPr="00A7020E"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16</w:t>
                  </w:r>
                </w:p>
              </w:tc>
              <w:tc>
                <w:tcPr>
                  <w:tcW w:w="0" w:type="auto"/>
                  <w:tcBorders>
                    <w:top w:val="nil"/>
                    <w:bottom w:val="single" w:sz="16" w:space="0" w:color="000000"/>
                    <w:right w:val="single" w:sz="16" w:space="0" w:color="000000"/>
                  </w:tcBorders>
                  <w:shd w:val="clear" w:color="auto" w:fill="FFFFFF"/>
                  <w:vAlign w:val="center"/>
                </w:tcPr>
                <w:p w:rsidR="00762D9F" w:rsidRPr="00A7020E"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16</w:t>
                  </w:r>
                </w:p>
              </w:tc>
            </w:tr>
          </w:tbl>
          <w:p w:rsidR="00762D9F" w:rsidRDefault="00762D9F" w:rsidP="00762D9F"/>
        </w:tc>
      </w:tr>
      <w:tr w:rsidR="00762D9F" w:rsidTr="006454CE">
        <w:trPr>
          <w:jc w:val="center"/>
        </w:trPr>
        <w:tc>
          <w:tcPr>
            <w:tcW w:w="4133" w:type="dxa"/>
          </w:tcPr>
          <w:p w:rsidR="00762D9F" w:rsidRDefault="00762D9F" w:rsidP="00762D9F">
            <w:r>
              <w:rPr>
                <w:rFonts w:ascii="Times New Roman" w:hAnsi="Times New Roman" w:cs="Times New Roman"/>
                <w:noProof/>
                <w:sz w:val="24"/>
                <w:szCs w:val="24"/>
                <w:lang w:eastAsia="es-MX"/>
              </w:rPr>
              <w:drawing>
                <wp:inline distT="0" distB="0" distL="0" distR="0">
                  <wp:extent cx="2701082" cy="2160000"/>
                  <wp:effectExtent l="0" t="0" r="4445"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701082" cy="2160000"/>
                          </a:xfrm>
                          <a:prstGeom prst="rect">
                            <a:avLst/>
                          </a:prstGeom>
                          <a:noFill/>
                          <a:ln>
                            <a:noFill/>
                          </a:ln>
                        </pic:spPr>
                      </pic:pic>
                    </a:graphicData>
                  </a:graphic>
                </wp:inline>
              </w:drawing>
            </w:r>
          </w:p>
        </w:tc>
        <w:tc>
          <w:tcPr>
            <w:tcW w:w="4793" w:type="dxa"/>
          </w:tcPr>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172"/>
              <w:gridCol w:w="1091"/>
              <w:gridCol w:w="1017"/>
              <w:gridCol w:w="1174"/>
            </w:tblGrid>
            <w:tr w:rsidR="00762D9F" w:rsidRPr="00BE7B66" w:rsidTr="00762D9F">
              <w:trPr>
                <w:cantSplit/>
              </w:trPr>
              <w:tc>
                <w:tcPr>
                  <w:tcW w:w="0" w:type="auto"/>
                  <w:gridSpan w:val="4"/>
                  <w:tcBorders>
                    <w:top w:val="nil"/>
                    <w:left w:val="nil"/>
                    <w:bottom w:val="nil"/>
                    <w:right w:val="nil"/>
                  </w:tcBorders>
                  <w:shd w:val="clear" w:color="auto" w:fill="FFFFFF"/>
                </w:tcPr>
                <w:p w:rsidR="00762D9F" w:rsidRPr="00BE7B66" w:rsidRDefault="00762D9F" w:rsidP="00762D9F">
                  <w:pPr>
                    <w:autoSpaceDE w:val="0"/>
                    <w:autoSpaceDN w:val="0"/>
                    <w:adjustRightInd w:val="0"/>
                    <w:spacing w:after="0" w:line="240" w:lineRule="auto"/>
                    <w:ind w:left="60" w:right="60"/>
                    <w:jc w:val="center"/>
                    <w:rPr>
                      <w:rFonts w:ascii="Arial" w:hAnsi="Arial" w:cs="Arial"/>
                      <w:color w:val="000000"/>
                      <w:sz w:val="18"/>
                      <w:szCs w:val="18"/>
                    </w:rPr>
                  </w:pPr>
                  <w:r w:rsidRPr="00BE7B66">
                    <w:rPr>
                      <w:rFonts w:ascii="Arial" w:hAnsi="Arial" w:cs="Arial"/>
                      <w:b/>
                      <w:bCs/>
                      <w:color w:val="000000"/>
                      <w:sz w:val="18"/>
                      <w:szCs w:val="18"/>
                    </w:rPr>
                    <w:t>Correlaciones</w:t>
                  </w:r>
                  <w:r>
                    <w:rPr>
                      <w:rFonts w:ascii="Arial" w:hAnsi="Arial" w:cs="Arial"/>
                      <w:b/>
                      <w:bCs/>
                      <w:color w:val="000000"/>
                      <w:sz w:val="18"/>
                      <w:szCs w:val="18"/>
                    </w:rPr>
                    <w:t xml:space="preserve"> 2010</w:t>
                  </w:r>
                </w:p>
              </w:tc>
            </w:tr>
            <w:tr w:rsidR="00762D9F" w:rsidRPr="00BE7B66" w:rsidTr="00762D9F">
              <w:trPr>
                <w:cantSplit/>
              </w:trPr>
              <w:tc>
                <w:tcPr>
                  <w:tcW w:w="0" w:type="auto"/>
                  <w:gridSpan w:val="2"/>
                  <w:tcBorders>
                    <w:top w:val="single" w:sz="16" w:space="0" w:color="000000"/>
                    <w:left w:val="single" w:sz="16" w:space="0" w:color="000000"/>
                    <w:bottom w:val="single" w:sz="16" w:space="0" w:color="000000"/>
                    <w:right w:val="nil"/>
                  </w:tcBorders>
                  <w:shd w:val="clear" w:color="auto" w:fill="FFFFFF"/>
                </w:tcPr>
                <w:p w:rsidR="00762D9F" w:rsidRPr="00BE7B66" w:rsidRDefault="00762D9F" w:rsidP="00762D9F">
                  <w:pPr>
                    <w:autoSpaceDE w:val="0"/>
                    <w:autoSpaceDN w:val="0"/>
                    <w:adjustRightInd w:val="0"/>
                    <w:spacing w:after="0" w:line="240" w:lineRule="auto"/>
                    <w:ind w:left="60" w:right="60"/>
                    <w:rPr>
                      <w:rFonts w:ascii="Arial" w:hAnsi="Arial" w:cs="Arial"/>
                      <w:color w:val="000000"/>
                      <w:sz w:val="18"/>
                      <w:szCs w:val="18"/>
                    </w:rPr>
                  </w:pPr>
                </w:p>
              </w:tc>
              <w:tc>
                <w:tcPr>
                  <w:tcW w:w="0" w:type="auto"/>
                  <w:tcBorders>
                    <w:top w:val="single" w:sz="16" w:space="0" w:color="000000"/>
                    <w:left w:val="single" w:sz="16" w:space="0" w:color="000000"/>
                    <w:bottom w:val="single" w:sz="16" w:space="0" w:color="000000"/>
                  </w:tcBorders>
                  <w:shd w:val="clear" w:color="auto" w:fill="FFFFFF"/>
                </w:tcPr>
                <w:p w:rsidR="00762D9F" w:rsidRPr="00BE7B66" w:rsidRDefault="00762D9F" w:rsidP="00762D9F">
                  <w:pPr>
                    <w:autoSpaceDE w:val="0"/>
                    <w:autoSpaceDN w:val="0"/>
                    <w:adjustRightInd w:val="0"/>
                    <w:spacing w:after="0" w:line="240" w:lineRule="auto"/>
                    <w:ind w:left="60" w:right="60"/>
                    <w:jc w:val="center"/>
                    <w:rPr>
                      <w:rFonts w:ascii="Arial" w:hAnsi="Arial" w:cs="Arial"/>
                      <w:color w:val="000000"/>
                      <w:sz w:val="18"/>
                      <w:szCs w:val="18"/>
                    </w:rPr>
                  </w:pPr>
                  <w:r w:rsidRPr="00BE7B66">
                    <w:rPr>
                      <w:rFonts w:ascii="Arial" w:hAnsi="Arial" w:cs="Arial"/>
                      <w:color w:val="000000"/>
                      <w:sz w:val="18"/>
                      <w:szCs w:val="18"/>
                    </w:rPr>
                    <w:t>Traspasos Recibidos</w:t>
                  </w:r>
                </w:p>
              </w:tc>
              <w:tc>
                <w:tcPr>
                  <w:tcW w:w="0" w:type="auto"/>
                  <w:tcBorders>
                    <w:top w:val="single" w:sz="16" w:space="0" w:color="000000"/>
                    <w:bottom w:val="single" w:sz="16" w:space="0" w:color="000000"/>
                    <w:right w:val="single" w:sz="16" w:space="0" w:color="000000"/>
                  </w:tcBorders>
                  <w:shd w:val="clear" w:color="auto" w:fill="FFFFFF"/>
                </w:tcPr>
                <w:p w:rsidR="00762D9F" w:rsidRPr="00BE7B66" w:rsidRDefault="00762D9F" w:rsidP="00762D9F">
                  <w:pPr>
                    <w:autoSpaceDE w:val="0"/>
                    <w:autoSpaceDN w:val="0"/>
                    <w:adjustRightInd w:val="0"/>
                    <w:spacing w:after="0" w:line="240" w:lineRule="auto"/>
                    <w:ind w:left="60" w:right="60"/>
                    <w:jc w:val="center"/>
                    <w:rPr>
                      <w:rFonts w:ascii="Arial" w:hAnsi="Arial" w:cs="Arial"/>
                      <w:color w:val="000000"/>
                      <w:sz w:val="18"/>
                      <w:szCs w:val="18"/>
                    </w:rPr>
                  </w:pPr>
                  <w:r w:rsidRPr="00BE7B66">
                    <w:rPr>
                      <w:rFonts w:ascii="Arial" w:hAnsi="Arial" w:cs="Arial"/>
                      <w:color w:val="000000"/>
                      <w:sz w:val="18"/>
                      <w:szCs w:val="18"/>
                    </w:rPr>
                    <w:t>Rendimiento Neto</w:t>
                  </w:r>
                </w:p>
              </w:tc>
            </w:tr>
            <w:tr w:rsidR="00762D9F" w:rsidRPr="00BE7B66" w:rsidTr="00762D9F">
              <w:trPr>
                <w:cantSplit/>
              </w:trPr>
              <w:tc>
                <w:tcPr>
                  <w:tcW w:w="0" w:type="auto"/>
                  <w:vMerge w:val="restart"/>
                  <w:tcBorders>
                    <w:top w:val="single" w:sz="16" w:space="0" w:color="000000"/>
                    <w:left w:val="single" w:sz="16" w:space="0" w:color="000000"/>
                    <w:bottom w:val="nil"/>
                    <w:right w:val="nil"/>
                  </w:tcBorders>
                  <w:shd w:val="clear" w:color="auto" w:fill="FFFFFF"/>
                  <w:vAlign w:val="center"/>
                </w:tcPr>
                <w:p w:rsidR="00762D9F" w:rsidRPr="00BE7B66" w:rsidRDefault="00762D9F" w:rsidP="00762D9F">
                  <w:pPr>
                    <w:autoSpaceDE w:val="0"/>
                    <w:autoSpaceDN w:val="0"/>
                    <w:adjustRightInd w:val="0"/>
                    <w:spacing w:after="0" w:line="240" w:lineRule="auto"/>
                    <w:ind w:left="60" w:right="60"/>
                    <w:rPr>
                      <w:rFonts w:ascii="Arial" w:hAnsi="Arial" w:cs="Arial"/>
                      <w:color w:val="000000"/>
                      <w:sz w:val="18"/>
                      <w:szCs w:val="18"/>
                    </w:rPr>
                  </w:pPr>
                  <w:r w:rsidRPr="00BE7B66">
                    <w:rPr>
                      <w:rFonts w:ascii="Arial" w:hAnsi="Arial" w:cs="Arial"/>
                      <w:color w:val="000000"/>
                      <w:sz w:val="18"/>
                      <w:szCs w:val="18"/>
                    </w:rPr>
                    <w:t>Traspasos Recibidos</w:t>
                  </w:r>
                </w:p>
              </w:tc>
              <w:tc>
                <w:tcPr>
                  <w:tcW w:w="0" w:type="auto"/>
                  <w:tcBorders>
                    <w:top w:val="single" w:sz="16" w:space="0" w:color="000000"/>
                    <w:left w:val="nil"/>
                    <w:bottom w:val="nil"/>
                    <w:right w:val="single" w:sz="16" w:space="0" w:color="000000"/>
                  </w:tcBorders>
                  <w:shd w:val="clear" w:color="auto" w:fill="FFFFFF"/>
                  <w:vAlign w:val="center"/>
                </w:tcPr>
                <w:p w:rsidR="00762D9F" w:rsidRPr="00BE7B66" w:rsidRDefault="00762D9F" w:rsidP="00762D9F">
                  <w:pPr>
                    <w:autoSpaceDE w:val="0"/>
                    <w:autoSpaceDN w:val="0"/>
                    <w:adjustRightInd w:val="0"/>
                    <w:spacing w:after="0" w:line="240" w:lineRule="auto"/>
                    <w:ind w:left="60" w:right="60"/>
                    <w:rPr>
                      <w:rFonts w:ascii="Arial" w:hAnsi="Arial" w:cs="Arial"/>
                      <w:color w:val="000000"/>
                      <w:sz w:val="18"/>
                      <w:szCs w:val="18"/>
                    </w:rPr>
                  </w:pPr>
                  <w:r w:rsidRPr="00BE7B66">
                    <w:rPr>
                      <w:rFonts w:ascii="Arial" w:hAnsi="Arial" w:cs="Arial"/>
                      <w:color w:val="000000"/>
                      <w:sz w:val="18"/>
                      <w:szCs w:val="18"/>
                    </w:rPr>
                    <w:t>Correlación de Pearson</w:t>
                  </w:r>
                </w:p>
              </w:tc>
              <w:tc>
                <w:tcPr>
                  <w:tcW w:w="0" w:type="auto"/>
                  <w:tcBorders>
                    <w:top w:val="single" w:sz="16" w:space="0" w:color="000000"/>
                    <w:left w:val="single" w:sz="16" w:space="0" w:color="000000"/>
                    <w:bottom w:val="nil"/>
                  </w:tcBorders>
                  <w:shd w:val="clear" w:color="auto" w:fill="FFFFFF"/>
                  <w:vAlign w:val="center"/>
                </w:tcPr>
                <w:p w:rsidR="00762D9F" w:rsidRPr="00BE7B66"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BE7B66">
                    <w:rPr>
                      <w:rFonts w:ascii="Arial" w:hAnsi="Arial" w:cs="Arial"/>
                      <w:color w:val="000000"/>
                      <w:sz w:val="18"/>
                      <w:szCs w:val="18"/>
                    </w:rPr>
                    <w:t>1</w:t>
                  </w:r>
                </w:p>
              </w:tc>
              <w:tc>
                <w:tcPr>
                  <w:tcW w:w="0" w:type="auto"/>
                  <w:tcBorders>
                    <w:top w:val="single" w:sz="16" w:space="0" w:color="000000"/>
                    <w:bottom w:val="nil"/>
                    <w:right w:val="single" w:sz="16" w:space="0" w:color="000000"/>
                  </w:tcBorders>
                  <w:shd w:val="clear" w:color="auto" w:fill="FFFFFF"/>
                  <w:vAlign w:val="center"/>
                </w:tcPr>
                <w:p w:rsidR="00762D9F" w:rsidRPr="00BE7B66"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BE7B66">
                    <w:rPr>
                      <w:rFonts w:ascii="Arial" w:hAnsi="Arial" w:cs="Arial"/>
                      <w:color w:val="000000"/>
                      <w:sz w:val="18"/>
                      <w:szCs w:val="18"/>
                    </w:rPr>
                    <w:t>.174</w:t>
                  </w:r>
                </w:p>
              </w:tc>
            </w:tr>
            <w:tr w:rsidR="00762D9F" w:rsidRPr="00BE7B66" w:rsidTr="00762D9F">
              <w:trPr>
                <w:cantSplit/>
              </w:trPr>
              <w:tc>
                <w:tcPr>
                  <w:tcW w:w="0" w:type="auto"/>
                  <w:vMerge/>
                  <w:tcBorders>
                    <w:top w:val="single" w:sz="16" w:space="0" w:color="000000"/>
                    <w:left w:val="single" w:sz="16" w:space="0" w:color="000000"/>
                    <w:bottom w:val="nil"/>
                    <w:right w:val="nil"/>
                  </w:tcBorders>
                  <w:shd w:val="clear" w:color="auto" w:fill="FFFFFF"/>
                  <w:vAlign w:val="center"/>
                </w:tcPr>
                <w:p w:rsidR="00762D9F" w:rsidRPr="00BE7B66" w:rsidRDefault="00762D9F" w:rsidP="00762D9F">
                  <w:pPr>
                    <w:autoSpaceDE w:val="0"/>
                    <w:autoSpaceDN w:val="0"/>
                    <w:adjustRightInd w:val="0"/>
                    <w:spacing w:after="0" w:line="240" w:lineRule="auto"/>
                    <w:rPr>
                      <w:rFonts w:ascii="Arial" w:hAnsi="Arial" w:cs="Arial"/>
                      <w:color w:val="000000"/>
                      <w:sz w:val="18"/>
                      <w:szCs w:val="18"/>
                    </w:rPr>
                  </w:pPr>
                </w:p>
              </w:tc>
              <w:tc>
                <w:tcPr>
                  <w:tcW w:w="0" w:type="auto"/>
                  <w:tcBorders>
                    <w:top w:val="nil"/>
                    <w:left w:val="nil"/>
                    <w:bottom w:val="nil"/>
                    <w:right w:val="single" w:sz="16" w:space="0" w:color="000000"/>
                  </w:tcBorders>
                  <w:shd w:val="clear" w:color="auto" w:fill="FFFFFF"/>
                  <w:vAlign w:val="center"/>
                </w:tcPr>
                <w:p w:rsidR="00762D9F" w:rsidRPr="00BE7B66" w:rsidRDefault="00762D9F" w:rsidP="00762D9F">
                  <w:pPr>
                    <w:autoSpaceDE w:val="0"/>
                    <w:autoSpaceDN w:val="0"/>
                    <w:adjustRightInd w:val="0"/>
                    <w:spacing w:after="0" w:line="240" w:lineRule="auto"/>
                    <w:ind w:left="60" w:right="60"/>
                    <w:rPr>
                      <w:rFonts w:ascii="Arial" w:hAnsi="Arial" w:cs="Arial"/>
                      <w:color w:val="000000"/>
                      <w:sz w:val="18"/>
                      <w:szCs w:val="18"/>
                    </w:rPr>
                  </w:pPr>
                  <w:r w:rsidRPr="00BE7B66">
                    <w:rPr>
                      <w:rFonts w:ascii="Arial" w:hAnsi="Arial" w:cs="Arial"/>
                      <w:color w:val="000000"/>
                      <w:sz w:val="18"/>
                      <w:szCs w:val="18"/>
                    </w:rPr>
                    <w:t>Sig. (bilateral)</w:t>
                  </w:r>
                </w:p>
              </w:tc>
              <w:tc>
                <w:tcPr>
                  <w:tcW w:w="0" w:type="auto"/>
                  <w:tcBorders>
                    <w:top w:val="nil"/>
                    <w:left w:val="single" w:sz="16" w:space="0" w:color="000000"/>
                    <w:bottom w:val="nil"/>
                  </w:tcBorders>
                  <w:shd w:val="clear" w:color="auto" w:fill="FFFFFF"/>
                </w:tcPr>
                <w:p w:rsidR="00762D9F" w:rsidRPr="00BE7B66" w:rsidRDefault="00762D9F" w:rsidP="00762D9F">
                  <w:pPr>
                    <w:autoSpaceDE w:val="0"/>
                    <w:autoSpaceDN w:val="0"/>
                    <w:adjustRightInd w:val="0"/>
                    <w:spacing w:after="0" w:line="240" w:lineRule="auto"/>
                    <w:rPr>
                      <w:rFonts w:ascii="Times New Roman" w:hAnsi="Times New Roman" w:cs="Times New Roman"/>
                      <w:sz w:val="24"/>
                      <w:szCs w:val="24"/>
                    </w:rPr>
                  </w:pPr>
                </w:p>
              </w:tc>
              <w:tc>
                <w:tcPr>
                  <w:tcW w:w="0" w:type="auto"/>
                  <w:tcBorders>
                    <w:top w:val="nil"/>
                    <w:bottom w:val="nil"/>
                    <w:right w:val="single" w:sz="16" w:space="0" w:color="000000"/>
                  </w:tcBorders>
                  <w:shd w:val="clear" w:color="auto" w:fill="FFFFFF"/>
                  <w:vAlign w:val="center"/>
                </w:tcPr>
                <w:p w:rsidR="00762D9F" w:rsidRPr="00BE7B66"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BE7B66">
                    <w:rPr>
                      <w:rFonts w:ascii="Arial" w:hAnsi="Arial" w:cs="Arial"/>
                      <w:color w:val="000000"/>
                      <w:sz w:val="18"/>
                      <w:szCs w:val="18"/>
                    </w:rPr>
                    <w:t>.551</w:t>
                  </w:r>
                </w:p>
              </w:tc>
            </w:tr>
            <w:tr w:rsidR="00762D9F" w:rsidRPr="00BE7B66" w:rsidTr="00762D9F">
              <w:trPr>
                <w:cantSplit/>
              </w:trPr>
              <w:tc>
                <w:tcPr>
                  <w:tcW w:w="0" w:type="auto"/>
                  <w:vMerge/>
                  <w:tcBorders>
                    <w:top w:val="single" w:sz="16" w:space="0" w:color="000000"/>
                    <w:left w:val="single" w:sz="16" w:space="0" w:color="000000"/>
                    <w:bottom w:val="nil"/>
                    <w:right w:val="nil"/>
                  </w:tcBorders>
                  <w:shd w:val="clear" w:color="auto" w:fill="FFFFFF"/>
                  <w:vAlign w:val="center"/>
                </w:tcPr>
                <w:p w:rsidR="00762D9F" w:rsidRPr="00BE7B66" w:rsidRDefault="00762D9F" w:rsidP="00762D9F">
                  <w:pPr>
                    <w:autoSpaceDE w:val="0"/>
                    <w:autoSpaceDN w:val="0"/>
                    <w:adjustRightInd w:val="0"/>
                    <w:spacing w:after="0" w:line="240" w:lineRule="auto"/>
                    <w:rPr>
                      <w:rFonts w:ascii="Arial" w:hAnsi="Arial" w:cs="Arial"/>
                      <w:color w:val="000000"/>
                      <w:sz w:val="18"/>
                      <w:szCs w:val="18"/>
                    </w:rPr>
                  </w:pPr>
                </w:p>
              </w:tc>
              <w:tc>
                <w:tcPr>
                  <w:tcW w:w="0" w:type="auto"/>
                  <w:tcBorders>
                    <w:top w:val="nil"/>
                    <w:left w:val="nil"/>
                    <w:bottom w:val="nil"/>
                    <w:right w:val="single" w:sz="16" w:space="0" w:color="000000"/>
                  </w:tcBorders>
                  <w:shd w:val="clear" w:color="auto" w:fill="FFFFFF"/>
                  <w:vAlign w:val="center"/>
                </w:tcPr>
                <w:p w:rsidR="00762D9F" w:rsidRPr="00BE7B66" w:rsidRDefault="00762D9F" w:rsidP="00762D9F">
                  <w:pPr>
                    <w:autoSpaceDE w:val="0"/>
                    <w:autoSpaceDN w:val="0"/>
                    <w:adjustRightInd w:val="0"/>
                    <w:spacing w:after="0" w:line="240" w:lineRule="auto"/>
                    <w:ind w:left="60" w:right="60"/>
                    <w:rPr>
                      <w:rFonts w:ascii="Arial" w:hAnsi="Arial" w:cs="Arial"/>
                      <w:color w:val="000000"/>
                      <w:sz w:val="18"/>
                      <w:szCs w:val="18"/>
                    </w:rPr>
                  </w:pPr>
                  <w:r w:rsidRPr="00BE7B66">
                    <w:rPr>
                      <w:rFonts w:ascii="Arial" w:hAnsi="Arial" w:cs="Arial"/>
                      <w:color w:val="000000"/>
                      <w:sz w:val="18"/>
                      <w:szCs w:val="18"/>
                    </w:rPr>
                    <w:t>N</w:t>
                  </w:r>
                </w:p>
              </w:tc>
              <w:tc>
                <w:tcPr>
                  <w:tcW w:w="0" w:type="auto"/>
                  <w:tcBorders>
                    <w:top w:val="nil"/>
                    <w:left w:val="single" w:sz="16" w:space="0" w:color="000000"/>
                    <w:bottom w:val="nil"/>
                  </w:tcBorders>
                  <w:shd w:val="clear" w:color="auto" w:fill="FFFFFF"/>
                  <w:vAlign w:val="center"/>
                </w:tcPr>
                <w:p w:rsidR="00762D9F" w:rsidRPr="00BE7B66"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15</w:t>
                  </w:r>
                </w:p>
              </w:tc>
              <w:tc>
                <w:tcPr>
                  <w:tcW w:w="0" w:type="auto"/>
                  <w:tcBorders>
                    <w:top w:val="nil"/>
                    <w:bottom w:val="nil"/>
                    <w:right w:val="single" w:sz="16" w:space="0" w:color="000000"/>
                  </w:tcBorders>
                  <w:shd w:val="clear" w:color="auto" w:fill="FFFFFF"/>
                  <w:vAlign w:val="center"/>
                </w:tcPr>
                <w:p w:rsidR="00762D9F" w:rsidRPr="00BE7B66"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15</w:t>
                  </w:r>
                </w:p>
              </w:tc>
            </w:tr>
            <w:tr w:rsidR="00762D9F" w:rsidRPr="00BE7B66" w:rsidTr="00762D9F">
              <w:trPr>
                <w:cantSplit/>
              </w:trPr>
              <w:tc>
                <w:tcPr>
                  <w:tcW w:w="0" w:type="auto"/>
                  <w:vMerge w:val="restart"/>
                  <w:tcBorders>
                    <w:top w:val="nil"/>
                    <w:left w:val="single" w:sz="16" w:space="0" w:color="000000"/>
                    <w:bottom w:val="single" w:sz="16" w:space="0" w:color="000000"/>
                    <w:right w:val="nil"/>
                  </w:tcBorders>
                  <w:shd w:val="clear" w:color="auto" w:fill="FFFFFF"/>
                  <w:vAlign w:val="center"/>
                </w:tcPr>
                <w:p w:rsidR="00762D9F" w:rsidRPr="00BE7B66" w:rsidRDefault="00762D9F" w:rsidP="00762D9F">
                  <w:pPr>
                    <w:autoSpaceDE w:val="0"/>
                    <w:autoSpaceDN w:val="0"/>
                    <w:adjustRightInd w:val="0"/>
                    <w:spacing w:after="0" w:line="240" w:lineRule="auto"/>
                    <w:ind w:left="60" w:right="60"/>
                    <w:rPr>
                      <w:rFonts w:ascii="Arial" w:hAnsi="Arial" w:cs="Arial"/>
                      <w:color w:val="000000"/>
                      <w:sz w:val="18"/>
                      <w:szCs w:val="18"/>
                    </w:rPr>
                  </w:pPr>
                  <w:r w:rsidRPr="00BE7B66">
                    <w:rPr>
                      <w:rFonts w:ascii="Arial" w:hAnsi="Arial" w:cs="Arial"/>
                      <w:color w:val="000000"/>
                      <w:sz w:val="18"/>
                      <w:szCs w:val="18"/>
                    </w:rPr>
                    <w:t>Rendimiento Neto</w:t>
                  </w:r>
                </w:p>
              </w:tc>
              <w:tc>
                <w:tcPr>
                  <w:tcW w:w="0" w:type="auto"/>
                  <w:tcBorders>
                    <w:top w:val="nil"/>
                    <w:left w:val="nil"/>
                    <w:bottom w:val="nil"/>
                    <w:right w:val="single" w:sz="16" w:space="0" w:color="000000"/>
                  </w:tcBorders>
                  <w:shd w:val="clear" w:color="auto" w:fill="FFFFFF"/>
                  <w:vAlign w:val="center"/>
                </w:tcPr>
                <w:p w:rsidR="00762D9F" w:rsidRPr="00BE7B66" w:rsidRDefault="00762D9F" w:rsidP="00762D9F">
                  <w:pPr>
                    <w:autoSpaceDE w:val="0"/>
                    <w:autoSpaceDN w:val="0"/>
                    <w:adjustRightInd w:val="0"/>
                    <w:spacing w:after="0" w:line="240" w:lineRule="auto"/>
                    <w:ind w:left="60" w:right="60"/>
                    <w:rPr>
                      <w:rFonts w:ascii="Arial" w:hAnsi="Arial" w:cs="Arial"/>
                      <w:color w:val="000000"/>
                      <w:sz w:val="18"/>
                      <w:szCs w:val="18"/>
                    </w:rPr>
                  </w:pPr>
                  <w:r w:rsidRPr="00BE7B66">
                    <w:rPr>
                      <w:rFonts w:ascii="Arial" w:hAnsi="Arial" w:cs="Arial"/>
                      <w:color w:val="000000"/>
                      <w:sz w:val="18"/>
                      <w:szCs w:val="18"/>
                    </w:rPr>
                    <w:t>Correlación de Pearson</w:t>
                  </w:r>
                </w:p>
              </w:tc>
              <w:tc>
                <w:tcPr>
                  <w:tcW w:w="0" w:type="auto"/>
                  <w:tcBorders>
                    <w:top w:val="nil"/>
                    <w:left w:val="single" w:sz="16" w:space="0" w:color="000000"/>
                    <w:bottom w:val="nil"/>
                  </w:tcBorders>
                  <w:shd w:val="clear" w:color="auto" w:fill="FFFFFF"/>
                  <w:vAlign w:val="center"/>
                </w:tcPr>
                <w:p w:rsidR="00762D9F" w:rsidRPr="00BE7B66"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BE7B66">
                    <w:rPr>
                      <w:rFonts w:ascii="Arial" w:hAnsi="Arial" w:cs="Arial"/>
                      <w:color w:val="000000"/>
                      <w:sz w:val="18"/>
                      <w:szCs w:val="18"/>
                    </w:rPr>
                    <w:t>.174</w:t>
                  </w:r>
                </w:p>
              </w:tc>
              <w:tc>
                <w:tcPr>
                  <w:tcW w:w="0" w:type="auto"/>
                  <w:tcBorders>
                    <w:top w:val="nil"/>
                    <w:bottom w:val="nil"/>
                    <w:right w:val="single" w:sz="16" w:space="0" w:color="000000"/>
                  </w:tcBorders>
                  <w:shd w:val="clear" w:color="auto" w:fill="FFFFFF"/>
                  <w:vAlign w:val="center"/>
                </w:tcPr>
                <w:p w:rsidR="00762D9F" w:rsidRPr="00BE7B66"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BE7B66">
                    <w:rPr>
                      <w:rFonts w:ascii="Arial" w:hAnsi="Arial" w:cs="Arial"/>
                      <w:color w:val="000000"/>
                      <w:sz w:val="18"/>
                      <w:szCs w:val="18"/>
                    </w:rPr>
                    <w:t>1</w:t>
                  </w:r>
                </w:p>
              </w:tc>
            </w:tr>
            <w:tr w:rsidR="00762D9F" w:rsidRPr="00BE7B66" w:rsidTr="00762D9F">
              <w:trPr>
                <w:cantSplit/>
              </w:trPr>
              <w:tc>
                <w:tcPr>
                  <w:tcW w:w="0" w:type="auto"/>
                  <w:vMerge/>
                  <w:tcBorders>
                    <w:top w:val="nil"/>
                    <w:left w:val="single" w:sz="16" w:space="0" w:color="000000"/>
                    <w:bottom w:val="single" w:sz="16" w:space="0" w:color="000000"/>
                    <w:right w:val="nil"/>
                  </w:tcBorders>
                  <w:shd w:val="clear" w:color="auto" w:fill="FFFFFF"/>
                  <w:vAlign w:val="center"/>
                </w:tcPr>
                <w:p w:rsidR="00762D9F" w:rsidRPr="00BE7B66" w:rsidRDefault="00762D9F" w:rsidP="00762D9F">
                  <w:pPr>
                    <w:autoSpaceDE w:val="0"/>
                    <w:autoSpaceDN w:val="0"/>
                    <w:adjustRightInd w:val="0"/>
                    <w:spacing w:after="0" w:line="240" w:lineRule="auto"/>
                    <w:rPr>
                      <w:rFonts w:ascii="Arial" w:hAnsi="Arial" w:cs="Arial"/>
                      <w:color w:val="000000"/>
                      <w:sz w:val="18"/>
                      <w:szCs w:val="18"/>
                    </w:rPr>
                  </w:pPr>
                </w:p>
              </w:tc>
              <w:tc>
                <w:tcPr>
                  <w:tcW w:w="0" w:type="auto"/>
                  <w:tcBorders>
                    <w:top w:val="nil"/>
                    <w:left w:val="nil"/>
                    <w:bottom w:val="nil"/>
                    <w:right w:val="single" w:sz="16" w:space="0" w:color="000000"/>
                  </w:tcBorders>
                  <w:shd w:val="clear" w:color="auto" w:fill="FFFFFF"/>
                  <w:vAlign w:val="center"/>
                </w:tcPr>
                <w:p w:rsidR="00762D9F" w:rsidRPr="00BE7B66" w:rsidRDefault="00762D9F" w:rsidP="00762D9F">
                  <w:pPr>
                    <w:autoSpaceDE w:val="0"/>
                    <w:autoSpaceDN w:val="0"/>
                    <w:adjustRightInd w:val="0"/>
                    <w:spacing w:after="0" w:line="240" w:lineRule="auto"/>
                    <w:ind w:left="60" w:right="60"/>
                    <w:rPr>
                      <w:rFonts w:ascii="Arial" w:hAnsi="Arial" w:cs="Arial"/>
                      <w:color w:val="000000"/>
                      <w:sz w:val="18"/>
                      <w:szCs w:val="18"/>
                    </w:rPr>
                  </w:pPr>
                  <w:r w:rsidRPr="00BE7B66">
                    <w:rPr>
                      <w:rFonts w:ascii="Arial" w:hAnsi="Arial" w:cs="Arial"/>
                      <w:color w:val="000000"/>
                      <w:sz w:val="18"/>
                      <w:szCs w:val="18"/>
                    </w:rPr>
                    <w:t>Sig. (bilateral)</w:t>
                  </w:r>
                </w:p>
              </w:tc>
              <w:tc>
                <w:tcPr>
                  <w:tcW w:w="0" w:type="auto"/>
                  <w:tcBorders>
                    <w:top w:val="nil"/>
                    <w:left w:val="single" w:sz="16" w:space="0" w:color="000000"/>
                    <w:bottom w:val="nil"/>
                  </w:tcBorders>
                  <w:shd w:val="clear" w:color="auto" w:fill="FFFFFF"/>
                  <w:vAlign w:val="center"/>
                </w:tcPr>
                <w:p w:rsidR="00762D9F" w:rsidRPr="00BE7B66"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BE7B66">
                    <w:rPr>
                      <w:rFonts w:ascii="Arial" w:hAnsi="Arial" w:cs="Arial"/>
                      <w:color w:val="000000"/>
                      <w:sz w:val="18"/>
                      <w:szCs w:val="18"/>
                    </w:rPr>
                    <w:t>.551</w:t>
                  </w:r>
                </w:p>
              </w:tc>
              <w:tc>
                <w:tcPr>
                  <w:tcW w:w="0" w:type="auto"/>
                  <w:tcBorders>
                    <w:top w:val="nil"/>
                    <w:bottom w:val="nil"/>
                    <w:right w:val="single" w:sz="16" w:space="0" w:color="000000"/>
                  </w:tcBorders>
                  <w:shd w:val="clear" w:color="auto" w:fill="FFFFFF"/>
                </w:tcPr>
                <w:p w:rsidR="00762D9F" w:rsidRPr="00BE7B66" w:rsidRDefault="00762D9F" w:rsidP="00762D9F">
                  <w:pPr>
                    <w:autoSpaceDE w:val="0"/>
                    <w:autoSpaceDN w:val="0"/>
                    <w:adjustRightInd w:val="0"/>
                    <w:spacing w:after="0" w:line="240" w:lineRule="auto"/>
                    <w:rPr>
                      <w:rFonts w:ascii="Times New Roman" w:hAnsi="Times New Roman" w:cs="Times New Roman"/>
                      <w:sz w:val="24"/>
                      <w:szCs w:val="24"/>
                    </w:rPr>
                  </w:pPr>
                </w:p>
              </w:tc>
            </w:tr>
            <w:tr w:rsidR="00762D9F" w:rsidRPr="00BE7B66" w:rsidTr="00762D9F">
              <w:trPr>
                <w:cantSplit/>
              </w:trPr>
              <w:tc>
                <w:tcPr>
                  <w:tcW w:w="0" w:type="auto"/>
                  <w:vMerge/>
                  <w:tcBorders>
                    <w:top w:val="nil"/>
                    <w:left w:val="single" w:sz="16" w:space="0" w:color="000000"/>
                    <w:bottom w:val="single" w:sz="16" w:space="0" w:color="000000"/>
                    <w:right w:val="nil"/>
                  </w:tcBorders>
                  <w:shd w:val="clear" w:color="auto" w:fill="FFFFFF"/>
                  <w:vAlign w:val="center"/>
                </w:tcPr>
                <w:p w:rsidR="00762D9F" w:rsidRPr="00BE7B66" w:rsidRDefault="00762D9F" w:rsidP="00762D9F">
                  <w:pPr>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single" w:sz="16" w:space="0" w:color="000000"/>
                    <w:right w:val="single" w:sz="16" w:space="0" w:color="000000"/>
                  </w:tcBorders>
                  <w:shd w:val="clear" w:color="auto" w:fill="FFFFFF"/>
                  <w:vAlign w:val="center"/>
                </w:tcPr>
                <w:p w:rsidR="00762D9F" w:rsidRPr="00BE7B66" w:rsidRDefault="00762D9F" w:rsidP="00762D9F">
                  <w:pPr>
                    <w:autoSpaceDE w:val="0"/>
                    <w:autoSpaceDN w:val="0"/>
                    <w:adjustRightInd w:val="0"/>
                    <w:spacing w:after="0" w:line="240" w:lineRule="auto"/>
                    <w:ind w:left="60" w:right="60"/>
                    <w:rPr>
                      <w:rFonts w:ascii="Arial" w:hAnsi="Arial" w:cs="Arial"/>
                      <w:color w:val="000000"/>
                      <w:sz w:val="18"/>
                      <w:szCs w:val="18"/>
                    </w:rPr>
                  </w:pPr>
                  <w:r w:rsidRPr="00BE7B66">
                    <w:rPr>
                      <w:rFonts w:ascii="Arial" w:hAnsi="Arial" w:cs="Arial"/>
                      <w:color w:val="000000"/>
                      <w:sz w:val="18"/>
                      <w:szCs w:val="18"/>
                    </w:rPr>
                    <w:t>N</w:t>
                  </w:r>
                </w:p>
              </w:tc>
              <w:tc>
                <w:tcPr>
                  <w:tcW w:w="0" w:type="auto"/>
                  <w:tcBorders>
                    <w:top w:val="nil"/>
                    <w:left w:val="single" w:sz="16" w:space="0" w:color="000000"/>
                    <w:bottom w:val="single" w:sz="16" w:space="0" w:color="000000"/>
                  </w:tcBorders>
                  <w:shd w:val="clear" w:color="auto" w:fill="FFFFFF"/>
                  <w:vAlign w:val="center"/>
                </w:tcPr>
                <w:p w:rsidR="00762D9F" w:rsidRPr="00BE7B66"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15</w:t>
                  </w:r>
                </w:p>
              </w:tc>
              <w:tc>
                <w:tcPr>
                  <w:tcW w:w="0" w:type="auto"/>
                  <w:tcBorders>
                    <w:top w:val="nil"/>
                    <w:bottom w:val="single" w:sz="16" w:space="0" w:color="000000"/>
                    <w:right w:val="single" w:sz="16" w:space="0" w:color="000000"/>
                  </w:tcBorders>
                  <w:shd w:val="clear" w:color="auto" w:fill="FFFFFF"/>
                  <w:vAlign w:val="center"/>
                </w:tcPr>
                <w:p w:rsidR="00762D9F" w:rsidRPr="00BE7B66"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15</w:t>
                  </w:r>
                </w:p>
              </w:tc>
            </w:tr>
          </w:tbl>
          <w:p w:rsidR="00762D9F" w:rsidRDefault="00762D9F" w:rsidP="00762D9F"/>
          <w:p w:rsidR="00762D9F" w:rsidRDefault="00762D9F" w:rsidP="00762D9F"/>
          <w:p w:rsidR="00762D9F" w:rsidRDefault="00762D9F" w:rsidP="00762D9F"/>
        </w:tc>
      </w:tr>
      <w:tr w:rsidR="00762D9F" w:rsidTr="006454CE">
        <w:trPr>
          <w:jc w:val="center"/>
        </w:trPr>
        <w:tc>
          <w:tcPr>
            <w:tcW w:w="4133" w:type="dxa"/>
          </w:tcPr>
          <w:p w:rsidR="00762D9F" w:rsidRDefault="00762D9F" w:rsidP="00762D9F">
            <w:r>
              <w:rPr>
                <w:rFonts w:ascii="Times New Roman" w:hAnsi="Times New Roman" w:cs="Times New Roman"/>
                <w:noProof/>
                <w:sz w:val="24"/>
                <w:szCs w:val="24"/>
                <w:lang w:eastAsia="es-MX"/>
              </w:rPr>
              <w:lastRenderedPageBreak/>
              <w:drawing>
                <wp:inline distT="0" distB="0" distL="0" distR="0">
                  <wp:extent cx="2495550" cy="2159635"/>
                  <wp:effectExtent l="0" t="0" r="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495550" cy="2159635"/>
                          </a:xfrm>
                          <a:prstGeom prst="rect">
                            <a:avLst/>
                          </a:prstGeom>
                          <a:noFill/>
                          <a:ln>
                            <a:noFill/>
                          </a:ln>
                        </pic:spPr>
                      </pic:pic>
                    </a:graphicData>
                  </a:graphic>
                </wp:inline>
              </w:drawing>
            </w:r>
          </w:p>
        </w:tc>
        <w:tc>
          <w:tcPr>
            <w:tcW w:w="4793" w:type="dxa"/>
          </w:tcPr>
          <w:tbl>
            <w:tblPr>
              <w:tblW w:w="43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151"/>
              <w:gridCol w:w="1085"/>
              <w:gridCol w:w="944"/>
              <w:gridCol w:w="1161"/>
            </w:tblGrid>
            <w:tr w:rsidR="00762D9F" w:rsidRPr="00D45E43" w:rsidTr="006C16CA">
              <w:trPr>
                <w:cantSplit/>
                <w:trHeight w:val="217"/>
              </w:trPr>
              <w:tc>
                <w:tcPr>
                  <w:tcW w:w="4341" w:type="dxa"/>
                  <w:gridSpan w:val="4"/>
                  <w:tcBorders>
                    <w:top w:val="nil"/>
                    <w:left w:val="nil"/>
                    <w:bottom w:val="nil"/>
                    <w:right w:val="nil"/>
                  </w:tcBorders>
                  <w:shd w:val="clear" w:color="auto" w:fill="FFFFFF"/>
                </w:tcPr>
                <w:p w:rsidR="00762D9F" w:rsidRPr="00D45E43" w:rsidRDefault="00762D9F" w:rsidP="005006D7">
                  <w:pPr>
                    <w:autoSpaceDE w:val="0"/>
                    <w:autoSpaceDN w:val="0"/>
                    <w:adjustRightInd w:val="0"/>
                    <w:spacing w:after="0" w:line="240" w:lineRule="auto"/>
                    <w:ind w:left="-153" w:right="60" w:firstLine="213"/>
                    <w:jc w:val="center"/>
                    <w:rPr>
                      <w:rFonts w:ascii="Arial" w:hAnsi="Arial" w:cs="Arial"/>
                      <w:color w:val="000000"/>
                      <w:sz w:val="18"/>
                      <w:szCs w:val="18"/>
                    </w:rPr>
                  </w:pPr>
                  <w:r w:rsidRPr="00D45E43">
                    <w:rPr>
                      <w:rFonts w:ascii="Arial" w:hAnsi="Arial" w:cs="Arial"/>
                      <w:b/>
                      <w:bCs/>
                      <w:color w:val="000000"/>
                      <w:sz w:val="18"/>
                      <w:szCs w:val="18"/>
                    </w:rPr>
                    <w:t>Correlaciones</w:t>
                  </w:r>
                  <w:r>
                    <w:rPr>
                      <w:rFonts w:ascii="Arial" w:hAnsi="Arial" w:cs="Arial"/>
                      <w:b/>
                      <w:bCs/>
                      <w:color w:val="000000"/>
                      <w:sz w:val="18"/>
                      <w:szCs w:val="18"/>
                    </w:rPr>
                    <w:t xml:space="preserve"> 2011</w:t>
                  </w:r>
                </w:p>
              </w:tc>
            </w:tr>
            <w:tr w:rsidR="00762D9F" w:rsidRPr="00D45E43" w:rsidTr="006C16CA">
              <w:trPr>
                <w:cantSplit/>
                <w:trHeight w:val="448"/>
              </w:trPr>
              <w:tc>
                <w:tcPr>
                  <w:tcW w:w="2255" w:type="dxa"/>
                  <w:gridSpan w:val="2"/>
                  <w:tcBorders>
                    <w:top w:val="single" w:sz="16" w:space="0" w:color="000000"/>
                    <w:left w:val="single" w:sz="16" w:space="0" w:color="000000"/>
                    <w:bottom w:val="single" w:sz="16" w:space="0" w:color="000000"/>
                    <w:right w:val="nil"/>
                  </w:tcBorders>
                  <w:shd w:val="clear" w:color="auto" w:fill="FFFFFF"/>
                </w:tcPr>
                <w:p w:rsidR="00762D9F" w:rsidRPr="00D45E43" w:rsidRDefault="00762D9F" w:rsidP="00762D9F">
                  <w:pPr>
                    <w:autoSpaceDE w:val="0"/>
                    <w:autoSpaceDN w:val="0"/>
                    <w:adjustRightInd w:val="0"/>
                    <w:spacing w:after="0" w:line="240" w:lineRule="auto"/>
                    <w:ind w:left="60" w:right="60"/>
                    <w:rPr>
                      <w:rFonts w:ascii="Arial" w:hAnsi="Arial" w:cs="Arial"/>
                      <w:color w:val="000000"/>
                      <w:sz w:val="18"/>
                      <w:szCs w:val="18"/>
                    </w:rPr>
                  </w:pPr>
                </w:p>
              </w:tc>
              <w:tc>
                <w:tcPr>
                  <w:tcW w:w="995" w:type="dxa"/>
                  <w:tcBorders>
                    <w:top w:val="single" w:sz="16" w:space="0" w:color="000000"/>
                    <w:left w:val="single" w:sz="16" w:space="0" w:color="000000"/>
                    <w:bottom w:val="single" w:sz="16" w:space="0" w:color="000000"/>
                  </w:tcBorders>
                  <w:shd w:val="clear" w:color="auto" w:fill="FFFFFF"/>
                </w:tcPr>
                <w:p w:rsidR="00762D9F" w:rsidRPr="00D45E43" w:rsidRDefault="00762D9F" w:rsidP="005006D7">
                  <w:pPr>
                    <w:autoSpaceDE w:val="0"/>
                    <w:autoSpaceDN w:val="0"/>
                    <w:adjustRightInd w:val="0"/>
                    <w:spacing w:after="0" w:line="240" w:lineRule="auto"/>
                    <w:ind w:right="60"/>
                    <w:rPr>
                      <w:rFonts w:ascii="Arial" w:hAnsi="Arial" w:cs="Arial"/>
                      <w:color w:val="000000"/>
                      <w:sz w:val="18"/>
                      <w:szCs w:val="18"/>
                    </w:rPr>
                  </w:pPr>
                  <w:r w:rsidRPr="00D45E43">
                    <w:rPr>
                      <w:rFonts w:ascii="Arial" w:hAnsi="Arial" w:cs="Arial"/>
                      <w:color w:val="000000"/>
                      <w:sz w:val="18"/>
                      <w:szCs w:val="18"/>
                    </w:rPr>
                    <w:t>Traspasos Recibidos</w:t>
                  </w:r>
                </w:p>
              </w:tc>
              <w:tc>
                <w:tcPr>
                  <w:tcW w:w="1091" w:type="dxa"/>
                  <w:tcBorders>
                    <w:top w:val="single" w:sz="16" w:space="0" w:color="000000"/>
                    <w:bottom w:val="single" w:sz="16" w:space="0" w:color="000000"/>
                    <w:right w:val="single" w:sz="16" w:space="0" w:color="000000"/>
                  </w:tcBorders>
                  <w:shd w:val="clear" w:color="auto" w:fill="FFFFFF"/>
                </w:tcPr>
                <w:p w:rsidR="00762D9F" w:rsidRPr="00D45E43" w:rsidRDefault="00762D9F" w:rsidP="00762D9F">
                  <w:pPr>
                    <w:autoSpaceDE w:val="0"/>
                    <w:autoSpaceDN w:val="0"/>
                    <w:adjustRightInd w:val="0"/>
                    <w:spacing w:after="0" w:line="240" w:lineRule="auto"/>
                    <w:ind w:left="60" w:right="60"/>
                    <w:jc w:val="center"/>
                    <w:rPr>
                      <w:rFonts w:ascii="Arial" w:hAnsi="Arial" w:cs="Arial"/>
                      <w:color w:val="000000"/>
                      <w:sz w:val="18"/>
                      <w:szCs w:val="18"/>
                    </w:rPr>
                  </w:pPr>
                  <w:r w:rsidRPr="00D45E43">
                    <w:rPr>
                      <w:rFonts w:ascii="Arial" w:hAnsi="Arial" w:cs="Arial"/>
                      <w:color w:val="000000"/>
                      <w:sz w:val="18"/>
                      <w:szCs w:val="18"/>
                    </w:rPr>
                    <w:t>Rendimiento Neto</w:t>
                  </w:r>
                </w:p>
              </w:tc>
            </w:tr>
            <w:tr w:rsidR="00762D9F" w:rsidRPr="00D45E43" w:rsidTr="006C16CA">
              <w:trPr>
                <w:cantSplit/>
                <w:trHeight w:val="448"/>
              </w:trPr>
              <w:tc>
                <w:tcPr>
                  <w:tcW w:w="1081" w:type="dxa"/>
                  <w:vMerge w:val="restart"/>
                  <w:tcBorders>
                    <w:top w:val="single" w:sz="16" w:space="0" w:color="000000"/>
                    <w:left w:val="single" w:sz="16" w:space="0" w:color="000000"/>
                    <w:bottom w:val="nil"/>
                    <w:right w:val="nil"/>
                  </w:tcBorders>
                  <w:shd w:val="clear" w:color="auto" w:fill="FFFFFF"/>
                  <w:vAlign w:val="center"/>
                </w:tcPr>
                <w:p w:rsidR="00762D9F" w:rsidRPr="00D45E43" w:rsidRDefault="00762D9F" w:rsidP="00762D9F">
                  <w:pPr>
                    <w:autoSpaceDE w:val="0"/>
                    <w:autoSpaceDN w:val="0"/>
                    <w:adjustRightInd w:val="0"/>
                    <w:spacing w:after="0" w:line="240" w:lineRule="auto"/>
                    <w:ind w:left="60" w:right="60"/>
                    <w:rPr>
                      <w:rFonts w:ascii="Arial" w:hAnsi="Arial" w:cs="Arial"/>
                      <w:color w:val="000000"/>
                      <w:sz w:val="18"/>
                      <w:szCs w:val="18"/>
                    </w:rPr>
                  </w:pPr>
                  <w:r w:rsidRPr="00D45E43">
                    <w:rPr>
                      <w:rFonts w:ascii="Arial" w:hAnsi="Arial" w:cs="Arial"/>
                      <w:color w:val="000000"/>
                      <w:sz w:val="18"/>
                      <w:szCs w:val="18"/>
                    </w:rPr>
                    <w:t>Traspasos Recibidos</w:t>
                  </w:r>
                </w:p>
              </w:tc>
              <w:tc>
                <w:tcPr>
                  <w:tcW w:w="1174" w:type="dxa"/>
                  <w:tcBorders>
                    <w:top w:val="single" w:sz="16" w:space="0" w:color="000000"/>
                    <w:left w:val="nil"/>
                    <w:bottom w:val="nil"/>
                    <w:right w:val="single" w:sz="16" w:space="0" w:color="000000"/>
                  </w:tcBorders>
                  <w:shd w:val="clear" w:color="auto" w:fill="FFFFFF"/>
                  <w:vAlign w:val="center"/>
                </w:tcPr>
                <w:p w:rsidR="00762D9F" w:rsidRPr="00D45E43" w:rsidRDefault="00762D9F" w:rsidP="002920C9">
                  <w:pPr>
                    <w:autoSpaceDE w:val="0"/>
                    <w:autoSpaceDN w:val="0"/>
                    <w:adjustRightInd w:val="0"/>
                    <w:spacing w:after="0" w:line="240" w:lineRule="auto"/>
                    <w:ind w:left="60" w:right="60" w:hanging="206"/>
                    <w:jc w:val="center"/>
                    <w:rPr>
                      <w:rFonts w:ascii="Arial" w:hAnsi="Arial" w:cs="Arial"/>
                      <w:color w:val="000000"/>
                      <w:sz w:val="18"/>
                      <w:szCs w:val="18"/>
                    </w:rPr>
                  </w:pPr>
                  <w:r w:rsidRPr="00D45E43">
                    <w:rPr>
                      <w:rFonts w:ascii="Arial" w:hAnsi="Arial" w:cs="Arial"/>
                      <w:color w:val="000000"/>
                      <w:sz w:val="18"/>
                      <w:szCs w:val="18"/>
                    </w:rPr>
                    <w:t>Correlación de Pearson</w:t>
                  </w:r>
                </w:p>
              </w:tc>
              <w:tc>
                <w:tcPr>
                  <w:tcW w:w="995" w:type="dxa"/>
                  <w:tcBorders>
                    <w:top w:val="single" w:sz="16" w:space="0" w:color="000000"/>
                    <w:left w:val="single" w:sz="16" w:space="0" w:color="000000"/>
                    <w:bottom w:val="nil"/>
                  </w:tcBorders>
                  <w:shd w:val="clear" w:color="auto" w:fill="FFFFFF"/>
                  <w:vAlign w:val="center"/>
                </w:tcPr>
                <w:p w:rsidR="00762D9F" w:rsidRPr="00D45E43" w:rsidRDefault="00762D9F" w:rsidP="005006D7">
                  <w:pPr>
                    <w:autoSpaceDE w:val="0"/>
                    <w:autoSpaceDN w:val="0"/>
                    <w:adjustRightInd w:val="0"/>
                    <w:spacing w:after="0" w:line="240" w:lineRule="auto"/>
                    <w:ind w:left="60" w:right="60"/>
                    <w:jc w:val="center"/>
                    <w:rPr>
                      <w:rFonts w:ascii="Arial" w:hAnsi="Arial" w:cs="Arial"/>
                      <w:color w:val="000000"/>
                      <w:sz w:val="18"/>
                      <w:szCs w:val="18"/>
                    </w:rPr>
                  </w:pPr>
                  <w:r w:rsidRPr="00D45E43">
                    <w:rPr>
                      <w:rFonts w:ascii="Arial" w:hAnsi="Arial" w:cs="Arial"/>
                      <w:color w:val="000000"/>
                      <w:sz w:val="18"/>
                      <w:szCs w:val="18"/>
                    </w:rPr>
                    <w:t>1</w:t>
                  </w:r>
                </w:p>
              </w:tc>
              <w:tc>
                <w:tcPr>
                  <w:tcW w:w="1091" w:type="dxa"/>
                  <w:tcBorders>
                    <w:top w:val="single" w:sz="16" w:space="0" w:color="000000"/>
                    <w:bottom w:val="nil"/>
                    <w:right w:val="single" w:sz="16" w:space="0" w:color="000000"/>
                  </w:tcBorders>
                  <w:shd w:val="clear" w:color="auto" w:fill="FFFFFF"/>
                  <w:vAlign w:val="center"/>
                </w:tcPr>
                <w:p w:rsidR="00762D9F" w:rsidRPr="00D45E43"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D45E43">
                    <w:rPr>
                      <w:rFonts w:ascii="Arial" w:hAnsi="Arial" w:cs="Arial"/>
                      <w:color w:val="000000"/>
                      <w:sz w:val="18"/>
                      <w:szCs w:val="18"/>
                    </w:rPr>
                    <w:t>.066</w:t>
                  </w:r>
                </w:p>
              </w:tc>
            </w:tr>
            <w:tr w:rsidR="00762D9F" w:rsidRPr="00D45E43" w:rsidTr="006C16CA">
              <w:trPr>
                <w:cantSplit/>
                <w:trHeight w:val="156"/>
              </w:trPr>
              <w:tc>
                <w:tcPr>
                  <w:tcW w:w="1081" w:type="dxa"/>
                  <w:vMerge/>
                  <w:tcBorders>
                    <w:top w:val="single" w:sz="16" w:space="0" w:color="000000"/>
                    <w:left w:val="single" w:sz="16" w:space="0" w:color="000000"/>
                    <w:bottom w:val="nil"/>
                    <w:right w:val="nil"/>
                  </w:tcBorders>
                  <w:shd w:val="clear" w:color="auto" w:fill="FFFFFF"/>
                  <w:vAlign w:val="center"/>
                </w:tcPr>
                <w:p w:rsidR="00762D9F" w:rsidRPr="00D45E43" w:rsidRDefault="00762D9F" w:rsidP="00762D9F">
                  <w:pPr>
                    <w:autoSpaceDE w:val="0"/>
                    <w:autoSpaceDN w:val="0"/>
                    <w:adjustRightInd w:val="0"/>
                    <w:spacing w:after="0" w:line="240" w:lineRule="auto"/>
                    <w:rPr>
                      <w:rFonts w:ascii="Arial" w:hAnsi="Arial" w:cs="Arial"/>
                      <w:color w:val="000000"/>
                      <w:sz w:val="18"/>
                      <w:szCs w:val="18"/>
                    </w:rPr>
                  </w:pPr>
                </w:p>
              </w:tc>
              <w:tc>
                <w:tcPr>
                  <w:tcW w:w="1174" w:type="dxa"/>
                  <w:tcBorders>
                    <w:top w:val="nil"/>
                    <w:left w:val="nil"/>
                    <w:bottom w:val="nil"/>
                    <w:right w:val="single" w:sz="16" w:space="0" w:color="000000"/>
                  </w:tcBorders>
                  <w:shd w:val="clear" w:color="auto" w:fill="FFFFFF"/>
                  <w:vAlign w:val="center"/>
                </w:tcPr>
                <w:p w:rsidR="00762D9F" w:rsidRPr="00D45E43" w:rsidRDefault="00762D9F" w:rsidP="00762D9F">
                  <w:pPr>
                    <w:autoSpaceDE w:val="0"/>
                    <w:autoSpaceDN w:val="0"/>
                    <w:adjustRightInd w:val="0"/>
                    <w:spacing w:after="0" w:line="240" w:lineRule="auto"/>
                    <w:ind w:left="60" w:right="60"/>
                    <w:rPr>
                      <w:rFonts w:ascii="Arial" w:hAnsi="Arial" w:cs="Arial"/>
                      <w:color w:val="000000"/>
                      <w:sz w:val="18"/>
                      <w:szCs w:val="18"/>
                    </w:rPr>
                  </w:pPr>
                  <w:r w:rsidRPr="00D45E43">
                    <w:rPr>
                      <w:rFonts w:ascii="Arial" w:hAnsi="Arial" w:cs="Arial"/>
                      <w:color w:val="000000"/>
                      <w:sz w:val="18"/>
                      <w:szCs w:val="18"/>
                    </w:rPr>
                    <w:t>Sig. (bilateral)</w:t>
                  </w:r>
                </w:p>
              </w:tc>
              <w:tc>
                <w:tcPr>
                  <w:tcW w:w="995" w:type="dxa"/>
                  <w:tcBorders>
                    <w:top w:val="nil"/>
                    <w:left w:val="single" w:sz="16" w:space="0" w:color="000000"/>
                    <w:bottom w:val="nil"/>
                  </w:tcBorders>
                  <w:shd w:val="clear" w:color="auto" w:fill="FFFFFF"/>
                </w:tcPr>
                <w:p w:rsidR="00762D9F" w:rsidRPr="00D45E43" w:rsidRDefault="00762D9F" w:rsidP="00762D9F">
                  <w:pPr>
                    <w:autoSpaceDE w:val="0"/>
                    <w:autoSpaceDN w:val="0"/>
                    <w:adjustRightInd w:val="0"/>
                    <w:spacing w:after="0" w:line="240" w:lineRule="auto"/>
                    <w:rPr>
                      <w:rFonts w:ascii="Times New Roman" w:hAnsi="Times New Roman" w:cs="Times New Roman"/>
                      <w:sz w:val="24"/>
                      <w:szCs w:val="24"/>
                    </w:rPr>
                  </w:pPr>
                </w:p>
              </w:tc>
              <w:tc>
                <w:tcPr>
                  <w:tcW w:w="1091" w:type="dxa"/>
                  <w:tcBorders>
                    <w:top w:val="nil"/>
                    <w:bottom w:val="nil"/>
                    <w:right w:val="single" w:sz="16" w:space="0" w:color="000000"/>
                  </w:tcBorders>
                  <w:shd w:val="clear" w:color="auto" w:fill="FFFFFF"/>
                  <w:vAlign w:val="center"/>
                </w:tcPr>
                <w:p w:rsidR="00762D9F" w:rsidRPr="00D45E43"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D45E43">
                    <w:rPr>
                      <w:rFonts w:ascii="Arial" w:hAnsi="Arial" w:cs="Arial"/>
                      <w:color w:val="000000"/>
                      <w:sz w:val="18"/>
                      <w:szCs w:val="18"/>
                    </w:rPr>
                    <w:t>.830</w:t>
                  </w:r>
                </w:p>
              </w:tc>
            </w:tr>
            <w:tr w:rsidR="00762D9F" w:rsidRPr="00D45E43" w:rsidTr="006C16CA">
              <w:trPr>
                <w:cantSplit/>
                <w:trHeight w:val="156"/>
              </w:trPr>
              <w:tc>
                <w:tcPr>
                  <w:tcW w:w="1081" w:type="dxa"/>
                  <w:vMerge/>
                  <w:tcBorders>
                    <w:top w:val="single" w:sz="16" w:space="0" w:color="000000"/>
                    <w:left w:val="single" w:sz="16" w:space="0" w:color="000000"/>
                    <w:bottom w:val="nil"/>
                    <w:right w:val="nil"/>
                  </w:tcBorders>
                  <w:shd w:val="clear" w:color="auto" w:fill="FFFFFF"/>
                  <w:vAlign w:val="center"/>
                </w:tcPr>
                <w:p w:rsidR="00762D9F" w:rsidRPr="00D45E43" w:rsidRDefault="00762D9F" w:rsidP="00762D9F">
                  <w:pPr>
                    <w:autoSpaceDE w:val="0"/>
                    <w:autoSpaceDN w:val="0"/>
                    <w:adjustRightInd w:val="0"/>
                    <w:spacing w:after="0" w:line="240" w:lineRule="auto"/>
                    <w:rPr>
                      <w:rFonts w:ascii="Arial" w:hAnsi="Arial" w:cs="Arial"/>
                      <w:color w:val="000000"/>
                      <w:sz w:val="18"/>
                      <w:szCs w:val="18"/>
                    </w:rPr>
                  </w:pPr>
                </w:p>
              </w:tc>
              <w:tc>
                <w:tcPr>
                  <w:tcW w:w="1174" w:type="dxa"/>
                  <w:tcBorders>
                    <w:top w:val="nil"/>
                    <w:left w:val="nil"/>
                    <w:bottom w:val="nil"/>
                    <w:right w:val="single" w:sz="16" w:space="0" w:color="000000"/>
                  </w:tcBorders>
                  <w:shd w:val="clear" w:color="auto" w:fill="FFFFFF"/>
                  <w:vAlign w:val="center"/>
                </w:tcPr>
                <w:p w:rsidR="00762D9F" w:rsidRPr="00D45E43" w:rsidRDefault="00762D9F" w:rsidP="00762D9F">
                  <w:pPr>
                    <w:autoSpaceDE w:val="0"/>
                    <w:autoSpaceDN w:val="0"/>
                    <w:adjustRightInd w:val="0"/>
                    <w:spacing w:after="0" w:line="240" w:lineRule="auto"/>
                    <w:ind w:left="60" w:right="60"/>
                    <w:rPr>
                      <w:rFonts w:ascii="Arial" w:hAnsi="Arial" w:cs="Arial"/>
                      <w:color w:val="000000"/>
                      <w:sz w:val="18"/>
                      <w:szCs w:val="18"/>
                    </w:rPr>
                  </w:pPr>
                  <w:r w:rsidRPr="00D45E43">
                    <w:rPr>
                      <w:rFonts w:ascii="Arial" w:hAnsi="Arial" w:cs="Arial"/>
                      <w:color w:val="000000"/>
                      <w:sz w:val="18"/>
                      <w:szCs w:val="18"/>
                    </w:rPr>
                    <w:t>N</w:t>
                  </w:r>
                </w:p>
              </w:tc>
              <w:tc>
                <w:tcPr>
                  <w:tcW w:w="995" w:type="dxa"/>
                  <w:tcBorders>
                    <w:top w:val="nil"/>
                    <w:left w:val="single" w:sz="16" w:space="0" w:color="000000"/>
                    <w:bottom w:val="nil"/>
                  </w:tcBorders>
                  <w:shd w:val="clear" w:color="auto" w:fill="FFFFFF"/>
                  <w:vAlign w:val="center"/>
                </w:tcPr>
                <w:p w:rsidR="00762D9F" w:rsidRPr="00D45E43"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14</w:t>
                  </w:r>
                </w:p>
              </w:tc>
              <w:tc>
                <w:tcPr>
                  <w:tcW w:w="1091" w:type="dxa"/>
                  <w:tcBorders>
                    <w:top w:val="nil"/>
                    <w:bottom w:val="nil"/>
                    <w:right w:val="single" w:sz="16" w:space="0" w:color="000000"/>
                  </w:tcBorders>
                  <w:shd w:val="clear" w:color="auto" w:fill="FFFFFF"/>
                  <w:vAlign w:val="center"/>
                </w:tcPr>
                <w:p w:rsidR="00762D9F" w:rsidRPr="00D45E43"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14</w:t>
                  </w:r>
                </w:p>
              </w:tc>
            </w:tr>
            <w:tr w:rsidR="00762D9F" w:rsidRPr="00D45E43" w:rsidTr="006C16CA">
              <w:trPr>
                <w:cantSplit/>
                <w:trHeight w:val="448"/>
              </w:trPr>
              <w:tc>
                <w:tcPr>
                  <w:tcW w:w="1081" w:type="dxa"/>
                  <w:vMerge w:val="restart"/>
                  <w:tcBorders>
                    <w:top w:val="nil"/>
                    <w:left w:val="single" w:sz="16" w:space="0" w:color="000000"/>
                    <w:bottom w:val="single" w:sz="16" w:space="0" w:color="000000"/>
                    <w:right w:val="nil"/>
                  </w:tcBorders>
                  <w:shd w:val="clear" w:color="auto" w:fill="FFFFFF"/>
                  <w:vAlign w:val="center"/>
                </w:tcPr>
                <w:p w:rsidR="00762D9F" w:rsidRPr="00D45E43" w:rsidRDefault="00762D9F" w:rsidP="00762D9F">
                  <w:pPr>
                    <w:autoSpaceDE w:val="0"/>
                    <w:autoSpaceDN w:val="0"/>
                    <w:adjustRightInd w:val="0"/>
                    <w:spacing w:after="0" w:line="240" w:lineRule="auto"/>
                    <w:ind w:left="60" w:right="60"/>
                    <w:rPr>
                      <w:rFonts w:ascii="Arial" w:hAnsi="Arial" w:cs="Arial"/>
                      <w:color w:val="000000"/>
                      <w:sz w:val="18"/>
                      <w:szCs w:val="18"/>
                    </w:rPr>
                  </w:pPr>
                  <w:r w:rsidRPr="00D45E43">
                    <w:rPr>
                      <w:rFonts w:ascii="Arial" w:hAnsi="Arial" w:cs="Arial"/>
                      <w:color w:val="000000"/>
                      <w:sz w:val="18"/>
                      <w:szCs w:val="18"/>
                    </w:rPr>
                    <w:t>Rendimiento Neto</w:t>
                  </w:r>
                </w:p>
              </w:tc>
              <w:tc>
                <w:tcPr>
                  <w:tcW w:w="1174" w:type="dxa"/>
                  <w:tcBorders>
                    <w:top w:val="nil"/>
                    <w:left w:val="nil"/>
                    <w:bottom w:val="nil"/>
                    <w:right w:val="single" w:sz="16" w:space="0" w:color="000000"/>
                  </w:tcBorders>
                  <w:shd w:val="clear" w:color="auto" w:fill="FFFFFF"/>
                  <w:vAlign w:val="center"/>
                </w:tcPr>
                <w:p w:rsidR="00762D9F" w:rsidRPr="00D45E43" w:rsidRDefault="00762D9F" w:rsidP="00762D9F">
                  <w:pPr>
                    <w:autoSpaceDE w:val="0"/>
                    <w:autoSpaceDN w:val="0"/>
                    <w:adjustRightInd w:val="0"/>
                    <w:spacing w:after="0" w:line="240" w:lineRule="auto"/>
                    <w:ind w:left="60" w:right="60"/>
                    <w:rPr>
                      <w:rFonts w:ascii="Arial" w:hAnsi="Arial" w:cs="Arial"/>
                      <w:color w:val="000000"/>
                      <w:sz w:val="18"/>
                      <w:szCs w:val="18"/>
                    </w:rPr>
                  </w:pPr>
                  <w:r w:rsidRPr="00D45E43">
                    <w:rPr>
                      <w:rFonts w:ascii="Arial" w:hAnsi="Arial" w:cs="Arial"/>
                      <w:color w:val="000000"/>
                      <w:sz w:val="18"/>
                      <w:szCs w:val="18"/>
                    </w:rPr>
                    <w:t>Correlación de Pearson</w:t>
                  </w:r>
                </w:p>
              </w:tc>
              <w:tc>
                <w:tcPr>
                  <w:tcW w:w="995" w:type="dxa"/>
                  <w:tcBorders>
                    <w:top w:val="nil"/>
                    <w:left w:val="single" w:sz="16" w:space="0" w:color="000000"/>
                    <w:bottom w:val="nil"/>
                  </w:tcBorders>
                  <w:shd w:val="clear" w:color="auto" w:fill="FFFFFF"/>
                  <w:vAlign w:val="center"/>
                </w:tcPr>
                <w:p w:rsidR="00762D9F" w:rsidRPr="00D45E43"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D45E43">
                    <w:rPr>
                      <w:rFonts w:ascii="Arial" w:hAnsi="Arial" w:cs="Arial"/>
                      <w:color w:val="000000"/>
                      <w:sz w:val="18"/>
                      <w:szCs w:val="18"/>
                    </w:rPr>
                    <w:t>.066</w:t>
                  </w:r>
                </w:p>
              </w:tc>
              <w:tc>
                <w:tcPr>
                  <w:tcW w:w="1091" w:type="dxa"/>
                  <w:tcBorders>
                    <w:top w:val="nil"/>
                    <w:bottom w:val="nil"/>
                    <w:right w:val="single" w:sz="16" w:space="0" w:color="000000"/>
                  </w:tcBorders>
                  <w:shd w:val="clear" w:color="auto" w:fill="FFFFFF"/>
                  <w:vAlign w:val="center"/>
                </w:tcPr>
                <w:p w:rsidR="00762D9F" w:rsidRPr="00D45E43"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D45E43">
                    <w:rPr>
                      <w:rFonts w:ascii="Arial" w:hAnsi="Arial" w:cs="Arial"/>
                      <w:color w:val="000000"/>
                      <w:sz w:val="18"/>
                      <w:szCs w:val="18"/>
                    </w:rPr>
                    <w:t>1</w:t>
                  </w:r>
                </w:p>
              </w:tc>
            </w:tr>
            <w:tr w:rsidR="00762D9F" w:rsidRPr="00D45E43" w:rsidTr="006C16CA">
              <w:trPr>
                <w:cantSplit/>
                <w:trHeight w:val="156"/>
              </w:trPr>
              <w:tc>
                <w:tcPr>
                  <w:tcW w:w="1081" w:type="dxa"/>
                  <w:vMerge/>
                  <w:tcBorders>
                    <w:top w:val="nil"/>
                    <w:left w:val="single" w:sz="16" w:space="0" w:color="000000"/>
                    <w:bottom w:val="single" w:sz="16" w:space="0" w:color="000000"/>
                    <w:right w:val="nil"/>
                  </w:tcBorders>
                  <w:shd w:val="clear" w:color="auto" w:fill="FFFFFF"/>
                  <w:vAlign w:val="center"/>
                </w:tcPr>
                <w:p w:rsidR="00762D9F" w:rsidRPr="00D45E43" w:rsidRDefault="00762D9F" w:rsidP="00762D9F">
                  <w:pPr>
                    <w:autoSpaceDE w:val="0"/>
                    <w:autoSpaceDN w:val="0"/>
                    <w:adjustRightInd w:val="0"/>
                    <w:spacing w:after="0" w:line="240" w:lineRule="auto"/>
                    <w:rPr>
                      <w:rFonts w:ascii="Arial" w:hAnsi="Arial" w:cs="Arial"/>
                      <w:color w:val="000000"/>
                      <w:sz w:val="18"/>
                      <w:szCs w:val="18"/>
                    </w:rPr>
                  </w:pPr>
                </w:p>
              </w:tc>
              <w:tc>
                <w:tcPr>
                  <w:tcW w:w="1174" w:type="dxa"/>
                  <w:tcBorders>
                    <w:top w:val="nil"/>
                    <w:left w:val="nil"/>
                    <w:bottom w:val="nil"/>
                    <w:right w:val="single" w:sz="16" w:space="0" w:color="000000"/>
                  </w:tcBorders>
                  <w:shd w:val="clear" w:color="auto" w:fill="FFFFFF"/>
                  <w:vAlign w:val="center"/>
                </w:tcPr>
                <w:p w:rsidR="00762D9F" w:rsidRPr="00D45E43" w:rsidRDefault="00762D9F" w:rsidP="00762D9F">
                  <w:pPr>
                    <w:autoSpaceDE w:val="0"/>
                    <w:autoSpaceDN w:val="0"/>
                    <w:adjustRightInd w:val="0"/>
                    <w:spacing w:after="0" w:line="240" w:lineRule="auto"/>
                    <w:ind w:left="60" w:right="60"/>
                    <w:rPr>
                      <w:rFonts w:ascii="Arial" w:hAnsi="Arial" w:cs="Arial"/>
                      <w:color w:val="000000"/>
                      <w:sz w:val="18"/>
                      <w:szCs w:val="18"/>
                    </w:rPr>
                  </w:pPr>
                  <w:r w:rsidRPr="00D45E43">
                    <w:rPr>
                      <w:rFonts w:ascii="Arial" w:hAnsi="Arial" w:cs="Arial"/>
                      <w:color w:val="000000"/>
                      <w:sz w:val="18"/>
                      <w:szCs w:val="18"/>
                    </w:rPr>
                    <w:t>Sig. (bilateral)</w:t>
                  </w:r>
                </w:p>
              </w:tc>
              <w:tc>
                <w:tcPr>
                  <w:tcW w:w="995" w:type="dxa"/>
                  <w:tcBorders>
                    <w:top w:val="nil"/>
                    <w:left w:val="single" w:sz="16" w:space="0" w:color="000000"/>
                    <w:bottom w:val="nil"/>
                  </w:tcBorders>
                  <w:shd w:val="clear" w:color="auto" w:fill="FFFFFF"/>
                  <w:vAlign w:val="center"/>
                </w:tcPr>
                <w:p w:rsidR="00762D9F" w:rsidRPr="00D45E43"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D45E43">
                    <w:rPr>
                      <w:rFonts w:ascii="Arial" w:hAnsi="Arial" w:cs="Arial"/>
                      <w:color w:val="000000"/>
                      <w:sz w:val="18"/>
                      <w:szCs w:val="18"/>
                    </w:rPr>
                    <w:t>.830</w:t>
                  </w:r>
                </w:p>
              </w:tc>
              <w:tc>
                <w:tcPr>
                  <w:tcW w:w="1091" w:type="dxa"/>
                  <w:tcBorders>
                    <w:top w:val="nil"/>
                    <w:bottom w:val="nil"/>
                    <w:right w:val="single" w:sz="16" w:space="0" w:color="000000"/>
                  </w:tcBorders>
                  <w:shd w:val="clear" w:color="auto" w:fill="FFFFFF"/>
                </w:tcPr>
                <w:p w:rsidR="00762D9F" w:rsidRPr="00D45E43" w:rsidRDefault="00762D9F" w:rsidP="00762D9F">
                  <w:pPr>
                    <w:autoSpaceDE w:val="0"/>
                    <w:autoSpaceDN w:val="0"/>
                    <w:adjustRightInd w:val="0"/>
                    <w:spacing w:after="0" w:line="240" w:lineRule="auto"/>
                    <w:rPr>
                      <w:rFonts w:ascii="Times New Roman" w:hAnsi="Times New Roman" w:cs="Times New Roman"/>
                      <w:sz w:val="24"/>
                      <w:szCs w:val="24"/>
                    </w:rPr>
                  </w:pPr>
                </w:p>
              </w:tc>
            </w:tr>
            <w:tr w:rsidR="00762D9F" w:rsidRPr="00D45E43" w:rsidTr="006C16CA">
              <w:trPr>
                <w:cantSplit/>
                <w:trHeight w:val="156"/>
              </w:trPr>
              <w:tc>
                <w:tcPr>
                  <w:tcW w:w="1081" w:type="dxa"/>
                  <w:vMerge/>
                  <w:tcBorders>
                    <w:top w:val="nil"/>
                    <w:left w:val="single" w:sz="16" w:space="0" w:color="000000"/>
                    <w:bottom w:val="single" w:sz="16" w:space="0" w:color="000000"/>
                    <w:right w:val="nil"/>
                  </w:tcBorders>
                  <w:shd w:val="clear" w:color="auto" w:fill="FFFFFF"/>
                  <w:vAlign w:val="center"/>
                </w:tcPr>
                <w:p w:rsidR="00762D9F" w:rsidRPr="00D45E43" w:rsidRDefault="00762D9F" w:rsidP="00762D9F">
                  <w:pPr>
                    <w:autoSpaceDE w:val="0"/>
                    <w:autoSpaceDN w:val="0"/>
                    <w:adjustRightInd w:val="0"/>
                    <w:spacing w:after="0" w:line="240" w:lineRule="auto"/>
                    <w:rPr>
                      <w:rFonts w:ascii="Times New Roman" w:hAnsi="Times New Roman" w:cs="Times New Roman"/>
                      <w:sz w:val="24"/>
                      <w:szCs w:val="24"/>
                    </w:rPr>
                  </w:pPr>
                </w:p>
              </w:tc>
              <w:tc>
                <w:tcPr>
                  <w:tcW w:w="1174" w:type="dxa"/>
                  <w:tcBorders>
                    <w:top w:val="nil"/>
                    <w:left w:val="nil"/>
                    <w:bottom w:val="single" w:sz="16" w:space="0" w:color="000000"/>
                    <w:right w:val="single" w:sz="16" w:space="0" w:color="000000"/>
                  </w:tcBorders>
                  <w:shd w:val="clear" w:color="auto" w:fill="FFFFFF"/>
                  <w:vAlign w:val="center"/>
                </w:tcPr>
                <w:p w:rsidR="00762D9F" w:rsidRPr="00D45E43" w:rsidRDefault="00762D9F" w:rsidP="00762D9F">
                  <w:pPr>
                    <w:autoSpaceDE w:val="0"/>
                    <w:autoSpaceDN w:val="0"/>
                    <w:adjustRightInd w:val="0"/>
                    <w:spacing w:after="0" w:line="240" w:lineRule="auto"/>
                    <w:ind w:left="60" w:right="60"/>
                    <w:rPr>
                      <w:rFonts w:ascii="Arial" w:hAnsi="Arial" w:cs="Arial"/>
                      <w:color w:val="000000"/>
                      <w:sz w:val="18"/>
                      <w:szCs w:val="18"/>
                    </w:rPr>
                  </w:pPr>
                  <w:r w:rsidRPr="00D45E43">
                    <w:rPr>
                      <w:rFonts w:ascii="Arial" w:hAnsi="Arial" w:cs="Arial"/>
                      <w:color w:val="000000"/>
                      <w:sz w:val="18"/>
                      <w:szCs w:val="18"/>
                    </w:rPr>
                    <w:t>N</w:t>
                  </w:r>
                </w:p>
              </w:tc>
              <w:tc>
                <w:tcPr>
                  <w:tcW w:w="995" w:type="dxa"/>
                  <w:tcBorders>
                    <w:top w:val="nil"/>
                    <w:left w:val="single" w:sz="16" w:space="0" w:color="000000"/>
                    <w:bottom w:val="single" w:sz="16" w:space="0" w:color="000000"/>
                  </w:tcBorders>
                  <w:shd w:val="clear" w:color="auto" w:fill="FFFFFF"/>
                  <w:vAlign w:val="center"/>
                </w:tcPr>
                <w:p w:rsidR="00762D9F" w:rsidRPr="00D45E43"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14</w:t>
                  </w:r>
                </w:p>
              </w:tc>
              <w:tc>
                <w:tcPr>
                  <w:tcW w:w="1091" w:type="dxa"/>
                  <w:tcBorders>
                    <w:top w:val="nil"/>
                    <w:bottom w:val="single" w:sz="16" w:space="0" w:color="000000"/>
                    <w:right w:val="single" w:sz="16" w:space="0" w:color="000000"/>
                  </w:tcBorders>
                  <w:shd w:val="clear" w:color="auto" w:fill="FFFFFF"/>
                  <w:vAlign w:val="center"/>
                </w:tcPr>
                <w:p w:rsidR="00762D9F" w:rsidRPr="00D45E43"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14</w:t>
                  </w:r>
                </w:p>
              </w:tc>
            </w:tr>
          </w:tbl>
          <w:p w:rsidR="00762D9F" w:rsidRDefault="00762D9F" w:rsidP="00762D9F"/>
        </w:tc>
      </w:tr>
      <w:tr w:rsidR="00762D9F" w:rsidTr="006454CE">
        <w:trPr>
          <w:jc w:val="center"/>
        </w:trPr>
        <w:tc>
          <w:tcPr>
            <w:tcW w:w="4133" w:type="dxa"/>
          </w:tcPr>
          <w:p w:rsidR="00762D9F" w:rsidRDefault="00762D9F" w:rsidP="00762D9F">
            <w:r>
              <w:rPr>
                <w:rFonts w:ascii="Times New Roman" w:hAnsi="Times New Roman" w:cs="Times New Roman"/>
                <w:noProof/>
                <w:sz w:val="24"/>
                <w:szCs w:val="24"/>
                <w:lang w:eastAsia="es-MX"/>
              </w:rPr>
              <w:drawing>
                <wp:inline distT="0" distB="0" distL="0" distR="0">
                  <wp:extent cx="2701082" cy="2160000"/>
                  <wp:effectExtent l="0" t="0" r="4445"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701082" cy="2160000"/>
                          </a:xfrm>
                          <a:prstGeom prst="rect">
                            <a:avLst/>
                          </a:prstGeom>
                          <a:noFill/>
                          <a:ln>
                            <a:noFill/>
                          </a:ln>
                        </pic:spPr>
                      </pic:pic>
                    </a:graphicData>
                  </a:graphic>
                </wp:inline>
              </w:drawing>
            </w:r>
          </w:p>
        </w:tc>
        <w:tc>
          <w:tcPr>
            <w:tcW w:w="4793" w:type="dxa"/>
          </w:tcPr>
          <w:p w:rsidR="005006D7" w:rsidRDefault="005006D7"/>
          <w:tbl>
            <w:tblPr>
              <w:tblW w:w="0" w:type="auto"/>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172"/>
              <w:gridCol w:w="1091"/>
              <w:gridCol w:w="1017"/>
              <w:gridCol w:w="1174"/>
            </w:tblGrid>
            <w:tr w:rsidR="00762D9F" w:rsidRPr="006A5E33" w:rsidTr="00762D9F">
              <w:trPr>
                <w:cantSplit/>
                <w:jc w:val="center"/>
              </w:trPr>
              <w:tc>
                <w:tcPr>
                  <w:tcW w:w="0" w:type="auto"/>
                  <w:gridSpan w:val="4"/>
                  <w:tcBorders>
                    <w:top w:val="nil"/>
                    <w:left w:val="nil"/>
                    <w:bottom w:val="nil"/>
                    <w:right w:val="nil"/>
                  </w:tcBorders>
                  <w:shd w:val="clear" w:color="auto" w:fill="FFFFFF"/>
                </w:tcPr>
                <w:p w:rsidR="00762D9F" w:rsidRPr="006A5E33" w:rsidRDefault="00762D9F" w:rsidP="00762D9F">
                  <w:pPr>
                    <w:autoSpaceDE w:val="0"/>
                    <w:autoSpaceDN w:val="0"/>
                    <w:adjustRightInd w:val="0"/>
                    <w:spacing w:after="0" w:line="240" w:lineRule="auto"/>
                    <w:ind w:left="60" w:right="60"/>
                    <w:jc w:val="center"/>
                    <w:rPr>
                      <w:rFonts w:ascii="Arial" w:hAnsi="Arial" w:cs="Arial"/>
                      <w:color w:val="000000"/>
                      <w:sz w:val="18"/>
                      <w:szCs w:val="18"/>
                    </w:rPr>
                  </w:pPr>
                  <w:r w:rsidRPr="006A5E33">
                    <w:rPr>
                      <w:rFonts w:ascii="Arial" w:hAnsi="Arial" w:cs="Arial"/>
                      <w:b/>
                      <w:bCs/>
                      <w:color w:val="000000"/>
                      <w:sz w:val="18"/>
                      <w:szCs w:val="18"/>
                    </w:rPr>
                    <w:t>Correlaciones</w:t>
                  </w:r>
                  <w:r>
                    <w:rPr>
                      <w:rFonts w:ascii="Arial" w:hAnsi="Arial" w:cs="Arial"/>
                      <w:b/>
                      <w:bCs/>
                      <w:color w:val="000000"/>
                      <w:sz w:val="18"/>
                      <w:szCs w:val="18"/>
                    </w:rPr>
                    <w:t xml:space="preserve"> 2012</w:t>
                  </w:r>
                </w:p>
              </w:tc>
            </w:tr>
            <w:tr w:rsidR="00762D9F" w:rsidRPr="006A5E33" w:rsidTr="00762D9F">
              <w:trPr>
                <w:cantSplit/>
                <w:jc w:val="center"/>
              </w:trPr>
              <w:tc>
                <w:tcPr>
                  <w:tcW w:w="0" w:type="auto"/>
                  <w:gridSpan w:val="2"/>
                  <w:tcBorders>
                    <w:top w:val="single" w:sz="16" w:space="0" w:color="000000"/>
                    <w:left w:val="single" w:sz="16" w:space="0" w:color="000000"/>
                    <w:bottom w:val="single" w:sz="16" w:space="0" w:color="000000"/>
                    <w:right w:val="nil"/>
                  </w:tcBorders>
                  <w:shd w:val="clear" w:color="auto" w:fill="FFFFFF"/>
                </w:tcPr>
                <w:p w:rsidR="00762D9F" w:rsidRPr="006A5E33" w:rsidRDefault="00762D9F" w:rsidP="00762D9F">
                  <w:pPr>
                    <w:autoSpaceDE w:val="0"/>
                    <w:autoSpaceDN w:val="0"/>
                    <w:adjustRightInd w:val="0"/>
                    <w:spacing w:after="0" w:line="240" w:lineRule="auto"/>
                    <w:ind w:left="60" w:right="60"/>
                    <w:rPr>
                      <w:rFonts w:ascii="Arial" w:hAnsi="Arial" w:cs="Arial"/>
                      <w:color w:val="000000"/>
                      <w:sz w:val="18"/>
                      <w:szCs w:val="18"/>
                    </w:rPr>
                  </w:pPr>
                </w:p>
              </w:tc>
              <w:tc>
                <w:tcPr>
                  <w:tcW w:w="0" w:type="auto"/>
                  <w:tcBorders>
                    <w:top w:val="single" w:sz="16" w:space="0" w:color="000000"/>
                    <w:left w:val="single" w:sz="16" w:space="0" w:color="000000"/>
                    <w:bottom w:val="single" w:sz="16" w:space="0" w:color="000000"/>
                  </w:tcBorders>
                  <w:shd w:val="clear" w:color="auto" w:fill="FFFFFF"/>
                </w:tcPr>
                <w:p w:rsidR="00762D9F" w:rsidRPr="006A5E33" w:rsidRDefault="00762D9F" w:rsidP="00762D9F">
                  <w:pPr>
                    <w:autoSpaceDE w:val="0"/>
                    <w:autoSpaceDN w:val="0"/>
                    <w:adjustRightInd w:val="0"/>
                    <w:spacing w:after="0" w:line="240" w:lineRule="auto"/>
                    <w:ind w:left="60" w:right="60"/>
                    <w:jc w:val="center"/>
                    <w:rPr>
                      <w:rFonts w:ascii="Arial" w:hAnsi="Arial" w:cs="Arial"/>
                      <w:color w:val="000000"/>
                      <w:sz w:val="18"/>
                      <w:szCs w:val="18"/>
                    </w:rPr>
                  </w:pPr>
                  <w:r w:rsidRPr="006A5E33">
                    <w:rPr>
                      <w:rFonts w:ascii="Arial" w:hAnsi="Arial" w:cs="Arial"/>
                      <w:color w:val="000000"/>
                      <w:sz w:val="18"/>
                      <w:szCs w:val="18"/>
                    </w:rPr>
                    <w:t>Traspasos Recibidos</w:t>
                  </w:r>
                </w:p>
              </w:tc>
              <w:tc>
                <w:tcPr>
                  <w:tcW w:w="0" w:type="auto"/>
                  <w:tcBorders>
                    <w:top w:val="single" w:sz="16" w:space="0" w:color="000000"/>
                    <w:bottom w:val="single" w:sz="16" w:space="0" w:color="000000"/>
                    <w:right w:val="single" w:sz="16" w:space="0" w:color="000000"/>
                  </w:tcBorders>
                  <w:shd w:val="clear" w:color="auto" w:fill="FFFFFF"/>
                </w:tcPr>
                <w:p w:rsidR="00762D9F" w:rsidRPr="006A5E33" w:rsidRDefault="00762D9F" w:rsidP="00762D9F">
                  <w:pPr>
                    <w:autoSpaceDE w:val="0"/>
                    <w:autoSpaceDN w:val="0"/>
                    <w:adjustRightInd w:val="0"/>
                    <w:spacing w:after="0" w:line="240" w:lineRule="auto"/>
                    <w:ind w:left="60" w:right="60"/>
                    <w:jc w:val="center"/>
                    <w:rPr>
                      <w:rFonts w:ascii="Arial" w:hAnsi="Arial" w:cs="Arial"/>
                      <w:color w:val="000000"/>
                      <w:sz w:val="18"/>
                      <w:szCs w:val="18"/>
                    </w:rPr>
                  </w:pPr>
                  <w:r w:rsidRPr="006A5E33">
                    <w:rPr>
                      <w:rFonts w:ascii="Arial" w:hAnsi="Arial" w:cs="Arial"/>
                      <w:color w:val="000000"/>
                      <w:sz w:val="18"/>
                      <w:szCs w:val="18"/>
                    </w:rPr>
                    <w:t>Rendimiento Neto</w:t>
                  </w:r>
                </w:p>
              </w:tc>
            </w:tr>
            <w:tr w:rsidR="00762D9F" w:rsidRPr="006A5E33" w:rsidTr="00762D9F">
              <w:trPr>
                <w:cantSplit/>
                <w:jc w:val="center"/>
              </w:trPr>
              <w:tc>
                <w:tcPr>
                  <w:tcW w:w="0" w:type="auto"/>
                  <w:vMerge w:val="restart"/>
                  <w:tcBorders>
                    <w:top w:val="single" w:sz="16" w:space="0" w:color="000000"/>
                    <w:left w:val="single" w:sz="16" w:space="0" w:color="000000"/>
                    <w:bottom w:val="nil"/>
                    <w:right w:val="nil"/>
                  </w:tcBorders>
                  <w:shd w:val="clear" w:color="auto" w:fill="FFFFFF"/>
                  <w:vAlign w:val="center"/>
                </w:tcPr>
                <w:p w:rsidR="00762D9F" w:rsidRPr="006A5E33" w:rsidRDefault="00762D9F" w:rsidP="00762D9F">
                  <w:pPr>
                    <w:autoSpaceDE w:val="0"/>
                    <w:autoSpaceDN w:val="0"/>
                    <w:adjustRightInd w:val="0"/>
                    <w:spacing w:after="0" w:line="240" w:lineRule="auto"/>
                    <w:ind w:left="60" w:right="60"/>
                    <w:rPr>
                      <w:rFonts w:ascii="Arial" w:hAnsi="Arial" w:cs="Arial"/>
                      <w:color w:val="000000"/>
                      <w:sz w:val="18"/>
                      <w:szCs w:val="18"/>
                    </w:rPr>
                  </w:pPr>
                  <w:r w:rsidRPr="006A5E33">
                    <w:rPr>
                      <w:rFonts w:ascii="Arial" w:hAnsi="Arial" w:cs="Arial"/>
                      <w:color w:val="000000"/>
                      <w:sz w:val="18"/>
                      <w:szCs w:val="18"/>
                    </w:rPr>
                    <w:t>Traspasos Recibidos</w:t>
                  </w:r>
                </w:p>
              </w:tc>
              <w:tc>
                <w:tcPr>
                  <w:tcW w:w="0" w:type="auto"/>
                  <w:tcBorders>
                    <w:top w:val="single" w:sz="16" w:space="0" w:color="000000"/>
                    <w:left w:val="nil"/>
                    <w:bottom w:val="nil"/>
                    <w:right w:val="single" w:sz="16" w:space="0" w:color="000000"/>
                  </w:tcBorders>
                  <w:shd w:val="clear" w:color="auto" w:fill="FFFFFF"/>
                  <w:vAlign w:val="center"/>
                </w:tcPr>
                <w:p w:rsidR="00762D9F" w:rsidRPr="006A5E33" w:rsidRDefault="00762D9F" w:rsidP="00762D9F">
                  <w:pPr>
                    <w:autoSpaceDE w:val="0"/>
                    <w:autoSpaceDN w:val="0"/>
                    <w:adjustRightInd w:val="0"/>
                    <w:spacing w:after="0" w:line="240" w:lineRule="auto"/>
                    <w:ind w:left="60" w:right="60"/>
                    <w:rPr>
                      <w:rFonts w:ascii="Arial" w:hAnsi="Arial" w:cs="Arial"/>
                      <w:color w:val="000000"/>
                      <w:sz w:val="18"/>
                      <w:szCs w:val="18"/>
                    </w:rPr>
                  </w:pPr>
                  <w:r w:rsidRPr="006A5E33">
                    <w:rPr>
                      <w:rFonts w:ascii="Arial" w:hAnsi="Arial" w:cs="Arial"/>
                      <w:color w:val="000000"/>
                      <w:sz w:val="18"/>
                      <w:szCs w:val="18"/>
                    </w:rPr>
                    <w:t>Correlación de Pearson</w:t>
                  </w:r>
                </w:p>
              </w:tc>
              <w:tc>
                <w:tcPr>
                  <w:tcW w:w="0" w:type="auto"/>
                  <w:tcBorders>
                    <w:top w:val="single" w:sz="16" w:space="0" w:color="000000"/>
                    <w:left w:val="single" w:sz="16" w:space="0" w:color="000000"/>
                    <w:bottom w:val="nil"/>
                  </w:tcBorders>
                  <w:shd w:val="clear" w:color="auto" w:fill="FFFFFF"/>
                  <w:vAlign w:val="center"/>
                </w:tcPr>
                <w:p w:rsidR="00762D9F" w:rsidRPr="006A5E33"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6A5E33">
                    <w:rPr>
                      <w:rFonts w:ascii="Arial" w:hAnsi="Arial" w:cs="Arial"/>
                      <w:color w:val="000000"/>
                      <w:sz w:val="18"/>
                      <w:szCs w:val="18"/>
                    </w:rPr>
                    <w:t>1</w:t>
                  </w:r>
                </w:p>
              </w:tc>
              <w:tc>
                <w:tcPr>
                  <w:tcW w:w="0" w:type="auto"/>
                  <w:tcBorders>
                    <w:top w:val="single" w:sz="16" w:space="0" w:color="000000"/>
                    <w:bottom w:val="nil"/>
                    <w:right w:val="single" w:sz="16" w:space="0" w:color="000000"/>
                  </w:tcBorders>
                  <w:shd w:val="clear" w:color="auto" w:fill="FFFFFF"/>
                  <w:vAlign w:val="center"/>
                </w:tcPr>
                <w:p w:rsidR="00762D9F" w:rsidRPr="006A5E33"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6A5E33">
                    <w:rPr>
                      <w:rFonts w:ascii="Arial" w:hAnsi="Arial" w:cs="Arial"/>
                      <w:color w:val="000000"/>
                      <w:sz w:val="18"/>
                      <w:szCs w:val="18"/>
                    </w:rPr>
                    <w:t>.087</w:t>
                  </w:r>
                </w:p>
              </w:tc>
            </w:tr>
            <w:tr w:rsidR="00762D9F" w:rsidRPr="006A5E33" w:rsidTr="00762D9F">
              <w:trPr>
                <w:cantSplit/>
                <w:jc w:val="center"/>
              </w:trPr>
              <w:tc>
                <w:tcPr>
                  <w:tcW w:w="0" w:type="auto"/>
                  <w:vMerge/>
                  <w:tcBorders>
                    <w:top w:val="single" w:sz="16" w:space="0" w:color="000000"/>
                    <w:left w:val="single" w:sz="16" w:space="0" w:color="000000"/>
                    <w:bottom w:val="nil"/>
                    <w:right w:val="nil"/>
                  </w:tcBorders>
                  <w:shd w:val="clear" w:color="auto" w:fill="FFFFFF"/>
                  <w:vAlign w:val="center"/>
                </w:tcPr>
                <w:p w:rsidR="00762D9F" w:rsidRPr="006A5E33" w:rsidRDefault="00762D9F" w:rsidP="00762D9F">
                  <w:pPr>
                    <w:autoSpaceDE w:val="0"/>
                    <w:autoSpaceDN w:val="0"/>
                    <w:adjustRightInd w:val="0"/>
                    <w:spacing w:after="0" w:line="240" w:lineRule="auto"/>
                    <w:rPr>
                      <w:rFonts w:ascii="Arial" w:hAnsi="Arial" w:cs="Arial"/>
                      <w:color w:val="000000"/>
                      <w:sz w:val="18"/>
                      <w:szCs w:val="18"/>
                    </w:rPr>
                  </w:pPr>
                </w:p>
              </w:tc>
              <w:tc>
                <w:tcPr>
                  <w:tcW w:w="0" w:type="auto"/>
                  <w:tcBorders>
                    <w:top w:val="nil"/>
                    <w:left w:val="nil"/>
                    <w:bottom w:val="nil"/>
                    <w:right w:val="single" w:sz="16" w:space="0" w:color="000000"/>
                  </w:tcBorders>
                  <w:shd w:val="clear" w:color="auto" w:fill="FFFFFF"/>
                  <w:vAlign w:val="center"/>
                </w:tcPr>
                <w:p w:rsidR="00762D9F" w:rsidRPr="006A5E33" w:rsidRDefault="00762D9F" w:rsidP="00762D9F">
                  <w:pPr>
                    <w:autoSpaceDE w:val="0"/>
                    <w:autoSpaceDN w:val="0"/>
                    <w:adjustRightInd w:val="0"/>
                    <w:spacing w:after="0" w:line="240" w:lineRule="auto"/>
                    <w:ind w:left="60" w:right="60"/>
                    <w:rPr>
                      <w:rFonts w:ascii="Arial" w:hAnsi="Arial" w:cs="Arial"/>
                      <w:color w:val="000000"/>
                      <w:sz w:val="18"/>
                      <w:szCs w:val="18"/>
                    </w:rPr>
                  </w:pPr>
                  <w:r w:rsidRPr="006A5E33">
                    <w:rPr>
                      <w:rFonts w:ascii="Arial" w:hAnsi="Arial" w:cs="Arial"/>
                      <w:color w:val="000000"/>
                      <w:sz w:val="18"/>
                      <w:szCs w:val="18"/>
                    </w:rPr>
                    <w:t>Sig. (bilateral)</w:t>
                  </w:r>
                </w:p>
              </w:tc>
              <w:tc>
                <w:tcPr>
                  <w:tcW w:w="0" w:type="auto"/>
                  <w:tcBorders>
                    <w:top w:val="nil"/>
                    <w:left w:val="single" w:sz="16" w:space="0" w:color="000000"/>
                    <w:bottom w:val="nil"/>
                  </w:tcBorders>
                  <w:shd w:val="clear" w:color="auto" w:fill="FFFFFF"/>
                </w:tcPr>
                <w:p w:rsidR="00762D9F" w:rsidRPr="006A5E33" w:rsidRDefault="00762D9F" w:rsidP="00762D9F">
                  <w:pPr>
                    <w:autoSpaceDE w:val="0"/>
                    <w:autoSpaceDN w:val="0"/>
                    <w:adjustRightInd w:val="0"/>
                    <w:spacing w:after="0" w:line="240" w:lineRule="auto"/>
                    <w:rPr>
                      <w:rFonts w:ascii="Times New Roman" w:hAnsi="Times New Roman" w:cs="Times New Roman"/>
                      <w:sz w:val="24"/>
                      <w:szCs w:val="24"/>
                    </w:rPr>
                  </w:pPr>
                </w:p>
              </w:tc>
              <w:tc>
                <w:tcPr>
                  <w:tcW w:w="0" w:type="auto"/>
                  <w:tcBorders>
                    <w:top w:val="nil"/>
                    <w:bottom w:val="nil"/>
                    <w:right w:val="single" w:sz="16" w:space="0" w:color="000000"/>
                  </w:tcBorders>
                  <w:shd w:val="clear" w:color="auto" w:fill="FFFFFF"/>
                  <w:vAlign w:val="center"/>
                </w:tcPr>
                <w:p w:rsidR="00762D9F" w:rsidRPr="006A5E33"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6A5E33">
                    <w:rPr>
                      <w:rFonts w:ascii="Arial" w:hAnsi="Arial" w:cs="Arial"/>
                      <w:color w:val="000000"/>
                      <w:sz w:val="18"/>
                      <w:szCs w:val="18"/>
                    </w:rPr>
                    <w:t>.777</w:t>
                  </w:r>
                </w:p>
              </w:tc>
            </w:tr>
            <w:tr w:rsidR="00762D9F" w:rsidRPr="006A5E33" w:rsidTr="00762D9F">
              <w:trPr>
                <w:cantSplit/>
                <w:jc w:val="center"/>
              </w:trPr>
              <w:tc>
                <w:tcPr>
                  <w:tcW w:w="0" w:type="auto"/>
                  <w:vMerge/>
                  <w:tcBorders>
                    <w:top w:val="single" w:sz="16" w:space="0" w:color="000000"/>
                    <w:left w:val="single" w:sz="16" w:space="0" w:color="000000"/>
                    <w:bottom w:val="nil"/>
                    <w:right w:val="nil"/>
                  </w:tcBorders>
                  <w:shd w:val="clear" w:color="auto" w:fill="FFFFFF"/>
                  <w:vAlign w:val="center"/>
                </w:tcPr>
                <w:p w:rsidR="00762D9F" w:rsidRPr="006A5E33" w:rsidRDefault="00762D9F" w:rsidP="00762D9F">
                  <w:pPr>
                    <w:autoSpaceDE w:val="0"/>
                    <w:autoSpaceDN w:val="0"/>
                    <w:adjustRightInd w:val="0"/>
                    <w:spacing w:after="0" w:line="240" w:lineRule="auto"/>
                    <w:rPr>
                      <w:rFonts w:ascii="Arial" w:hAnsi="Arial" w:cs="Arial"/>
                      <w:color w:val="000000"/>
                      <w:sz w:val="18"/>
                      <w:szCs w:val="18"/>
                    </w:rPr>
                  </w:pPr>
                </w:p>
              </w:tc>
              <w:tc>
                <w:tcPr>
                  <w:tcW w:w="0" w:type="auto"/>
                  <w:tcBorders>
                    <w:top w:val="nil"/>
                    <w:left w:val="nil"/>
                    <w:bottom w:val="nil"/>
                    <w:right w:val="single" w:sz="16" w:space="0" w:color="000000"/>
                  </w:tcBorders>
                  <w:shd w:val="clear" w:color="auto" w:fill="FFFFFF"/>
                  <w:vAlign w:val="center"/>
                </w:tcPr>
                <w:p w:rsidR="00762D9F" w:rsidRPr="006A5E33" w:rsidRDefault="00762D9F" w:rsidP="00762D9F">
                  <w:pPr>
                    <w:autoSpaceDE w:val="0"/>
                    <w:autoSpaceDN w:val="0"/>
                    <w:adjustRightInd w:val="0"/>
                    <w:spacing w:after="0" w:line="240" w:lineRule="auto"/>
                    <w:ind w:left="60" w:right="60"/>
                    <w:rPr>
                      <w:rFonts w:ascii="Arial" w:hAnsi="Arial" w:cs="Arial"/>
                      <w:color w:val="000000"/>
                      <w:sz w:val="18"/>
                      <w:szCs w:val="18"/>
                    </w:rPr>
                  </w:pPr>
                  <w:r w:rsidRPr="006A5E33">
                    <w:rPr>
                      <w:rFonts w:ascii="Arial" w:hAnsi="Arial" w:cs="Arial"/>
                      <w:color w:val="000000"/>
                      <w:sz w:val="18"/>
                      <w:szCs w:val="18"/>
                    </w:rPr>
                    <w:t>N</w:t>
                  </w:r>
                </w:p>
              </w:tc>
              <w:tc>
                <w:tcPr>
                  <w:tcW w:w="0" w:type="auto"/>
                  <w:tcBorders>
                    <w:top w:val="nil"/>
                    <w:left w:val="single" w:sz="16" w:space="0" w:color="000000"/>
                    <w:bottom w:val="nil"/>
                  </w:tcBorders>
                  <w:shd w:val="clear" w:color="auto" w:fill="FFFFFF"/>
                  <w:vAlign w:val="center"/>
                </w:tcPr>
                <w:p w:rsidR="00762D9F" w:rsidRPr="006A5E33"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6A5E33">
                    <w:rPr>
                      <w:rFonts w:ascii="Arial" w:hAnsi="Arial" w:cs="Arial"/>
                      <w:color w:val="000000"/>
                      <w:sz w:val="18"/>
                      <w:szCs w:val="18"/>
                    </w:rPr>
                    <w:t>13</w:t>
                  </w:r>
                </w:p>
              </w:tc>
              <w:tc>
                <w:tcPr>
                  <w:tcW w:w="0" w:type="auto"/>
                  <w:tcBorders>
                    <w:top w:val="nil"/>
                    <w:bottom w:val="nil"/>
                    <w:right w:val="single" w:sz="16" w:space="0" w:color="000000"/>
                  </w:tcBorders>
                  <w:shd w:val="clear" w:color="auto" w:fill="FFFFFF"/>
                  <w:vAlign w:val="center"/>
                </w:tcPr>
                <w:p w:rsidR="00762D9F" w:rsidRPr="006A5E33"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6A5E33">
                    <w:rPr>
                      <w:rFonts w:ascii="Arial" w:hAnsi="Arial" w:cs="Arial"/>
                      <w:color w:val="000000"/>
                      <w:sz w:val="18"/>
                      <w:szCs w:val="18"/>
                    </w:rPr>
                    <w:t>13</w:t>
                  </w:r>
                </w:p>
              </w:tc>
            </w:tr>
            <w:tr w:rsidR="00762D9F" w:rsidRPr="006A5E33" w:rsidTr="00762D9F">
              <w:trPr>
                <w:cantSplit/>
                <w:jc w:val="center"/>
              </w:trPr>
              <w:tc>
                <w:tcPr>
                  <w:tcW w:w="0" w:type="auto"/>
                  <w:vMerge w:val="restart"/>
                  <w:tcBorders>
                    <w:top w:val="nil"/>
                    <w:left w:val="single" w:sz="16" w:space="0" w:color="000000"/>
                    <w:bottom w:val="single" w:sz="16" w:space="0" w:color="000000"/>
                    <w:right w:val="nil"/>
                  </w:tcBorders>
                  <w:shd w:val="clear" w:color="auto" w:fill="FFFFFF"/>
                  <w:vAlign w:val="center"/>
                </w:tcPr>
                <w:p w:rsidR="00762D9F" w:rsidRPr="006A5E33" w:rsidRDefault="00762D9F" w:rsidP="00762D9F">
                  <w:pPr>
                    <w:autoSpaceDE w:val="0"/>
                    <w:autoSpaceDN w:val="0"/>
                    <w:adjustRightInd w:val="0"/>
                    <w:spacing w:after="0" w:line="240" w:lineRule="auto"/>
                    <w:ind w:left="60" w:right="60"/>
                    <w:rPr>
                      <w:rFonts w:ascii="Arial" w:hAnsi="Arial" w:cs="Arial"/>
                      <w:color w:val="000000"/>
                      <w:sz w:val="18"/>
                      <w:szCs w:val="18"/>
                    </w:rPr>
                  </w:pPr>
                  <w:r w:rsidRPr="006A5E33">
                    <w:rPr>
                      <w:rFonts w:ascii="Arial" w:hAnsi="Arial" w:cs="Arial"/>
                      <w:color w:val="000000"/>
                      <w:sz w:val="18"/>
                      <w:szCs w:val="18"/>
                    </w:rPr>
                    <w:t>Rendimiento Neto</w:t>
                  </w:r>
                </w:p>
              </w:tc>
              <w:tc>
                <w:tcPr>
                  <w:tcW w:w="0" w:type="auto"/>
                  <w:tcBorders>
                    <w:top w:val="nil"/>
                    <w:left w:val="nil"/>
                    <w:bottom w:val="nil"/>
                    <w:right w:val="single" w:sz="16" w:space="0" w:color="000000"/>
                  </w:tcBorders>
                  <w:shd w:val="clear" w:color="auto" w:fill="FFFFFF"/>
                  <w:vAlign w:val="center"/>
                </w:tcPr>
                <w:p w:rsidR="00762D9F" w:rsidRPr="006A5E33" w:rsidRDefault="00762D9F" w:rsidP="00762D9F">
                  <w:pPr>
                    <w:autoSpaceDE w:val="0"/>
                    <w:autoSpaceDN w:val="0"/>
                    <w:adjustRightInd w:val="0"/>
                    <w:spacing w:after="0" w:line="240" w:lineRule="auto"/>
                    <w:ind w:left="60" w:right="60"/>
                    <w:rPr>
                      <w:rFonts w:ascii="Arial" w:hAnsi="Arial" w:cs="Arial"/>
                      <w:color w:val="000000"/>
                      <w:sz w:val="18"/>
                      <w:szCs w:val="18"/>
                    </w:rPr>
                  </w:pPr>
                  <w:r w:rsidRPr="006A5E33">
                    <w:rPr>
                      <w:rFonts w:ascii="Arial" w:hAnsi="Arial" w:cs="Arial"/>
                      <w:color w:val="000000"/>
                      <w:sz w:val="18"/>
                      <w:szCs w:val="18"/>
                    </w:rPr>
                    <w:t>Correlación de Pearson</w:t>
                  </w:r>
                </w:p>
              </w:tc>
              <w:tc>
                <w:tcPr>
                  <w:tcW w:w="0" w:type="auto"/>
                  <w:tcBorders>
                    <w:top w:val="nil"/>
                    <w:left w:val="single" w:sz="16" w:space="0" w:color="000000"/>
                    <w:bottom w:val="nil"/>
                  </w:tcBorders>
                  <w:shd w:val="clear" w:color="auto" w:fill="FFFFFF"/>
                  <w:vAlign w:val="center"/>
                </w:tcPr>
                <w:p w:rsidR="00762D9F" w:rsidRPr="006A5E33"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6A5E33">
                    <w:rPr>
                      <w:rFonts w:ascii="Arial" w:hAnsi="Arial" w:cs="Arial"/>
                      <w:color w:val="000000"/>
                      <w:sz w:val="18"/>
                      <w:szCs w:val="18"/>
                    </w:rPr>
                    <w:t>.087</w:t>
                  </w:r>
                </w:p>
              </w:tc>
              <w:tc>
                <w:tcPr>
                  <w:tcW w:w="0" w:type="auto"/>
                  <w:tcBorders>
                    <w:top w:val="nil"/>
                    <w:bottom w:val="nil"/>
                    <w:right w:val="single" w:sz="16" w:space="0" w:color="000000"/>
                  </w:tcBorders>
                  <w:shd w:val="clear" w:color="auto" w:fill="FFFFFF"/>
                  <w:vAlign w:val="center"/>
                </w:tcPr>
                <w:p w:rsidR="00762D9F" w:rsidRPr="006A5E33"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6A5E33">
                    <w:rPr>
                      <w:rFonts w:ascii="Arial" w:hAnsi="Arial" w:cs="Arial"/>
                      <w:color w:val="000000"/>
                      <w:sz w:val="18"/>
                      <w:szCs w:val="18"/>
                    </w:rPr>
                    <w:t>1</w:t>
                  </w:r>
                </w:p>
              </w:tc>
            </w:tr>
            <w:tr w:rsidR="00762D9F" w:rsidRPr="006A5E33" w:rsidTr="00762D9F">
              <w:trPr>
                <w:cantSplit/>
                <w:jc w:val="center"/>
              </w:trPr>
              <w:tc>
                <w:tcPr>
                  <w:tcW w:w="0" w:type="auto"/>
                  <w:vMerge/>
                  <w:tcBorders>
                    <w:top w:val="nil"/>
                    <w:left w:val="single" w:sz="16" w:space="0" w:color="000000"/>
                    <w:bottom w:val="single" w:sz="16" w:space="0" w:color="000000"/>
                    <w:right w:val="nil"/>
                  </w:tcBorders>
                  <w:shd w:val="clear" w:color="auto" w:fill="FFFFFF"/>
                  <w:vAlign w:val="center"/>
                </w:tcPr>
                <w:p w:rsidR="00762D9F" w:rsidRPr="006A5E33" w:rsidRDefault="00762D9F" w:rsidP="00762D9F">
                  <w:pPr>
                    <w:autoSpaceDE w:val="0"/>
                    <w:autoSpaceDN w:val="0"/>
                    <w:adjustRightInd w:val="0"/>
                    <w:spacing w:after="0" w:line="240" w:lineRule="auto"/>
                    <w:rPr>
                      <w:rFonts w:ascii="Arial" w:hAnsi="Arial" w:cs="Arial"/>
                      <w:color w:val="000000"/>
                      <w:sz w:val="18"/>
                      <w:szCs w:val="18"/>
                    </w:rPr>
                  </w:pPr>
                </w:p>
              </w:tc>
              <w:tc>
                <w:tcPr>
                  <w:tcW w:w="0" w:type="auto"/>
                  <w:tcBorders>
                    <w:top w:val="nil"/>
                    <w:left w:val="nil"/>
                    <w:bottom w:val="nil"/>
                    <w:right w:val="single" w:sz="16" w:space="0" w:color="000000"/>
                  </w:tcBorders>
                  <w:shd w:val="clear" w:color="auto" w:fill="FFFFFF"/>
                  <w:vAlign w:val="center"/>
                </w:tcPr>
                <w:p w:rsidR="00762D9F" w:rsidRPr="006A5E33" w:rsidRDefault="00762D9F" w:rsidP="00762D9F">
                  <w:pPr>
                    <w:autoSpaceDE w:val="0"/>
                    <w:autoSpaceDN w:val="0"/>
                    <w:adjustRightInd w:val="0"/>
                    <w:spacing w:after="0" w:line="240" w:lineRule="auto"/>
                    <w:ind w:left="60" w:right="60"/>
                    <w:rPr>
                      <w:rFonts w:ascii="Arial" w:hAnsi="Arial" w:cs="Arial"/>
                      <w:color w:val="000000"/>
                      <w:sz w:val="18"/>
                      <w:szCs w:val="18"/>
                    </w:rPr>
                  </w:pPr>
                  <w:r w:rsidRPr="006A5E33">
                    <w:rPr>
                      <w:rFonts w:ascii="Arial" w:hAnsi="Arial" w:cs="Arial"/>
                      <w:color w:val="000000"/>
                      <w:sz w:val="18"/>
                      <w:szCs w:val="18"/>
                    </w:rPr>
                    <w:t>Sig. (bilateral)</w:t>
                  </w:r>
                </w:p>
              </w:tc>
              <w:tc>
                <w:tcPr>
                  <w:tcW w:w="0" w:type="auto"/>
                  <w:tcBorders>
                    <w:top w:val="nil"/>
                    <w:left w:val="single" w:sz="16" w:space="0" w:color="000000"/>
                    <w:bottom w:val="nil"/>
                  </w:tcBorders>
                  <w:shd w:val="clear" w:color="auto" w:fill="FFFFFF"/>
                  <w:vAlign w:val="center"/>
                </w:tcPr>
                <w:p w:rsidR="00762D9F" w:rsidRPr="006A5E33"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6A5E33">
                    <w:rPr>
                      <w:rFonts w:ascii="Arial" w:hAnsi="Arial" w:cs="Arial"/>
                      <w:color w:val="000000"/>
                      <w:sz w:val="18"/>
                      <w:szCs w:val="18"/>
                    </w:rPr>
                    <w:t>.777</w:t>
                  </w:r>
                </w:p>
              </w:tc>
              <w:tc>
                <w:tcPr>
                  <w:tcW w:w="0" w:type="auto"/>
                  <w:tcBorders>
                    <w:top w:val="nil"/>
                    <w:bottom w:val="nil"/>
                    <w:right w:val="single" w:sz="16" w:space="0" w:color="000000"/>
                  </w:tcBorders>
                  <w:shd w:val="clear" w:color="auto" w:fill="FFFFFF"/>
                </w:tcPr>
                <w:p w:rsidR="00762D9F" w:rsidRPr="006A5E33" w:rsidRDefault="00762D9F" w:rsidP="00762D9F">
                  <w:pPr>
                    <w:autoSpaceDE w:val="0"/>
                    <w:autoSpaceDN w:val="0"/>
                    <w:adjustRightInd w:val="0"/>
                    <w:spacing w:after="0" w:line="240" w:lineRule="auto"/>
                    <w:rPr>
                      <w:rFonts w:ascii="Times New Roman" w:hAnsi="Times New Roman" w:cs="Times New Roman"/>
                      <w:sz w:val="24"/>
                      <w:szCs w:val="24"/>
                    </w:rPr>
                  </w:pPr>
                </w:p>
              </w:tc>
            </w:tr>
            <w:tr w:rsidR="00762D9F" w:rsidRPr="006A5E33" w:rsidTr="00762D9F">
              <w:trPr>
                <w:cantSplit/>
                <w:jc w:val="center"/>
              </w:trPr>
              <w:tc>
                <w:tcPr>
                  <w:tcW w:w="0" w:type="auto"/>
                  <w:vMerge/>
                  <w:tcBorders>
                    <w:top w:val="nil"/>
                    <w:left w:val="single" w:sz="16" w:space="0" w:color="000000"/>
                    <w:bottom w:val="single" w:sz="16" w:space="0" w:color="000000"/>
                    <w:right w:val="nil"/>
                  </w:tcBorders>
                  <w:shd w:val="clear" w:color="auto" w:fill="FFFFFF"/>
                  <w:vAlign w:val="center"/>
                </w:tcPr>
                <w:p w:rsidR="00762D9F" w:rsidRPr="006A5E33" w:rsidRDefault="00762D9F" w:rsidP="00762D9F">
                  <w:pPr>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single" w:sz="16" w:space="0" w:color="000000"/>
                    <w:right w:val="single" w:sz="16" w:space="0" w:color="000000"/>
                  </w:tcBorders>
                  <w:shd w:val="clear" w:color="auto" w:fill="FFFFFF"/>
                  <w:vAlign w:val="center"/>
                </w:tcPr>
                <w:p w:rsidR="00762D9F" w:rsidRPr="006A5E33" w:rsidRDefault="00762D9F" w:rsidP="00762D9F">
                  <w:pPr>
                    <w:autoSpaceDE w:val="0"/>
                    <w:autoSpaceDN w:val="0"/>
                    <w:adjustRightInd w:val="0"/>
                    <w:spacing w:after="0" w:line="240" w:lineRule="auto"/>
                    <w:ind w:left="60" w:right="60"/>
                    <w:rPr>
                      <w:rFonts w:ascii="Arial" w:hAnsi="Arial" w:cs="Arial"/>
                      <w:color w:val="000000"/>
                      <w:sz w:val="18"/>
                      <w:szCs w:val="18"/>
                    </w:rPr>
                  </w:pPr>
                  <w:r w:rsidRPr="006A5E33">
                    <w:rPr>
                      <w:rFonts w:ascii="Arial" w:hAnsi="Arial" w:cs="Arial"/>
                      <w:color w:val="000000"/>
                      <w:sz w:val="18"/>
                      <w:szCs w:val="18"/>
                    </w:rPr>
                    <w:t>N</w:t>
                  </w:r>
                </w:p>
              </w:tc>
              <w:tc>
                <w:tcPr>
                  <w:tcW w:w="0" w:type="auto"/>
                  <w:tcBorders>
                    <w:top w:val="nil"/>
                    <w:left w:val="single" w:sz="16" w:space="0" w:color="000000"/>
                    <w:bottom w:val="single" w:sz="16" w:space="0" w:color="000000"/>
                  </w:tcBorders>
                  <w:shd w:val="clear" w:color="auto" w:fill="FFFFFF"/>
                  <w:vAlign w:val="center"/>
                </w:tcPr>
                <w:p w:rsidR="00762D9F" w:rsidRPr="006A5E33"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6A5E33">
                    <w:rPr>
                      <w:rFonts w:ascii="Arial" w:hAnsi="Arial" w:cs="Arial"/>
                      <w:color w:val="000000"/>
                      <w:sz w:val="18"/>
                      <w:szCs w:val="18"/>
                    </w:rPr>
                    <w:t>13</w:t>
                  </w:r>
                </w:p>
              </w:tc>
              <w:tc>
                <w:tcPr>
                  <w:tcW w:w="0" w:type="auto"/>
                  <w:tcBorders>
                    <w:top w:val="nil"/>
                    <w:bottom w:val="single" w:sz="16" w:space="0" w:color="000000"/>
                    <w:right w:val="single" w:sz="16" w:space="0" w:color="000000"/>
                  </w:tcBorders>
                  <w:shd w:val="clear" w:color="auto" w:fill="FFFFFF"/>
                  <w:vAlign w:val="center"/>
                </w:tcPr>
                <w:p w:rsidR="00762D9F" w:rsidRPr="006A5E33"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6A5E33">
                    <w:rPr>
                      <w:rFonts w:ascii="Arial" w:hAnsi="Arial" w:cs="Arial"/>
                      <w:color w:val="000000"/>
                      <w:sz w:val="18"/>
                      <w:szCs w:val="18"/>
                    </w:rPr>
                    <w:t>13</w:t>
                  </w:r>
                </w:p>
              </w:tc>
            </w:tr>
          </w:tbl>
          <w:p w:rsidR="00762D9F" w:rsidRDefault="00762D9F" w:rsidP="00762D9F"/>
        </w:tc>
      </w:tr>
      <w:tr w:rsidR="00762D9F" w:rsidTr="006454CE">
        <w:trPr>
          <w:jc w:val="center"/>
        </w:trPr>
        <w:tc>
          <w:tcPr>
            <w:tcW w:w="4133" w:type="dxa"/>
          </w:tcPr>
          <w:p w:rsidR="00762D9F" w:rsidRDefault="00762D9F" w:rsidP="00762D9F">
            <w:r>
              <w:rPr>
                <w:rFonts w:ascii="Times New Roman" w:hAnsi="Times New Roman" w:cs="Times New Roman"/>
                <w:noProof/>
                <w:sz w:val="24"/>
                <w:szCs w:val="24"/>
                <w:lang w:eastAsia="es-MX"/>
              </w:rPr>
              <w:drawing>
                <wp:inline distT="0" distB="0" distL="0" distR="0">
                  <wp:extent cx="2701082" cy="2160000"/>
                  <wp:effectExtent l="0" t="0" r="4445"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701082" cy="2160000"/>
                          </a:xfrm>
                          <a:prstGeom prst="rect">
                            <a:avLst/>
                          </a:prstGeom>
                          <a:noFill/>
                          <a:ln>
                            <a:noFill/>
                          </a:ln>
                        </pic:spPr>
                      </pic:pic>
                    </a:graphicData>
                  </a:graphic>
                </wp:inline>
              </w:drawing>
            </w:r>
          </w:p>
        </w:tc>
        <w:tc>
          <w:tcPr>
            <w:tcW w:w="4793" w:type="dxa"/>
          </w:tcPr>
          <w:p w:rsidR="00762D9F" w:rsidRDefault="00762D9F" w:rsidP="00762D9F"/>
          <w:tbl>
            <w:tblPr>
              <w:tblpPr w:leftFromText="141" w:rightFromText="141" w:vertAnchor="text" w:horzAnchor="margin" w:tblpY="-1624"/>
              <w:tblOverlap w:val="neve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172"/>
              <w:gridCol w:w="1091"/>
              <w:gridCol w:w="1017"/>
              <w:gridCol w:w="1174"/>
            </w:tblGrid>
            <w:tr w:rsidR="00762D9F" w:rsidRPr="00961904" w:rsidTr="00762D9F">
              <w:trPr>
                <w:cantSplit/>
              </w:trPr>
              <w:tc>
                <w:tcPr>
                  <w:tcW w:w="0" w:type="auto"/>
                  <w:gridSpan w:val="4"/>
                  <w:tcBorders>
                    <w:top w:val="nil"/>
                    <w:left w:val="nil"/>
                    <w:bottom w:val="nil"/>
                    <w:right w:val="nil"/>
                  </w:tcBorders>
                  <w:shd w:val="clear" w:color="auto" w:fill="FFFFFF"/>
                </w:tcPr>
                <w:p w:rsidR="00762D9F" w:rsidRDefault="00762D9F" w:rsidP="00762D9F">
                  <w:pPr>
                    <w:autoSpaceDE w:val="0"/>
                    <w:autoSpaceDN w:val="0"/>
                    <w:adjustRightInd w:val="0"/>
                    <w:spacing w:after="0" w:line="240" w:lineRule="auto"/>
                    <w:ind w:left="60" w:right="60"/>
                    <w:jc w:val="center"/>
                    <w:rPr>
                      <w:rFonts w:ascii="Arial" w:hAnsi="Arial" w:cs="Arial"/>
                      <w:b/>
                      <w:bCs/>
                      <w:color w:val="000000"/>
                      <w:sz w:val="18"/>
                      <w:szCs w:val="18"/>
                    </w:rPr>
                  </w:pPr>
                </w:p>
                <w:p w:rsidR="00762D9F" w:rsidRPr="00961904" w:rsidRDefault="00762D9F" w:rsidP="00762D9F">
                  <w:pPr>
                    <w:autoSpaceDE w:val="0"/>
                    <w:autoSpaceDN w:val="0"/>
                    <w:adjustRightInd w:val="0"/>
                    <w:spacing w:after="0" w:line="240" w:lineRule="auto"/>
                    <w:ind w:left="60" w:right="60"/>
                    <w:jc w:val="center"/>
                    <w:rPr>
                      <w:rFonts w:ascii="Arial" w:hAnsi="Arial" w:cs="Arial"/>
                      <w:color w:val="000000"/>
                      <w:sz w:val="18"/>
                      <w:szCs w:val="18"/>
                    </w:rPr>
                  </w:pPr>
                  <w:r w:rsidRPr="00961904">
                    <w:rPr>
                      <w:rFonts w:ascii="Arial" w:hAnsi="Arial" w:cs="Arial"/>
                      <w:b/>
                      <w:bCs/>
                      <w:color w:val="000000"/>
                      <w:sz w:val="18"/>
                      <w:szCs w:val="18"/>
                    </w:rPr>
                    <w:t>Correlaciones</w:t>
                  </w:r>
                  <w:r>
                    <w:rPr>
                      <w:rFonts w:ascii="Arial" w:hAnsi="Arial" w:cs="Arial"/>
                      <w:b/>
                      <w:bCs/>
                      <w:color w:val="000000"/>
                      <w:sz w:val="18"/>
                      <w:szCs w:val="18"/>
                    </w:rPr>
                    <w:t xml:space="preserve"> 2013</w:t>
                  </w:r>
                </w:p>
              </w:tc>
            </w:tr>
            <w:tr w:rsidR="00762D9F" w:rsidRPr="00961904" w:rsidTr="00762D9F">
              <w:trPr>
                <w:cantSplit/>
              </w:trPr>
              <w:tc>
                <w:tcPr>
                  <w:tcW w:w="0" w:type="auto"/>
                  <w:gridSpan w:val="2"/>
                  <w:tcBorders>
                    <w:top w:val="single" w:sz="16" w:space="0" w:color="000000"/>
                    <w:left w:val="single" w:sz="16" w:space="0" w:color="000000"/>
                    <w:bottom w:val="single" w:sz="16" w:space="0" w:color="000000"/>
                    <w:right w:val="nil"/>
                  </w:tcBorders>
                  <w:shd w:val="clear" w:color="auto" w:fill="FFFFFF"/>
                </w:tcPr>
                <w:p w:rsidR="00762D9F" w:rsidRPr="00961904" w:rsidRDefault="00762D9F" w:rsidP="00762D9F">
                  <w:pPr>
                    <w:autoSpaceDE w:val="0"/>
                    <w:autoSpaceDN w:val="0"/>
                    <w:adjustRightInd w:val="0"/>
                    <w:spacing w:after="0" w:line="240" w:lineRule="auto"/>
                    <w:ind w:left="60" w:right="60"/>
                    <w:rPr>
                      <w:rFonts w:ascii="Arial" w:hAnsi="Arial" w:cs="Arial"/>
                      <w:color w:val="000000"/>
                      <w:sz w:val="18"/>
                      <w:szCs w:val="18"/>
                    </w:rPr>
                  </w:pPr>
                </w:p>
              </w:tc>
              <w:tc>
                <w:tcPr>
                  <w:tcW w:w="0" w:type="auto"/>
                  <w:tcBorders>
                    <w:top w:val="single" w:sz="16" w:space="0" w:color="000000"/>
                    <w:left w:val="single" w:sz="16" w:space="0" w:color="000000"/>
                    <w:bottom w:val="single" w:sz="16" w:space="0" w:color="000000"/>
                  </w:tcBorders>
                  <w:shd w:val="clear" w:color="auto" w:fill="FFFFFF"/>
                </w:tcPr>
                <w:p w:rsidR="00762D9F" w:rsidRPr="00961904" w:rsidRDefault="00762D9F" w:rsidP="00762D9F">
                  <w:pPr>
                    <w:autoSpaceDE w:val="0"/>
                    <w:autoSpaceDN w:val="0"/>
                    <w:adjustRightInd w:val="0"/>
                    <w:spacing w:after="0" w:line="240" w:lineRule="auto"/>
                    <w:ind w:left="60" w:right="60"/>
                    <w:jc w:val="center"/>
                    <w:rPr>
                      <w:rFonts w:ascii="Arial" w:hAnsi="Arial" w:cs="Arial"/>
                      <w:color w:val="000000"/>
                      <w:sz w:val="18"/>
                      <w:szCs w:val="18"/>
                    </w:rPr>
                  </w:pPr>
                  <w:r w:rsidRPr="00961904">
                    <w:rPr>
                      <w:rFonts w:ascii="Arial" w:hAnsi="Arial" w:cs="Arial"/>
                      <w:color w:val="000000"/>
                      <w:sz w:val="18"/>
                      <w:szCs w:val="18"/>
                    </w:rPr>
                    <w:t>Traspasos Recibidos</w:t>
                  </w:r>
                </w:p>
              </w:tc>
              <w:tc>
                <w:tcPr>
                  <w:tcW w:w="0" w:type="auto"/>
                  <w:tcBorders>
                    <w:top w:val="single" w:sz="16" w:space="0" w:color="000000"/>
                    <w:bottom w:val="single" w:sz="16" w:space="0" w:color="000000"/>
                    <w:right w:val="single" w:sz="16" w:space="0" w:color="000000"/>
                  </w:tcBorders>
                  <w:shd w:val="clear" w:color="auto" w:fill="FFFFFF"/>
                </w:tcPr>
                <w:p w:rsidR="00762D9F" w:rsidRPr="00961904" w:rsidRDefault="00762D9F" w:rsidP="00762D9F">
                  <w:pPr>
                    <w:autoSpaceDE w:val="0"/>
                    <w:autoSpaceDN w:val="0"/>
                    <w:adjustRightInd w:val="0"/>
                    <w:spacing w:after="0" w:line="240" w:lineRule="auto"/>
                    <w:ind w:left="60" w:right="60"/>
                    <w:jc w:val="center"/>
                    <w:rPr>
                      <w:rFonts w:ascii="Arial" w:hAnsi="Arial" w:cs="Arial"/>
                      <w:color w:val="000000"/>
                      <w:sz w:val="18"/>
                      <w:szCs w:val="18"/>
                    </w:rPr>
                  </w:pPr>
                  <w:r w:rsidRPr="00961904">
                    <w:rPr>
                      <w:rFonts w:ascii="Arial" w:hAnsi="Arial" w:cs="Arial"/>
                      <w:color w:val="000000"/>
                      <w:sz w:val="18"/>
                      <w:szCs w:val="18"/>
                    </w:rPr>
                    <w:t>Rendimiento Neto</w:t>
                  </w:r>
                </w:p>
              </w:tc>
            </w:tr>
            <w:tr w:rsidR="00762D9F" w:rsidRPr="00961904" w:rsidTr="00762D9F">
              <w:trPr>
                <w:cantSplit/>
              </w:trPr>
              <w:tc>
                <w:tcPr>
                  <w:tcW w:w="0" w:type="auto"/>
                  <w:vMerge w:val="restart"/>
                  <w:tcBorders>
                    <w:top w:val="single" w:sz="16" w:space="0" w:color="000000"/>
                    <w:left w:val="single" w:sz="16" w:space="0" w:color="000000"/>
                    <w:bottom w:val="nil"/>
                    <w:right w:val="nil"/>
                  </w:tcBorders>
                  <w:shd w:val="clear" w:color="auto" w:fill="FFFFFF"/>
                  <w:vAlign w:val="center"/>
                </w:tcPr>
                <w:p w:rsidR="00762D9F" w:rsidRPr="00961904" w:rsidRDefault="00762D9F" w:rsidP="00762D9F">
                  <w:pPr>
                    <w:autoSpaceDE w:val="0"/>
                    <w:autoSpaceDN w:val="0"/>
                    <w:adjustRightInd w:val="0"/>
                    <w:spacing w:after="0" w:line="240" w:lineRule="auto"/>
                    <w:ind w:left="60" w:right="60"/>
                    <w:rPr>
                      <w:rFonts w:ascii="Arial" w:hAnsi="Arial" w:cs="Arial"/>
                      <w:color w:val="000000"/>
                      <w:sz w:val="18"/>
                      <w:szCs w:val="18"/>
                    </w:rPr>
                  </w:pPr>
                  <w:r w:rsidRPr="00961904">
                    <w:rPr>
                      <w:rFonts w:ascii="Arial" w:hAnsi="Arial" w:cs="Arial"/>
                      <w:color w:val="000000"/>
                      <w:sz w:val="18"/>
                      <w:szCs w:val="18"/>
                    </w:rPr>
                    <w:t>Traspasos Recibidos</w:t>
                  </w:r>
                </w:p>
              </w:tc>
              <w:tc>
                <w:tcPr>
                  <w:tcW w:w="0" w:type="auto"/>
                  <w:tcBorders>
                    <w:top w:val="single" w:sz="16" w:space="0" w:color="000000"/>
                    <w:left w:val="nil"/>
                    <w:bottom w:val="nil"/>
                    <w:right w:val="single" w:sz="16" w:space="0" w:color="000000"/>
                  </w:tcBorders>
                  <w:shd w:val="clear" w:color="auto" w:fill="FFFFFF"/>
                  <w:vAlign w:val="center"/>
                </w:tcPr>
                <w:p w:rsidR="00762D9F" w:rsidRPr="00961904" w:rsidRDefault="00762D9F" w:rsidP="00762D9F">
                  <w:pPr>
                    <w:autoSpaceDE w:val="0"/>
                    <w:autoSpaceDN w:val="0"/>
                    <w:adjustRightInd w:val="0"/>
                    <w:spacing w:after="0" w:line="240" w:lineRule="auto"/>
                    <w:ind w:left="60" w:right="60"/>
                    <w:rPr>
                      <w:rFonts w:ascii="Arial" w:hAnsi="Arial" w:cs="Arial"/>
                      <w:color w:val="000000"/>
                      <w:sz w:val="18"/>
                      <w:szCs w:val="18"/>
                    </w:rPr>
                  </w:pPr>
                  <w:r w:rsidRPr="00961904">
                    <w:rPr>
                      <w:rFonts w:ascii="Arial" w:hAnsi="Arial" w:cs="Arial"/>
                      <w:color w:val="000000"/>
                      <w:sz w:val="18"/>
                      <w:szCs w:val="18"/>
                    </w:rPr>
                    <w:t>Correlación de Pearson</w:t>
                  </w:r>
                </w:p>
              </w:tc>
              <w:tc>
                <w:tcPr>
                  <w:tcW w:w="0" w:type="auto"/>
                  <w:tcBorders>
                    <w:top w:val="single" w:sz="16" w:space="0" w:color="000000"/>
                    <w:left w:val="single" w:sz="16" w:space="0" w:color="000000"/>
                    <w:bottom w:val="nil"/>
                  </w:tcBorders>
                  <w:shd w:val="clear" w:color="auto" w:fill="FFFFFF"/>
                  <w:vAlign w:val="center"/>
                </w:tcPr>
                <w:p w:rsidR="00762D9F" w:rsidRPr="00961904"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961904">
                    <w:rPr>
                      <w:rFonts w:ascii="Arial" w:hAnsi="Arial" w:cs="Arial"/>
                      <w:color w:val="000000"/>
                      <w:sz w:val="18"/>
                      <w:szCs w:val="18"/>
                    </w:rPr>
                    <w:t>1</w:t>
                  </w:r>
                </w:p>
              </w:tc>
              <w:tc>
                <w:tcPr>
                  <w:tcW w:w="0" w:type="auto"/>
                  <w:tcBorders>
                    <w:top w:val="single" w:sz="16" w:space="0" w:color="000000"/>
                    <w:bottom w:val="nil"/>
                    <w:right w:val="single" w:sz="16" w:space="0" w:color="000000"/>
                  </w:tcBorders>
                  <w:shd w:val="clear" w:color="auto" w:fill="FFFFFF"/>
                  <w:vAlign w:val="center"/>
                </w:tcPr>
                <w:p w:rsidR="00762D9F" w:rsidRPr="00961904"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961904">
                    <w:rPr>
                      <w:rFonts w:ascii="Arial" w:hAnsi="Arial" w:cs="Arial"/>
                      <w:color w:val="000000"/>
                      <w:sz w:val="18"/>
                      <w:szCs w:val="18"/>
                    </w:rPr>
                    <w:t>-.262</w:t>
                  </w:r>
                </w:p>
              </w:tc>
            </w:tr>
            <w:tr w:rsidR="00762D9F" w:rsidRPr="00961904" w:rsidTr="00762D9F">
              <w:trPr>
                <w:cantSplit/>
              </w:trPr>
              <w:tc>
                <w:tcPr>
                  <w:tcW w:w="0" w:type="auto"/>
                  <w:vMerge/>
                  <w:tcBorders>
                    <w:top w:val="single" w:sz="16" w:space="0" w:color="000000"/>
                    <w:left w:val="single" w:sz="16" w:space="0" w:color="000000"/>
                    <w:bottom w:val="nil"/>
                    <w:right w:val="nil"/>
                  </w:tcBorders>
                  <w:shd w:val="clear" w:color="auto" w:fill="FFFFFF"/>
                  <w:vAlign w:val="center"/>
                </w:tcPr>
                <w:p w:rsidR="00762D9F" w:rsidRPr="00961904" w:rsidRDefault="00762D9F" w:rsidP="00762D9F">
                  <w:pPr>
                    <w:autoSpaceDE w:val="0"/>
                    <w:autoSpaceDN w:val="0"/>
                    <w:adjustRightInd w:val="0"/>
                    <w:spacing w:after="0" w:line="240" w:lineRule="auto"/>
                    <w:rPr>
                      <w:rFonts w:ascii="Arial" w:hAnsi="Arial" w:cs="Arial"/>
                      <w:color w:val="000000"/>
                      <w:sz w:val="18"/>
                      <w:szCs w:val="18"/>
                    </w:rPr>
                  </w:pPr>
                </w:p>
              </w:tc>
              <w:tc>
                <w:tcPr>
                  <w:tcW w:w="0" w:type="auto"/>
                  <w:tcBorders>
                    <w:top w:val="nil"/>
                    <w:left w:val="nil"/>
                    <w:bottom w:val="nil"/>
                    <w:right w:val="single" w:sz="16" w:space="0" w:color="000000"/>
                  </w:tcBorders>
                  <w:shd w:val="clear" w:color="auto" w:fill="FFFFFF"/>
                  <w:vAlign w:val="center"/>
                </w:tcPr>
                <w:p w:rsidR="00762D9F" w:rsidRPr="00961904" w:rsidRDefault="00762D9F" w:rsidP="00762D9F">
                  <w:pPr>
                    <w:autoSpaceDE w:val="0"/>
                    <w:autoSpaceDN w:val="0"/>
                    <w:adjustRightInd w:val="0"/>
                    <w:spacing w:after="0" w:line="240" w:lineRule="auto"/>
                    <w:ind w:left="60" w:right="60"/>
                    <w:rPr>
                      <w:rFonts w:ascii="Arial" w:hAnsi="Arial" w:cs="Arial"/>
                      <w:color w:val="000000"/>
                      <w:sz w:val="18"/>
                      <w:szCs w:val="18"/>
                    </w:rPr>
                  </w:pPr>
                  <w:r w:rsidRPr="00961904">
                    <w:rPr>
                      <w:rFonts w:ascii="Arial" w:hAnsi="Arial" w:cs="Arial"/>
                      <w:color w:val="000000"/>
                      <w:sz w:val="18"/>
                      <w:szCs w:val="18"/>
                    </w:rPr>
                    <w:t>Sig. (bilateral)</w:t>
                  </w:r>
                </w:p>
              </w:tc>
              <w:tc>
                <w:tcPr>
                  <w:tcW w:w="0" w:type="auto"/>
                  <w:tcBorders>
                    <w:top w:val="nil"/>
                    <w:left w:val="single" w:sz="16" w:space="0" w:color="000000"/>
                    <w:bottom w:val="nil"/>
                  </w:tcBorders>
                  <w:shd w:val="clear" w:color="auto" w:fill="FFFFFF"/>
                </w:tcPr>
                <w:p w:rsidR="00762D9F" w:rsidRPr="00961904" w:rsidRDefault="00762D9F" w:rsidP="00762D9F">
                  <w:pPr>
                    <w:autoSpaceDE w:val="0"/>
                    <w:autoSpaceDN w:val="0"/>
                    <w:adjustRightInd w:val="0"/>
                    <w:spacing w:after="0" w:line="240" w:lineRule="auto"/>
                    <w:rPr>
                      <w:rFonts w:ascii="Times New Roman" w:hAnsi="Times New Roman" w:cs="Times New Roman"/>
                      <w:sz w:val="24"/>
                      <w:szCs w:val="24"/>
                    </w:rPr>
                  </w:pPr>
                </w:p>
              </w:tc>
              <w:tc>
                <w:tcPr>
                  <w:tcW w:w="0" w:type="auto"/>
                  <w:tcBorders>
                    <w:top w:val="nil"/>
                    <w:bottom w:val="nil"/>
                    <w:right w:val="single" w:sz="16" w:space="0" w:color="000000"/>
                  </w:tcBorders>
                  <w:shd w:val="clear" w:color="auto" w:fill="FFFFFF"/>
                  <w:vAlign w:val="center"/>
                </w:tcPr>
                <w:p w:rsidR="00762D9F" w:rsidRPr="00961904"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961904">
                    <w:rPr>
                      <w:rFonts w:ascii="Arial" w:hAnsi="Arial" w:cs="Arial"/>
                      <w:color w:val="000000"/>
                      <w:sz w:val="18"/>
                      <w:szCs w:val="18"/>
                    </w:rPr>
                    <w:t>.387</w:t>
                  </w:r>
                </w:p>
              </w:tc>
            </w:tr>
            <w:tr w:rsidR="00762D9F" w:rsidRPr="00961904" w:rsidTr="00762D9F">
              <w:trPr>
                <w:cantSplit/>
              </w:trPr>
              <w:tc>
                <w:tcPr>
                  <w:tcW w:w="0" w:type="auto"/>
                  <w:vMerge/>
                  <w:tcBorders>
                    <w:top w:val="single" w:sz="16" w:space="0" w:color="000000"/>
                    <w:left w:val="single" w:sz="16" w:space="0" w:color="000000"/>
                    <w:bottom w:val="nil"/>
                    <w:right w:val="nil"/>
                  </w:tcBorders>
                  <w:shd w:val="clear" w:color="auto" w:fill="FFFFFF"/>
                  <w:vAlign w:val="center"/>
                </w:tcPr>
                <w:p w:rsidR="00762D9F" w:rsidRPr="00961904" w:rsidRDefault="00762D9F" w:rsidP="00762D9F">
                  <w:pPr>
                    <w:autoSpaceDE w:val="0"/>
                    <w:autoSpaceDN w:val="0"/>
                    <w:adjustRightInd w:val="0"/>
                    <w:spacing w:after="0" w:line="240" w:lineRule="auto"/>
                    <w:rPr>
                      <w:rFonts w:ascii="Arial" w:hAnsi="Arial" w:cs="Arial"/>
                      <w:color w:val="000000"/>
                      <w:sz w:val="18"/>
                      <w:szCs w:val="18"/>
                    </w:rPr>
                  </w:pPr>
                </w:p>
              </w:tc>
              <w:tc>
                <w:tcPr>
                  <w:tcW w:w="0" w:type="auto"/>
                  <w:tcBorders>
                    <w:top w:val="nil"/>
                    <w:left w:val="nil"/>
                    <w:bottom w:val="nil"/>
                    <w:right w:val="single" w:sz="16" w:space="0" w:color="000000"/>
                  </w:tcBorders>
                  <w:shd w:val="clear" w:color="auto" w:fill="FFFFFF"/>
                  <w:vAlign w:val="center"/>
                </w:tcPr>
                <w:p w:rsidR="00762D9F" w:rsidRPr="00961904" w:rsidRDefault="00762D9F" w:rsidP="00762D9F">
                  <w:pPr>
                    <w:autoSpaceDE w:val="0"/>
                    <w:autoSpaceDN w:val="0"/>
                    <w:adjustRightInd w:val="0"/>
                    <w:spacing w:after="0" w:line="240" w:lineRule="auto"/>
                    <w:ind w:left="60" w:right="60"/>
                    <w:rPr>
                      <w:rFonts w:ascii="Arial" w:hAnsi="Arial" w:cs="Arial"/>
                      <w:color w:val="000000"/>
                      <w:sz w:val="18"/>
                      <w:szCs w:val="18"/>
                    </w:rPr>
                  </w:pPr>
                  <w:r w:rsidRPr="00961904">
                    <w:rPr>
                      <w:rFonts w:ascii="Arial" w:hAnsi="Arial" w:cs="Arial"/>
                      <w:color w:val="000000"/>
                      <w:sz w:val="18"/>
                      <w:szCs w:val="18"/>
                    </w:rPr>
                    <w:t>N</w:t>
                  </w:r>
                </w:p>
              </w:tc>
              <w:tc>
                <w:tcPr>
                  <w:tcW w:w="0" w:type="auto"/>
                  <w:tcBorders>
                    <w:top w:val="nil"/>
                    <w:left w:val="single" w:sz="16" w:space="0" w:color="000000"/>
                    <w:bottom w:val="nil"/>
                  </w:tcBorders>
                  <w:shd w:val="clear" w:color="auto" w:fill="FFFFFF"/>
                  <w:vAlign w:val="center"/>
                </w:tcPr>
                <w:p w:rsidR="00762D9F" w:rsidRPr="00961904"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12</w:t>
                  </w:r>
                </w:p>
              </w:tc>
              <w:tc>
                <w:tcPr>
                  <w:tcW w:w="0" w:type="auto"/>
                  <w:tcBorders>
                    <w:top w:val="nil"/>
                    <w:bottom w:val="nil"/>
                    <w:right w:val="single" w:sz="16" w:space="0" w:color="000000"/>
                  </w:tcBorders>
                  <w:shd w:val="clear" w:color="auto" w:fill="FFFFFF"/>
                  <w:vAlign w:val="center"/>
                </w:tcPr>
                <w:p w:rsidR="00762D9F" w:rsidRPr="00961904"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12</w:t>
                  </w:r>
                </w:p>
              </w:tc>
            </w:tr>
            <w:tr w:rsidR="00762D9F" w:rsidRPr="00961904" w:rsidTr="00762D9F">
              <w:trPr>
                <w:cantSplit/>
              </w:trPr>
              <w:tc>
                <w:tcPr>
                  <w:tcW w:w="0" w:type="auto"/>
                  <w:vMerge w:val="restart"/>
                  <w:tcBorders>
                    <w:top w:val="nil"/>
                    <w:left w:val="single" w:sz="16" w:space="0" w:color="000000"/>
                    <w:bottom w:val="single" w:sz="16" w:space="0" w:color="000000"/>
                    <w:right w:val="nil"/>
                  </w:tcBorders>
                  <w:shd w:val="clear" w:color="auto" w:fill="FFFFFF"/>
                  <w:vAlign w:val="center"/>
                </w:tcPr>
                <w:p w:rsidR="00762D9F" w:rsidRPr="00961904" w:rsidRDefault="00762D9F" w:rsidP="00762D9F">
                  <w:pPr>
                    <w:autoSpaceDE w:val="0"/>
                    <w:autoSpaceDN w:val="0"/>
                    <w:adjustRightInd w:val="0"/>
                    <w:spacing w:after="0" w:line="240" w:lineRule="auto"/>
                    <w:ind w:left="60" w:right="60"/>
                    <w:rPr>
                      <w:rFonts w:ascii="Arial" w:hAnsi="Arial" w:cs="Arial"/>
                      <w:color w:val="000000"/>
                      <w:sz w:val="18"/>
                      <w:szCs w:val="18"/>
                    </w:rPr>
                  </w:pPr>
                  <w:r w:rsidRPr="00961904">
                    <w:rPr>
                      <w:rFonts w:ascii="Arial" w:hAnsi="Arial" w:cs="Arial"/>
                      <w:color w:val="000000"/>
                      <w:sz w:val="18"/>
                      <w:szCs w:val="18"/>
                    </w:rPr>
                    <w:t>Rendimiento Neto</w:t>
                  </w:r>
                </w:p>
              </w:tc>
              <w:tc>
                <w:tcPr>
                  <w:tcW w:w="0" w:type="auto"/>
                  <w:tcBorders>
                    <w:top w:val="nil"/>
                    <w:left w:val="nil"/>
                    <w:bottom w:val="nil"/>
                    <w:right w:val="single" w:sz="16" w:space="0" w:color="000000"/>
                  </w:tcBorders>
                  <w:shd w:val="clear" w:color="auto" w:fill="FFFFFF"/>
                  <w:vAlign w:val="center"/>
                </w:tcPr>
                <w:p w:rsidR="00762D9F" w:rsidRPr="00961904" w:rsidRDefault="00762D9F" w:rsidP="00762D9F">
                  <w:pPr>
                    <w:autoSpaceDE w:val="0"/>
                    <w:autoSpaceDN w:val="0"/>
                    <w:adjustRightInd w:val="0"/>
                    <w:spacing w:after="0" w:line="240" w:lineRule="auto"/>
                    <w:ind w:left="60" w:right="60"/>
                    <w:rPr>
                      <w:rFonts w:ascii="Arial" w:hAnsi="Arial" w:cs="Arial"/>
                      <w:color w:val="000000"/>
                      <w:sz w:val="18"/>
                      <w:szCs w:val="18"/>
                    </w:rPr>
                  </w:pPr>
                  <w:r w:rsidRPr="00961904">
                    <w:rPr>
                      <w:rFonts w:ascii="Arial" w:hAnsi="Arial" w:cs="Arial"/>
                      <w:color w:val="000000"/>
                      <w:sz w:val="18"/>
                      <w:szCs w:val="18"/>
                    </w:rPr>
                    <w:t>Correlación de Pearson</w:t>
                  </w:r>
                </w:p>
              </w:tc>
              <w:tc>
                <w:tcPr>
                  <w:tcW w:w="0" w:type="auto"/>
                  <w:tcBorders>
                    <w:top w:val="nil"/>
                    <w:left w:val="single" w:sz="16" w:space="0" w:color="000000"/>
                    <w:bottom w:val="nil"/>
                  </w:tcBorders>
                  <w:shd w:val="clear" w:color="auto" w:fill="FFFFFF"/>
                  <w:vAlign w:val="center"/>
                </w:tcPr>
                <w:p w:rsidR="00762D9F" w:rsidRPr="00961904"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961904">
                    <w:rPr>
                      <w:rFonts w:ascii="Arial" w:hAnsi="Arial" w:cs="Arial"/>
                      <w:color w:val="000000"/>
                      <w:sz w:val="18"/>
                      <w:szCs w:val="18"/>
                    </w:rPr>
                    <w:t>-.262</w:t>
                  </w:r>
                </w:p>
              </w:tc>
              <w:tc>
                <w:tcPr>
                  <w:tcW w:w="0" w:type="auto"/>
                  <w:tcBorders>
                    <w:top w:val="nil"/>
                    <w:bottom w:val="nil"/>
                    <w:right w:val="single" w:sz="16" w:space="0" w:color="000000"/>
                  </w:tcBorders>
                  <w:shd w:val="clear" w:color="auto" w:fill="FFFFFF"/>
                  <w:vAlign w:val="center"/>
                </w:tcPr>
                <w:p w:rsidR="00762D9F" w:rsidRPr="00961904"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961904">
                    <w:rPr>
                      <w:rFonts w:ascii="Arial" w:hAnsi="Arial" w:cs="Arial"/>
                      <w:color w:val="000000"/>
                      <w:sz w:val="18"/>
                      <w:szCs w:val="18"/>
                    </w:rPr>
                    <w:t>1</w:t>
                  </w:r>
                </w:p>
              </w:tc>
            </w:tr>
            <w:tr w:rsidR="00762D9F" w:rsidRPr="00961904" w:rsidTr="00762D9F">
              <w:trPr>
                <w:cantSplit/>
              </w:trPr>
              <w:tc>
                <w:tcPr>
                  <w:tcW w:w="0" w:type="auto"/>
                  <w:vMerge/>
                  <w:tcBorders>
                    <w:top w:val="nil"/>
                    <w:left w:val="single" w:sz="16" w:space="0" w:color="000000"/>
                    <w:bottom w:val="single" w:sz="16" w:space="0" w:color="000000"/>
                    <w:right w:val="nil"/>
                  </w:tcBorders>
                  <w:shd w:val="clear" w:color="auto" w:fill="FFFFFF"/>
                  <w:vAlign w:val="center"/>
                </w:tcPr>
                <w:p w:rsidR="00762D9F" w:rsidRPr="00961904" w:rsidRDefault="00762D9F" w:rsidP="00762D9F">
                  <w:pPr>
                    <w:autoSpaceDE w:val="0"/>
                    <w:autoSpaceDN w:val="0"/>
                    <w:adjustRightInd w:val="0"/>
                    <w:spacing w:after="0" w:line="240" w:lineRule="auto"/>
                    <w:rPr>
                      <w:rFonts w:ascii="Arial" w:hAnsi="Arial" w:cs="Arial"/>
                      <w:color w:val="000000"/>
                      <w:sz w:val="18"/>
                      <w:szCs w:val="18"/>
                    </w:rPr>
                  </w:pPr>
                </w:p>
              </w:tc>
              <w:tc>
                <w:tcPr>
                  <w:tcW w:w="0" w:type="auto"/>
                  <w:tcBorders>
                    <w:top w:val="nil"/>
                    <w:left w:val="nil"/>
                    <w:bottom w:val="nil"/>
                    <w:right w:val="single" w:sz="16" w:space="0" w:color="000000"/>
                  </w:tcBorders>
                  <w:shd w:val="clear" w:color="auto" w:fill="FFFFFF"/>
                  <w:vAlign w:val="center"/>
                </w:tcPr>
                <w:p w:rsidR="00762D9F" w:rsidRPr="00961904" w:rsidRDefault="00762D9F" w:rsidP="00762D9F">
                  <w:pPr>
                    <w:autoSpaceDE w:val="0"/>
                    <w:autoSpaceDN w:val="0"/>
                    <w:adjustRightInd w:val="0"/>
                    <w:spacing w:after="0" w:line="240" w:lineRule="auto"/>
                    <w:ind w:left="60" w:right="60"/>
                    <w:rPr>
                      <w:rFonts w:ascii="Arial" w:hAnsi="Arial" w:cs="Arial"/>
                      <w:color w:val="000000"/>
                      <w:sz w:val="18"/>
                      <w:szCs w:val="18"/>
                    </w:rPr>
                  </w:pPr>
                  <w:r w:rsidRPr="00961904">
                    <w:rPr>
                      <w:rFonts w:ascii="Arial" w:hAnsi="Arial" w:cs="Arial"/>
                      <w:color w:val="000000"/>
                      <w:sz w:val="18"/>
                      <w:szCs w:val="18"/>
                    </w:rPr>
                    <w:t>Sig. (bilateral)</w:t>
                  </w:r>
                </w:p>
              </w:tc>
              <w:tc>
                <w:tcPr>
                  <w:tcW w:w="0" w:type="auto"/>
                  <w:tcBorders>
                    <w:top w:val="nil"/>
                    <w:left w:val="single" w:sz="16" w:space="0" w:color="000000"/>
                    <w:bottom w:val="nil"/>
                  </w:tcBorders>
                  <w:shd w:val="clear" w:color="auto" w:fill="FFFFFF"/>
                  <w:vAlign w:val="center"/>
                </w:tcPr>
                <w:p w:rsidR="00762D9F" w:rsidRPr="00961904"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sidRPr="00961904">
                    <w:rPr>
                      <w:rFonts w:ascii="Arial" w:hAnsi="Arial" w:cs="Arial"/>
                      <w:color w:val="000000"/>
                      <w:sz w:val="18"/>
                      <w:szCs w:val="18"/>
                    </w:rPr>
                    <w:t>.387</w:t>
                  </w:r>
                </w:p>
              </w:tc>
              <w:tc>
                <w:tcPr>
                  <w:tcW w:w="0" w:type="auto"/>
                  <w:tcBorders>
                    <w:top w:val="nil"/>
                    <w:bottom w:val="nil"/>
                    <w:right w:val="single" w:sz="16" w:space="0" w:color="000000"/>
                  </w:tcBorders>
                  <w:shd w:val="clear" w:color="auto" w:fill="FFFFFF"/>
                </w:tcPr>
                <w:p w:rsidR="00762D9F" w:rsidRPr="00961904" w:rsidRDefault="00762D9F" w:rsidP="00762D9F">
                  <w:pPr>
                    <w:autoSpaceDE w:val="0"/>
                    <w:autoSpaceDN w:val="0"/>
                    <w:adjustRightInd w:val="0"/>
                    <w:spacing w:after="0" w:line="240" w:lineRule="auto"/>
                    <w:rPr>
                      <w:rFonts w:ascii="Times New Roman" w:hAnsi="Times New Roman" w:cs="Times New Roman"/>
                      <w:sz w:val="24"/>
                      <w:szCs w:val="24"/>
                    </w:rPr>
                  </w:pPr>
                </w:p>
              </w:tc>
            </w:tr>
            <w:tr w:rsidR="00762D9F" w:rsidRPr="00961904" w:rsidTr="00762D9F">
              <w:trPr>
                <w:cantSplit/>
              </w:trPr>
              <w:tc>
                <w:tcPr>
                  <w:tcW w:w="0" w:type="auto"/>
                  <w:vMerge/>
                  <w:tcBorders>
                    <w:top w:val="nil"/>
                    <w:left w:val="single" w:sz="16" w:space="0" w:color="000000"/>
                    <w:bottom w:val="single" w:sz="16" w:space="0" w:color="000000"/>
                    <w:right w:val="nil"/>
                  </w:tcBorders>
                  <w:shd w:val="clear" w:color="auto" w:fill="FFFFFF"/>
                  <w:vAlign w:val="center"/>
                </w:tcPr>
                <w:p w:rsidR="00762D9F" w:rsidRPr="00961904" w:rsidRDefault="00762D9F" w:rsidP="00762D9F">
                  <w:pPr>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single" w:sz="16" w:space="0" w:color="000000"/>
                    <w:right w:val="single" w:sz="16" w:space="0" w:color="000000"/>
                  </w:tcBorders>
                  <w:shd w:val="clear" w:color="auto" w:fill="FFFFFF"/>
                  <w:vAlign w:val="center"/>
                </w:tcPr>
                <w:p w:rsidR="00762D9F" w:rsidRPr="00961904" w:rsidRDefault="00762D9F" w:rsidP="00762D9F">
                  <w:pPr>
                    <w:autoSpaceDE w:val="0"/>
                    <w:autoSpaceDN w:val="0"/>
                    <w:adjustRightInd w:val="0"/>
                    <w:spacing w:after="0" w:line="240" w:lineRule="auto"/>
                    <w:ind w:left="60" w:right="60"/>
                    <w:rPr>
                      <w:rFonts w:ascii="Arial" w:hAnsi="Arial" w:cs="Arial"/>
                      <w:color w:val="000000"/>
                      <w:sz w:val="18"/>
                      <w:szCs w:val="18"/>
                    </w:rPr>
                  </w:pPr>
                  <w:r w:rsidRPr="00961904">
                    <w:rPr>
                      <w:rFonts w:ascii="Arial" w:hAnsi="Arial" w:cs="Arial"/>
                      <w:color w:val="000000"/>
                      <w:sz w:val="18"/>
                      <w:szCs w:val="18"/>
                    </w:rPr>
                    <w:t>N</w:t>
                  </w:r>
                </w:p>
              </w:tc>
              <w:tc>
                <w:tcPr>
                  <w:tcW w:w="0" w:type="auto"/>
                  <w:tcBorders>
                    <w:top w:val="nil"/>
                    <w:left w:val="single" w:sz="16" w:space="0" w:color="000000"/>
                    <w:bottom w:val="single" w:sz="16" w:space="0" w:color="000000"/>
                  </w:tcBorders>
                  <w:shd w:val="clear" w:color="auto" w:fill="FFFFFF"/>
                  <w:vAlign w:val="center"/>
                </w:tcPr>
                <w:p w:rsidR="00762D9F" w:rsidRPr="00961904"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12</w:t>
                  </w:r>
                </w:p>
              </w:tc>
              <w:tc>
                <w:tcPr>
                  <w:tcW w:w="0" w:type="auto"/>
                  <w:tcBorders>
                    <w:top w:val="nil"/>
                    <w:bottom w:val="single" w:sz="16" w:space="0" w:color="000000"/>
                    <w:right w:val="single" w:sz="16" w:space="0" w:color="000000"/>
                  </w:tcBorders>
                  <w:shd w:val="clear" w:color="auto" w:fill="FFFFFF"/>
                  <w:vAlign w:val="center"/>
                </w:tcPr>
                <w:p w:rsidR="00762D9F" w:rsidRPr="00961904" w:rsidRDefault="00762D9F" w:rsidP="00762D9F">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12</w:t>
                  </w:r>
                </w:p>
              </w:tc>
            </w:tr>
          </w:tbl>
          <w:p w:rsidR="00762D9F" w:rsidRDefault="00762D9F" w:rsidP="00762D9F"/>
        </w:tc>
      </w:tr>
    </w:tbl>
    <w:p w:rsidR="000477AA" w:rsidRDefault="000477AA" w:rsidP="000477AA">
      <w:pPr>
        <w:spacing w:line="480" w:lineRule="auto"/>
        <w:jc w:val="both"/>
        <w:rPr>
          <w:rFonts w:ascii="Arial" w:hAnsi="Arial" w:cs="Arial"/>
          <w:sz w:val="24"/>
          <w:szCs w:val="24"/>
        </w:rPr>
      </w:pPr>
    </w:p>
    <w:p w:rsidR="0025278D" w:rsidRDefault="009A0CC1" w:rsidP="0025278D">
      <w:pPr>
        <w:spacing w:after="0" w:line="480" w:lineRule="auto"/>
        <w:ind w:firstLine="709"/>
        <w:jc w:val="both"/>
        <w:rPr>
          <w:rFonts w:ascii="Arial" w:hAnsi="Arial" w:cs="Arial"/>
          <w:sz w:val="24"/>
          <w:szCs w:val="24"/>
        </w:rPr>
      </w:pPr>
      <w:r w:rsidRPr="009A0CC1">
        <w:rPr>
          <w:rFonts w:ascii="Arial" w:hAnsi="Arial" w:cs="Arial"/>
          <w:b/>
          <w:sz w:val="24"/>
          <w:szCs w:val="24"/>
        </w:rPr>
        <w:t>Interpretación de resultados de las variables traspasos recibidos y rendimiento neto:</w:t>
      </w:r>
      <w:r>
        <w:rPr>
          <w:rFonts w:ascii="Arial" w:hAnsi="Arial" w:cs="Arial"/>
          <w:sz w:val="24"/>
          <w:szCs w:val="24"/>
        </w:rPr>
        <w:t xml:space="preserve"> </w:t>
      </w:r>
      <w:r w:rsidR="0025278D">
        <w:rPr>
          <w:rFonts w:ascii="Arial" w:hAnsi="Arial" w:cs="Arial"/>
          <w:sz w:val="24"/>
          <w:szCs w:val="24"/>
        </w:rPr>
        <w:t xml:space="preserve">para el año 2005 el valor de r=0.397, es positivo con un nivel de significancia de 0.128, mayor a 0.05, por lo que se acepta la hipótesis nula, entonces: no existe una asociación lineal entre los traspasos recibidos y el </w:t>
      </w:r>
      <w:r w:rsidR="0025278D">
        <w:rPr>
          <w:rFonts w:ascii="Arial" w:hAnsi="Arial" w:cs="Arial"/>
          <w:sz w:val="24"/>
          <w:szCs w:val="24"/>
        </w:rPr>
        <w:lastRenderedPageBreak/>
        <w:t>Rendimiento Neto que ofrecen. C</w:t>
      </w:r>
      <w:r w:rsidR="0025278D" w:rsidRPr="00A93228">
        <w:rPr>
          <w:rFonts w:ascii="Arial" w:hAnsi="Arial" w:cs="Arial"/>
          <w:sz w:val="24"/>
          <w:szCs w:val="24"/>
        </w:rPr>
        <w:t>on lo cual se confirma la información proporcionada por el gráfico acerca de la  poca existencia de asociac</w:t>
      </w:r>
      <w:r w:rsidR="0025278D">
        <w:rPr>
          <w:rFonts w:ascii="Arial" w:hAnsi="Arial" w:cs="Arial"/>
          <w:sz w:val="24"/>
          <w:szCs w:val="24"/>
        </w:rPr>
        <w:t>ión lineal entre las variables.</w:t>
      </w:r>
    </w:p>
    <w:p w:rsidR="00BD36C1" w:rsidRDefault="0025278D" w:rsidP="000477AA">
      <w:pPr>
        <w:spacing w:line="480" w:lineRule="auto"/>
        <w:jc w:val="both"/>
        <w:rPr>
          <w:rFonts w:ascii="Arial" w:hAnsi="Arial" w:cs="Arial"/>
          <w:sz w:val="24"/>
          <w:szCs w:val="24"/>
        </w:rPr>
      </w:pPr>
      <w:r>
        <w:rPr>
          <w:rFonts w:ascii="Arial" w:hAnsi="Arial" w:cs="Arial"/>
          <w:sz w:val="24"/>
          <w:szCs w:val="24"/>
        </w:rPr>
        <w:t xml:space="preserve">En general </w:t>
      </w:r>
      <w:r w:rsidR="00031955">
        <w:rPr>
          <w:rFonts w:ascii="Arial" w:hAnsi="Arial" w:cs="Arial"/>
          <w:sz w:val="24"/>
          <w:szCs w:val="24"/>
        </w:rPr>
        <w:t xml:space="preserve"> para todo el periodo muestral tanto </w:t>
      </w:r>
      <w:r>
        <w:rPr>
          <w:rFonts w:ascii="Arial" w:hAnsi="Arial" w:cs="Arial"/>
          <w:sz w:val="24"/>
          <w:szCs w:val="24"/>
        </w:rPr>
        <w:t xml:space="preserve"> los</w:t>
      </w:r>
      <w:r w:rsidR="00762D9F">
        <w:rPr>
          <w:rFonts w:ascii="Arial" w:hAnsi="Arial" w:cs="Arial"/>
          <w:sz w:val="24"/>
          <w:szCs w:val="24"/>
        </w:rPr>
        <w:t xml:space="preserve"> diagramas de dispersión de datos y el coeficiente de correlación de Pearson  muestran que la relación entre estas variables no es significativa con valo</w:t>
      </w:r>
      <w:r w:rsidR="00031955">
        <w:rPr>
          <w:rFonts w:ascii="Arial" w:hAnsi="Arial" w:cs="Arial"/>
          <w:sz w:val="24"/>
          <w:szCs w:val="24"/>
        </w:rPr>
        <w:t xml:space="preserve">res de r&lt;0.5. </w:t>
      </w:r>
    </w:p>
    <w:p w:rsidR="00762D9F" w:rsidRPr="006452A8" w:rsidRDefault="009A0CC1" w:rsidP="000477AA">
      <w:pPr>
        <w:spacing w:line="480" w:lineRule="auto"/>
        <w:jc w:val="both"/>
        <w:rPr>
          <w:rFonts w:ascii="Arial" w:hAnsi="Arial" w:cs="Arial"/>
          <w:sz w:val="24"/>
          <w:szCs w:val="24"/>
        </w:rPr>
      </w:pPr>
      <w:r w:rsidRPr="009A0CC1">
        <w:rPr>
          <w:rFonts w:ascii="Arial" w:hAnsi="Arial" w:cs="Arial"/>
          <w:b/>
          <w:sz w:val="24"/>
          <w:szCs w:val="24"/>
        </w:rPr>
        <w:t>Comprobación de hipótesis:</w:t>
      </w:r>
      <w:r>
        <w:rPr>
          <w:rFonts w:ascii="Arial" w:hAnsi="Arial" w:cs="Arial"/>
          <w:sz w:val="24"/>
          <w:szCs w:val="24"/>
        </w:rPr>
        <w:t xml:space="preserve"> </w:t>
      </w:r>
      <w:r w:rsidR="00762D9F">
        <w:rPr>
          <w:rFonts w:ascii="Arial" w:hAnsi="Arial" w:cs="Arial"/>
          <w:sz w:val="24"/>
          <w:szCs w:val="24"/>
        </w:rPr>
        <w:t xml:space="preserve">el trabajador mexicano con sistema de capitalización individual tampoco toma en cuenta el rendimiento neto como factor importante para cambiarse de AFORE, los traspasos recibidos no muestran una relación con el criterio financiero que la CONSAR señala  que  es el indicador en el que se deben basar las decisiones </w:t>
      </w:r>
      <w:r>
        <w:rPr>
          <w:rFonts w:ascii="Arial" w:hAnsi="Arial" w:cs="Arial"/>
          <w:sz w:val="24"/>
          <w:szCs w:val="24"/>
        </w:rPr>
        <w:t>para elegir que administradora l</w:t>
      </w:r>
      <w:r w:rsidR="00762D9F">
        <w:rPr>
          <w:rFonts w:ascii="Arial" w:hAnsi="Arial" w:cs="Arial"/>
          <w:sz w:val="24"/>
          <w:szCs w:val="24"/>
        </w:rPr>
        <w:t>e conviene.</w:t>
      </w:r>
    </w:p>
    <w:p w:rsidR="00D32717" w:rsidRPr="00A93228" w:rsidRDefault="00D32717" w:rsidP="006E10B9">
      <w:pPr>
        <w:spacing w:line="480" w:lineRule="auto"/>
        <w:jc w:val="both"/>
        <w:rPr>
          <w:rFonts w:ascii="Arial" w:eastAsia="Times New Roman" w:hAnsi="Arial" w:cs="Arial"/>
          <w:color w:val="000000" w:themeColor="text1"/>
          <w:sz w:val="24"/>
          <w:szCs w:val="24"/>
          <w:lang w:eastAsia="es-MX"/>
        </w:rPr>
      </w:pPr>
    </w:p>
    <w:p w:rsidR="00D32717" w:rsidRPr="00D32717" w:rsidRDefault="006E6C26" w:rsidP="00F7408A">
      <w:pPr>
        <w:pStyle w:val="Ttulo1"/>
      </w:pPr>
      <w:bookmarkStart w:id="108" w:name="_Toc401571180"/>
      <w:bookmarkStart w:id="109" w:name="_Toc401577571"/>
      <w:bookmarkStart w:id="110" w:name="_Toc401578518"/>
      <w:bookmarkStart w:id="111" w:name="_Toc401580982"/>
      <w:bookmarkStart w:id="112" w:name="_Toc401581471"/>
      <w:bookmarkStart w:id="113" w:name="_Toc401586012"/>
      <w:bookmarkStart w:id="114" w:name="_Toc402948944"/>
      <w:r w:rsidRPr="003F35A7">
        <w:t>CONCLUSIONES</w:t>
      </w:r>
      <w:bookmarkEnd w:id="108"/>
      <w:bookmarkEnd w:id="109"/>
      <w:bookmarkEnd w:id="110"/>
      <w:bookmarkEnd w:id="111"/>
      <w:bookmarkEnd w:id="112"/>
      <w:bookmarkEnd w:id="113"/>
      <w:bookmarkEnd w:id="114"/>
      <w:r w:rsidRPr="003F35A7">
        <w:t xml:space="preserve"> </w:t>
      </w:r>
    </w:p>
    <w:p w:rsidR="00D619A5" w:rsidRDefault="00714DBE" w:rsidP="00F7408A">
      <w:pPr>
        <w:spacing w:after="0" w:line="480" w:lineRule="auto"/>
        <w:ind w:firstLine="708"/>
        <w:jc w:val="both"/>
        <w:rPr>
          <w:rFonts w:ascii="Arial" w:hAnsi="Arial" w:cs="Arial"/>
          <w:sz w:val="24"/>
          <w:szCs w:val="24"/>
          <w:lang w:eastAsia="es-MX"/>
        </w:rPr>
      </w:pPr>
      <w:r w:rsidRPr="00A93228">
        <w:rPr>
          <w:rFonts w:ascii="Arial" w:hAnsi="Arial" w:cs="Arial"/>
          <w:sz w:val="24"/>
          <w:szCs w:val="24"/>
          <w:lang w:eastAsia="es-MX"/>
        </w:rPr>
        <w:t xml:space="preserve">Esta investigación pone de relieve las ineficiencias que </w:t>
      </w:r>
      <w:r w:rsidR="0088683E" w:rsidRPr="00A93228">
        <w:rPr>
          <w:rFonts w:ascii="Arial" w:hAnsi="Arial" w:cs="Arial"/>
          <w:sz w:val="24"/>
          <w:szCs w:val="24"/>
          <w:lang w:eastAsia="es-MX"/>
        </w:rPr>
        <w:t>exhibe</w:t>
      </w:r>
      <w:r w:rsidRPr="00A93228">
        <w:rPr>
          <w:rFonts w:ascii="Arial" w:hAnsi="Arial" w:cs="Arial"/>
          <w:sz w:val="24"/>
          <w:szCs w:val="24"/>
          <w:lang w:eastAsia="es-MX"/>
        </w:rPr>
        <w:t xml:space="preserve"> el sistema de capitalización individual puesto en marcha desde el año de 1997 y que contradice de manera importante uno de sus principales principios. L</w:t>
      </w:r>
      <w:r w:rsidR="00DB2FFF" w:rsidRPr="00A93228">
        <w:rPr>
          <w:rFonts w:ascii="Arial" w:hAnsi="Arial" w:cs="Arial"/>
          <w:sz w:val="24"/>
          <w:szCs w:val="24"/>
          <w:lang w:eastAsia="es-MX"/>
        </w:rPr>
        <w:t>as marcadas deficiencias tienen efectos negativos directos en el valor de las pensiones de los trabajadores</w:t>
      </w:r>
      <w:r w:rsidR="002D56E8" w:rsidRPr="00A93228">
        <w:rPr>
          <w:rFonts w:ascii="Arial" w:hAnsi="Arial" w:cs="Arial"/>
          <w:sz w:val="24"/>
          <w:szCs w:val="24"/>
          <w:lang w:eastAsia="es-MX"/>
        </w:rPr>
        <w:t xml:space="preserve"> ya que al emigrar a otra administradora no lo llevan a cabo buscando el mayor beneficio financiero que ofrece el sistema: rendimiento neto. </w:t>
      </w:r>
    </w:p>
    <w:p w:rsidR="00A05952" w:rsidRPr="00A93228" w:rsidRDefault="00BF3F51" w:rsidP="00F7408A">
      <w:pPr>
        <w:spacing w:after="0" w:line="480" w:lineRule="auto"/>
        <w:ind w:firstLine="708"/>
        <w:jc w:val="both"/>
        <w:rPr>
          <w:rFonts w:ascii="Arial" w:hAnsi="Arial" w:cs="Arial"/>
          <w:sz w:val="24"/>
          <w:szCs w:val="24"/>
          <w:lang w:eastAsia="es-MX"/>
        </w:rPr>
      </w:pPr>
      <w:r w:rsidRPr="00A93228">
        <w:rPr>
          <w:rFonts w:ascii="Arial" w:hAnsi="Arial" w:cs="Arial"/>
          <w:sz w:val="24"/>
          <w:szCs w:val="24"/>
          <w:lang w:eastAsia="es-MX"/>
        </w:rPr>
        <w:t>Los datos, indicadores y el método estadístico empleados indican que los traspasos vienen aumentando desde principios de la década pasada y que durante los años de la crisis financiera internacional se multiplicaron.</w:t>
      </w:r>
      <w:r w:rsidR="00466193" w:rsidRPr="00A93228">
        <w:rPr>
          <w:rFonts w:ascii="Arial" w:hAnsi="Arial" w:cs="Arial"/>
          <w:sz w:val="24"/>
          <w:szCs w:val="24"/>
          <w:lang w:eastAsia="es-MX"/>
        </w:rPr>
        <w:t xml:space="preserve"> Al parecer se </w:t>
      </w:r>
      <w:r w:rsidR="00466193" w:rsidRPr="00A93228">
        <w:rPr>
          <w:rFonts w:ascii="Arial" w:hAnsi="Arial" w:cs="Arial"/>
          <w:sz w:val="24"/>
          <w:szCs w:val="24"/>
          <w:lang w:eastAsia="es-MX"/>
        </w:rPr>
        <w:lastRenderedPageBreak/>
        <w:t xml:space="preserve">ha fortalecido el principio de libre elección y de movilidad hacia otra administradora, aunque las causales que motivan los traspasos se explican por otras variables y no como lo quiere hacer ver las autoridades reguladoras y las empresas financieras que gestionan los fondos de pensiones. </w:t>
      </w:r>
    </w:p>
    <w:p w:rsidR="006C16CA" w:rsidRDefault="00A445B3" w:rsidP="006C16CA">
      <w:pPr>
        <w:spacing w:after="0" w:line="480" w:lineRule="auto"/>
        <w:ind w:firstLine="709"/>
        <w:jc w:val="both"/>
        <w:rPr>
          <w:rFonts w:ascii="Arial" w:hAnsi="Arial" w:cs="Arial"/>
          <w:sz w:val="24"/>
          <w:szCs w:val="24"/>
          <w:lang w:eastAsia="es-MX"/>
        </w:rPr>
      </w:pPr>
      <w:r w:rsidRPr="00A93228">
        <w:rPr>
          <w:rFonts w:ascii="Arial" w:hAnsi="Arial" w:cs="Arial"/>
          <w:sz w:val="24"/>
          <w:szCs w:val="24"/>
          <w:lang w:eastAsia="es-MX"/>
        </w:rPr>
        <w:t>Esto es, los trabajadores eligen emigrar de una administradora a otra sin tomar en cuenta el rendimiento neto que ofrecen: La decisión que toma en cuenta un trabajador es influenciada por variables externas, alejadas de lo financiero, económico o laboral. Por lo tanto el proceso de traspasos además de ser muy dinámico es sumamente complejo y, en ello, la administradora juega el papel central empleando estrategias y políticas de mercado contrarias a la regulación, que por cierto aplica el gobierno federal.</w:t>
      </w:r>
    </w:p>
    <w:p w:rsidR="00B369A3" w:rsidRPr="00A93228" w:rsidRDefault="00AD1F51" w:rsidP="006C16CA">
      <w:pPr>
        <w:spacing w:after="0" w:line="480" w:lineRule="auto"/>
        <w:ind w:firstLine="709"/>
        <w:jc w:val="both"/>
        <w:rPr>
          <w:rFonts w:ascii="Arial" w:hAnsi="Arial" w:cs="Arial"/>
          <w:sz w:val="24"/>
          <w:szCs w:val="24"/>
          <w:lang w:eastAsia="es-MX"/>
        </w:rPr>
      </w:pPr>
      <w:r w:rsidRPr="006C16CA">
        <w:rPr>
          <w:rFonts w:ascii="Arial" w:hAnsi="Arial" w:cs="Arial"/>
          <w:sz w:val="24"/>
          <w:szCs w:val="24"/>
          <w:lang w:eastAsia="es-MX"/>
        </w:rPr>
        <w:t xml:space="preserve"> </w:t>
      </w:r>
      <w:r w:rsidR="00B369A3" w:rsidRPr="006C16CA">
        <w:rPr>
          <w:rFonts w:ascii="Arial" w:hAnsi="Arial" w:cs="Arial"/>
          <w:sz w:val="24"/>
          <w:szCs w:val="24"/>
          <w:lang w:eastAsia="es-MX"/>
        </w:rPr>
        <w:t>Derivado de ello, logramos probar empíricamente de que los traspasos no guardan relación con los rendimientos, las comisiones y con el rendimiento neto.</w:t>
      </w:r>
      <w:r w:rsidRPr="006C16CA">
        <w:rPr>
          <w:rFonts w:ascii="Arial" w:hAnsi="Arial" w:cs="Arial"/>
          <w:sz w:val="24"/>
          <w:szCs w:val="24"/>
          <w:lang w:eastAsia="es-MX"/>
        </w:rPr>
        <w:t xml:space="preserve"> Los trabajadores particulares emigran de administradora por motivos ajenos al rendimiento neto que reciben sus cuentas individuales. </w:t>
      </w:r>
      <w:r w:rsidR="00B369A3" w:rsidRPr="006C16CA">
        <w:rPr>
          <w:rFonts w:ascii="Arial" w:hAnsi="Arial" w:cs="Arial"/>
          <w:sz w:val="24"/>
          <w:szCs w:val="24"/>
          <w:lang w:eastAsia="es-MX"/>
        </w:rPr>
        <w:t xml:space="preserve">      </w:t>
      </w:r>
    </w:p>
    <w:p w:rsidR="00165814" w:rsidRPr="004D7471" w:rsidRDefault="00165814" w:rsidP="004D7471">
      <w:pPr>
        <w:pStyle w:val="Prrafodelista"/>
        <w:numPr>
          <w:ilvl w:val="0"/>
          <w:numId w:val="8"/>
        </w:numPr>
        <w:spacing w:line="480" w:lineRule="auto"/>
        <w:jc w:val="both"/>
        <w:rPr>
          <w:rFonts w:ascii="Arial" w:hAnsi="Arial" w:cs="Arial"/>
          <w:lang w:eastAsia="es-MX"/>
        </w:rPr>
      </w:pPr>
      <w:r w:rsidRPr="004D7471">
        <w:rPr>
          <w:rFonts w:ascii="Arial" w:hAnsi="Arial" w:cs="Arial"/>
          <w:lang w:eastAsia="es-MX"/>
        </w:rPr>
        <w:t>El sistema de capitalización individual de México es el que reg</w:t>
      </w:r>
      <w:r w:rsidR="008E7A95" w:rsidRPr="004D7471">
        <w:rPr>
          <w:rFonts w:ascii="Arial" w:hAnsi="Arial" w:cs="Arial"/>
          <w:lang w:eastAsia="es-MX"/>
        </w:rPr>
        <w:t>i</w:t>
      </w:r>
      <w:r w:rsidRPr="004D7471">
        <w:rPr>
          <w:rFonts w:ascii="Arial" w:hAnsi="Arial" w:cs="Arial"/>
          <w:lang w:eastAsia="es-MX"/>
        </w:rPr>
        <w:t>stra el mayor número de traspasos año con año</w:t>
      </w:r>
      <w:r w:rsidR="008E7A95" w:rsidRPr="004D7471">
        <w:rPr>
          <w:rFonts w:ascii="Arial" w:hAnsi="Arial" w:cs="Arial"/>
          <w:lang w:eastAsia="es-MX"/>
        </w:rPr>
        <w:t xml:space="preserve"> entre una muestra de más de 30 sistemas del mundo.</w:t>
      </w:r>
    </w:p>
    <w:p w:rsidR="00A43D5B" w:rsidRPr="004D7471" w:rsidRDefault="00A43D5B" w:rsidP="004D7471">
      <w:pPr>
        <w:pStyle w:val="Prrafodelista"/>
        <w:numPr>
          <w:ilvl w:val="0"/>
          <w:numId w:val="8"/>
        </w:numPr>
        <w:spacing w:line="480" w:lineRule="auto"/>
        <w:jc w:val="both"/>
        <w:rPr>
          <w:rFonts w:ascii="Arial" w:hAnsi="Arial" w:cs="Arial"/>
          <w:lang w:eastAsia="es-MX"/>
        </w:rPr>
      </w:pPr>
      <w:r w:rsidRPr="004D7471">
        <w:rPr>
          <w:rFonts w:ascii="Arial" w:hAnsi="Arial" w:cs="Arial"/>
          <w:lang w:eastAsia="es-MX"/>
        </w:rPr>
        <w:t>Los trabajadores particulares suelen emigrar a otra administradora que promedia menores rendimientos.</w:t>
      </w:r>
    </w:p>
    <w:p w:rsidR="00F66FF6" w:rsidRDefault="00A43D5B" w:rsidP="004D7471">
      <w:pPr>
        <w:pStyle w:val="Prrafodelista"/>
        <w:numPr>
          <w:ilvl w:val="0"/>
          <w:numId w:val="8"/>
        </w:numPr>
        <w:spacing w:line="480" w:lineRule="auto"/>
        <w:jc w:val="both"/>
        <w:rPr>
          <w:rFonts w:ascii="Arial" w:hAnsi="Arial" w:cs="Arial"/>
          <w:lang w:eastAsia="es-MX"/>
        </w:rPr>
      </w:pPr>
      <w:r w:rsidRPr="004D7471">
        <w:rPr>
          <w:rFonts w:ascii="Arial" w:hAnsi="Arial" w:cs="Arial"/>
          <w:lang w:eastAsia="es-MX"/>
        </w:rPr>
        <w:t>Los trabajadores particulares no solo están dispuestos a emigrar a o</w:t>
      </w:r>
      <w:r w:rsidR="00F66FF6" w:rsidRPr="004D7471">
        <w:rPr>
          <w:rFonts w:ascii="Arial" w:hAnsi="Arial" w:cs="Arial"/>
          <w:lang w:eastAsia="es-MX"/>
        </w:rPr>
        <w:t xml:space="preserve">tra </w:t>
      </w:r>
      <w:r w:rsidRPr="004D7471">
        <w:rPr>
          <w:rFonts w:ascii="Arial" w:hAnsi="Arial" w:cs="Arial"/>
          <w:lang w:eastAsia="es-MX"/>
        </w:rPr>
        <w:t>administradora que les ofrece menores rendimientos,</w:t>
      </w:r>
      <w:r w:rsidR="00F66FF6" w:rsidRPr="004D7471">
        <w:rPr>
          <w:rFonts w:ascii="Arial" w:hAnsi="Arial" w:cs="Arial"/>
          <w:lang w:eastAsia="es-MX"/>
        </w:rPr>
        <w:t xml:space="preserve"> sino que están dispuestos a pagar mayores comisiones.</w:t>
      </w:r>
    </w:p>
    <w:p w:rsidR="008D5CCA" w:rsidRPr="004D7471" w:rsidRDefault="008D5CCA" w:rsidP="004D7471">
      <w:pPr>
        <w:pStyle w:val="Prrafodelista"/>
        <w:numPr>
          <w:ilvl w:val="0"/>
          <w:numId w:val="8"/>
        </w:numPr>
        <w:spacing w:line="480" w:lineRule="auto"/>
        <w:jc w:val="both"/>
        <w:rPr>
          <w:rFonts w:ascii="Arial" w:hAnsi="Arial" w:cs="Arial"/>
          <w:lang w:eastAsia="es-MX"/>
        </w:rPr>
      </w:pPr>
      <w:r>
        <w:rPr>
          <w:rFonts w:ascii="Arial" w:hAnsi="Arial" w:cs="Arial"/>
          <w:lang w:eastAsia="es-MX"/>
        </w:rPr>
        <w:lastRenderedPageBreak/>
        <w:t xml:space="preserve">Los trabajadores particulares no emigran a las AFOREs que ofrecen </w:t>
      </w:r>
      <w:r w:rsidR="00F50485">
        <w:rPr>
          <w:rFonts w:ascii="Arial" w:hAnsi="Arial" w:cs="Arial"/>
          <w:lang w:eastAsia="es-MX"/>
        </w:rPr>
        <w:t>el rendimiento neto mayor, estas administradoras suele</w:t>
      </w:r>
      <w:r w:rsidR="003E74E4">
        <w:rPr>
          <w:rFonts w:ascii="Arial" w:hAnsi="Arial" w:cs="Arial"/>
          <w:lang w:eastAsia="es-MX"/>
        </w:rPr>
        <w:t>n</w:t>
      </w:r>
      <w:r w:rsidR="00F50485">
        <w:rPr>
          <w:rFonts w:ascii="Arial" w:hAnsi="Arial" w:cs="Arial"/>
          <w:lang w:eastAsia="es-MX"/>
        </w:rPr>
        <w:t xml:space="preserve"> recibir menos traspasos.</w:t>
      </w:r>
    </w:p>
    <w:p w:rsidR="006847A1" w:rsidRPr="004D7471" w:rsidRDefault="006847A1" w:rsidP="004D7471">
      <w:pPr>
        <w:pStyle w:val="Prrafodelista"/>
        <w:numPr>
          <w:ilvl w:val="0"/>
          <w:numId w:val="8"/>
        </w:numPr>
        <w:spacing w:line="480" w:lineRule="auto"/>
        <w:jc w:val="both"/>
        <w:rPr>
          <w:rFonts w:ascii="Arial" w:hAnsi="Arial" w:cs="Arial"/>
          <w:lang w:eastAsia="es-MX"/>
        </w:rPr>
      </w:pPr>
      <w:r w:rsidRPr="004D7471">
        <w:rPr>
          <w:rFonts w:ascii="Arial" w:hAnsi="Arial" w:cs="Arial"/>
          <w:lang w:eastAsia="es-MX"/>
        </w:rPr>
        <w:t>Los traspasos han aumentado desde los inicios de la década pasada, sin embargo en los años de crisis financiera aumentaron drásticamente.</w:t>
      </w:r>
    </w:p>
    <w:p w:rsidR="006847A1" w:rsidRPr="004D7471" w:rsidRDefault="006847A1" w:rsidP="004D7471">
      <w:pPr>
        <w:pStyle w:val="Prrafodelista"/>
        <w:numPr>
          <w:ilvl w:val="0"/>
          <w:numId w:val="8"/>
        </w:numPr>
        <w:spacing w:line="480" w:lineRule="auto"/>
        <w:jc w:val="both"/>
        <w:rPr>
          <w:rFonts w:ascii="Arial" w:hAnsi="Arial" w:cs="Arial"/>
          <w:lang w:eastAsia="es-MX"/>
        </w:rPr>
      </w:pPr>
      <w:r w:rsidRPr="004D7471">
        <w:rPr>
          <w:rFonts w:ascii="Arial" w:hAnsi="Arial" w:cs="Arial"/>
          <w:lang w:eastAsia="es-MX"/>
        </w:rPr>
        <w:t>Ocurre que los traspasos son concentrados por unas cuantas administradoras, en su mayoría multinacionales.</w:t>
      </w:r>
    </w:p>
    <w:p w:rsidR="002D6C8D" w:rsidRPr="004D7471" w:rsidRDefault="002D6C8D" w:rsidP="004D7471">
      <w:pPr>
        <w:pStyle w:val="Prrafodelista"/>
        <w:numPr>
          <w:ilvl w:val="0"/>
          <w:numId w:val="8"/>
        </w:numPr>
        <w:spacing w:line="480" w:lineRule="auto"/>
        <w:jc w:val="both"/>
        <w:rPr>
          <w:rFonts w:ascii="Arial" w:hAnsi="Arial" w:cs="Arial"/>
          <w:lang w:eastAsia="es-MX"/>
        </w:rPr>
      </w:pPr>
      <w:r w:rsidRPr="004D7471">
        <w:rPr>
          <w:rFonts w:ascii="Arial" w:hAnsi="Arial" w:cs="Arial"/>
          <w:lang w:eastAsia="es-MX"/>
        </w:rPr>
        <w:t>Resulta que la administradora Coppel es la que promedia el mayor número de traspasos desde que inicio en 2006, superando a las grandes empresas financieras nacionales y multinacionales.</w:t>
      </w:r>
    </w:p>
    <w:p w:rsidR="002D6C8D" w:rsidRPr="004D7471" w:rsidRDefault="002D6C8D" w:rsidP="004D7471">
      <w:pPr>
        <w:pStyle w:val="Prrafodelista"/>
        <w:numPr>
          <w:ilvl w:val="0"/>
          <w:numId w:val="8"/>
        </w:numPr>
        <w:spacing w:line="480" w:lineRule="auto"/>
        <w:jc w:val="both"/>
        <w:rPr>
          <w:rFonts w:ascii="Arial" w:hAnsi="Arial" w:cs="Arial"/>
          <w:lang w:eastAsia="es-MX"/>
        </w:rPr>
      </w:pPr>
      <w:r w:rsidRPr="004D7471">
        <w:rPr>
          <w:rFonts w:ascii="Arial" w:hAnsi="Arial" w:cs="Arial"/>
          <w:lang w:eastAsia="es-MX"/>
        </w:rPr>
        <w:t>Copel ofrece en promedio un rendimiento neto menor y también  cobra las mayores comisiones.</w:t>
      </w:r>
    </w:p>
    <w:p w:rsidR="00B22909" w:rsidRPr="004D7471" w:rsidRDefault="00B22909" w:rsidP="004D7471">
      <w:pPr>
        <w:pStyle w:val="Prrafodelista"/>
        <w:numPr>
          <w:ilvl w:val="0"/>
          <w:numId w:val="8"/>
        </w:numPr>
        <w:spacing w:line="480" w:lineRule="auto"/>
        <w:jc w:val="both"/>
        <w:rPr>
          <w:rFonts w:ascii="Arial" w:hAnsi="Arial" w:cs="Arial"/>
          <w:lang w:eastAsia="es-MX"/>
        </w:rPr>
      </w:pPr>
      <w:r w:rsidRPr="004D7471">
        <w:rPr>
          <w:rFonts w:ascii="Arial" w:hAnsi="Arial" w:cs="Arial"/>
          <w:lang w:eastAsia="es-MX"/>
        </w:rPr>
        <w:t>Las administradoras ejercen una influencia en el trabajador para emigrar a su Afore que es determinante por lo que la afiliación o traspaso no es una decisión libre que lleve a cabo el dueño del fondo de pensión.</w:t>
      </w:r>
    </w:p>
    <w:p w:rsidR="00B369A3" w:rsidRDefault="00B22909" w:rsidP="004D7471">
      <w:pPr>
        <w:pStyle w:val="Prrafodelista"/>
        <w:numPr>
          <w:ilvl w:val="0"/>
          <w:numId w:val="8"/>
        </w:numPr>
        <w:spacing w:line="480" w:lineRule="auto"/>
        <w:jc w:val="both"/>
        <w:rPr>
          <w:rFonts w:ascii="Arial" w:hAnsi="Arial" w:cs="Arial"/>
          <w:lang w:eastAsia="es-MX"/>
        </w:rPr>
      </w:pPr>
      <w:r w:rsidRPr="004D7471">
        <w:rPr>
          <w:rFonts w:ascii="Arial" w:hAnsi="Arial" w:cs="Arial"/>
          <w:lang w:eastAsia="es-MX"/>
        </w:rPr>
        <w:t xml:space="preserve">Las irregularidades de los traspasos, traspasos indebidos, se llevan a cabo de manera constante por la complacencia de la autoridad reguladora. Es decir, por la poca transparencia en que opera todo el sistema. </w:t>
      </w:r>
    </w:p>
    <w:p w:rsidR="003F35A7" w:rsidRDefault="00A43D5B" w:rsidP="003F35A7">
      <w:pPr>
        <w:spacing w:line="480" w:lineRule="auto"/>
        <w:jc w:val="both"/>
        <w:rPr>
          <w:rFonts w:ascii="Arial" w:hAnsi="Arial" w:cs="Arial"/>
          <w:sz w:val="24"/>
          <w:szCs w:val="24"/>
          <w:lang w:eastAsia="es-MX"/>
        </w:rPr>
      </w:pPr>
      <w:r w:rsidRPr="00A93228">
        <w:rPr>
          <w:rFonts w:ascii="Arial" w:hAnsi="Arial" w:cs="Arial"/>
          <w:sz w:val="24"/>
          <w:szCs w:val="24"/>
          <w:lang w:eastAsia="es-MX"/>
        </w:rPr>
        <w:t xml:space="preserve">  </w:t>
      </w:r>
      <w:r w:rsidR="00A445B3" w:rsidRPr="00A93228">
        <w:rPr>
          <w:rFonts w:ascii="Arial" w:hAnsi="Arial" w:cs="Arial"/>
          <w:sz w:val="24"/>
          <w:szCs w:val="24"/>
          <w:lang w:eastAsia="es-MX"/>
        </w:rPr>
        <w:t xml:space="preserve">       </w:t>
      </w:r>
      <w:r w:rsidR="00466193" w:rsidRPr="00A93228">
        <w:rPr>
          <w:rFonts w:ascii="Arial" w:hAnsi="Arial" w:cs="Arial"/>
          <w:sz w:val="24"/>
          <w:szCs w:val="24"/>
          <w:lang w:eastAsia="es-MX"/>
        </w:rPr>
        <w:t xml:space="preserve"> </w:t>
      </w:r>
      <w:r w:rsidR="00BF3F51" w:rsidRPr="00A93228">
        <w:rPr>
          <w:rFonts w:ascii="Arial" w:hAnsi="Arial" w:cs="Arial"/>
          <w:sz w:val="24"/>
          <w:szCs w:val="24"/>
          <w:lang w:eastAsia="es-MX"/>
        </w:rPr>
        <w:t xml:space="preserve">    </w:t>
      </w:r>
      <w:r w:rsidR="00714DBE" w:rsidRPr="00A93228">
        <w:rPr>
          <w:rFonts w:ascii="Arial" w:hAnsi="Arial" w:cs="Arial"/>
          <w:sz w:val="24"/>
          <w:szCs w:val="24"/>
          <w:lang w:eastAsia="es-MX"/>
        </w:rPr>
        <w:t xml:space="preserve">    </w:t>
      </w:r>
      <w:bookmarkStart w:id="115" w:name="_Toc401571181"/>
      <w:bookmarkStart w:id="116" w:name="_Toc401577572"/>
      <w:bookmarkStart w:id="117" w:name="_Toc401578519"/>
      <w:bookmarkStart w:id="118" w:name="_Toc401580983"/>
      <w:bookmarkStart w:id="119" w:name="_Toc401581472"/>
    </w:p>
    <w:p w:rsidR="006C16CA" w:rsidRDefault="006C16CA" w:rsidP="003F35A7">
      <w:pPr>
        <w:spacing w:line="480" w:lineRule="auto"/>
        <w:jc w:val="both"/>
        <w:rPr>
          <w:rFonts w:ascii="Arial" w:hAnsi="Arial" w:cs="Arial"/>
          <w:sz w:val="24"/>
          <w:szCs w:val="24"/>
          <w:lang w:eastAsia="es-MX"/>
        </w:rPr>
      </w:pPr>
    </w:p>
    <w:p w:rsidR="00F7408A" w:rsidRDefault="00F7408A" w:rsidP="003F35A7">
      <w:pPr>
        <w:spacing w:line="480" w:lineRule="auto"/>
        <w:jc w:val="both"/>
        <w:rPr>
          <w:rFonts w:ascii="Arial" w:hAnsi="Arial" w:cs="Arial"/>
          <w:sz w:val="24"/>
          <w:szCs w:val="24"/>
          <w:lang w:eastAsia="es-MX"/>
        </w:rPr>
      </w:pPr>
    </w:p>
    <w:p w:rsidR="006C16CA" w:rsidRDefault="006C16CA" w:rsidP="003F35A7">
      <w:pPr>
        <w:spacing w:line="480" w:lineRule="auto"/>
        <w:jc w:val="both"/>
        <w:rPr>
          <w:rFonts w:ascii="Arial" w:hAnsi="Arial" w:cs="Arial"/>
          <w:sz w:val="24"/>
          <w:szCs w:val="24"/>
          <w:lang w:eastAsia="es-MX"/>
        </w:rPr>
      </w:pPr>
    </w:p>
    <w:p w:rsidR="006D1237" w:rsidRPr="006D1237" w:rsidRDefault="004D7471" w:rsidP="006D1237">
      <w:pPr>
        <w:pStyle w:val="Ttulo1"/>
        <w:rPr>
          <w:rFonts w:eastAsia="Times New Roman"/>
          <w:lang w:eastAsia="es-MX"/>
        </w:rPr>
      </w:pPr>
      <w:bookmarkStart w:id="120" w:name="_Toc401586013"/>
      <w:bookmarkStart w:id="121" w:name="_Toc402948945"/>
      <w:r>
        <w:rPr>
          <w:rFonts w:eastAsia="Times New Roman"/>
          <w:lang w:eastAsia="es-MX"/>
        </w:rPr>
        <w:lastRenderedPageBreak/>
        <w:t>Bibliografí</w:t>
      </w:r>
      <w:bookmarkEnd w:id="115"/>
      <w:bookmarkEnd w:id="116"/>
      <w:bookmarkEnd w:id="117"/>
      <w:bookmarkEnd w:id="118"/>
      <w:bookmarkEnd w:id="119"/>
      <w:bookmarkEnd w:id="120"/>
      <w:r w:rsidR="00730C4D">
        <w:rPr>
          <w:rFonts w:eastAsia="Times New Roman"/>
          <w:lang w:eastAsia="es-MX"/>
        </w:rPr>
        <w:t>a</w:t>
      </w:r>
      <w:bookmarkEnd w:id="121"/>
    </w:p>
    <w:p w:rsidR="006D1237" w:rsidRPr="006D1237" w:rsidRDefault="006D1237" w:rsidP="007C09B6">
      <w:pPr>
        <w:rPr>
          <w:lang w:eastAsia="es-MX"/>
        </w:rPr>
      </w:pPr>
    </w:p>
    <w:p w:rsidR="00A6532A" w:rsidRDefault="00111426" w:rsidP="007C09B6">
      <w:pPr>
        <w:pStyle w:val="Default"/>
        <w:spacing w:line="480" w:lineRule="auto"/>
        <w:ind w:left="709" w:hanging="709"/>
        <w:jc w:val="both"/>
        <w:rPr>
          <w:rFonts w:ascii="Arial" w:hAnsi="Arial" w:cs="Arial"/>
        </w:rPr>
      </w:pPr>
      <w:r>
        <w:rPr>
          <w:rFonts w:ascii="Arial" w:hAnsi="Arial" w:cs="Arial"/>
          <w:color w:val="000000" w:themeColor="text1"/>
        </w:rPr>
        <w:t>AIOS (2001).</w:t>
      </w:r>
      <w:r w:rsidR="00A6532A" w:rsidRPr="00111426">
        <w:rPr>
          <w:rFonts w:ascii="Arial" w:hAnsi="Arial" w:cs="Arial"/>
          <w:i/>
          <w:color w:val="000000" w:themeColor="text1"/>
        </w:rPr>
        <w:t>Los esquemas de Traspasos en los S</w:t>
      </w:r>
      <w:r w:rsidRPr="00111426">
        <w:rPr>
          <w:rFonts w:ascii="Arial" w:hAnsi="Arial" w:cs="Arial"/>
          <w:i/>
          <w:color w:val="000000" w:themeColor="text1"/>
        </w:rPr>
        <w:t>istemas de Pensiones Reformados</w:t>
      </w:r>
      <w:r w:rsidR="00A6532A" w:rsidRPr="00730C4D">
        <w:rPr>
          <w:rFonts w:ascii="Arial" w:hAnsi="Arial" w:cs="Arial"/>
          <w:color w:val="000000" w:themeColor="text1"/>
        </w:rPr>
        <w:t xml:space="preserve">. AIOS Estudios y Publicaciones. Costa Rica. Disponible en:  </w:t>
      </w:r>
      <w:hyperlink r:id="rId22" w:history="1">
        <w:r w:rsidR="00A6532A" w:rsidRPr="00730C4D">
          <w:rPr>
            <w:rFonts w:ascii="Arial" w:hAnsi="Arial" w:cs="Arial"/>
          </w:rPr>
          <w:t>http://www.aiosfp.org/estudios_publicaciones/estudios_pub/esquemas_de_traspasos.pdf</w:t>
        </w:r>
      </w:hyperlink>
    </w:p>
    <w:p w:rsidR="007C09B6" w:rsidRPr="007C09B6" w:rsidRDefault="007C09B6" w:rsidP="007C09B6">
      <w:pPr>
        <w:spacing w:after="0" w:line="480" w:lineRule="auto"/>
        <w:ind w:left="709" w:hanging="709"/>
        <w:jc w:val="both"/>
        <w:rPr>
          <w:rFonts w:ascii="Arial" w:hAnsi="Arial" w:cs="Arial"/>
          <w:i/>
          <w:color w:val="000000" w:themeColor="text1"/>
          <w:sz w:val="24"/>
          <w:szCs w:val="24"/>
        </w:rPr>
      </w:pPr>
      <w:r w:rsidRPr="00A1318D">
        <w:rPr>
          <w:rFonts w:ascii="Arial" w:hAnsi="Arial" w:cs="Arial"/>
          <w:i/>
          <w:color w:val="000000" w:themeColor="text1"/>
          <w:sz w:val="24"/>
          <w:szCs w:val="24"/>
        </w:rPr>
        <w:t xml:space="preserve">BCU. (2014). </w:t>
      </w:r>
      <w:r w:rsidRPr="00A1318D">
        <w:rPr>
          <w:rFonts w:ascii="Arial" w:hAnsi="Arial" w:cs="Arial"/>
          <w:i/>
          <w:iCs/>
          <w:color w:val="000000" w:themeColor="text1"/>
          <w:sz w:val="24"/>
          <w:szCs w:val="24"/>
        </w:rPr>
        <w:t>Memoria Tr</w:t>
      </w:r>
      <w:r>
        <w:rPr>
          <w:rFonts w:ascii="Arial" w:hAnsi="Arial" w:cs="Arial"/>
          <w:i/>
          <w:iCs/>
          <w:color w:val="000000" w:themeColor="text1"/>
          <w:sz w:val="24"/>
          <w:szCs w:val="24"/>
        </w:rPr>
        <w:t>imestral AF</w:t>
      </w:r>
      <w:r w:rsidRPr="00A1318D">
        <w:rPr>
          <w:rFonts w:ascii="Arial" w:hAnsi="Arial" w:cs="Arial"/>
          <w:i/>
          <w:iCs/>
          <w:color w:val="000000" w:themeColor="text1"/>
          <w:sz w:val="24"/>
          <w:szCs w:val="24"/>
        </w:rPr>
        <w:t>AP</w:t>
      </w:r>
      <w:r w:rsidRPr="00A1318D">
        <w:rPr>
          <w:rFonts w:ascii="Arial" w:hAnsi="Arial" w:cs="Arial"/>
          <w:i/>
          <w:color w:val="000000" w:themeColor="text1"/>
          <w:sz w:val="24"/>
          <w:szCs w:val="24"/>
        </w:rPr>
        <w:t xml:space="preserve">. Banco Central del Uruguay, Uruguay. Recuperado de </w:t>
      </w:r>
      <w:r w:rsidRPr="00A1318D">
        <w:rPr>
          <w:rFonts w:ascii="Arial" w:hAnsi="Arial" w:cs="Arial"/>
          <w:i/>
          <w:color w:val="000000" w:themeColor="text1"/>
          <w:sz w:val="24"/>
          <w:szCs w:val="24"/>
        </w:rPr>
        <w:tab/>
      </w:r>
      <w:hyperlink r:id="rId23" w:history="1">
        <w:r w:rsidRPr="007C09B6">
          <w:rPr>
            <w:rStyle w:val="Hipervnculo"/>
            <w:rFonts w:ascii="Arial" w:hAnsi="Arial" w:cs="Arial"/>
            <w:i/>
            <w:color w:val="000000" w:themeColor="text1"/>
            <w:sz w:val="24"/>
            <w:szCs w:val="24"/>
            <w:u w:val="none"/>
          </w:rPr>
          <w:t>http</w:t>
        </w:r>
      </w:hyperlink>
      <w:hyperlink r:id="rId24" w:history="1">
        <w:r w:rsidRPr="007C09B6">
          <w:rPr>
            <w:rStyle w:val="Hipervnculo"/>
            <w:rFonts w:ascii="Arial" w:hAnsi="Arial" w:cs="Arial"/>
            <w:i/>
            <w:color w:val="000000" w:themeColor="text1"/>
            <w:sz w:val="24"/>
            <w:szCs w:val="24"/>
            <w:u w:val="none"/>
          </w:rPr>
          <w:t>://www.bcu.gub.uy/Servicios-Financieros-SSF/Paginas/Memoria-AFAP.aspx</w:t>
        </w:r>
      </w:hyperlink>
      <w:r w:rsidRPr="007C09B6">
        <w:rPr>
          <w:rFonts w:ascii="Arial" w:hAnsi="Arial" w:cs="Arial"/>
          <w:i/>
          <w:color w:val="000000" w:themeColor="text1"/>
          <w:sz w:val="24"/>
          <w:szCs w:val="24"/>
        </w:rPr>
        <w:t xml:space="preserve"> </w:t>
      </w:r>
    </w:p>
    <w:p w:rsidR="007869AD" w:rsidRPr="007869AD" w:rsidRDefault="007869AD" w:rsidP="007C09B6">
      <w:pPr>
        <w:pStyle w:val="Bibliografa"/>
        <w:ind w:left="720" w:hanging="720"/>
        <w:jc w:val="both"/>
        <w:rPr>
          <w:rFonts w:ascii="Arial" w:hAnsi="Arial" w:cs="Arial"/>
          <w:noProof/>
          <w:sz w:val="24"/>
          <w:szCs w:val="24"/>
        </w:rPr>
      </w:pPr>
      <w:r w:rsidRPr="007869AD">
        <w:rPr>
          <w:rFonts w:ascii="Arial" w:hAnsi="Arial" w:cs="Arial"/>
          <w:noProof/>
          <w:sz w:val="24"/>
          <w:szCs w:val="24"/>
        </w:rPr>
        <w:t xml:space="preserve">Calderón Saldaña , J. P., &amp; De los Gordos Urcia, L. (2011). </w:t>
      </w:r>
      <w:r w:rsidRPr="007869AD">
        <w:rPr>
          <w:rFonts w:ascii="Arial" w:hAnsi="Arial" w:cs="Arial"/>
          <w:i/>
          <w:iCs/>
          <w:noProof/>
          <w:sz w:val="24"/>
          <w:szCs w:val="24"/>
        </w:rPr>
        <w:t>Estadistica para la tesis de postgrado.</w:t>
      </w:r>
      <w:r w:rsidRPr="007869AD">
        <w:rPr>
          <w:rFonts w:ascii="Arial" w:hAnsi="Arial" w:cs="Arial"/>
          <w:noProof/>
          <w:sz w:val="24"/>
          <w:szCs w:val="24"/>
        </w:rPr>
        <w:t xml:space="preserve"> LULU International.</w:t>
      </w:r>
    </w:p>
    <w:p w:rsidR="004A19E3" w:rsidRPr="004A19E3" w:rsidRDefault="00A6532A" w:rsidP="007C09B6">
      <w:pPr>
        <w:spacing w:after="0" w:line="480" w:lineRule="auto"/>
        <w:ind w:left="709" w:hanging="709"/>
        <w:jc w:val="both"/>
        <w:rPr>
          <w:rFonts w:ascii="Arial" w:hAnsi="Arial" w:cs="Arial"/>
          <w:color w:val="000000" w:themeColor="text1"/>
          <w:sz w:val="24"/>
          <w:szCs w:val="24"/>
        </w:rPr>
      </w:pPr>
      <w:r w:rsidRPr="00730C4D">
        <w:rPr>
          <w:rFonts w:ascii="Arial" w:hAnsi="Arial" w:cs="Arial"/>
          <w:color w:val="000000" w:themeColor="text1"/>
          <w:sz w:val="24"/>
          <w:szCs w:val="24"/>
        </w:rPr>
        <w:t>CONSAR</w:t>
      </w:r>
      <w:r>
        <w:rPr>
          <w:rFonts w:ascii="Arial" w:hAnsi="Arial" w:cs="Arial"/>
          <w:color w:val="000000" w:themeColor="text1"/>
          <w:sz w:val="24"/>
          <w:szCs w:val="24"/>
        </w:rPr>
        <w:t xml:space="preserve"> (2012)</w:t>
      </w:r>
      <w:r w:rsidR="00111426">
        <w:rPr>
          <w:rFonts w:ascii="Arial" w:hAnsi="Arial" w:cs="Arial"/>
          <w:color w:val="000000" w:themeColor="text1"/>
          <w:sz w:val="24"/>
          <w:szCs w:val="24"/>
        </w:rPr>
        <w:t xml:space="preserve">. </w:t>
      </w:r>
      <w:r w:rsidRPr="006F69B5">
        <w:rPr>
          <w:rFonts w:ascii="Arial" w:hAnsi="Arial" w:cs="Arial"/>
          <w:i/>
          <w:color w:val="000000" w:themeColor="text1"/>
          <w:sz w:val="24"/>
          <w:szCs w:val="24"/>
        </w:rPr>
        <w:t>Encu</w:t>
      </w:r>
      <w:r w:rsidR="00111426" w:rsidRPr="006F69B5">
        <w:rPr>
          <w:rFonts w:ascii="Arial" w:hAnsi="Arial" w:cs="Arial"/>
          <w:i/>
          <w:color w:val="000000" w:themeColor="text1"/>
          <w:sz w:val="24"/>
          <w:szCs w:val="24"/>
        </w:rPr>
        <w:t>estas de trayectorias Laborales</w:t>
      </w:r>
      <w:r w:rsidRPr="00730C4D">
        <w:rPr>
          <w:rFonts w:ascii="Arial" w:hAnsi="Arial" w:cs="Arial"/>
          <w:color w:val="000000" w:themeColor="text1"/>
          <w:sz w:val="24"/>
          <w:szCs w:val="24"/>
        </w:rPr>
        <w:t xml:space="preserve">. Comisión Nacional del Sistema de Ahorro para el Retiro, México. Disponible en: </w:t>
      </w:r>
      <w:hyperlink r:id="rId25" w:history="1">
        <w:r w:rsidR="004A19E3" w:rsidRPr="004A19E3">
          <w:rPr>
            <w:rStyle w:val="Hipervnculo"/>
            <w:rFonts w:ascii="Arial" w:hAnsi="Arial" w:cs="Arial"/>
            <w:color w:val="000000" w:themeColor="text1"/>
            <w:sz w:val="24"/>
            <w:szCs w:val="24"/>
            <w:u w:val="none"/>
          </w:rPr>
          <w:t>http</w:t>
        </w:r>
        <w:r w:rsidR="004A19E3" w:rsidRPr="004A19E3">
          <w:rPr>
            <w:rStyle w:val="Hipervnculo"/>
            <w:rFonts w:ascii="Arial" w:hAnsi="Arial" w:cs="Arial"/>
            <w:noProof/>
            <w:color w:val="000000" w:themeColor="text1"/>
            <w:sz w:val="24"/>
            <w:szCs w:val="24"/>
            <w:u w:val="none"/>
          </w:rPr>
          <w:t>://www.consar.gob.mx/sala_prensa/pdf/presentaciones/2012/encuesta_trayectorias_laborales.pdf</w:t>
        </w:r>
      </w:hyperlink>
    </w:p>
    <w:p w:rsidR="004A19E3" w:rsidRPr="007C09B6" w:rsidRDefault="004A19E3" w:rsidP="007C09B6">
      <w:pPr>
        <w:spacing w:after="0" w:line="480" w:lineRule="auto"/>
        <w:ind w:left="709" w:hanging="709"/>
        <w:jc w:val="both"/>
        <w:rPr>
          <w:rFonts w:ascii="Arial" w:hAnsi="Arial" w:cs="Arial"/>
          <w:color w:val="000000" w:themeColor="text1"/>
          <w:sz w:val="24"/>
          <w:szCs w:val="24"/>
        </w:rPr>
      </w:pPr>
      <w:r w:rsidRPr="007C09B6">
        <w:rPr>
          <w:rFonts w:ascii="Arial" w:hAnsi="Arial" w:cs="Arial"/>
          <w:color w:val="000000" w:themeColor="text1"/>
          <w:sz w:val="24"/>
          <w:szCs w:val="24"/>
        </w:rPr>
        <w:t>CONSAR. (2014).</w:t>
      </w:r>
      <w:r w:rsidRPr="00A1318D">
        <w:rPr>
          <w:rFonts w:ascii="Arial" w:hAnsi="Arial" w:cs="Arial"/>
          <w:i/>
          <w:color w:val="000000" w:themeColor="text1"/>
          <w:sz w:val="24"/>
          <w:szCs w:val="24"/>
        </w:rPr>
        <w:t xml:space="preserve"> </w:t>
      </w:r>
      <w:r w:rsidRPr="00A1318D">
        <w:rPr>
          <w:rFonts w:ascii="Arial" w:hAnsi="Arial" w:cs="Arial"/>
          <w:i/>
          <w:iCs/>
          <w:color w:val="000000" w:themeColor="text1"/>
          <w:sz w:val="24"/>
          <w:szCs w:val="24"/>
        </w:rPr>
        <w:t>Información Estadística</w:t>
      </w:r>
      <w:r w:rsidRPr="00A1318D">
        <w:rPr>
          <w:rFonts w:ascii="Arial" w:hAnsi="Arial" w:cs="Arial"/>
          <w:i/>
          <w:color w:val="000000" w:themeColor="text1"/>
          <w:sz w:val="24"/>
          <w:szCs w:val="24"/>
        </w:rPr>
        <w:t>. Comisión Nacional del Sistema de Ah</w:t>
      </w:r>
      <w:r w:rsidR="007C09B6">
        <w:rPr>
          <w:rFonts w:ascii="Arial" w:hAnsi="Arial" w:cs="Arial"/>
          <w:i/>
          <w:color w:val="000000" w:themeColor="text1"/>
          <w:sz w:val="24"/>
          <w:szCs w:val="24"/>
        </w:rPr>
        <w:t xml:space="preserve">orro para el </w:t>
      </w:r>
      <w:r w:rsidR="007C09B6">
        <w:rPr>
          <w:rFonts w:ascii="Arial" w:hAnsi="Arial" w:cs="Arial"/>
          <w:i/>
          <w:color w:val="000000" w:themeColor="text1"/>
          <w:sz w:val="24"/>
          <w:szCs w:val="24"/>
        </w:rPr>
        <w:tab/>
        <w:t xml:space="preserve">Retiro, </w:t>
      </w:r>
      <w:r w:rsidR="007C09B6">
        <w:rPr>
          <w:rFonts w:ascii="Arial" w:hAnsi="Arial" w:cs="Arial"/>
          <w:i/>
          <w:color w:val="000000" w:themeColor="text1"/>
          <w:sz w:val="24"/>
          <w:szCs w:val="24"/>
        </w:rPr>
        <w:tab/>
        <w:t xml:space="preserve">México. </w:t>
      </w:r>
      <w:r w:rsidRPr="007C09B6">
        <w:rPr>
          <w:rFonts w:ascii="Arial" w:hAnsi="Arial" w:cs="Arial"/>
          <w:color w:val="000000" w:themeColor="text1"/>
          <w:sz w:val="24"/>
          <w:szCs w:val="24"/>
        </w:rPr>
        <w:t xml:space="preserve">Recuperado de http://www.consar.gob.mx/principal/estadisticas_sar.aspx </w:t>
      </w:r>
    </w:p>
    <w:p w:rsidR="004A19E3" w:rsidRPr="004A19E3" w:rsidRDefault="004A19E3" w:rsidP="007C09B6">
      <w:pPr>
        <w:spacing w:after="0" w:line="480" w:lineRule="auto"/>
        <w:jc w:val="both"/>
        <w:rPr>
          <w:rFonts w:ascii="Arial" w:hAnsi="Arial" w:cs="Arial"/>
          <w:i/>
          <w:color w:val="000000" w:themeColor="text1"/>
          <w:sz w:val="24"/>
          <w:szCs w:val="24"/>
        </w:rPr>
      </w:pPr>
    </w:p>
    <w:p w:rsidR="002A21E2" w:rsidRPr="00730C4D" w:rsidRDefault="002A21E2" w:rsidP="007C09B6">
      <w:pPr>
        <w:spacing w:after="0" w:line="480" w:lineRule="auto"/>
        <w:jc w:val="both"/>
        <w:rPr>
          <w:rFonts w:ascii="Arial" w:hAnsi="Arial" w:cs="Arial"/>
          <w:color w:val="000000" w:themeColor="text1"/>
          <w:sz w:val="24"/>
          <w:szCs w:val="24"/>
        </w:rPr>
      </w:pPr>
      <w:r w:rsidRPr="00F30AEB">
        <w:rPr>
          <w:rFonts w:ascii="Arial" w:hAnsi="Arial" w:cs="Arial"/>
          <w:color w:val="000000" w:themeColor="text1"/>
          <w:sz w:val="24"/>
          <w:szCs w:val="24"/>
        </w:rPr>
        <w:t>CISS (2012).</w:t>
      </w:r>
      <w:r w:rsidRPr="00F30AEB">
        <w:rPr>
          <w:rFonts w:ascii="Arial" w:hAnsi="Arial" w:cs="Arial"/>
          <w:i/>
          <w:color w:val="000000" w:themeColor="text1"/>
          <w:sz w:val="24"/>
          <w:szCs w:val="24"/>
        </w:rPr>
        <w:t>Informe sobre la Seguridad Social en América 2013</w:t>
      </w:r>
      <w:r w:rsidRPr="00F30AEB">
        <w:rPr>
          <w:rFonts w:ascii="Arial" w:hAnsi="Arial" w:cs="Arial"/>
          <w:color w:val="000000" w:themeColor="text1"/>
          <w:sz w:val="24"/>
          <w:szCs w:val="24"/>
        </w:rPr>
        <w:t>. México.</w:t>
      </w:r>
    </w:p>
    <w:p w:rsidR="002A21E2" w:rsidRPr="00730C4D" w:rsidRDefault="002A21E2" w:rsidP="007C09B6">
      <w:pPr>
        <w:spacing w:after="0" w:line="480" w:lineRule="auto"/>
        <w:ind w:left="709" w:hanging="709"/>
        <w:jc w:val="both"/>
        <w:rPr>
          <w:rFonts w:ascii="Arial" w:hAnsi="Arial" w:cs="Arial"/>
          <w:color w:val="000000" w:themeColor="text1"/>
          <w:sz w:val="24"/>
          <w:szCs w:val="24"/>
        </w:rPr>
      </w:pPr>
      <w:r w:rsidRPr="00730C4D">
        <w:rPr>
          <w:rFonts w:ascii="Arial" w:hAnsi="Arial" w:cs="Arial"/>
          <w:color w:val="000000" w:themeColor="text1"/>
          <w:sz w:val="24"/>
          <w:szCs w:val="24"/>
        </w:rPr>
        <w:t>Duarte, Elizalde y Ca</w:t>
      </w:r>
      <w:r w:rsidR="006F69B5">
        <w:rPr>
          <w:rFonts w:ascii="Arial" w:hAnsi="Arial" w:cs="Arial"/>
          <w:color w:val="000000" w:themeColor="text1"/>
          <w:sz w:val="24"/>
          <w:szCs w:val="24"/>
        </w:rPr>
        <w:t xml:space="preserve">sparre (2011). </w:t>
      </w:r>
      <w:r w:rsidRPr="006F69B5">
        <w:rPr>
          <w:rFonts w:ascii="Arial" w:hAnsi="Arial" w:cs="Arial"/>
          <w:i/>
          <w:color w:val="000000" w:themeColor="text1"/>
          <w:sz w:val="24"/>
          <w:szCs w:val="24"/>
        </w:rPr>
        <w:t>Evaluación del desempeño económico de los sistemas de pensiones privad</w:t>
      </w:r>
      <w:r w:rsidR="006F69B5" w:rsidRPr="006F69B5">
        <w:rPr>
          <w:rFonts w:ascii="Arial" w:hAnsi="Arial" w:cs="Arial"/>
          <w:i/>
          <w:color w:val="000000" w:themeColor="text1"/>
          <w:sz w:val="24"/>
          <w:szCs w:val="24"/>
        </w:rPr>
        <w:t>os en Latinoamérica (1997-2008)</w:t>
      </w:r>
      <w:r w:rsidRPr="00730C4D">
        <w:rPr>
          <w:rFonts w:ascii="Arial" w:hAnsi="Arial" w:cs="Arial"/>
          <w:color w:val="000000" w:themeColor="text1"/>
          <w:sz w:val="24"/>
          <w:szCs w:val="24"/>
        </w:rPr>
        <w:t>. Revista Sociedad y Economía. N° 21. Julio-Diciembre. Universidad del Valle. Colombia.</w:t>
      </w:r>
    </w:p>
    <w:p w:rsidR="002A21E2" w:rsidRPr="00730C4D" w:rsidRDefault="002A21E2" w:rsidP="007C09B6">
      <w:pPr>
        <w:spacing w:after="0" w:line="480" w:lineRule="auto"/>
        <w:ind w:left="709" w:hanging="709"/>
        <w:jc w:val="both"/>
        <w:rPr>
          <w:rFonts w:ascii="Arial" w:hAnsi="Arial" w:cs="Arial"/>
          <w:color w:val="000000" w:themeColor="text1"/>
          <w:sz w:val="24"/>
          <w:szCs w:val="24"/>
        </w:rPr>
      </w:pPr>
      <w:r w:rsidRPr="00730C4D">
        <w:rPr>
          <w:rFonts w:ascii="Arial" w:hAnsi="Arial" w:cs="Arial"/>
          <w:color w:val="000000" w:themeColor="text1"/>
          <w:sz w:val="24"/>
          <w:szCs w:val="24"/>
        </w:rPr>
        <w:lastRenderedPageBreak/>
        <w:t>Elizalde C.</w:t>
      </w:r>
      <w:r w:rsidRPr="00730C4D">
        <w:rPr>
          <w:rFonts w:ascii="Arial" w:hAnsi="Arial" w:cs="Arial"/>
          <w:sz w:val="24"/>
          <w:szCs w:val="24"/>
        </w:rPr>
        <w:t xml:space="preserve"> </w:t>
      </w:r>
      <w:r w:rsidRPr="00730C4D">
        <w:rPr>
          <w:rFonts w:ascii="Arial" w:hAnsi="Arial" w:cs="Arial"/>
          <w:color w:val="000000" w:themeColor="text1"/>
          <w:sz w:val="24"/>
          <w:szCs w:val="24"/>
        </w:rPr>
        <w:t xml:space="preserve">(2010). </w:t>
      </w:r>
      <w:r w:rsidRPr="00730C4D">
        <w:rPr>
          <w:rFonts w:ascii="Arial" w:hAnsi="Arial" w:cs="Arial"/>
          <w:i/>
          <w:color w:val="000000" w:themeColor="text1"/>
          <w:sz w:val="24"/>
          <w:szCs w:val="24"/>
        </w:rPr>
        <w:t>Los fondos de pensiones privados: un repaso de su desempeño en el plano internacional</w:t>
      </w:r>
      <w:r w:rsidRPr="00730C4D">
        <w:rPr>
          <w:rFonts w:ascii="Arial" w:hAnsi="Arial" w:cs="Arial"/>
          <w:color w:val="000000" w:themeColor="text1"/>
          <w:sz w:val="24"/>
          <w:szCs w:val="24"/>
        </w:rPr>
        <w:t>. UAEMex. México.</w:t>
      </w:r>
    </w:p>
    <w:p w:rsidR="002A21E2" w:rsidRDefault="00E206AF" w:rsidP="007C09B6">
      <w:pPr>
        <w:spacing w:after="0" w:line="480" w:lineRule="auto"/>
        <w:ind w:left="709" w:hanging="709"/>
        <w:jc w:val="both"/>
        <w:rPr>
          <w:rStyle w:val="Hipervnculo"/>
          <w:rFonts w:ascii="Arial" w:hAnsi="Arial" w:cs="Arial"/>
          <w:color w:val="000000" w:themeColor="text1"/>
          <w:sz w:val="24"/>
          <w:szCs w:val="24"/>
          <w:u w:val="none"/>
        </w:rPr>
      </w:pPr>
      <w:r>
        <w:rPr>
          <w:rFonts w:ascii="Arial" w:hAnsi="Arial" w:cs="Arial"/>
          <w:color w:val="000000" w:themeColor="text1"/>
          <w:sz w:val="24"/>
          <w:szCs w:val="24"/>
        </w:rPr>
        <w:t xml:space="preserve">FIAP (2010). </w:t>
      </w:r>
      <w:r w:rsidRPr="00E206AF">
        <w:rPr>
          <w:rFonts w:ascii="Arial" w:hAnsi="Arial" w:cs="Arial"/>
          <w:i/>
          <w:color w:val="000000" w:themeColor="text1"/>
          <w:sz w:val="24"/>
          <w:szCs w:val="24"/>
        </w:rPr>
        <w:t>Memoria anual 2010</w:t>
      </w:r>
      <w:r w:rsidR="002A21E2" w:rsidRPr="00730C4D">
        <w:rPr>
          <w:rFonts w:ascii="Arial" w:hAnsi="Arial" w:cs="Arial"/>
          <w:color w:val="000000" w:themeColor="text1"/>
          <w:sz w:val="24"/>
          <w:szCs w:val="24"/>
        </w:rPr>
        <w:t xml:space="preserve">. FIAP Memoria. Santiago de Chile. FIAP. </w:t>
      </w:r>
      <w:r w:rsidR="00730C4D" w:rsidRPr="00730C4D">
        <w:rPr>
          <w:rFonts w:ascii="Arial" w:hAnsi="Arial" w:cs="Arial"/>
          <w:color w:val="000000" w:themeColor="text1"/>
          <w:sz w:val="24"/>
          <w:szCs w:val="24"/>
        </w:rPr>
        <w:t>Disponible</w:t>
      </w:r>
      <w:r w:rsidR="002A21E2" w:rsidRPr="00730C4D">
        <w:rPr>
          <w:rFonts w:ascii="Arial" w:hAnsi="Arial" w:cs="Arial"/>
          <w:color w:val="000000" w:themeColor="text1"/>
          <w:sz w:val="24"/>
          <w:szCs w:val="24"/>
        </w:rPr>
        <w:t xml:space="preserve"> en: </w:t>
      </w:r>
      <w:hyperlink r:id="rId26" w:history="1">
        <w:r w:rsidR="002A21E2" w:rsidRPr="00730C4D">
          <w:rPr>
            <w:rStyle w:val="Hipervnculo"/>
            <w:rFonts w:ascii="Arial" w:hAnsi="Arial" w:cs="Arial"/>
            <w:color w:val="000000" w:themeColor="text1"/>
            <w:sz w:val="24"/>
            <w:szCs w:val="24"/>
            <w:u w:val="none"/>
          </w:rPr>
          <w:t>http://www.fiap.cl/prontus_fiap/site/artic/20061220/asocfile/20061220023851/memoria_2010_esp.pdf</w:t>
        </w:r>
      </w:hyperlink>
    </w:p>
    <w:p w:rsidR="007C09B6" w:rsidRPr="00A1318D" w:rsidRDefault="007C09B6" w:rsidP="007C09B6">
      <w:pPr>
        <w:spacing w:after="0" w:line="480" w:lineRule="auto"/>
        <w:ind w:left="709" w:hanging="709"/>
        <w:jc w:val="both"/>
        <w:rPr>
          <w:rFonts w:ascii="Arial" w:hAnsi="Arial" w:cs="Arial"/>
          <w:i/>
          <w:color w:val="000000" w:themeColor="text1"/>
          <w:sz w:val="24"/>
          <w:szCs w:val="24"/>
        </w:rPr>
      </w:pPr>
      <w:r w:rsidRPr="00A1318D">
        <w:rPr>
          <w:rFonts w:ascii="Arial" w:hAnsi="Arial" w:cs="Arial"/>
          <w:i/>
          <w:color w:val="000000" w:themeColor="text1"/>
          <w:sz w:val="24"/>
          <w:szCs w:val="24"/>
        </w:rPr>
        <w:t xml:space="preserve">FIAP. (2014). </w:t>
      </w:r>
      <w:r w:rsidRPr="00A1318D">
        <w:rPr>
          <w:rFonts w:ascii="Arial" w:hAnsi="Arial" w:cs="Arial"/>
          <w:i/>
          <w:iCs/>
          <w:color w:val="000000" w:themeColor="text1"/>
          <w:sz w:val="24"/>
          <w:szCs w:val="24"/>
        </w:rPr>
        <w:t>Estadísticas Históricas.</w:t>
      </w:r>
      <w:r w:rsidRPr="00A1318D">
        <w:rPr>
          <w:rFonts w:ascii="Arial" w:hAnsi="Arial" w:cs="Arial"/>
          <w:i/>
          <w:color w:val="000000" w:themeColor="text1"/>
          <w:sz w:val="24"/>
          <w:szCs w:val="24"/>
        </w:rPr>
        <w:t xml:space="preserve">  Federación Internacional de Administradoras de Fondos de </w:t>
      </w:r>
      <w:r w:rsidRPr="00A1318D">
        <w:rPr>
          <w:rFonts w:ascii="Arial" w:hAnsi="Arial" w:cs="Arial"/>
          <w:i/>
          <w:color w:val="000000" w:themeColor="text1"/>
          <w:sz w:val="24"/>
          <w:szCs w:val="24"/>
        </w:rPr>
        <w:tab/>
        <w:t xml:space="preserve">Pensiones, Santiago de Chile. Recuperado de </w:t>
      </w:r>
      <w:r w:rsidRPr="00A1318D">
        <w:rPr>
          <w:rFonts w:ascii="Arial" w:hAnsi="Arial" w:cs="Arial"/>
          <w:i/>
          <w:color w:val="000000" w:themeColor="text1"/>
          <w:sz w:val="24"/>
          <w:szCs w:val="24"/>
        </w:rPr>
        <w:tab/>
        <w:t xml:space="preserve">http://www.fiap.cl/prontus_fiap/site/edic/base/port/series.html </w:t>
      </w:r>
    </w:p>
    <w:p w:rsidR="002A21E2" w:rsidRDefault="00E206AF" w:rsidP="007C09B6">
      <w:pPr>
        <w:spacing w:after="0" w:line="480" w:lineRule="auto"/>
        <w:jc w:val="both"/>
        <w:rPr>
          <w:rFonts w:ascii="Arial" w:hAnsi="Arial" w:cs="Arial"/>
          <w:color w:val="000000" w:themeColor="text1"/>
          <w:sz w:val="24"/>
          <w:szCs w:val="24"/>
        </w:rPr>
      </w:pPr>
      <w:r>
        <w:rPr>
          <w:rFonts w:ascii="Arial" w:hAnsi="Arial" w:cs="Arial"/>
          <w:color w:val="000000" w:themeColor="text1"/>
          <w:sz w:val="24"/>
          <w:szCs w:val="24"/>
          <w:lang w:val="en-US"/>
        </w:rPr>
        <w:t xml:space="preserve">IOPS (2013). </w:t>
      </w:r>
      <w:r w:rsidR="002A21E2" w:rsidRPr="00E206AF">
        <w:rPr>
          <w:rFonts w:ascii="Arial" w:hAnsi="Arial" w:cs="Arial"/>
          <w:i/>
          <w:color w:val="000000" w:themeColor="text1"/>
          <w:sz w:val="24"/>
          <w:szCs w:val="24"/>
          <w:lang w:val="en-US"/>
        </w:rPr>
        <w:t>Guidelines for the Supervisory Assessment of Pension Funds</w:t>
      </w:r>
      <w:r w:rsidR="002A21E2" w:rsidRPr="00730C4D">
        <w:rPr>
          <w:rFonts w:ascii="Arial" w:hAnsi="Arial" w:cs="Arial"/>
          <w:color w:val="000000" w:themeColor="text1"/>
          <w:sz w:val="24"/>
          <w:szCs w:val="24"/>
          <w:lang w:val="en-US"/>
        </w:rPr>
        <w:t xml:space="preserve">. </w:t>
      </w:r>
      <w:r w:rsidR="002A21E2" w:rsidRPr="00730C4D">
        <w:rPr>
          <w:rFonts w:ascii="Arial" w:hAnsi="Arial" w:cs="Arial"/>
          <w:color w:val="000000" w:themeColor="text1"/>
          <w:sz w:val="24"/>
          <w:szCs w:val="24"/>
        </w:rPr>
        <w:t xml:space="preserve">Paris. </w:t>
      </w:r>
    </w:p>
    <w:p w:rsidR="006D1237" w:rsidRPr="006D1237" w:rsidRDefault="006D1237" w:rsidP="007C09B6">
      <w:pPr>
        <w:pStyle w:val="Bibliografa"/>
        <w:spacing w:line="480" w:lineRule="auto"/>
        <w:ind w:left="720" w:hanging="720"/>
        <w:jc w:val="both"/>
        <w:rPr>
          <w:rFonts w:ascii="Arial" w:hAnsi="Arial" w:cs="Arial"/>
          <w:noProof/>
          <w:sz w:val="24"/>
          <w:szCs w:val="24"/>
        </w:rPr>
      </w:pPr>
      <w:r w:rsidRPr="006D1237">
        <w:rPr>
          <w:rFonts w:ascii="Arial" w:hAnsi="Arial" w:cs="Arial"/>
          <w:noProof/>
          <w:sz w:val="24"/>
          <w:szCs w:val="24"/>
        </w:rPr>
        <w:t xml:space="preserve">Munh, A. H. (1988). </w:t>
      </w:r>
      <w:r w:rsidRPr="006D1237">
        <w:rPr>
          <w:rFonts w:ascii="Arial" w:hAnsi="Arial" w:cs="Arial"/>
          <w:i/>
          <w:iCs/>
          <w:noProof/>
          <w:sz w:val="24"/>
          <w:szCs w:val="24"/>
        </w:rPr>
        <w:t>Aspectos economicos de los planes privados de pensiones .</w:t>
      </w:r>
      <w:r w:rsidRPr="006D1237">
        <w:rPr>
          <w:rFonts w:ascii="Arial" w:hAnsi="Arial" w:cs="Arial"/>
          <w:noProof/>
          <w:sz w:val="24"/>
          <w:szCs w:val="24"/>
        </w:rPr>
        <w:t xml:space="preserve"> Ministerio de Trabajo y Seguridad Social.</w:t>
      </w:r>
    </w:p>
    <w:p w:rsidR="002A21E2" w:rsidRPr="00730C4D" w:rsidRDefault="006F69B5" w:rsidP="007C09B6">
      <w:pPr>
        <w:spacing w:after="0" w:line="480" w:lineRule="auto"/>
        <w:ind w:left="709" w:hanging="709"/>
        <w:jc w:val="both"/>
        <w:rPr>
          <w:rFonts w:ascii="Arial" w:hAnsi="Arial" w:cs="Arial"/>
          <w:color w:val="000000" w:themeColor="text1"/>
          <w:sz w:val="24"/>
          <w:szCs w:val="24"/>
        </w:rPr>
      </w:pPr>
      <w:r>
        <w:rPr>
          <w:rFonts w:ascii="Arial" w:hAnsi="Arial" w:cs="Arial"/>
          <w:color w:val="000000" w:themeColor="text1"/>
          <w:sz w:val="24"/>
          <w:szCs w:val="24"/>
        </w:rPr>
        <w:t xml:space="preserve">Nelly A., Gabriel et al. (2012). </w:t>
      </w:r>
      <w:r w:rsidR="002A21E2" w:rsidRPr="00730C4D">
        <w:rPr>
          <w:rFonts w:ascii="Arial" w:hAnsi="Arial" w:cs="Arial"/>
          <w:i/>
          <w:color w:val="000000" w:themeColor="text1"/>
          <w:sz w:val="24"/>
          <w:szCs w:val="24"/>
        </w:rPr>
        <w:t>Informe sobre la Seguridad Social en América Latina</w:t>
      </w:r>
      <w:r w:rsidR="002A21E2" w:rsidRPr="00730C4D">
        <w:rPr>
          <w:rFonts w:ascii="Arial" w:hAnsi="Arial" w:cs="Arial"/>
          <w:color w:val="000000" w:themeColor="text1"/>
          <w:sz w:val="24"/>
          <w:szCs w:val="24"/>
        </w:rPr>
        <w:t>. CISS.  México.</w:t>
      </w:r>
    </w:p>
    <w:p w:rsidR="006D1237" w:rsidRPr="00730C4D" w:rsidRDefault="002A21E2" w:rsidP="007C09B6">
      <w:pPr>
        <w:spacing w:after="0" w:line="480" w:lineRule="auto"/>
        <w:ind w:left="709" w:hanging="709"/>
        <w:jc w:val="both"/>
        <w:rPr>
          <w:rFonts w:ascii="Arial" w:hAnsi="Arial" w:cs="Arial"/>
          <w:i/>
          <w:color w:val="000000" w:themeColor="text1"/>
          <w:sz w:val="24"/>
          <w:szCs w:val="24"/>
        </w:rPr>
      </w:pPr>
      <w:r w:rsidRPr="00730C4D">
        <w:rPr>
          <w:rFonts w:ascii="Arial" w:hAnsi="Arial" w:cs="Arial"/>
          <w:color w:val="000000" w:themeColor="text1"/>
          <w:sz w:val="24"/>
          <w:szCs w:val="24"/>
        </w:rPr>
        <w:t xml:space="preserve">OCDE (2012). </w:t>
      </w:r>
      <w:r w:rsidRPr="00730C4D">
        <w:rPr>
          <w:rFonts w:ascii="Arial" w:hAnsi="Arial" w:cs="Arial"/>
          <w:i/>
          <w:color w:val="000000" w:themeColor="text1"/>
          <w:sz w:val="24"/>
          <w:szCs w:val="24"/>
        </w:rPr>
        <w:t>Tipos de Inversión de los Fondos de Pensiones en los Países de la OCDE.</w:t>
      </w:r>
    </w:p>
    <w:p w:rsidR="002A21E2" w:rsidRPr="00F30AEB" w:rsidRDefault="00FB699F" w:rsidP="007C09B6">
      <w:pPr>
        <w:spacing w:after="0" w:line="480" w:lineRule="auto"/>
        <w:ind w:left="709" w:hanging="709"/>
        <w:jc w:val="both"/>
        <w:rPr>
          <w:rFonts w:ascii="Arial" w:hAnsi="Arial" w:cs="Arial"/>
          <w:color w:val="000000" w:themeColor="text1"/>
          <w:sz w:val="24"/>
          <w:szCs w:val="24"/>
        </w:rPr>
      </w:pPr>
      <w:r>
        <w:rPr>
          <w:rFonts w:ascii="Arial" w:hAnsi="Arial" w:cs="Arial"/>
          <w:color w:val="000000" w:themeColor="text1"/>
          <w:sz w:val="24"/>
          <w:szCs w:val="24"/>
          <w:lang w:val="en-US"/>
        </w:rPr>
        <w:t xml:space="preserve">OECD (2012). </w:t>
      </w:r>
      <w:r w:rsidR="002A21E2" w:rsidRPr="001A1A9C">
        <w:rPr>
          <w:rFonts w:ascii="Arial" w:hAnsi="Arial" w:cs="Arial"/>
          <w:i/>
          <w:color w:val="000000" w:themeColor="text1"/>
          <w:sz w:val="24"/>
          <w:szCs w:val="24"/>
          <w:lang w:val="en-US"/>
        </w:rPr>
        <w:t>P</w:t>
      </w:r>
      <w:r w:rsidR="00E206AF" w:rsidRPr="001A1A9C">
        <w:rPr>
          <w:rFonts w:ascii="Arial" w:hAnsi="Arial" w:cs="Arial"/>
          <w:i/>
          <w:color w:val="000000" w:themeColor="text1"/>
          <w:sz w:val="24"/>
          <w:szCs w:val="24"/>
          <w:lang w:val="en-US"/>
        </w:rPr>
        <w:t>ension Markets in Focus</w:t>
      </w:r>
      <w:r w:rsidR="002A21E2" w:rsidRPr="00DB7B28">
        <w:rPr>
          <w:rFonts w:ascii="Arial" w:hAnsi="Arial" w:cs="Arial"/>
          <w:color w:val="000000" w:themeColor="text1"/>
          <w:sz w:val="24"/>
          <w:szCs w:val="24"/>
          <w:lang w:val="en-US"/>
        </w:rPr>
        <w:t xml:space="preserve">. </w:t>
      </w:r>
      <w:r w:rsidR="00111426" w:rsidRPr="00F30AEB">
        <w:rPr>
          <w:rFonts w:ascii="Arial" w:hAnsi="Arial" w:cs="Arial"/>
          <w:color w:val="000000" w:themeColor="text1"/>
          <w:sz w:val="24"/>
          <w:szCs w:val="24"/>
        </w:rPr>
        <w:t>OECD. Paris. OECD.</w:t>
      </w:r>
      <w:r w:rsidR="00F30AEB">
        <w:rPr>
          <w:rFonts w:ascii="Arial" w:hAnsi="Arial" w:cs="Arial"/>
          <w:color w:val="000000" w:themeColor="text1"/>
          <w:sz w:val="24"/>
          <w:szCs w:val="24"/>
        </w:rPr>
        <w:t xml:space="preserve"> </w:t>
      </w:r>
      <w:r w:rsidR="00730C4D" w:rsidRPr="00F30AEB">
        <w:rPr>
          <w:rFonts w:ascii="Arial" w:hAnsi="Arial" w:cs="Arial"/>
          <w:color w:val="000000" w:themeColor="text1"/>
          <w:sz w:val="24"/>
          <w:szCs w:val="24"/>
        </w:rPr>
        <w:t>Disponible</w:t>
      </w:r>
      <w:r>
        <w:rPr>
          <w:rFonts w:ascii="Arial" w:hAnsi="Arial" w:cs="Arial"/>
          <w:color w:val="000000" w:themeColor="text1"/>
          <w:sz w:val="24"/>
          <w:szCs w:val="24"/>
        </w:rPr>
        <w:t xml:space="preserve"> en: </w:t>
      </w:r>
      <w:r w:rsidR="002A21E2" w:rsidRPr="00F30AEB">
        <w:rPr>
          <w:rFonts w:ascii="Arial" w:hAnsi="Arial" w:cs="Arial"/>
          <w:color w:val="000000" w:themeColor="text1"/>
          <w:sz w:val="24"/>
          <w:szCs w:val="24"/>
        </w:rPr>
        <w:t>http</w:t>
      </w:r>
      <w:r w:rsidR="00111426" w:rsidRPr="00F30AEB">
        <w:rPr>
          <w:rFonts w:ascii="Arial" w:hAnsi="Arial" w:cs="Arial"/>
          <w:color w:val="000000" w:themeColor="text1"/>
          <w:sz w:val="24"/>
          <w:szCs w:val="24"/>
        </w:rPr>
        <w:t>://www.oecd.org/daf/fin/private</w:t>
      </w:r>
      <w:r w:rsidR="002A21E2" w:rsidRPr="00F30AEB">
        <w:rPr>
          <w:rFonts w:ascii="Arial" w:hAnsi="Arial" w:cs="Arial"/>
          <w:color w:val="000000" w:themeColor="text1"/>
          <w:sz w:val="24"/>
          <w:szCs w:val="24"/>
        </w:rPr>
        <w:t>pensions</w:t>
      </w:r>
      <w:r w:rsidR="00111426" w:rsidRPr="00F30AEB">
        <w:rPr>
          <w:rFonts w:ascii="Arial" w:hAnsi="Arial" w:cs="Arial"/>
          <w:color w:val="000000" w:themeColor="text1"/>
          <w:sz w:val="24"/>
          <w:szCs w:val="24"/>
        </w:rPr>
        <w:t>/PensionMarketsInFocus2012.pd</w:t>
      </w:r>
      <w:r w:rsidR="002A21E2" w:rsidRPr="00F30AEB">
        <w:rPr>
          <w:rFonts w:ascii="Arial" w:hAnsi="Arial" w:cs="Arial"/>
          <w:color w:val="000000" w:themeColor="text1"/>
          <w:sz w:val="24"/>
          <w:szCs w:val="24"/>
        </w:rPr>
        <w:t>f</w:t>
      </w:r>
    </w:p>
    <w:p w:rsidR="002A21E2" w:rsidRPr="00F30AEB" w:rsidRDefault="002A21E2" w:rsidP="007C09B6">
      <w:pPr>
        <w:spacing w:after="0" w:line="480" w:lineRule="auto"/>
        <w:ind w:left="709" w:hanging="709"/>
        <w:jc w:val="both"/>
        <w:rPr>
          <w:rFonts w:ascii="Arial" w:hAnsi="Arial" w:cs="Arial"/>
          <w:color w:val="000000" w:themeColor="text1"/>
          <w:sz w:val="24"/>
          <w:szCs w:val="24"/>
        </w:rPr>
      </w:pPr>
      <w:r w:rsidRPr="00F30AEB">
        <w:rPr>
          <w:rFonts w:ascii="Arial" w:hAnsi="Arial" w:cs="Arial"/>
          <w:color w:val="000000" w:themeColor="text1"/>
          <w:sz w:val="24"/>
          <w:szCs w:val="24"/>
        </w:rPr>
        <w:t xml:space="preserve">OECD (2011). </w:t>
      </w:r>
      <w:r w:rsidRPr="00F30AEB">
        <w:rPr>
          <w:rFonts w:ascii="Arial" w:hAnsi="Arial" w:cs="Arial"/>
          <w:i/>
          <w:color w:val="000000" w:themeColor="text1"/>
          <w:sz w:val="24"/>
          <w:szCs w:val="24"/>
        </w:rPr>
        <w:t xml:space="preserve">Panorama de las pensiones 2011 sistemas de ingresos al retiro en los países de la OCDE y del G20. </w:t>
      </w:r>
      <w:r w:rsidRPr="00F30AEB">
        <w:rPr>
          <w:rFonts w:ascii="Arial" w:hAnsi="Arial" w:cs="Arial"/>
          <w:color w:val="000000" w:themeColor="text1"/>
          <w:sz w:val="24"/>
          <w:szCs w:val="24"/>
        </w:rPr>
        <w:t>CIEDESS. Santiago de Chile.</w:t>
      </w:r>
    </w:p>
    <w:p w:rsidR="002A21E2" w:rsidRPr="00F30AEB" w:rsidRDefault="002A21E2" w:rsidP="007C09B6">
      <w:pPr>
        <w:spacing w:after="0" w:line="480" w:lineRule="auto"/>
        <w:ind w:left="709" w:hanging="709"/>
        <w:jc w:val="both"/>
        <w:rPr>
          <w:rFonts w:ascii="Arial" w:hAnsi="Arial" w:cs="Arial"/>
          <w:color w:val="000000" w:themeColor="text1"/>
          <w:sz w:val="24"/>
          <w:szCs w:val="24"/>
        </w:rPr>
      </w:pPr>
      <w:r w:rsidRPr="00F30AEB">
        <w:rPr>
          <w:rFonts w:ascii="Arial" w:hAnsi="Arial" w:cs="Arial"/>
          <w:color w:val="000000" w:themeColor="text1"/>
          <w:sz w:val="24"/>
          <w:szCs w:val="24"/>
        </w:rPr>
        <w:t xml:space="preserve">OECD (2012), </w:t>
      </w:r>
      <w:r w:rsidRPr="001A1A9C">
        <w:rPr>
          <w:rFonts w:ascii="Arial" w:hAnsi="Arial" w:cs="Arial"/>
          <w:i/>
          <w:color w:val="000000" w:themeColor="text1"/>
          <w:sz w:val="24"/>
          <w:szCs w:val="24"/>
        </w:rPr>
        <w:t>Getting it right Una agenda estratégi</w:t>
      </w:r>
      <w:r w:rsidR="001A1A9C" w:rsidRPr="001A1A9C">
        <w:rPr>
          <w:rFonts w:ascii="Arial" w:hAnsi="Arial" w:cs="Arial"/>
          <w:i/>
          <w:color w:val="000000" w:themeColor="text1"/>
          <w:sz w:val="24"/>
          <w:szCs w:val="24"/>
        </w:rPr>
        <w:t>ca  para las reformas en México</w:t>
      </w:r>
      <w:r w:rsidRPr="00F30AEB">
        <w:rPr>
          <w:rFonts w:ascii="Arial" w:hAnsi="Arial" w:cs="Arial"/>
          <w:color w:val="000000" w:themeColor="text1"/>
          <w:sz w:val="24"/>
          <w:szCs w:val="24"/>
        </w:rPr>
        <w:t>. Centro de la OCDE en México para América Latina. México.</w:t>
      </w:r>
    </w:p>
    <w:p w:rsidR="002A21E2" w:rsidRPr="00F30AEB" w:rsidRDefault="002A21E2" w:rsidP="007C09B6">
      <w:pPr>
        <w:spacing w:after="0" w:line="480" w:lineRule="auto"/>
        <w:jc w:val="both"/>
        <w:rPr>
          <w:rFonts w:ascii="Arial" w:hAnsi="Arial" w:cs="Arial"/>
          <w:color w:val="000000" w:themeColor="text1"/>
          <w:sz w:val="24"/>
          <w:szCs w:val="24"/>
          <w:lang w:val="en-US"/>
        </w:rPr>
      </w:pPr>
      <w:r w:rsidRPr="00F30AEB">
        <w:rPr>
          <w:rFonts w:ascii="Arial" w:hAnsi="Arial" w:cs="Arial"/>
          <w:color w:val="000000" w:themeColor="text1"/>
          <w:sz w:val="24"/>
          <w:szCs w:val="24"/>
          <w:lang w:val="en-US"/>
        </w:rPr>
        <w:lastRenderedPageBreak/>
        <w:softHyphen/>
        <w:t xml:space="preserve">OECD (2013). </w:t>
      </w:r>
      <w:r w:rsidRPr="001A1A9C">
        <w:rPr>
          <w:rFonts w:ascii="Arial" w:hAnsi="Arial" w:cs="Arial"/>
          <w:i/>
          <w:color w:val="000000" w:themeColor="text1"/>
          <w:sz w:val="24"/>
          <w:szCs w:val="24"/>
          <w:lang w:val="en-US"/>
        </w:rPr>
        <w:t>Statextracts</w:t>
      </w:r>
      <w:r w:rsidRPr="00F30AEB">
        <w:rPr>
          <w:rFonts w:ascii="Arial" w:hAnsi="Arial" w:cs="Arial"/>
          <w:color w:val="000000" w:themeColor="text1"/>
          <w:sz w:val="24"/>
          <w:szCs w:val="24"/>
          <w:lang w:val="en-US"/>
        </w:rPr>
        <w:t>. Funded Pensions Indicatores. Paris.</w:t>
      </w:r>
    </w:p>
    <w:p w:rsidR="002A21E2" w:rsidRPr="00DB7B28" w:rsidRDefault="002A21E2" w:rsidP="007C09B6">
      <w:pPr>
        <w:spacing w:after="0" w:line="480" w:lineRule="auto"/>
        <w:jc w:val="both"/>
        <w:rPr>
          <w:rFonts w:ascii="Arial" w:hAnsi="Arial" w:cs="Arial"/>
          <w:color w:val="000000" w:themeColor="text1"/>
          <w:sz w:val="24"/>
          <w:szCs w:val="24"/>
          <w:lang w:val="en-US"/>
        </w:rPr>
      </w:pPr>
      <w:r w:rsidRPr="00F30AEB">
        <w:rPr>
          <w:rFonts w:ascii="Arial" w:hAnsi="Arial" w:cs="Arial"/>
          <w:color w:val="000000" w:themeColor="text1"/>
          <w:sz w:val="24"/>
          <w:szCs w:val="24"/>
          <w:lang w:val="en-US"/>
        </w:rPr>
        <w:t xml:space="preserve">OECD (2013). </w:t>
      </w:r>
      <w:r w:rsidRPr="001A1A9C">
        <w:rPr>
          <w:rFonts w:ascii="Arial" w:hAnsi="Arial" w:cs="Arial"/>
          <w:i/>
          <w:color w:val="000000" w:themeColor="text1"/>
          <w:sz w:val="24"/>
          <w:szCs w:val="24"/>
          <w:lang w:val="en-US"/>
        </w:rPr>
        <w:t>Survey of Investment Regulation of Pension Funds</w:t>
      </w:r>
      <w:r w:rsidRPr="00F30AEB">
        <w:rPr>
          <w:rFonts w:ascii="Arial" w:hAnsi="Arial" w:cs="Arial"/>
          <w:color w:val="000000" w:themeColor="text1"/>
          <w:sz w:val="24"/>
          <w:szCs w:val="24"/>
          <w:lang w:val="en-US"/>
        </w:rPr>
        <w:t xml:space="preserve">. </w:t>
      </w:r>
      <w:r w:rsidRPr="00DB7B28">
        <w:rPr>
          <w:rFonts w:ascii="Arial" w:hAnsi="Arial" w:cs="Arial"/>
          <w:color w:val="000000" w:themeColor="text1"/>
          <w:sz w:val="24"/>
          <w:szCs w:val="24"/>
          <w:lang w:val="en-US"/>
        </w:rPr>
        <w:t xml:space="preserve">Paris. </w:t>
      </w:r>
    </w:p>
    <w:p w:rsidR="00F30AEB" w:rsidRDefault="00F30AEB" w:rsidP="007C09B6">
      <w:pPr>
        <w:pStyle w:val="Bibliografa"/>
        <w:spacing w:line="480" w:lineRule="auto"/>
        <w:ind w:left="720" w:hanging="720"/>
        <w:jc w:val="both"/>
        <w:rPr>
          <w:rFonts w:ascii="Arial" w:hAnsi="Arial" w:cs="Arial"/>
          <w:noProof/>
          <w:sz w:val="24"/>
          <w:szCs w:val="24"/>
        </w:rPr>
      </w:pPr>
      <w:r w:rsidRPr="00F30AEB">
        <w:rPr>
          <w:rFonts w:ascii="Arial" w:hAnsi="Arial" w:cs="Arial"/>
          <w:noProof/>
          <w:sz w:val="24"/>
          <w:szCs w:val="24"/>
          <w:lang w:val="en-US"/>
        </w:rPr>
        <w:t xml:space="preserve">ORZAG, P., &amp; STIGLITZ, J. E. (2001). </w:t>
      </w:r>
      <w:r w:rsidRPr="00F30AEB">
        <w:rPr>
          <w:rFonts w:ascii="Arial" w:hAnsi="Arial" w:cs="Arial"/>
          <w:i/>
          <w:iCs/>
          <w:noProof/>
          <w:sz w:val="24"/>
          <w:szCs w:val="24"/>
          <w:lang w:val="en-US"/>
        </w:rPr>
        <w:t>Rethinking Pension Reform: Ten Myths about Social Security Systems.</w:t>
      </w:r>
      <w:r w:rsidRPr="00F30AEB">
        <w:rPr>
          <w:rFonts w:ascii="Arial" w:hAnsi="Arial" w:cs="Arial"/>
          <w:noProof/>
          <w:sz w:val="24"/>
          <w:szCs w:val="24"/>
          <w:lang w:val="en-US"/>
        </w:rPr>
        <w:t xml:space="preserve"> </w:t>
      </w:r>
      <w:r w:rsidRPr="00F30AEB">
        <w:rPr>
          <w:rFonts w:ascii="Arial" w:hAnsi="Arial" w:cs="Arial"/>
          <w:noProof/>
          <w:sz w:val="24"/>
          <w:szCs w:val="24"/>
        </w:rPr>
        <w:t>Washington DC: The World Bank.</w:t>
      </w:r>
    </w:p>
    <w:p w:rsidR="00F30AEB" w:rsidRDefault="00F30AEB" w:rsidP="007C09B6">
      <w:pPr>
        <w:spacing w:after="0" w:line="480" w:lineRule="auto"/>
        <w:jc w:val="both"/>
        <w:rPr>
          <w:rFonts w:ascii="Arial" w:hAnsi="Arial" w:cs="Arial"/>
          <w:color w:val="000000" w:themeColor="text1"/>
          <w:sz w:val="24"/>
          <w:szCs w:val="24"/>
        </w:rPr>
      </w:pPr>
      <w:r w:rsidRPr="00F30AEB">
        <w:rPr>
          <w:rFonts w:ascii="Arial" w:hAnsi="Arial" w:cs="Arial"/>
          <w:color w:val="000000" w:themeColor="text1"/>
          <w:sz w:val="24"/>
          <w:szCs w:val="24"/>
        </w:rPr>
        <w:t xml:space="preserve">Ruezga A. (2009). </w:t>
      </w:r>
      <w:r w:rsidRPr="001A1A9C">
        <w:rPr>
          <w:rFonts w:ascii="Arial" w:hAnsi="Arial" w:cs="Arial"/>
          <w:i/>
          <w:color w:val="000000" w:themeColor="text1"/>
          <w:sz w:val="24"/>
          <w:szCs w:val="24"/>
        </w:rPr>
        <w:t>Seguridad Social Una visión latinoamericana</w:t>
      </w:r>
      <w:r w:rsidRPr="00F30AEB">
        <w:rPr>
          <w:rFonts w:ascii="Arial" w:hAnsi="Arial" w:cs="Arial"/>
          <w:color w:val="000000" w:themeColor="text1"/>
          <w:sz w:val="24"/>
          <w:szCs w:val="24"/>
        </w:rPr>
        <w:t>. Centro Interamericano de Estudios de Seguridad Social. México.</w:t>
      </w:r>
    </w:p>
    <w:p w:rsidR="00A1318D" w:rsidRPr="007C09B6" w:rsidRDefault="00A1318D" w:rsidP="007C09B6">
      <w:pPr>
        <w:spacing w:after="0" w:line="480" w:lineRule="auto"/>
        <w:ind w:left="709" w:hanging="709"/>
        <w:jc w:val="both"/>
        <w:rPr>
          <w:rFonts w:ascii="Arial" w:hAnsi="Arial" w:cs="Arial"/>
          <w:color w:val="000000" w:themeColor="text1"/>
          <w:sz w:val="24"/>
          <w:szCs w:val="24"/>
        </w:rPr>
      </w:pPr>
      <w:r w:rsidRPr="007C09B6">
        <w:rPr>
          <w:rFonts w:ascii="Arial" w:hAnsi="Arial" w:cs="Arial"/>
          <w:color w:val="000000" w:themeColor="text1"/>
          <w:sz w:val="24"/>
          <w:szCs w:val="24"/>
        </w:rPr>
        <w:t>SP. (2014).</w:t>
      </w:r>
      <w:r w:rsidRPr="007C09B6">
        <w:rPr>
          <w:rFonts w:ascii="Arial" w:hAnsi="Arial" w:cs="Arial"/>
          <w:i/>
          <w:color w:val="000000" w:themeColor="text1"/>
          <w:sz w:val="24"/>
          <w:szCs w:val="24"/>
        </w:rPr>
        <w:t xml:space="preserve"> </w:t>
      </w:r>
      <w:r w:rsidRPr="007C09B6">
        <w:rPr>
          <w:rFonts w:ascii="Arial" w:hAnsi="Arial" w:cs="Arial"/>
          <w:i/>
          <w:iCs/>
          <w:color w:val="000000" w:themeColor="text1"/>
          <w:sz w:val="24"/>
          <w:szCs w:val="24"/>
        </w:rPr>
        <w:t>Centro de Estadísticas de la Superintendencia de Pensiones</w:t>
      </w:r>
      <w:r w:rsidRPr="007C09B6">
        <w:rPr>
          <w:rFonts w:ascii="Arial" w:hAnsi="Arial" w:cs="Arial"/>
          <w:i/>
          <w:color w:val="000000" w:themeColor="text1"/>
          <w:sz w:val="24"/>
          <w:szCs w:val="24"/>
        </w:rPr>
        <w:t>. Superin</w:t>
      </w:r>
      <w:r w:rsidR="007C09B6">
        <w:rPr>
          <w:rFonts w:ascii="Arial" w:hAnsi="Arial" w:cs="Arial"/>
          <w:i/>
          <w:color w:val="000000" w:themeColor="text1"/>
          <w:sz w:val="24"/>
          <w:szCs w:val="24"/>
        </w:rPr>
        <w:t xml:space="preserve">tendencia de Pensiones, </w:t>
      </w:r>
      <w:r w:rsidR="007C09B6">
        <w:rPr>
          <w:rFonts w:ascii="Arial" w:hAnsi="Arial" w:cs="Arial"/>
          <w:i/>
          <w:color w:val="000000" w:themeColor="text1"/>
          <w:sz w:val="24"/>
          <w:szCs w:val="24"/>
        </w:rPr>
        <w:tab/>
        <w:t xml:space="preserve">Chile. </w:t>
      </w:r>
      <w:r w:rsidR="007C09B6" w:rsidRPr="007C09B6">
        <w:rPr>
          <w:rFonts w:ascii="Arial" w:hAnsi="Arial" w:cs="Arial"/>
          <w:color w:val="000000" w:themeColor="text1"/>
          <w:sz w:val="24"/>
          <w:szCs w:val="24"/>
        </w:rPr>
        <w:t xml:space="preserve">Recuperado </w:t>
      </w:r>
      <w:r w:rsidRPr="007C09B6">
        <w:rPr>
          <w:rFonts w:ascii="Arial" w:hAnsi="Arial" w:cs="Arial"/>
          <w:color w:val="000000" w:themeColor="text1"/>
          <w:sz w:val="24"/>
          <w:szCs w:val="24"/>
        </w:rPr>
        <w:t xml:space="preserve">de </w:t>
      </w:r>
      <w:hyperlink r:id="rId27" w:history="1">
        <w:r w:rsidRPr="007C09B6">
          <w:rPr>
            <w:rStyle w:val="Hipervnculo"/>
            <w:rFonts w:ascii="Arial" w:hAnsi="Arial" w:cs="Arial"/>
            <w:color w:val="000000" w:themeColor="text1"/>
            <w:sz w:val="24"/>
            <w:szCs w:val="24"/>
            <w:u w:val="none"/>
          </w:rPr>
          <w:t>http://www.spensiones.cl/safpstats/stats/</w:t>
        </w:r>
      </w:hyperlink>
      <w:r w:rsidRPr="007C09B6">
        <w:rPr>
          <w:rFonts w:ascii="Arial" w:hAnsi="Arial" w:cs="Arial"/>
          <w:color w:val="000000" w:themeColor="text1"/>
          <w:sz w:val="24"/>
          <w:szCs w:val="24"/>
        </w:rPr>
        <w:t xml:space="preserve"> </w:t>
      </w:r>
    </w:p>
    <w:p w:rsidR="00A1318D" w:rsidRPr="007C09B6" w:rsidRDefault="00A1318D" w:rsidP="007C09B6">
      <w:pPr>
        <w:spacing w:after="0" w:line="480" w:lineRule="auto"/>
        <w:ind w:left="709" w:hanging="709"/>
        <w:jc w:val="both"/>
        <w:rPr>
          <w:rFonts w:ascii="Arial" w:hAnsi="Arial" w:cs="Arial"/>
          <w:i/>
          <w:color w:val="000000" w:themeColor="text1"/>
          <w:sz w:val="24"/>
          <w:szCs w:val="24"/>
        </w:rPr>
      </w:pPr>
      <w:r w:rsidRPr="007C09B6">
        <w:rPr>
          <w:rFonts w:ascii="Arial" w:hAnsi="Arial" w:cs="Arial"/>
          <w:color w:val="000000" w:themeColor="text1"/>
          <w:sz w:val="24"/>
          <w:szCs w:val="24"/>
        </w:rPr>
        <w:t>SSF. (2014).</w:t>
      </w:r>
      <w:r w:rsidRPr="007C09B6">
        <w:rPr>
          <w:rFonts w:ascii="Arial" w:hAnsi="Arial" w:cs="Arial"/>
          <w:i/>
          <w:color w:val="000000" w:themeColor="text1"/>
          <w:sz w:val="24"/>
          <w:szCs w:val="24"/>
        </w:rPr>
        <w:t xml:space="preserve"> </w:t>
      </w:r>
      <w:r w:rsidRPr="007C09B6">
        <w:rPr>
          <w:rFonts w:ascii="Arial" w:hAnsi="Arial" w:cs="Arial"/>
          <w:i/>
          <w:iCs/>
          <w:color w:val="000000" w:themeColor="text1"/>
          <w:sz w:val="24"/>
          <w:szCs w:val="24"/>
        </w:rPr>
        <w:t>Estadísticas</w:t>
      </w:r>
      <w:r w:rsidRPr="007C09B6">
        <w:rPr>
          <w:rFonts w:ascii="Arial" w:hAnsi="Arial" w:cs="Arial"/>
          <w:i/>
          <w:color w:val="000000" w:themeColor="text1"/>
          <w:sz w:val="24"/>
          <w:szCs w:val="24"/>
        </w:rPr>
        <w:t>. Superintendencia del S</w:t>
      </w:r>
      <w:r w:rsidR="007C09B6">
        <w:rPr>
          <w:rFonts w:ascii="Arial" w:hAnsi="Arial" w:cs="Arial"/>
          <w:i/>
          <w:color w:val="000000" w:themeColor="text1"/>
          <w:sz w:val="24"/>
          <w:szCs w:val="24"/>
        </w:rPr>
        <w:t xml:space="preserve">istema Financiero, El Salvador. </w:t>
      </w:r>
      <w:r w:rsidRPr="007C09B6">
        <w:rPr>
          <w:rFonts w:ascii="Arial" w:hAnsi="Arial" w:cs="Arial"/>
          <w:color w:val="000000" w:themeColor="text1"/>
          <w:sz w:val="24"/>
          <w:szCs w:val="24"/>
        </w:rPr>
        <w:t xml:space="preserve">Recuperado de </w:t>
      </w:r>
      <w:r w:rsidRPr="007C09B6">
        <w:rPr>
          <w:rFonts w:ascii="Arial" w:hAnsi="Arial" w:cs="Arial"/>
          <w:color w:val="000000" w:themeColor="text1"/>
          <w:sz w:val="24"/>
          <w:szCs w:val="24"/>
        </w:rPr>
        <w:tab/>
      </w:r>
      <w:hyperlink r:id="rId28" w:history="1">
        <w:r w:rsidRPr="007C09B6">
          <w:rPr>
            <w:rStyle w:val="Hipervnculo"/>
            <w:rFonts w:ascii="Arial" w:hAnsi="Arial" w:cs="Arial"/>
            <w:color w:val="000000" w:themeColor="text1"/>
            <w:sz w:val="24"/>
            <w:szCs w:val="24"/>
            <w:u w:val="none"/>
          </w:rPr>
          <w:t>http</w:t>
        </w:r>
      </w:hyperlink>
      <w:hyperlink r:id="rId29" w:history="1">
        <w:r w:rsidRPr="007C09B6">
          <w:rPr>
            <w:rStyle w:val="Hipervnculo"/>
            <w:rFonts w:ascii="Arial" w:hAnsi="Arial" w:cs="Arial"/>
            <w:color w:val="000000" w:themeColor="text1"/>
            <w:sz w:val="24"/>
            <w:szCs w:val="24"/>
            <w:u w:val="none"/>
          </w:rPr>
          <w:t>://www.ssf.gob.sv/index.php/nov/publi/estadisticas-63247</w:t>
        </w:r>
      </w:hyperlink>
      <w:r w:rsidRPr="007C09B6">
        <w:rPr>
          <w:rFonts w:ascii="Arial" w:hAnsi="Arial" w:cs="Arial"/>
          <w:i/>
          <w:color w:val="000000" w:themeColor="text1"/>
          <w:sz w:val="24"/>
          <w:szCs w:val="24"/>
        </w:rPr>
        <w:t xml:space="preserve"> </w:t>
      </w:r>
    </w:p>
    <w:p w:rsidR="00A1318D" w:rsidRPr="00F30AEB" w:rsidRDefault="00A1318D" w:rsidP="007C09B6">
      <w:pPr>
        <w:spacing w:after="0" w:line="480" w:lineRule="auto"/>
        <w:ind w:left="709" w:hanging="709"/>
        <w:jc w:val="both"/>
        <w:rPr>
          <w:rFonts w:ascii="Arial" w:hAnsi="Arial" w:cs="Arial"/>
          <w:i/>
          <w:color w:val="000000" w:themeColor="text1"/>
          <w:sz w:val="24"/>
          <w:szCs w:val="24"/>
        </w:rPr>
      </w:pPr>
    </w:p>
    <w:sectPr w:rsidR="00A1318D" w:rsidRPr="00F30AEB" w:rsidSect="002639CF">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E6570" w:rsidRDefault="009E6570" w:rsidP="001356CD">
      <w:pPr>
        <w:spacing w:after="0" w:line="240" w:lineRule="auto"/>
      </w:pPr>
      <w:r>
        <w:separator/>
      </w:r>
    </w:p>
  </w:endnote>
  <w:endnote w:type="continuationSeparator" w:id="0">
    <w:p w:rsidR="009E6570" w:rsidRDefault="009E6570" w:rsidP="001356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DBDLPG+TimesNewRoman,Bold">
    <w:altName w:val="Times New Roman"/>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66703115"/>
      <w:docPartObj>
        <w:docPartGallery w:val="Page Numbers (Bottom of Page)"/>
        <w:docPartUnique/>
      </w:docPartObj>
    </w:sdtPr>
    <w:sdtEndPr>
      <w:rPr>
        <w:rFonts w:ascii="Arial" w:hAnsi="Arial" w:cs="Arial"/>
        <w:sz w:val="24"/>
        <w:szCs w:val="24"/>
      </w:rPr>
    </w:sdtEndPr>
    <w:sdtContent>
      <w:p w:rsidR="00A7556E" w:rsidRPr="00552674" w:rsidRDefault="00422485">
        <w:pPr>
          <w:pStyle w:val="Piedepgina"/>
          <w:jc w:val="right"/>
          <w:rPr>
            <w:rFonts w:ascii="Arial" w:hAnsi="Arial" w:cs="Arial"/>
            <w:sz w:val="24"/>
            <w:szCs w:val="24"/>
          </w:rPr>
        </w:pPr>
        <w:r w:rsidRPr="00552674">
          <w:rPr>
            <w:rFonts w:ascii="Arial" w:hAnsi="Arial" w:cs="Arial"/>
            <w:sz w:val="24"/>
            <w:szCs w:val="24"/>
          </w:rPr>
          <w:fldChar w:fldCharType="begin"/>
        </w:r>
        <w:r w:rsidR="00A7556E" w:rsidRPr="00552674">
          <w:rPr>
            <w:rFonts w:ascii="Arial" w:hAnsi="Arial" w:cs="Arial"/>
            <w:sz w:val="24"/>
            <w:szCs w:val="24"/>
          </w:rPr>
          <w:instrText xml:space="preserve"> PAGE   \* MERGEFORMAT </w:instrText>
        </w:r>
        <w:r w:rsidRPr="00552674">
          <w:rPr>
            <w:rFonts w:ascii="Arial" w:hAnsi="Arial" w:cs="Arial"/>
            <w:sz w:val="24"/>
            <w:szCs w:val="24"/>
          </w:rPr>
          <w:fldChar w:fldCharType="separate"/>
        </w:r>
        <w:r w:rsidR="00215A83">
          <w:rPr>
            <w:rFonts w:ascii="Arial" w:hAnsi="Arial" w:cs="Arial"/>
            <w:noProof/>
            <w:sz w:val="24"/>
            <w:szCs w:val="24"/>
          </w:rPr>
          <w:t>1</w:t>
        </w:r>
        <w:r w:rsidRPr="00552674">
          <w:rPr>
            <w:rFonts w:ascii="Arial" w:hAnsi="Arial" w:cs="Arial"/>
            <w:noProof/>
            <w:sz w:val="24"/>
            <w:szCs w:val="24"/>
          </w:rPr>
          <w:fldChar w:fldCharType="end"/>
        </w:r>
      </w:p>
    </w:sdtContent>
  </w:sdt>
  <w:p w:rsidR="00A7556E" w:rsidRDefault="00A7556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E6570" w:rsidRDefault="009E6570" w:rsidP="001356CD">
      <w:pPr>
        <w:spacing w:after="0" w:line="240" w:lineRule="auto"/>
      </w:pPr>
      <w:r>
        <w:separator/>
      </w:r>
    </w:p>
  </w:footnote>
  <w:footnote w:type="continuationSeparator" w:id="0">
    <w:p w:rsidR="009E6570" w:rsidRDefault="009E6570" w:rsidP="001356CD">
      <w:pPr>
        <w:spacing w:after="0" w:line="240" w:lineRule="auto"/>
      </w:pPr>
      <w:r>
        <w:continuationSeparator/>
      </w:r>
    </w:p>
  </w:footnote>
  <w:footnote w:id="1">
    <w:p w:rsidR="00A7556E" w:rsidRPr="0031126D" w:rsidRDefault="00A7556E">
      <w:pPr>
        <w:pStyle w:val="Textonotapie"/>
        <w:rPr>
          <w:lang w:val="es-ES"/>
        </w:rPr>
      </w:pPr>
      <w:r>
        <w:rPr>
          <w:rStyle w:val="Refdenotaalpie"/>
        </w:rPr>
        <w:footnoteRef/>
      </w:r>
      <w:r>
        <w:t xml:space="preserve"> </w:t>
      </w:r>
      <w:r w:rsidRPr="0031126D">
        <w:rPr>
          <w:rStyle w:val="Textoennegrita"/>
          <w:rFonts w:ascii="Arial" w:hAnsi="Arial" w:cs="Arial"/>
          <w:b w:val="0"/>
          <w:color w:val="000000" w:themeColor="text1"/>
        </w:rPr>
        <w:t>Reforma publicada en el DOF el 15/junio/2007</w:t>
      </w:r>
    </w:p>
  </w:footnote>
  <w:footnote w:id="2">
    <w:p w:rsidR="00A7556E" w:rsidRPr="0031126D" w:rsidRDefault="00A7556E">
      <w:pPr>
        <w:pStyle w:val="Textonotapie"/>
        <w:rPr>
          <w:lang w:val="es-ES"/>
        </w:rPr>
      </w:pPr>
      <w:r>
        <w:rPr>
          <w:rStyle w:val="Refdenotaalpie"/>
        </w:rPr>
        <w:footnoteRef/>
      </w:r>
      <w:r>
        <w:t xml:space="preserve"> </w:t>
      </w:r>
      <w:r w:rsidRPr="0031126D">
        <w:rPr>
          <w:rStyle w:val="Textoennegrita"/>
          <w:rFonts w:ascii="Arial" w:hAnsi="Arial" w:cs="Arial"/>
          <w:b w:val="0"/>
          <w:color w:val="000000" w:themeColor="text1"/>
        </w:rPr>
        <w:t>Adición publicada en el DOF el 15/junio/2007</w:t>
      </w:r>
    </w:p>
  </w:footnote>
  <w:footnote w:id="3">
    <w:p w:rsidR="00A7556E" w:rsidRPr="0031126D" w:rsidRDefault="00A7556E">
      <w:pPr>
        <w:pStyle w:val="Textonotapie"/>
        <w:rPr>
          <w:lang w:val="es-ES"/>
        </w:rPr>
      </w:pPr>
      <w:r>
        <w:rPr>
          <w:rStyle w:val="Refdenotaalpie"/>
        </w:rPr>
        <w:footnoteRef/>
      </w:r>
      <w:r>
        <w:t xml:space="preserve"> </w:t>
      </w:r>
      <w:r w:rsidRPr="0031126D">
        <w:rPr>
          <w:rStyle w:val="Textoennegrita"/>
          <w:rFonts w:ascii="Arial" w:hAnsi="Arial" w:cs="Arial"/>
          <w:b w:val="0"/>
          <w:color w:val="000000" w:themeColor="text1"/>
        </w:rPr>
        <w:t>Adición publicada en el DOF el 15/junio/2007</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F532E2"/>
    <w:multiLevelType w:val="hybridMultilevel"/>
    <w:tmpl w:val="24EA8482"/>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5F24E0F"/>
    <w:multiLevelType w:val="hybridMultilevel"/>
    <w:tmpl w:val="B5A02C02"/>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F8E787F"/>
    <w:multiLevelType w:val="hybridMultilevel"/>
    <w:tmpl w:val="EFB46A28"/>
    <w:lvl w:ilvl="0" w:tplc="080A0013">
      <w:start w:val="1"/>
      <w:numFmt w:val="upperRoman"/>
      <w:lvlText w:val="%1."/>
      <w:lvlJc w:val="right"/>
      <w:pPr>
        <w:ind w:left="780" w:hanging="360"/>
      </w:pPr>
    </w:lvl>
    <w:lvl w:ilvl="1" w:tplc="080A0019" w:tentative="1">
      <w:start w:val="1"/>
      <w:numFmt w:val="lowerLetter"/>
      <w:lvlText w:val="%2."/>
      <w:lvlJc w:val="left"/>
      <w:pPr>
        <w:ind w:left="1500" w:hanging="360"/>
      </w:pPr>
    </w:lvl>
    <w:lvl w:ilvl="2" w:tplc="080A001B" w:tentative="1">
      <w:start w:val="1"/>
      <w:numFmt w:val="lowerRoman"/>
      <w:lvlText w:val="%3."/>
      <w:lvlJc w:val="right"/>
      <w:pPr>
        <w:ind w:left="2220" w:hanging="180"/>
      </w:pPr>
    </w:lvl>
    <w:lvl w:ilvl="3" w:tplc="080A000F" w:tentative="1">
      <w:start w:val="1"/>
      <w:numFmt w:val="decimal"/>
      <w:lvlText w:val="%4."/>
      <w:lvlJc w:val="left"/>
      <w:pPr>
        <w:ind w:left="2940" w:hanging="360"/>
      </w:pPr>
    </w:lvl>
    <w:lvl w:ilvl="4" w:tplc="080A0019" w:tentative="1">
      <w:start w:val="1"/>
      <w:numFmt w:val="lowerLetter"/>
      <w:lvlText w:val="%5."/>
      <w:lvlJc w:val="left"/>
      <w:pPr>
        <w:ind w:left="3660" w:hanging="360"/>
      </w:pPr>
    </w:lvl>
    <w:lvl w:ilvl="5" w:tplc="080A001B" w:tentative="1">
      <w:start w:val="1"/>
      <w:numFmt w:val="lowerRoman"/>
      <w:lvlText w:val="%6."/>
      <w:lvlJc w:val="right"/>
      <w:pPr>
        <w:ind w:left="4380" w:hanging="180"/>
      </w:pPr>
    </w:lvl>
    <w:lvl w:ilvl="6" w:tplc="080A000F" w:tentative="1">
      <w:start w:val="1"/>
      <w:numFmt w:val="decimal"/>
      <w:lvlText w:val="%7."/>
      <w:lvlJc w:val="left"/>
      <w:pPr>
        <w:ind w:left="5100" w:hanging="360"/>
      </w:pPr>
    </w:lvl>
    <w:lvl w:ilvl="7" w:tplc="080A0019" w:tentative="1">
      <w:start w:val="1"/>
      <w:numFmt w:val="lowerLetter"/>
      <w:lvlText w:val="%8."/>
      <w:lvlJc w:val="left"/>
      <w:pPr>
        <w:ind w:left="5820" w:hanging="360"/>
      </w:pPr>
    </w:lvl>
    <w:lvl w:ilvl="8" w:tplc="080A001B" w:tentative="1">
      <w:start w:val="1"/>
      <w:numFmt w:val="lowerRoman"/>
      <w:lvlText w:val="%9."/>
      <w:lvlJc w:val="right"/>
      <w:pPr>
        <w:ind w:left="6540" w:hanging="180"/>
      </w:pPr>
    </w:lvl>
  </w:abstractNum>
  <w:abstractNum w:abstractNumId="3" w15:restartNumberingAfterBreak="0">
    <w:nsid w:val="130B35E5"/>
    <w:multiLevelType w:val="hybridMultilevel"/>
    <w:tmpl w:val="FA1C94F8"/>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7EE3ADF"/>
    <w:multiLevelType w:val="hybridMultilevel"/>
    <w:tmpl w:val="5338E82A"/>
    <w:lvl w:ilvl="0" w:tplc="080A0013">
      <w:start w:val="1"/>
      <w:numFmt w:val="upperRoman"/>
      <w:lvlText w:val="%1."/>
      <w:lvlJc w:val="righ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5" w15:restartNumberingAfterBreak="0">
    <w:nsid w:val="3EB84AD0"/>
    <w:multiLevelType w:val="hybridMultilevel"/>
    <w:tmpl w:val="83720E24"/>
    <w:lvl w:ilvl="0" w:tplc="0C0A000B">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6" w15:restartNumberingAfterBreak="0">
    <w:nsid w:val="429938AF"/>
    <w:multiLevelType w:val="hybridMultilevel"/>
    <w:tmpl w:val="DDF24B12"/>
    <w:lvl w:ilvl="0" w:tplc="080A000B">
      <w:start w:val="1"/>
      <w:numFmt w:val="bullet"/>
      <w:lvlText w:val=""/>
      <w:lvlJc w:val="left"/>
      <w:pPr>
        <w:ind w:left="780" w:hanging="360"/>
      </w:pPr>
      <w:rPr>
        <w:rFonts w:ascii="Wingdings" w:hAnsi="Wingdings" w:hint="default"/>
      </w:rPr>
    </w:lvl>
    <w:lvl w:ilvl="1" w:tplc="080A0003" w:tentative="1">
      <w:start w:val="1"/>
      <w:numFmt w:val="bullet"/>
      <w:lvlText w:val="o"/>
      <w:lvlJc w:val="left"/>
      <w:pPr>
        <w:ind w:left="1500" w:hanging="360"/>
      </w:pPr>
      <w:rPr>
        <w:rFonts w:ascii="Courier New" w:hAnsi="Courier New" w:cs="Courier New" w:hint="default"/>
      </w:rPr>
    </w:lvl>
    <w:lvl w:ilvl="2" w:tplc="080A0005" w:tentative="1">
      <w:start w:val="1"/>
      <w:numFmt w:val="bullet"/>
      <w:lvlText w:val=""/>
      <w:lvlJc w:val="left"/>
      <w:pPr>
        <w:ind w:left="2220" w:hanging="360"/>
      </w:pPr>
      <w:rPr>
        <w:rFonts w:ascii="Wingdings" w:hAnsi="Wingdings" w:hint="default"/>
      </w:rPr>
    </w:lvl>
    <w:lvl w:ilvl="3" w:tplc="080A0001" w:tentative="1">
      <w:start w:val="1"/>
      <w:numFmt w:val="bullet"/>
      <w:lvlText w:val=""/>
      <w:lvlJc w:val="left"/>
      <w:pPr>
        <w:ind w:left="2940" w:hanging="360"/>
      </w:pPr>
      <w:rPr>
        <w:rFonts w:ascii="Symbol" w:hAnsi="Symbol" w:hint="default"/>
      </w:rPr>
    </w:lvl>
    <w:lvl w:ilvl="4" w:tplc="080A0003" w:tentative="1">
      <w:start w:val="1"/>
      <w:numFmt w:val="bullet"/>
      <w:lvlText w:val="o"/>
      <w:lvlJc w:val="left"/>
      <w:pPr>
        <w:ind w:left="3660" w:hanging="360"/>
      </w:pPr>
      <w:rPr>
        <w:rFonts w:ascii="Courier New" w:hAnsi="Courier New" w:cs="Courier New" w:hint="default"/>
      </w:rPr>
    </w:lvl>
    <w:lvl w:ilvl="5" w:tplc="080A0005" w:tentative="1">
      <w:start w:val="1"/>
      <w:numFmt w:val="bullet"/>
      <w:lvlText w:val=""/>
      <w:lvlJc w:val="left"/>
      <w:pPr>
        <w:ind w:left="4380" w:hanging="360"/>
      </w:pPr>
      <w:rPr>
        <w:rFonts w:ascii="Wingdings" w:hAnsi="Wingdings" w:hint="default"/>
      </w:rPr>
    </w:lvl>
    <w:lvl w:ilvl="6" w:tplc="080A0001" w:tentative="1">
      <w:start w:val="1"/>
      <w:numFmt w:val="bullet"/>
      <w:lvlText w:val=""/>
      <w:lvlJc w:val="left"/>
      <w:pPr>
        <w:ind w:left="5100" w:hanging="360"/>
      </w:pPr>
      <w:rPr>
        <w:rFonts w:ascii="Symbol" w:hAnsi="Symbol" w:hint="default"/>
      </w:rPr>
    </w:lvl>
    <w:lvl w:ilvl="7" w:tplc="080A0003" w:tentative="1">
      <w:start w:val="1"/>
      <w:numFmt w:val="bullet"/>
      <w:lvlText w:val="o"/>
      <w:lvlJc w:val="left"/>
      <w:pPr>
        <w:ind w:left="5820" w:hanging="360"/>
      </w:pPr>
      <w:rPr>
        <w:rFonts w:ascii="Courier New" w:hAnsi="Courier New" w:cs="Courier New" w:hint="default"/>
      </w:rPr>
    </w:lvl>
    <w:lvl w:ilvl="8" w:tplc="080A0005" w:tentative="1">
      <w:start w:val="1"/>
      <w:numFmt w:val="bullet"/>
      <w:lvlText w:val=""/>
      <w:lvlJc w:val="left"/>
      <w:pPr>
        <w:ind w:left="6540" w:hanging="360"/>
      </w:pPr>
      <w:rPr>
        <w:rFonts w:ascii="Wingdings" w:hAnsi="Wingdings" w:hint="default"/>
      </w:rPr>
    </w:lvl>
  </w:abstractNum>
  <w:abstractNum w:abstractNumId="7" w15:restartNumberingAfterBreak="0">
    <w:nsid w:val="47560173"/>
    <w:multiLevelType w:val="hybridMultilevel"/>
    <w:tmpl w:val="72909124"/>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53A06D62"/>
    <w:multiLevelType w:val="hybridMultilevel"/>
    <w:tmpl w:val="375C45A2"/>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561A7898"/>
    <w:multiLevelType w:val="hybridMultilevel"/>
    <w:tmpl w:val="77A6B5E8"/>
    <w:lvl w:ilvl="0" w:tplc="0C0A000B">
      <w:start w:val="1"/>
      <w:numFmt w:val="bullet"/>
      <w:lvlText w:val=""/>
      <w:lvlJc w:val="left"/>
      <w:pPr>
        <w:ind w:left="717" w:hanging="360"/>
      </w:pPr>
      <w:rPr>
        <w:rFonts w:ascii="Wingdings" w:hAnsi="Wingdings" w:hint="default"/>
      </w:rPr>
    </w:lvl>
    <w:lvl w:ilvl="1" w:tplc="0C0A0003" w:tentative="1">
      <w:start w:val="1"/>
      <w:numFmt w:val="bullet"/>
      <w:lvlText w:val="o"/>
      <w:lvlJc w:val="left"/>
      <w:pPr>
        <w:ind w:left="1437" w:hanging="360"/>
      </w:pPr>
      <w:rPr>
        <w:rFonts w:ascii="Courier New" w:hAnsi="Courier New" w:cs="Courier New" w:hint="default"/>
      </w:rPr>
    </w:lvl>
    <w:lvl w:ilvl="2" w:tplc="0C0A0005" w:tentative="1">
      <w:start w:val="1"/>
      <w:numFmt w:val="bullet"/>
      <w:lvlText w:val=""/>
      <w:lvlJc w:val="left"/>
      <w:pPr>
        <w:ind w:left="2157" w:hanging="360"/>
      </w:pPr>
      <w:rPr>
        <w:rFonts w:ascii="Wingdings" w:hAnsi="Wingdings" w:hint="default"/>
      </w:rPr>
    </w:lvl>
    <w:lvl w:ilvl="3" w:tplc="0C0A0001" w:tentative="1">
      <w:start w:val="1"/>
      <w:numFmt w:val="bullet"/>
      <w:lvlText w:val=""/>
      <w:lvlJc w:val="left"/>
      <w:pPr>
        <w:ind w:left="2877" w:hanging="360"/>
      </w:pPr>
      <w:rPr>
        <w:rFonts w:ascii="Symbol" w:hAnsi="Symbol" w:hint="default"/>
      </w:rPr>
    </w:lvl>
    <w:lvl w:ilvl="4" w:tplc="0C0A0003" w:tentative="1">
      <w:start w:val="1"/>
      <w:numFmt w:val="bullet"/>
      <w:lvlText w:val="o"/>
      <w:lvlJc w:val="left"/>
      <w:pPr>
        <w:ind w:left="3597" w:hanging="360"/>
      </w:pPr>
      <w:rPr>
        <w:rFonts w:ascii="Courier New" w:hAnsi="Courier New" w:cs="Courier New" w:hint="default"/>
      </w:rPr>
    </w:lvl>
    <w:lvl w:ilvl="5" w:tplc="0C0A0005" w:tentative="1">
      <w:start w:val="1"/>
      <w:numFmt w:val="bullet"/>
      <w:lvlText w:val=""/>
      <w:lvlJc w:val="left"/>
      <w:pPr>
        <w:ind w:left="4317" w:hanging="360"/>
      </w:pPr>
      <w:rPr>
        <w:rFonts w:ascii="Wingdings" w:hAnsi="Wingdings" w:hint="default"/>
      </w:rPr>
    </w:lvl>
    <w:lvl w:ilvl="6" w:tplc="0C0A0001" w:tentative="1">
      <w:start w:val="1"/>
      <w:numFmt w:val="bullet"/>
      <w:lvlText w:val=""/>
      <w:lvlJc w:val="left"/>
      <w:pPr>
        <w:ind w:left="5037" w:hanging="360"/>
      </w:pPr>
      <w:rPr>
        <w:rFonts w:ascii="Symbol" w:hAnsi="Symbol" w:hint="default"/>
      </w:rPr>
    </w:lvl>
    <w:lvl w:ilvl="7" w:tplc="0C0A0003" w:tentative="1">
      <w:start w:val="1"/>
      <w:numFmt w:val="bullet"/>
      <w:lvlText w:val="o"/>
      <w:lvlJc w:val="left"/>
      <w:pPr>
        <w:ind w:left="5757" w:hanging="360"/>
      </w:pPr>
      <w:rPr>
        <w:rFonts w:ascii="Courier New" w:hAnsi="Courier New" w:cs="Courier New" w:hint="default"/>
      </w:rPr>
    </w:lvl>
    <w:lvl w:ilvl="8" w:tplc="0C0A0005" w:tentative="1">
      <w:start w:val="1"/>
      <w:numFmt w:val="bullet"/>
      <w:lvlText w:val=""/>
      <w:lvlJc w:val="left"/>
      <w:pPr>
        <w:ind w:left="6477" w:hanging="360"/>
      </w:pPr>
      <w:rPr>
        <w:rFonts w:ascii="Wingdings" w:hAnsi="Wingdings" w:hint="default"/>
      </w:rPr>
    </w:lvl>
  </w:abstractNum>
  <w:abstractNum w:abstractNumId="10" w15:restartNumberingAfterBreak="0">
    <w:nsid w:val="64CC35D8"/>
    <w:multiLevelType w:val="multilevel"/>
    <w:tmpl w:val="DAD82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0757D19"/>
    <w:multiLevelType w:val="hybridMultilevel"/>
    <w:tmpl w:val="192647A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73AD09AA"/>
    <w:multiLevelType w:val="hybridMultilevel"/>
    <w:tmpl w:val="DDDE1A40"/>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5"/>
  </w:num>
  <w:num w:numId="2">
    <w:abstractNumId w:val="9"/>
  </w:num>
  <w:num w:numId="3">
    <w:abstractNumId w:val="10"/>
  </w:num>
  <w:num w:numId="4">
    <w:abstractNumId w:val="6"/>
  </w:num>
  <w:num w:numId="5">
    <w:abstractNumId w:val="7"/>
  </w:num>
  <w:num w:numId="6">
    <w:abstractNumId w:val="3"/>
  </w:num>
  <w:num w:numId="7">
    <w:abstractNumId w:val="0"/>
  </w:num>
  <w:num w:numId="8">
    <w:abstractNumId w:val="12"/>
  </w:num>
  <w:num w:numId="9">
    <w:abstractNumId w:val="11"/>
  </w:num>
  <w:num w:numId="10">
    <w:abstractNumId w:val="1"/>
  </w:num>
  <w:num w:numId="11">
    <w:abstractNumId w:val="4"/>
  </w:num>
  <w:num w:numId="12">
    <w:abstractNumId w:val="2"/>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o:colormru v:ext="edit" colors="#d8b088,silver,#5a5434,#aca270,#960,#ffc34b,#963,#c96"/>
    </o:shapedefaults>
  </w:hdrShapeDefaults>
  <w:footnotePr>
    <w:footnote w:id="-1"/>
    <w:footnote w:id="0"/>
  </w:footnotePr>
  <w:endnotePr>
    <w:endnote w:id="-1"/>
    <w:endnote w:id="0"/>
  </w:endnotePr>
  <w:compat>
    <w:compatSetting w:name="compatibilityMode" w:uri="http://schemas.microsoft.com/office/word" w:val="12"/>
  </w:compat>
  <w:rsids>
    <w:rsidRoot w:val="0089183D"/>
    <w:rsid w:val="00001C50"/>
    <w:rsid w:val="00003CC0"/>
    <w:rsid w:val="000053E6"/>
    <w:rsid w:val="000066F6"/>
    <w:rsid w:val="00006F50"/>
    <w:rsid w:val="000073B4"/>
    <w:rsid w:val="00010E8C"/>
    <w:rsid w:val="000207FA"/>
    <w:rsid w:val="00022DB0"/>
    <w:rsid w:val="0002375A"/>
    <w:rsid w:val="0002486E"/>
    <w:rsid w:val="000254C7"/>
    <w:rsid w:val="00031955"/>
    <w:rsid w:val="00034F4B"/>
    <w:rsid w:val="00036AED"/>
    <w:rsid w:val="000370F9"/>
    <w:rsid w:val="00037FAB"/>
    <w:rsid w:val="000477AA"/>
    <w:rsid w:val="00052C7F"/>
    <w:rsid w:val="00056D97"/>
    <w:rsid w:val="00057ACA"/>
    <w:rsid w:val="00060BF5"/>
    <w:rsid w:val="00061141"/>
    <w:rsid w:val="00061D52"/>
    <w:rsid w:val="00064F94"/>
    <w:rsid w:val="00065258"/>
    <w:rsid w:val="000652A9"/>
    <w:rsid w:val="000673BE"/>
    <w:rsid w:val="00071158"/>
    <w:rsid w:val="00072C3D"/>
    <w:rsid w:val="000777F6"/>
    <w:rsid w:val="000826CC"/>
    <w:rsid w:val="00083B5A"/>
    <w:rsid w:val="000845B9"/>
    <w:rsid w:val="00084DED"/>
    <w:rsid w:val="00087836"/>
    <w:rsid w:val="00090F2E"/>
    <w:rsid w:val="000926ED"/>
    <w:rsid w:val="0009276F"/>
    <w:rsid w:val="00092855"/>
    <w:rsid w:val="0009504B"/>
    <w:rsid w:val="00095F82"/>
    <w:rsid w:val="000A21C8"/>
    <w:rsid w:val="000A387C"/>
    <w:rsid w:val="000B4239"/>
    <w:rsid w:val="000B48FB"/>
    <w:rsid w:val="000C0888"/>
    <w:rsid w:val="000C09C9"/>
    <w:rsid w:val="000C32C6"/>
    <w:rsid w:val="000C4168"/>
    <w:rsid w:val="000C4732"/>
    <w:rsid w:val="000C4EA0"/>
    <w:rsid w:val="000C55D5"/>
    <w:rsid w:val="000C5A14"/>
    <w:rsid w:val="000D0409"/>
    <w:rsid w:val="000D17CB"/>
    <w:rsid w:val="000D508E"/>
    <w:rsid w:val="000E5F19"/>
    <w:rsid w:val="000F5C0F"/>
    <w:rsid w:val="00101D69"/>
    <w:rsid w:val="00102C6E"/>
    <w:rsid w:val="00106754"/>
    <w:rsid w:val="00111426"/>
    <w:rsid w:val="00112096"/>
    <w:rsid w:val="00114F5D"/>
    <w:rsid w:val="00121A75"/>
    <w:rsid w:val="00122B15"/>
    <w:rsid w:val="00123D24"/>
    <w:rsid w:val="001356CD"/>
    <w:rsid w:val="0014161E"/>
    <w:rsid w:val="00143884"/>
    <w:rsid w:val="00143BB4"/>
    <w:rsid w:val="00145C6E"/>
    <w:rsid w:val="00147CC8"/>
    <w:rsid w:val="001529F1"/>
    <w:rsid w:val="00152B6F"/>
    <w:rsid w:val="00152C55"/>
    <w:rsid w:val="001540B4"/>
    <w:rsid w:val="00155218"/>
    <w:rsid w:val="00163DEE"/>
    <w:rsid w:val="00165814"/>
    <w:rsid w:val="00170143"/>
    <w:rsid w:val="00173CFA"/>
    <w:rsid w:val="00174E66"/>
    <w:rsid w:val="00176C87"/>
    <w:rsid w:val="00176E9C"/>
    <w:rsid w:val="001806AF"/>
    <w:rsid w:val="00180DEB"/>
    <w:rsid w:val="00181D16"/>
    <w:rsid w:val="00182FF3"/>
    <w:rsid w:val="00183676"/>
    <w:rsid w:val="00185951"/>
    <w:rsid w:val="0019306B"/>
    <w:rsid w:val="00195E1A"/>
    <w:rsid w:val="001A1552"/>
    <w:rsid w:val="001A1A9C"/>
    <w:rsid w:val="001A238A"/>
    <w:rsid w:val="001A2C55"/>
    <w:rsid w:val="001A30EC"/>
    <w:rsid w:val="001A476B"/>
    <w:rsid w:val="001B082F"/>
    <w:rsid w:val="001B16EA"/>
    <w:rsid w:val="001B7F25"/>
    <w:rsid w:val="001C3866"/>
    <w:rsid w:val="001C5E68"/>
    <w:rsid w:val="001C6570"/>
    <w:rsid w:val="001D0189"/>
    <w:rsid w:val="001D04E8"/>
    <w:rsid w:val="001D0E03"/>
    <w:rsid w:val="001D448A"/>
    <w:rsid w:val="001D4586"/>
    <w:rsid w:val="001D4D15"/>
    <w:rsid w:val="001D5A92"/>
    <w:rsid w:val="001D78A2"/>
    <w:rsid w:val="001D7BDE"/>
    <w:rsid w:val="001E2369"/>
    <w:rsid w:val="001E54FE"/>
    <w:rsid w:val="001F1A6C"/>
    <w:rsid w:val="001F3331"/>
    <w:rsid w:val="001F4927"/>
    <w:rsid w:val="001F573E"/>
    <w:rsid w:val="001F5B39"/>
    <w:rsid w:val="001F60E2"/>
    <w:rsid w:val="00202713"/>
    <w:rsid w:val="00204262"/>
    <w:rsid w:val="002056F6"/>
    <w:rsid w:val="00207F01"/>
    <w:rsid w:val="002121F5"/>
    <w:rsid w:val="00215A83"/>
    <w:rsid w:val="0021771A"/>
    <w:rsid w:val="002209B3"/>
    <w:rsid w:val="00220F6A"/>
    <w:rsid w:val="00221DCE"/>
    <w:rsid w:val="00224EEF"/>
    <w:rsid w:val="0022559B"/>
    <w:rsid w:val="00227776"/>
    <w:rsid w:val="002304E8"/>
    <w:rsid w:val="0023297C"/>
    <w:rsid w:val="0023713E"/>
    <w:rsid w:val="002411A1"/>
    <w:rsid w:val="0024383A"/>
    <w:rsid w:val="002457B2"/>
    <w:rsid w:val="002467E3"/>
    <w:rsid w:val="0025278D"/>
    <w:rsid w:val="002529E8"/>
    <w:rsid w:val="002564A9"/>
    <w:rsid w:val="00260C23"/>
    <w:rsid w:val="002619FC"/>
    <w:rsid w:val="00261DAE"/>
    <w:rsid w:val="002639CF"/>
    <w:rsid w:val="00265D21"/>
    <w:rsid w:val="00270EFE"/>
    <w:rsid w:val="00271E9F"/>
    <w:rsid w:val="00271EB9"/>
    <w:rsid w:val="00274DE3"/>
    <w:rsid w:val="0027786D"/>
    <w:rsid w:val="00284A63"/>
    <w:rsid w:val="002863AA"/>
    <w:rsid w:val="00290DA0"/>
    <w:rsid w:val="002920C9"/>
    <w:rsid w:val="00292189"/>
    <w:rsid w:val="002935AD"/>
    <w:rsid w:val="00293E9B"/>
    <w:rsid w:val="00295651"/>
    <w:rsid w:val="00296F7C"/>
    <w:rsid w:val="002A1465"/>
    <w:rsid w:val="002A21E2"/>
    <w:rsid w:val="002B3768"/>
    <w:rsid w:val="002C2754"/>
    <w:rsid w:val="002C5C4C"/>
    <w:rsid w:val="002C73F6"/>
    <w:rsid w:val="002C759A"/>
    <w:rsid w:val="002D0B34"/>
    <w:rsid w:val="002D1EDB"/>
    <w:rsid w:val="002D56E8"/>
    <w:rsid w:val="002D6871"/>
    <w:rsid w:val="002D6C8D"/>
    <w:rsid w:val="002E68AD"/>
    <w:rsid w:val="002F0C06"/>
    <w:rsid w:val="002F5D35"/>
    <w:rsid w:val="002F7C8B"/>
    <w:rsid w:val="003018CA"/>
    <w:rsid w:val="00302F6E"/>
    <w:rsid w:val="003035FA"/>
    <w:rsid w:val="00305225"/>
    <w:rsid w:val="00306C33"/>
    <w:rsid w:val="0031013A"/>
    <w:rsid w:val="003109B9"/>
    <w:rsid w:val="00310D8D"/>
    <w:rsid w:val="0031126D"/>
    <w:rsid w:val="003116E6"/>
    <w:rsid w:val="003150CA"/>
    <w:rsid w:val="00315348"/>
    <w:rsid w:val="00315A1D"/>
    <w:rsid w:val="0032468B"/>
    <w:rsid w:val="00326F7D"/>
    <w:rsid w:val="003317C8"/>
    <w:rsid w:val="00332D4D"/>
    <w:rsid w:val="0034547F"/>
    <w:rsid w:val="00347007"/>
    <w:rsid w:val="0035238F"/>
    <w:rsid w:val="00356C3F"/>
    <w:rsid w:val="00366DA7"/>
    <w:rsid w:val="003758DE"/>
    <w:rsid w:val="00387347"/>
    <w:rsid w:val="003907F0"/>
    <w:rsid w:val="00394BED"/>
    <w:rsid w:val="00395538"/>
    <w:rsid w:val="0039590E"/>
    <w:rsid w:val="003A04DB"/>
    <w:rsid w:val="003A18B1"/>
    <w:rsid w:val="003A52C4"/>
    <w:rsid w:val="003A5C73"/>
    <w:rsid w:val="003B00B7"/>
    <w:rsid w:val="003B1FC0"/>
    <w:rsid w:val="003B2762"/>
    <w:rsid w:val="003B52A5"/>
    <w:rsid w:val="003B561B"/>
    <w:rsid w:val="003B57FA"/>
    <w:rsid w:val="003B6A18"/>
    <w:rsid w:val="003B6C45"/>
    <w:rsid w:val="003C0426"/>
    <w:rsid w:val="003C31C9"/>
    <w:rsid w:val="003C5571"/>
    <w:rsid w:val="003D0D1C"/>
    <w:rsid w:val="003D6256"/>
    <w:rsid w:val="003D6F6C"/>
    <w:rsid w:val="003D7CEF"/>
    <w:rsid w:val="003E02A8"/>
    <w:rsid w:val="003E2831"/>
    <w:rsid w:val="003E447A"/>
    <w:rsid w:val="003E74E4"/>
    <w:rsid w:val="003F10ED"/>
    <w:rsid w:val="003F35A7"/>
    <w:rsid w:val="003F460D"/>
    <w:rsid w:val="003F70E3"/>
    <w:rsid w:val="00400F6A"/>
    <w:rsid w:val="004068EB"/>
    <w:rsid w:val="00407D1E"/>
    <w:rsid w:val="00415949"/>
    <w:rsid w:val="0041689C"/>
    <w:rsid w:val="0041774B"/>
    <w:rsid w:val="00420B6A"/>
    <w:rsid w:val="0042138D"/>
    <w:rsid w:val="00422485"/>
    <w:rsid w:val="00422861"/>
    <w:rsid w:val="004228F4"/>
    <w:rsid w:val="00423319"/>
    <w:rsid w:val="00432727"/>
    <w:rsid w:val="0043472E"/>
    <w:rsid w:val="00436485"/>
    <w:rsid w:val="00437792"/>
    <w:rsid w:val="00442D64"/>
    <w:rsid w:val="0044306C"/>
    <w:rsid w:val="004449F1"/>
    <w:rsid w:val="00444A9F"/>
    <w:rsid w:val="00445C4D"/>
    <w:rsid w:val="0045301C"/>
    <w:rsid w:val="00464BB0"/>
    <w:rsid w:val="00464D60"/>
    <w:rsid w:val="00466193"/>
    <w:rsid w:val="0046787E"/>
    <w:rsid w:val="00471287"/>
    <w:rsid w:val="00472C79"/>
    <w:rsid w:val="004767F4"/>
    <w:rsid w:val="00480E1E"/>
    <w:rsid w:val="00482F96"/>
    <w:rsid w:val="00484EB9"/>
    <w:rsid w:val="00485A9B"/>
    <w:rsid w:val="00490CAB"/>
    <w:rsid w:val="00497A3B"/>
    <w:rsid w:val="004A0692"/>
    <w:rsid w:val="004A0E82"/>
    <w:rsid w:val="004A19E3"/>
    <w:rsid w:val="004A37AF"/>
    <w:rsid w:val="004A3D67"/>
    <w:rsid w:val="004A4533"/>
    <w:rsid w:val="004A717A"/>
    <w:rsid w:val="004B036E"/>
    <w:rsid w:val="004B23E2"/>
    <w:rsid w:val="004B5976"/>
    <w:rsid w:val="004C1B60"/>
    <w:rsid w:val="004C2A95"/>
    <w:rsid w:val="004C56DD"/>
    <w:rsid w:val="004D2E5D"/>
    <w:rsid w:val="004D56F7"/>
    <w:rsid w:val="004D7471"/>
    <w:rsid w:val="004E04E1"/>
    <w:rsid w:val="004E4E78"/>
    <w:rsid w:val="004F0CC3"/>
    <w:rsid w:val="004F25A5"/>
    <w:rsid w:val="004F2984"/>
    <w:rsid w:val="004F378A"/>
    <w:rsid w:val="004F4B7B"/>
    <w:rsid w:val="004F6A53"/>
    <w:rsid w:val="004F6BA4"/>
    <w:rsid w:val="005001AA"/>
    <w:rsid w:val="005006D7"/>
    <w:rsid w:val="00504ECD"/>
    <w:rsid w:val="00507FDF"/>
    <w:rsid w:val="005162AB"/>
    <w:rsid w:val="00517D1E"/>
    <w:rsid w:val="00521E1D"/>
    <w:rsid w:val="00521F21"/>
    <w:rsid w:val="005225FF"/>
    <w:rsid w:val="00525696"/>
    <w:rsid w:val="00525850"/>
    <w:rsid w:val="00530548"/>
    <w:rsid w:val="00530610"/>
    <w:rsid w:val="00531082"/>
    <w:rsid w:val="00533808"/>
    <w:rsid w:val="00542F61"/>
    <w:rsid w:val="00542FAF"/>
    <w:rsid w:val="00550713"/>
    <w:rsid w:val="00552674"/>
    <w:rsid w:val="00552862"/>
    <w:rsid w:val="005552AB"/>
    <w:rsid w:val="00556466"/>
    <w:rsid w:val="00556DB1"/>
    <w:rsid w:val="00564B63"/>
    <w:rsid w:val="005662B8"/>
    <w:rsid w:val="00566B4D"/>
    <w:rsid w:val="00570165"/>
    <w:rsid w:val="0057080C"/>
    <w:rsid w:val="0057333B"/>
    <w:rsid w:val="00576564"/>
    <w:rsid w:val="00590165"/>
    <w:rsid w:val="00592ADE"/>
    <w:rsid w:val="0059400E"/>
    <w:rsid w:val="00595E35"/>
    <w:rsid w:val="00597F42"/>
    <w:rsid w:val="005A056E"/>
    <w:rsid w:val="005A0C57"/>
    <w:rsid w:val="005A5963"/>
    <w:rsid w:val="005B3225"/>
    <w:rsid w:val="005C0516"/>
    <w:rsid w:val="005C75F2"/>
    <w:rsid w:val="005D61FA"/>
    <w:rsid w:val="005D67A6"/>
    <w:rsid w:val="005E0239"/>
    <w:rsid w:val="005E0754"/>
    <w:rsid w:val="005E0A7E"/>
    <w:rsid w:val="005E1004"/>
    <w:rsid w:val="005E1ECF"/>
    <w:rsid w:val="005E1F77"/>
    <w:rsid w:val="005E2E75"/>
    <w:rsid w:val="005E3351"/>
    <w:rsid w:val="005E6497"/>
    <w:rsid w:val="005F0F3C"/>
    <w:rsid w:val="005F2D60"/>
    <w:rsid w:val="005F4174"/>
    <w:rsid w:val="005F4AF1"/>
    <w:rsid w:val="005F5190"/>
    <w:rsid w:val="005F5BEA"/>
    <w:rsid w:val="00605DB6"/>
    <w:rsid w:val="00607CE1"/>
    <w:rsid w:val="00610A1B"/>
    <w:rsid w:val="00612773"/>
    <w:rsid w:val="006136B8"/>
    <w:rsid w:val="00615207"/>
    <w:rsid w:val="00616203"/>
    <w:rsid w:val="00624EF1"/>
    <w:rsid w:val="00627C98"/>
    <w:rsid w:val="00633C30"/>
    <w:rsid w:val="00634AB2"/>
    <w:rsid w:val="006453FA"/>
    <w:rsid w:val="006454CE"/>
    <w:rsid w:val="00646604"/>
    <w:rsid w:val="00654DCE"/>
    <w:rsid w:val="0065549C"/>
    <w:rsid w:val="00656313"/>
    <w:rsid w:val="0065670A"/>
    <w:rsid w:val="00657362"/>
    <w:rsid w:val="00660724"/>
    <w:rsid w:val="00662990"/>
    <w:rsid w:val="0067472B"/>
    <w:rsid w:val="006751C4"/>
    <w:rsid w:val="006769B1"/>
    <w:rsid w:val="00683460"/>
    <w:rsid w:val="00683DA0"/>
    <w:rsid w:val="006847A1"/>
    <w:rsid w:val="00686B13"/>
    <w:rsid w:val="00691306"/>
    <w:rsid w:val="0069211B"/>
    <w:rsid w:val="00696961"/>
    <w:rsid w:val="006A27DD"/>
    <w:rsid w:val="006B2674"/>
    <w:rsid w:val="006B3141"/>
    <w:rsid w:val="006B666D"/>
    <w:rsid w:val="006B6E3C"/>
    <w:rsid w:val="006B7624"/>
    <w:rsid w:val="006C0924"/>
    <w:rsid w:val="006C16CA"/>
    <w:rsid w:val="006C2875"/>
    <w:rsid w:val="006C4D0A"/>
    <w:rsid w:val="006C70ED"/>
    <w:rsid w:val="006C721F"/>
    <w:rsid w:val="006D0466"/>
    <w:rsid w:val="006D0968"/>
    <w:rsid w:val="006D1237"/>
    <w:rsid w:val="006E01B9"/>
    <w:rsid w:val="006E10B9"/>
    <w:rsid w:val="006E6C26"/>
    <w:rsid w:val="006F0C36"/>
    <w:rsid w:val="006F35F9"/>
    <w:rsid w:val="006F69B5"/>
    <w:rsid w:val="00700A6C"/>
    <w:rsid w:val="00702451"/>
    <w:rsid w:val="00702707"/>
    <w:rsid w:val="00704EF9"/>
    <w:rsid w:val="007064DF"/>
    <w:rsid w:val="00706790"/>
    <w:rsid w:val="0071110A"/>
    <w:rsid w:val="0071116B"/>
    <w:rsid w:val="00712543"/>
    <w:rsid w:val="007140F1"/>
    <w:rsid w:val="00714DBE"/>
    <w:rsid w:val="00715110"/>
    <w:rsid w:val="00722701"/>
    <w:rsid w:val="0072546C"/>
    <w:rsid w:val="007255E2"/>
    <w:rsid w:val="00727B3E"/>
    <w:rsid w:val="00730394"/>
    <w:rsid w:val="00730C4D"/>
    <w:rsid w:val="00737BB6"/>
    <w:rsid w:val="00740F6C"/>
    <w:rsid w:val="007473E5"/>
    <w:rsid w:val="00750D8D"/>
    <w:rsid w:val="0075265C"/>
    <w:rsid w:val="00752DAD"/>
    <w:rsid w:val="00760F42"/>
    <w:rsid w:val="007614D7"/>
    <w:rsid w:val="00761EC4"/>
    <w:rsid w:val="00762D9F"/>
    <w:rsid w:val="00763FD4"/>
    <w:rsid w:val="007644CF"/>
    <w:rsid w:val="00765C7C"/>
    <w:rsid w:val="00765CAF"/>
    <w:rsid w:val="00774202"/>
    <w:rsid w:val="00775972"/>
    <w:rsid w:val="00775F89"/>
    <w:rsid w:val="00777AA9"/>
    <w:rsid w:val="007869AD"/>
    <w:rsid w:val="00787A30"/>
    <w:rsid w:val="007941A6"/>
    <w:rsid w:val="00795B04"/>
    <w:rsid w:val="00796E9A"/>
    <w:rsid w:val="00797474"/>
    <w:rsid w:val="007A3958"/>
    <w:rsid w:val="007A64AD"/>
    <w:rsid w:val="007B1129"/>
    <w:rsid w:val="007B3A8B"/>
    <w:rsid w:val="007B593C"/>
    <w:rsid w:val="007C09B6"/>
    <w:rsid w:val="007C66E1"/>
    <w:rsid w:val="007D027A"/>
    <w:rsid w:val="007D651A"/>
    <w:rsid w:val="007D7362"/>
    <w:rsid w:val="007E1F57"/>
    <w:rsid w:val="007E59E6"/>
    <w:rsid w:val="007E7266"/>
    <w:rsid w:val="007F132F"/>
    <w:rsid w:val="008058DB"/>
    <w:rsid w:val="0080796A"/>
    <w:rsid w:val="00812143"/>
    <w:rsid w:val="00813B6C"/>
    <w:rsid w:val="00817C77"/>
    <w:rsid w:val="0082260B"/>
    <w:rsid w:val="00822BF9"/>
    <w:rsid w:val="00823D7D"/>
    <w:rsid w:val="00826D39"/>
    <w:rsid w:val="00830885"/>
    <w:rsid w:val="00832318"/>
    <w:rsid w:val="00832ED7"/>
    <w:rsid w:val="008356B5"/>
    <w:rsid w:val="00837F11"/>
    <w:rsid w:val="00840CB9"/>
    <w:rsid w:val="008444A0"/>
    <w:rsid w:val="008460E9"/>
    <w:rsid w:val="00847D4B"/>
    <w:rsid w:val="00852973"/>
    <w:rsid w:val="00853777"/>
    <w:rsid w:val="00853B0F"/>
    <w:rsid w:val="008549CC"/>
    <w:rsid w:val="0085697D"/>
    <w:rsid w:val="008578C8"/>
    <w:rsid w:val="00860388"/>
    <w:rsid w:val="00860D01"/>
    <w:rsid w:val="00860F6E"/>
    <w:rsid w:val="008626C1"/>
    <w:rsid w:val="00863F38"/>
    <w:rsid w:val="00865D95"/>
    <w:rsid w:val="00866891"/>
    <w:rsid w:val="008701B6"/>
    <w:rsid w:val="0087134A"/>
    <w:rsid w:val="0087211A"/>
    <w:rsid w:val="00872C33"/>
    <w:rsid w:val="008759E5"/>
    <w:rsid w:val="00877C70"/>
    <w:rsid w:val="00882AE5"/>
    <w:rsid w:val="00885417"/>
    <w:rsid w:val="0088683E"/>
    <w:rsid w:val="00887CC1"/>
    <w:rsid w:val="0089183D"/>
    <w:rsid w:val="00892888"/>
    <w:rsid w:val="0089523C"/>
    <w:rsid w:val="008970F9"/>
    <w:rsid w:val="00897BB0"/>
    <w:rsid w:val="008A02C5"/>
    <w:rsid w:val="008A05A9"/>
    <w:rsid w:val="008A1222"/>
    <w:rsid w:val="008A4192"/>
    <w:rsid w:val="008A5A27"/>
    <w:rsid w:val="008A7BD2"/>
    <w:rsid w:val="008B041C"/>
    <w:rsid w:val="008B12CE"/>
    <w:rsid w:val="008B1F6C"/>
    <w:rsid w:val="008B3E49"/>
    <w:rsid w:val="008B501B"/>
    <w:rsid w:val="008B5291"/>
    <w:rsid w:val="008B5E80"/>
    <w:rsid w:val="008C0828"/>
    <w:rsid w:val="008C2FE6"/>
    <w:rsid w:val="008C3CEF"/>
    <w:rsid w:val="008C764D"/>
    <w:rsid w:val="008D02D6"/>
    <w:rsid w:val="008D5CCA"/>
    <w:rsid w:val="008E1EBC"/>
    <w:rsid w:val="008E51BC"/>
    <w:rsid w:val="008E7A95"/>
    <w:rsid w:val="008F01F6"/>
    <w:rsid w:val="008F0EB3"/>
    <w:rsid w:val="008F25DA"/>
    <w:rsid w:val="00900A20"/>
    <w:rsid w:val="00901523"/>
    <w:rsid w:val="00901C83"/>
    <w:rsid w:val="009053C0"/>
    <w:rsid w:val="00910DD0"/>
    <w:rsid w:val="009146AA"/>
    <w:rsid w:val="009225D8"/>
    <w:rsid w:val="00924034"/>
    <w:rsid w:val="00934092"/>
    <w:rsid w:val="009345C3"/>
    <w:rsid w:val="00941D3D"/>
    <w:rsid w:val="00942B26"/>
    <w:rsid w:val="00944FF8"/>
    <w:rsid w:val="00945485"/>
    <w:rsid w:val="0094683D"/>
    <w:rsid w:val="00946E1E"/>
    <w:rsid w:val="0094789E"/>
    <w:rsid w:val="00951D5E"/>
    <w:rsid w:val="00963A95"/>
    <w:rsid w:val="0096409E"/>
    <w:rsid w:val="009643D2"/>
    <w:rsid w:val="0096506F"/>
    <w:rsid w:val="00970F5C"/>
    <w:rsid w:val="00971169"/>
    <w:rsid w:val="00973133"/>
    <w:rsid w:val="00973E38"/>
    <w:rsid w:val="00977DEC"/>
    <w:rsid w:val="00987FA2"/>
    <w:rsid w:val="00990084"/>
    <w:rsid w:val="00991E6A"/>
    <w:rsid w:val="009926F4"/>
    <w:rsid w:val="00995E24"/>
    <w:rsid w:val="00997EBF"/>
    <w:rsid w:val="009A0CC1"/>
    <w:rsid w:val="009A25D5"/>
    <w:rsid w:val="009A2FC1"/>
    <w:rsid w:val="009A64C1"/>
    <w:rsid w:val="009B0E58"/>
    <w:rsid w:val="009B21D1"/>
    <w:rsid w:val="009B367E"/>
    <w:rsid w:val="009B409B"/>
    <w:rsid w:val="009B454C"/>
    <w:rsid w:val="009C1679"/>
    <w:rsid w:val="009C440E"/>
    <w:rsid w:val="009D424E"/>
    <w:rsid w:val="009D5271"/>
    <w:rsid w:val="009D774B"/>
    <w:rsid w:val="009E2640"/>
    <w:rsid w:val="009E41A5"/>
    <w:rsid w:val="009E6570"/>
    <w:rsid w:val="009E73B4"/>
    <w:rsid w:val="009E747C"/>
    <w:rsid w:val="009F01A3"/>
    <w:rsid w:val="009F43A4"/>
    <w:rsid w:val="009F4CFC"/>
    <w:rsid w:val="009F7836"/>
    <w:rsid w:val="00A00C2F"/>
    <w:rsid w:val="00A0225C"/>
    <w:rsid w:val="00A05952"/>
    <w:rsid w:val="00A062A2"/>
    <w:rsid w:val="00A07F44"/>
    <w:rsid w:val="00A1318D"/>
    <w:rsid w:val="00A13533"/>
    <w:rsid w:val="00A138D9"/>
    <w:rsid w:val="00A15172"/>
    <w:rsid w:val="00A16015"/>
    <w:rsid w:val="00A168A4"/>
    <w:rsid w:val="00A16C01"/>
    <w:rsid w:val="00A1757C"/>
    <w:rsid w:val="00A224F0"/>
    <w:rsid w:val="00A2290A"/>
    <w:rsid w:val="00A2322E"/>
    <w:rsid w:val="00A27933"/>
    <w:rsid w:val="00A31C11"/>
    <w:rsid w:val="00A404AA"/>
    <w:rsid w:val="00A43355"/>
    <w:rsid w:val="00A43D5B"/>
    <w:rsid w:val="00A445B3"/>
    <w:rsid w:val="00A45097"/>
    <w:rsid w:val="00A47517"/>
    <w:rsid w:val="00A522BE"/>
    <w:rsid w:val="00A539AD"/>
    <w:rsid w:val="00A60E76"/>
    <w:rsid w:val="00A6532A"/>
    <w:rsid w:val="00A669EF"/>
    <w:rsid w:val="00A67F08"/>
    <w:rsid w:val="00A71985"/>
    <w:rsid w:val="00A74455"/>
    <w:rsid w:val="00A7556E"/>
    <w:rsid w:val="00A81575"/>
    <w:rsid w:val="00A81B37"/>
    <w:rsid w:val="00A820DE"/>
    <w:rsid w:val="00A8323D"/>
    <w:rsid w:val="00A84889"/>
    <w:rsid w:val="00A85667"/>
    <w:rsid w:val="00A863AF"/>
    <w:rsid w:val="00A90559"/>
    <w:rsid w:val="00A93228"/>
    <w:rsid w:val="00A939F3"/>
    <w:rsid w:val="00A94BB1"/>
    <w:rsid w:val="00A9740C"/>
    <w:rsid w:val="00AA2374"/>
    <w:rsid w:val="00AB062C"/>
    <w:rsid w:val="00AB098D"/>
    <w:rsid w:val="00AB17E4"/>
    <w:rsid w:val="00AB230A"/>
    <w:rsid w:val="00AB3368"/>
    <w:rsid w:val="00AB39F9"/>
    <w:rsid w:val="00AB6D41"/>
    <w:rsid w:val="00AC11D8"/>
    <w:rsid w:val="00AC2C10"/>
    <w:rsid w:val="00AC2CC4"/>
    <w:rsid w:val="00AC7D20"/>
    <w:rsid w:val="00AD1F51"/>
    <w:rsid w:val="00AD754F"/>
    <w:rsid w:val="00AE1C94"/>
    <w:rsid w:val="00AE382D"/>
    <w:rsid w:val="00AE3D9E"/>
    <w:rsid w:val="00AF2764"/>
    <w:rsid w:val="00AF46A8"/>
    <w:rsid w:val="00AF5473"/>
    <w:rsid w:val="00AF5AF0"/>
    <w:rsid w:val="00AF6746"/>
    <w:rsid w:val="00B0682D"/>
    <w:rsid w:val="00B13ACE"/>
    <w:rsid w:val="00B14F34"/>
    <w:rsid w:val="00B17255"/>
    <w:rsid w:val="00B21FAB"/>
    <w:rsid w:val="00B221F4"/>
    <w:rsid w:val="00B22909"/>
    <w:rsid w:val="00B30A69"/>
    <w:rsid w:val="00B31406"/>
    <w:rsid w:val="00B32768"/>
    <w:rsid w:val="00B337D6"/>
    <w:rsid w:val="00B369A3"/>
    <w:rsid w:val="00B37256"/>
    <w:rsid w:val="00B422C1"/>
    <w:rsid w:val="00B4741D"/>
    <w:rsid w:val="00B52EE8"/>
    <w:rsid w:val="00B5511B"/>
    <w:rsid w:val="00B563CD"/>
    <w:rsid w:val="00B574FB"/>
    <w:rsid w:val="00B61B0B"/>
    <w:rsid w:val="00B739B6"/>
    <w:rsid w:val="00B7636B"/>
    <w:rsid w:val="00B838B0"/>
    <w:rsid w:val="00B84E10"/>
    <w:rsid w:val="00B85F0E"/>
    <w:rsid w:val="00B92088"/>
    <w:rsid w:val="00B923F3"/>
    <w:rsid w:val="00B92DB5"/>
    <w:rsid w:val="00B94DE4"/>
    <w:rsid w:val="00B94FEC"/>
    <w:rsid w:val="00B96802"/>
    <w:rsid w:val="00BA14F1"/>
    <w:rsid w:val="00BA3999"/>
    <w:rsid w:val="00BA3C19"/>
    <w:rsid w:val="00BA6285"/>
    <w:rsid w:val="00BA65F3"/>
    <w:rsid w:val="00BA6870"/>
    <w:rsid w:val="00BB01A2"/>
    <w:rsid w:val="00BB1286"/>
    <w:rsid w:val="00BB1A29"/>
    <w:rsid w:val="00BB5D95"/>
    <w:rsid w:val="00BB6293"/>
    <w:rsid w:val="00BC002B"/>
    <w:rsid w:val="00BC189A"/>
    <w:rsid w:val="00BC4726"/>
    <w:rsid w:val="00BC6B9B"/>
    <w:rsid w:val="00BD0200"/>
    <w:rsid w:val="00BD36C1"/>
    <w:rsid w:val="00BD380A"/>
    <w:rsid w:val="00BD3CD6"/>
    <w:rsid w:val="00BE218D"/>
    <w:rsid w:val="00BE3B46"/>
    <w:rsid w:val="00BE74F7"/>
    <w:rsid w:val="00BF3321"/>
    <w:rsid w:val="00BF3F51"/>
    <w:rsid w:val="00BF6660"/>
    <w:rsid w:val="00BF6ADB"/>
    <w:rsid w:val="00C01611"/>
    <w:rsid w:val="00C040F2"/>
    <w:rsid w:val="00C05475"/>
    <w:rsid w:val="00C0725D"/>
    <w:rsid w:val="00C11521"/>
    <w:rsid w:val="00C12352"/>
    <w:rsid w:val="00C123DA"/>
    <w:rsid w:val="00C1548D"/>
    <w:rsid w:val="00C167E7"/>
    <w:rsid w:val="00C213DA"/>
    <w:rsid w:val="00C23211"/>
    <w:rsid w:val="00C23E2A"/>
    <w:rsid w:val="00C2545E"/>
    <w:rsid w:val="00C27CCE"/>
    <w:rsid w:val="00C35189"/>
    <w:rsid w:val="00C36B01"/>
    <w:rsid w:val="00C40933"/>
    <w:rsid w:val="00C41429"/>
    <w:rsid w:val="00C41475"/>
    <w:rsid w:val="00C566E2"/>
    <w:rsid w:val="00C567C7"/>
    <w:rsid w:val="00C60BD9"/>
    <w:rsid w:val="00C622BB"/>
    <w:rsid w:val="00C627CD"/>
    <w:rsid w:val="00C67CD9"/>
    <w:rsid w:val="00C708F9"/>
    <w:rsid w:val="00C7182A"/>
    <w:rsid w:val="00C817FF"/>
    <w:rsid w:val="00C82B7A"/>
    <w:rsid w:val="00C84803"/>
    <w:rsid w:val="00C84B5F"/>
    <w:rsid w:val="00C9232D"/>
    <w:rsid w:val="00C955AB"/>
    <w:rsid w:val="00C95FD6"/>
    <w:rsid w:val="00C97490"/>
    <w:rsid w:val="00CA1283"/>
    <w:rsid w:val="00CA335F"/>
    <w:rsid w:val="00CA7009"/>
    <w:rsid w:val="00CA78AB"/>
    <w:rsid w:val="00CB2F5C"/>
    <w:rsid w:val="00CB49D1"/>
    <w:rsid w:val="00CB4C5B"/>
    <w:rsid w:val="00CB5318"/>
    <w:rsid w:val="00CB756A"/>
    <w:rsid w:val="00CC1B90"/>
    <w:rsid w:val="00CC3D48"/>
    <w:rsid w:val="00CC5B0A"/>
    <w:rsid w:val="00CC5D99"/>
    <w:rsid w:val="00CC7C5E"/>
    <w:rsid w:val="00CD00E9"/>
    <w:rsid w:val="00CD5DCC"/>
    <w:rsid w:val="00CD72D6"/>
    <w:rsid w:val="00CE0797"/>
    <w:rsid w:val="00CE1A03"/>
    <w:rsid w:val="00CE7550"/>
    <w:rsid w:val="00CF1260"/>
    <w:rsid w:val="00D00CB3"/>
    <w:rsid w:val="00D03EE6"/>
    <w:rsid w:val="00D046A3"/>
    <w:rsid w:val="00D04ECA"/>
    <w:rsid w:val="00D058BC"/>
    <w:rsid w:val="00D06204"/>
    <w:rsid w:val="00D137C4"/>
    <w:rsid w:val="00D13A70"/>
    <w:rsid w:val="00D14334"/>
    <w:rsid w:val="00D158BD"/>
    <w:rsid w:val="00D1714F"/>
    <w:rsid w:val="00D21D6D"/>
    <w:rsid w:val="00D25C19"/>
    <w:rsid w:val="00D303D3"/>
    <w:rsid w:val="00D31A2F"/>
    <w:rsid w:val="00D32717"/>
    <w:rsid w:val="00D330A0"/>
    <w:rsid w:val="00D354FF"/>
    <w:rsid w:val="00D36330"/>
    <w:rsid w:val="00D41C47"/>
    <w:rsid w:val="00D46353"/>
    <w:rsid w:val="00D5013F"/>
    <w:rsid w:val="00D57056"/>
    <w:rsid w:val="00D619A5"/>
    <w:rsid w:val="00D65E15"/>
    <w:rsid w:val="00D71AAF"/>
    <w:rsid w:val="00D72574"/>
    <w:rsid w:val="00D75710"/>
    <w:rsid w:val="00D75B6C"/>
    <w:rsid w:val="00D766DA"/>
    <w:rsid w:val="00D81A33"/>
    <w:rsid w:val="00D82828"/>
    <w:rsid w:val="00D85887"/>
    <w:rsid w:val="00D87EF1"/>
    <w:rsid w:val="00D93D18"/>
    <w:rsid w:val="00DA088E"/>
    <w:rsid w:val="00DA0A0D"/>
    <w:rsid w:val="00DA7026"/>
    <w:rsid w:val="00DA72BB"/>
    <w:rsid w:val="00DA78B2"/>
    <w:rsid w:val="00DA7A5B"/>
    <w:rsid w:val="00DB273B"/>
    <w:rsid w:val="00DB2FFF"/>
    <w:rsid w:val="00DB3969"/>
    <w:rsid w:val="00DB40BE"/>
    <w:rsid w:val="00DB67C6"/>
    <w:rsid w:val="00DB6FED"/>
    <w:rsid w:val="00DB7B28"/>
    <w:rsid w:val="00DC08CC"/>
    <w:rsid w:val="00DE0E7E"/>
    <w:rsid w:val="00DE6C91"/>
    <w:rsid w:val="00DE7F1B"/>
    <w:rsid w:val="00DF6ED3"/>
    <w:rsid w:val="00DF720B"/>
    <w:rsid w:val="00E007B3"/>
    <w:rsid w:val="00E019B6"/>
    <w:rsid w:val="00E021A3"/>
    <w:rsid w:val="00E026DB"/>
    <w:rsid w:val="00E02EDC"/>
    <w:rsid w:val="00E0625C"/>
    <w:rsid w:val="00E062F8"/>
    <w:rsid w:val="00E07A7B"/>
    <w:rsid w:val="00E07EBF"/>
    <w:rsid w:val="00E10390"/>
    <w:rsid w:val="00E10653"/>
    <w:rsid w:val="00E14E46"/>
    <w:rsid w:val="00E17AFC"/>
    <w:rsid w:val="00E17CF2"/>
    <w:rsid w:val="00E206AF"/>
    <w:rsid w:val="00E30D03"/>
    <w:rsid w:val="00E3106F"/>
    <w:rsid w:val="00E33F95"/>
    <w:rsid w:val="00E340D8"/>
    <w:rsid w:val="00E35993"/>
    <w:rsid w:val="00E525FE"/>
    <w:rsid w:val="00E52678"/>
    <w:rsid w:val="00E53E7A"/>
    <w:rsid w:val="00E55F78"/>
    <w:rsid w:val="00E56FDA"/>
    <w:rsid w:val="00E57234"/>
    <w:rsid w:val="00E62255"/>
    <w:rsid w:val="00E62531"/>
    <w:rsid w:val="00E62D9E"/>
    <w:rsid w:val="00E64ACB"/>
    <w:rsid w:val="00E67CE4"/>
    <w:rsid w:val="00E745B3"/>
    <w:rsid w:val="00E74F46"/>
    <w:rsid w:val="00E817B3"/>
    <w:rsid w:val="00E83C7C"/>
    <w:rsid w:val="00E83E62"/>
    <w:rsid w:val="00E920BE"/>
    <w:rsid w:val="00E94994"/>
    <w:rsid w:val="00E94EC3"/>
    <w:rsid w:val="00E95C8B"/>
    <w:rsid w:val="00EA2613"/>
    <w:rsid w:val="00EA2732"/>
    <w:rsid w:val="00EA5213"/>
    <w:rsid w:val="00EA5C92"/>
    <w:rsid w:val="00EA671E"/>
    <w:rsid w:val="00EB21A7"/>
    <w:rsid w:val="00EC00DF"/>
    <w:rsid w:val="00EC3FB6"/>
    <w:rsid w:val="00EC50A4"/>
    <w:rsid w:val="00ED3280"/>
    <w:rsid w:val="00ED3532"/>
    <w:rsid w:val="00ED7F71"/>
    <w:rsid w:val="00EE14C4"/>
    <w:rsid w:val="00EE361E"/>
    <w:rsid w:val="00EE4F18"/>
    <w:rsid w:val="00EE5457"/>
    <w:rsid w:val="00EE79C9"/>
    <w:rsid w:val="00EF2DFF"/>
    <w:rsid w:val="00EF5DFB"/>
    <w:rsid w:val="00EF6D3B"/>
    <w:rsid w:val="00F07001"/>
    <w:rsid w:val="00F10BDA"/>
    <w:rsid w:val="00F135E3"/>
    <w:rsid w:val="00F14CFB"/>
    <w:rsid w:val="00F1784A"/>
    <w:rsid w:val="00F2039F"/>
    <w:rsid w:val="00F22F00"/>
    <w:rsid w:val="00F25E7E"/>
    <w:rsid w:val="00F27BEF"/>
    <w:rsid w:val="00F30AEB"/>
    <w:rsid w:val="00F3232A"/>
    <w:rsid w:val="00F33ABB"/>
    <w:rsid w:val="00F33EAA"/>
    <w:rsid w:val="00F34A37"/>
    <w:rsid w:val="00F36D7F"/>
    <w:rsid w:val="00F43DE5"/>
    <w:rsid w:val="00F46608"/>
    <w:rsid w:val="00F50485"/>
    <w:rsid w:val="00F5080C"/>
    <w:rsid w:val="00F54875"/>
    <w:rsid w:val="00F5671C"/>
    <w:rsid w:val="00F636A7"/>
    <w:rsid w:val="00F639E1"/>
    <w:rsid w:val="00F66FF6"/>
    <w:rsid w:val="00F67441"/>
    <w:rsid w:val="00F7408A"/>
    <w:rsid w:val="00F74D2A"/>
    <w:rsid w:val="00F76B3A"/>
    <w:rsid w:val="00F819A1"/>
    <w:rsid w:val="00F83F80"/>
    <w:rsid w:val="00F866F1"/>
    <w:rsid w:val="00F869D1"/>
    <w:rsid w:val="00F9525E"/>
    <w:rsid w:val="00F95E60"/>
    <w:rsid w:val="00F96AA6"/>
    <w:rsid w:val="00F96EF0"/>
    <w:rsid w:val="00FA410D"/>
    <w:rsid w:val="00FA6248"/>
    <w:rsid w:val="00FB0739"/>
    <w:rsid w:val="00FB699F"/>
    <w:rsid w:val="00FB6D3D"/>
    <w:rsid w:val="00FC0FA3"/>
    <w:rsid w:val="00FC1544"/>
    <w:rsid w:val="00FC1668"/>
    <w:rsid w:val="00FC18E3"/>
    <w:rsid w:val="00FD1DC8"/>
    <w:rsid w:val="00FD3295"/>
    <w:rsid w:val="00FE0BA8"/>
    <w:rsid w:val="00FE425A"/>
    <w:rsid w:val="00FE7611"/>
    <w:rsid w:val="00FE7F48"/>
    <w:rsid w:val="00FF07FC"/>
    <w:rsid w:val="00FF41E8"/>
    <w:rsid w:val="00FF5BE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d8b088,silver,#5a5434,#aca270,#960,#ffc34b,#963,#c96"/>
    </o:shapedefaults>
    <o:shapelayout v:ext="edit">
      <o:idmap v:ext="edit" data="1"/>
    </o:shapelayout>
  </w:shapeDefaults>
  <w:decimalSymbol w:val="."/>
  <w:listSeparator w:val=","/>
  <w15:docId w15:val="{C56AB4B5-139D-4083-AB1B-430F923988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D0200"/>
  </w:style>
  <w:style w:type="paragraph" w:styleId="Ttulo1">
    <w:name w:val="heading 1"/>
    <w:basedOn w:val="Normal"/>
    <w:next w:val="Normal"/>
    <w:link w:val="Ttulo1Car"/>
    <w:uiPriority w:val="9"/>
    <w:qFormat/>
    <w:rsid w:val="008970F9"/>
    <w:pPr>
      <w:keepNext/>
      <w:keepLines/>
      <w:spacing w:before="120" w:after="120" w:line="480" w:lineRule="auto"/>
      <w:jc w:val="center"/>
      <w:outlineLvl w:val="0"/>
    </w:pPr>
    <w:rPr>
      <w:rFonts w:ascii="Arial" w:eastAsiaTheme="majorEastAsia" w:hAnsi="Arial" w:cstheme="majorBidi"/>
      <w:b/>
      <w:bCs/>
      <w:caps/>
      <w:color w:val="000000" w:themeColor="text1"/>
      <w:sz w:val="24"/>
      <w:szCs w:val="28"/>
    </w:rPr>
  </w:style>
  <w:style w:type="paragraph" w:styleId="Ttulo2">
    <w:name w:val="heading 2"/>
    <w:basedOn w:val="Normal"/>
    <w:link w:val="Ttulo2Car"/>
    <w:uiPriority w:val="9"/>
    <w:qFormat/>
    <w:rsid w:val="00B5511B"/>
    <w:pPr>
      <w:spacing w:before="100" w:beforeAutospacing="1" w:after="100" w:afterAutospacing="1" w:line="240" w:lineRule="auto"/>
      <w:outlineLvl w:val="1"/>
    </w:pPr>
    <w:rPr>
      <w:rFonts w:ascii="Arial" w:eastAsia="Times New Roman" w:hAnsi="Arial" w:cs="Times New Roman"/>
      <w:b/>
      <w:bCs/>
      <w:color w:val="000000" w:themeColor="text1"/>
      <w:sz w:val="24"/>
      <w:szCs w:val="26"/>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970F9"/>
    <w:rPr>
      <w:rFonts w:ascii="Arial" w:eastAsiaTheme="majorEastAsia" w:hAnsi="Arial" w:cstheme="majorBidi"/>
      <w:b/>
      <w:bCs/>
      <w:caps/>
      <w:color w:val="000000" w:themeColor="text1"/>
      <w:sz w:val="24"/>
      <w:szCs w:val="28"/>
    </w:rPr>
  </w:style>
  <w:style w:type="character" w:customStyle="1" w:styleId="Ttulo2Car">
    <w:name w:val="Título 2 Car"/>
    <w:basedOn w:val="Fuentedeprrafopredeter"/>
    <w:link w:val="Ttulo2"/>
    <w:uiPriority w:val="9"/>
    <w:rsid w:val="00B5511B"/>
    <w:rPr>
      <w:rFonts w:ascii="Arial" w:eastAsia="Times New Roman" w:hAnsi="Arial" w:cs="Times New Roman"/>
      <w:b/>
      <w:bCs/>
      <w:color w:val="000000" w:themeColor="text1"/>
      <w:sz w:val="24"/>
      <w:szCs w:val="26"/>
      <w:lang w:eastAsia="es-MX"/>
    </w:rPr>
  </w:style>
  <w:style w:type="table" w:styleId="Tablaconcuadrcula">
    <w:name w:val="Table Grid"/>
    <w:basedOn w:val="Tablanormal"/>
    <w:uiPriority w:val="39"/>
    <w:rsid w:val="003D62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3D625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D6256"/>
    <w:rPr>
      <w:rFonts w:ascii="Tahoma" w:hAnsi="Tahoma" w:cs="Tahoma"/>
      <w:sz w:val="16"/>
      <w:szCs w:val="16"/>
    </w:rPr>
  </w:style>
  <w:style w:type="character" w:styleId="Hipervnculo">
    <w:name w:val="Hyperlink"/>
    <w:basedOn w:val="Fuentedeprrafopredeter"/>
    <w:uiPriority w:val="99"/>
    <w:unhideWhenUsed/>
    <w:rsid w:val="002A21E2"/>
    <w:rPr>
      <w:color w:val="0000FF" w:themeColor="hyperlink"/>
      <w:u w:val="single"/>
    </w:rPr>
  </w:style>
  <w:style w:type="paragraph" w:customStyle="1" w:styleId="Default">
    <w:name w:val="Default"/>
    <w:rsid w:val="002A21E2"/>
    <w:pPr>
      <w:autoSpaceDE w:val="0"/>
      <w:autoSpaceDN w:val="0"/>
      <w:adjustRightInd w:val="0"/>
      <w:spacing w:after="0" w:line="240" w:lineRule="auto"/>
    </w:pPr>
    <w:rPr>
      <w:rFonts w:ascii="DBDLPG+TimesNewRoman,Bold" w:hAnsi="DBDLPG+TimesNewRoman,Bold" w:cs="DBDLPG+TimesNewRoman,Bold"/>
      <w:color w:val="000000"/>
      <w:sz w:val="24"/>
      <w:szCs w:val="24"/>
    </w:rPr>
  </w:style>
  <w:style w:type="paragraph" w:styleId="Sangradetextonormal">
    <w:name w:val="Body Text Indent"/>
    <w:basedOn w:val="Normal"/>
    <w:link w:val="SangradetextonormalCar"/>
    <w:rsid w:val="004A0692"/>
    <w:pPr>
      <w:spacing w:after="0" w:line="240" w:lineRule="auto"/>
      <w:ind w:left="567"/>
    </w:pPr>
    <w:rPr>
      <w:rFonts w:ascii="Times New Roman" w:eastAsia="Times New Roman" w:hAnsi="Times New Roman" w:cs="Times New Roman"/>
      <w:sz w:val="24"/>
      <w:szCs w:val="20"/>
      <w:lang w:val="es-ES" w:eastAsia="es-ES"/>
    </w:rPr>
  </w:style>
  <w:style w:type="character" w:customStyle="1" w:styleId="SangradetextonormalCar">
    <w:name w:val="Sangría de texto normal Car"/>
    <w:basedOn w:val="Fuentedeprrafopredeter"/>
    <w:link w:val="Sangradetextonormal"/>
    <w:rsid w:val="004A0692"/>
    <w:rPr>
      <w:rFonts w:ascii="Times New Roman" w:eastAsia="Times New Roman" w:hAnsi="Times New Roman" w:cs="Times New Roman"/>
      <w:sz w:val="24"/>
      <w:szCs w:val="20"/>
      <w:lang w:val="es-ES" w:eastAsia="es-ES"/>
    </w:rPr>
  </w:style>
  <w:style w:type="paragraph" w:styleId="Prrafodelista">
    <w:name w:val="List Paragraph"/>
    <w:basedOn w:val="Normal"/>
    <w:uiPriority w:val="34"/>
    <w:qFormat/>
    <w:rsid w:val="003E2831"/>
    <w:pPr>
      <w:spacing w:after="0" w:line="240" w:lineRule="auto"/>
      <w:ind w:left="720"/>
      <w:contextualSpacing/>
    </w:pPr>
    <w:rPr>
      <w:rFonts w:ascii="Times New Roman" w:eastAsia="Times New Roman" w:hAnsi="Times New Roman" w:cs="Times New Roman"/>
      <w:sz w:val="24"/>
      <w:szCs w:val="24"/>
      <w:lang w:val="es-ES" w:eastAsia="es-ES"/>
    </w:rPr>
  </w:style>
  <w:style w:type="character" w:customStyle="1" w:styleId="textgral1">
    <w:name w:val="text_gral1"/>
    <w:basedOn w:val="Fuentedeprrafopredeter"/>
    <w:rsid w:val="006F35F9"/>
    <w:rPr>
      <w:color w:val="414040"/>
      <w:sz w:val="22"/>
      <w:szCs w:val="22"/>
    </w:rPr>
  </w:style>
  <w:style w:type="character" w:styleId="Textoennegrita">
    <w:name w:val="Strong"/>
    <w:basedOn w:val="Fuentedeprrafopredeter"/>
    <w:uiPriority w:val="22"/>
    <w:qFormat/>
    <w:rsid w:val="006F35F9"/>
    <w:rPr>
      <w:b/>
      <w:bCs/>
    </w:rPr>
  </w:style>
  <w:style w:type="paragraph" w:customStyle="1" w:styleId="textgraljustify">
    <w:name w:val="text_gral_justify"/>
    <w:basedOn w:val="Normal"/>
    <w:rsid w:val="00D57056"/>
    <w:pPr>
      <w:spacing w:after="120" w:line="360" w:lineRule="atLeast"/>
      <w:ind w:left="120"/>
      <w:jc w:val="both"/>
    </w:pPr>
    <w:rPr>
      <w:rFonts w:ascii="Times New Roman" w:eastAsia="Times New Roman" w:hAnsi="Times New Roman" w:cs="Times New Roman"/>
      <w:color w:val="414040"/>
      <w:lang w:eastAsia="es-MX"/>
    </w:rPr>
  </w:style>
  <w:style w:type="paragraph" w:customStyle="1" w:styleId="textgralcenter">
    <w:name w:val="text_gral_center"/>
    <w:basedOn w:val="Normal"/>
    <w:rsid w:val="00D57056"/>
    <w:pPr>
      <w:spacing w:after="120" w:line="240" w:lineRule="auto"/>
      <w:ind w:left="120"/>
      <w:jc w:val="center"/>
    </w:pPr>
    <w:rPr>
      <w:rFonts w:ascii="Times New Roman" w:eastAsia="Times New Roman" w:hAnsi="Times New Roman" w:cs="Times New Roman"/>
      <w:color w:val="414040"/>
      <w:sz w:val="20"/>
      <w:szCs w:val="20"/>
      <w:lang w:eastAsia="es-MX"/>
    </w:rPr>
  </w:style>
  <w:style w:type="character" w:customStyle="1" w:styleId="hps">
    <w:name w:val="hps"/>
    <w:basedOn w:val="Fuentedeprrafopredeter"/>
    <w:rsid w:val="00EE79C9"/>
  </w:style>
  <w:style w:type="paragraph" w:styleId="Encabezado">
    <w:name w:val="header"/>
    <w:basedOn w:val="Normal"/>
    <w:link w:val="EncabezadoCar"/>
    <w:uiPriority w:val="99"/>
    <w:unhideWhenUsed/>
    <w:rsid w:val="001356C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356CD"/>
  </w:style>
  <w:style w:type="paragraph" w:styleId="Piedepgina">
    <w:name w:val="footer"/>
    <w:basedOn w:val="Normal"/>
    <w:link w:val="PiedepginaCar"/>
    <w:uiPriority w:val="99"/>
    <w:unhideWhenUsed/>
    <w:rsid w:val="001356C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356CD"/>
  </w:style>
  <w:style w:type="table" w:customStyle="1" w:styleId="Cuadrculadetablaclara1">
    <w:name w:val="Cuadrícula de tabla clara1"/>
    <w:basedOn w:val="Tablanormal"/>
    <w:uiPriority w:val="40"/>
    <w:rsid w:val="0030522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nfasis">
    <w:name w:val="Emphasis"/>
    <w:basedOn w:val="Fuentedeprrafopredeter"/>
    <w:uiPriority w:val="20"/>
    <w:qFormat/>
    <w:rsid w:val="00B838B0"/>
    <w:rPr>
      <w:i/>
      <w:iCs/>
    </w:rPr>
  </w:style>
  <w:style w:type="paragraph" w:customStyle="1" w:styleId="cursos">
    <w:name w:val="cursos"/>
    <w:basedOn w:val="Normal"/>
    <w:rsid w:val="00B838B0"/>
    <w:pPr>
      <w:spacing w:before="100" w:beforeAutospacing="1" w:after="100" w:afterAutospacing="1" w:line="320" w:lineRule="atLeast"/>
    </w:pPr>
    <w:rPr>
      <w:rFonts w:ascii="Verdana" w:eastAsia="Times New Roman" w:hAnsi="Verdana" w:cs="Times New Roman"/>
      <w:color w:val="000000"/>
      <w:sz w:val="16"/>
      <w:szCs w:val="16"/>
      <w:lang w:eastAsia="es-MX"/>
    </w:rPr>
  </w:style>
  <w:style w:type="paragraph" w:styleId="Textonotapie">
    <w:name w:val="footnote text"/>
    <w:basedOn w:val="Normal"/>
    <w:link w:val="TextonotapieCar"/>
    <w:uiPriority w:val="99"/>
    <w:semiHidden/>
    <w:unhideWhenUsed/>
    <w:rsid w:val="0031126D"/>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31126D"/>
    <w:rPr>
      <w:sz w:val="20"/>
      <w:szCs w:val="20"/>
    </w:rPr>
  </w:style>
  <w:style w:type="character" w:styleId="Refdenotaalpie">
    <w:name w:val="footnote reference"/>
    <w:basedOn w:val="Fuentedeprrafopredeter"/>
    <w:uiPriority w:val="99"/>
    <w:semiHidden/>
    <w:unhideWhenUsed/>
    <w:rsid w:val="0031126D"/>
    <w:rPr>
      <w:vertAlign w:val="superscript"/>
    </w:rPr>
  </w:style>
  <w:style w:type="paragraph" w:styleId="Descripcin">
    <w:name w:val="caption"/>
    <w:basedOn w:val="Normal"/>
    <w:next w:val="Normal"/>
    <w:uiPriority w:val="35"/>
    <w:unhideWhenUsed/>
    <w:qFormat/>
    <w:rsid w:val="000845B9"/>
    <w:pPr>
      <w:spacing w:line="240" w:lineRule="auto"/>
    </w:pPr>
    <w:rPr>
      <w:i/>
      <w:iCs/>
      <w:color w:val="1F497D" w:themeColor="text2"/>
      <w:sz w:val="18"/>
      <w:szCs w:val="18"/>
    </w:rPr>
  </w:style>
  <w:style w:type="paragraph" w:styleId="Puesto">
    <w:name w:val="Title"/>
    <w:aliases w:val="Figuras"/>
    <w:basedOn w:val="Normal"/>
    <w:next w:val="Normal"/>
    <w:link w:val="PuestoCar"/>
    <w:uiPriority w:val="10"/>
    <w:qFormat/>
    <w:rsid w:val="000845B9"/>
    <w:pPr>
      <w:spacing w:after="0" w:line="360" w:lineRule="auto"/>
      <w:contextualSpacing/>
      <w:jc w:val="center"/>
    </w:pPr>
    <w:rPr>
      <w:rFonts w:ascii="Arial" w:eastAsiaTheme="majorEastAsia" w:hAnsi="Arial" w:cstheme="majorBidi"/>
      <w:b/>
      <w:spacing w:val="-10"/>
      <w:kern w:val="28"/>
      <w:sz w:val="24"/>
      <w:szCs w:val="56"/>
    </w:rPr>
  </w:style>
  <w:style w:type="character" w:customStyle="1" w:styleId="PuestoCar">
    <w:name w:val="Puesto Car"/>
    <w:aliases w:val="Figuras Car"/>
    <w:basedOn w:val="Fuentedeprrafopredeter"/>
    <w:link w:val="Puesto"/>
    <w:uiPriority w:val="10"/>
    <w:rsid w:val="000845B9"/>
    <w:rPr>
      <w:rFonts w:ascii="Arial" w:eastAsiaTheme="majorEastAsia" w:hAnsi="Arial" w:cstheme="majorBidi"/>
      <w:b/>
      <w:spacing w:val="-10"/>
      <w:kern w:val="28"/>
      <w:sz w:val="24"/>
      <w:szCs w:val="56"/>
    </w:rPr>
  </w:style>
  <w:style w:type="paragraph" w:styleId="Tabladeilustraciones">
    <w:name w:val="table of figures"/>
    <w:basedOn w:val="Normal"/>
    <w:next w:val="Normal"/>
    <w:uiPriority w:val="99"/>
    <w:unhideWhenUsed/>
    <w:rsid w:val="00E0625C"/>
    <w:pPr>
      <w:spacing w:after="0"/>
      <w:ind w:left="440" w:hanging="440"/>
    </w:pPr>
    <w:rPr>
      <w:rFonts w:ascii="Arial" w:hAnsi="Arial"/>
      <w:bCs/>
      <w:sz w:val="24"/>
      <w:szCs w:val="20"/>
    </w:rPr>
  </w:style>
  <w:style w:type="paragraph" w:styleId="TtulodeTDC">
    <w:name w:val="TOC Heading"/>
    <w:basedOn w:val="Ttulo1"/>
    <w:next w:val="Normal"/>
    <w:uiPriority w:val="39"/>
    <w:unhideWhenUsed/>
    <w:qFormat/>
    <w:rsid w:val="00750D8D"/>
    <w:pPr>
      <w:spacing w:before="240" w:after="0" w:line="259" w:lineRule="auto"/>
      <w:jc w:val="left"/>
      <w:outlineLvl w:val="9"/>
    </w:pPr>
    <w:rPr>
      <w:rFonts w:asciiTheme="majorHAnsi" w:hAnsiTheme="majorHAnsi"/>
      <w:b w:val="0"/>
      <w:bCs w:val="0"/>
      <w:color w:val="365F91" w:themeColor="accent1" w:themeShade="BF"/>
      <w:sz w:val="32"/>
      <w:szCs w:val="32"/>
      <w:lang w:eastAsia="es-MX"/>
    </w:rPr>
  </w:style>
  <w:style w:type="paragraph" w:styleId="TDC1">
    <w:name w:val="toc 1"/>
    <w:basedOn w:val="Normal"/>
    <w:next w:val="Normal"/>
    <w:autoRedefine/>
    <w:uiPriority w:val="39"/>
    <w:unhideWhenUsed/>
    <w:rsid w:val="00BB1286"/>
    <w:pPr>
      <w:tabs>
        <w:tab w:val="left" w:pos="440"/>
        <w:tab w:val="right" w:leader="dot" w:pos="8828"/>
      </w:tabs>
      <w:spacing w:after="100"/>
      <w:jc w:val="center"/>
    </w:pPr>
  </w:style>
  <w:style w:type="paragraph" w:styleId="TDC2">
    <w:name w:val="toc 2"/>
    <w:basedOn w:val="Normal"/>
    <w:next w:val="Normal"/>
    <w:autoRedefine/>
    <w:uiPriority w:val="39"/>
    <w:unhideWhenUsed/>
    <w:rsid w:val="00BB1286"/>
    <w:pPr>
      <w:tabs>
        <w:tab w:val="right" w:leader="dot" w:pos="8828"/>
      </w:tabs>
      <w:spacing w:after="100"/>
      <w:ind w:left="220"/>
    </w:pPr>
  </w:style>
  <w:style w:type="paragraph" w:styleId="Bibliografa">
    <w:name w:val="Bibliography"/>
    <w:basedOn w:val="Normal"/>
    <w:next w:val="Normal"/>
    <w:uiPriority w:val="37"/>
    <w:unhideWhenUsed/>
    <w:rsid w:val="00C36B01"/>
  </w:style>
  <w:style w:type="paragraph" w:styleId="TDC3">
    <w:name w:val="toc 3"/>
    <w:basedOn w:val="Normal"/>
    <w:next w:val="Normal"/>
    <w:autoRedefine/>
    <w:uiPriority w:val="39"/>
    <w:unhideWhenUsed/>
    <w:rsid w:val="006A27DD"/>
    <w:pPr>
      <w:spacing w:after="100" w:line="259" w:lineRule="auto"/>
      <w:ind w:left="440"/>
    </w:pPr>
    <w:rPr>
      <w:rFonts w:eastAsiaTheme="minorEastAsia" w:cs="Times New Roman"/>
      <w:lang w:eastAsia="es-MX"/>
    </w:rPr>
  </w:style>
  <w:style w:type="character" w:styleId="Textodelmarcadordeposicin">
    <w:name w:val="Placeholder Text"/>
    <w:basedOn w:val="Fuentedeprrafopredeter"/>
    <w:uiPriority w:val="99"/>
    <w:semiHidden/>
    <w:rsid w:val="00FA624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949181">
      <w:bodyDiv w:val="1"/>
      <w:marLeft w:val="0"/>
      <w:marRight w:val="0"/>
      <w:marTop w:val="0"/>
      <w:marBottom w:val="0"/>
      <w:divBdr>
        <w:top w:val="none" w:sz="0" w:space="0" w:color="auto"/>
        <w:left w:val="none" w:sz="0" w:space="0" w:color="auto"/>
        <w:bottom w:val="none" w:sz="0" w:space="0" w:color="auto"/>
        <w:right w:val="none" w:sz="0" w:space="0" w:color="auto"/>
      </w:divBdr>
    </w:div>
    <w:div w:id="169566704">
      <w:bodyDiv w:val="1"/>
      <w:marLeft w:val="0"/>
      <w:marRight w:val="0"/>
      <w:marTop w:val="0"/>
      <w:marBottom w:val="0"/>
      <w:divBdr>
        <w:top w:val="none" w:sz="0" w:space="0" w:color="auto"/>
        <w:left w:val="none" w:sz="0" w:space="0" w:color="auto"/>
        <w:bottom w:val="none" w:sz="0" w:space="0" w:color="auto"/>
        <w:right w:val="none" w:sz="0" w:space="0" w:color="auto"/>
      </w:divBdr>
    </w:div>
    <w:div w:id="201720815">
      <w:bodyDiv w:val="1"/>
      <w:marLeft w:val="0"/>
      <w:marRight w:val="0"/>
      <w:marTop w:val="0"/>
      <w:marBottom w:val="0"/>
      <w:divBdr>
        <w:top w:val="none" w:sz="0" w:space="0" w:color="auto"/>
        <w:left w:val="none" w:sz="0" w:space="0" w:color="auto"/>
        <w:bottom w:val="none" w:sz="0" w:space="0" w:color="auto"/>
        <w:right w:val="none" w:sz="0" w:space="0" w:color="auto"/>
      </w:divBdr>
    </w:div>
    <w:div w:id="207183080">
      <w:bodyDiv w:val="1"/>
      <w:marLeft w:val="0"/>
      <w:marRight w:val="0"/>
      <w:marTop w:val="0"/>
      <w:marBottom w:val="0"/>
      <w:divBdr>
        <w:top w:val="none" w:sz="0" w:space="0" w:color="auto"/>
        <w:left w:val="none" w:sz="0" w:space="0" w:color="auto"/>
        <w:bottom w:val="none" w:sz="0" w:space="0" w:color="auto"/>
        <w:right w:val="none" w:sz="0" w:space="0" w:color="auto"/>
      </w:divBdr>
    </w:div>
    <w:div w:id="256446359">
      <w:bodyDiv w:val="1"/>
      <w:marLeft w:val="0"/>
      <w:marRight w:val="0"/>
      <w:marTop w:val="0"/>
      <w:marBottom w:val="0"/>
      <w:divBdr>
        <w:top w:val="none" w:sz="0" w:space="0" w:color="auto"/>
        <w:left w:val="none" w:sz="0" w:space="0" w:color="auto"/>
        <w:bottom w:val="none" w:sz="0" w:space="0" w:color="auto"/>
        <w:right w:val="none" w:sz="0" w:space="0" w:color="auto"/>
      </w:divBdr>
    </w:div>
    <w:div w:id="260724180">
      <w:bodyDiv w:val="1"/>
      <w:marLeft w:val="0"/>
      <w:marRight w:val="0"/>
      <w:marTop w:val="0"/>
      <w:marBottom w:val="0"/>
      <w:divBdr>
        <w:top w:val="none" w:sz="0" w:space="0" w:color="auto"/>
        <w:left w:val="none" w:sz="0" w:space="0" w:color="auto"/>
        <w:bottom w:val="none" w:sz="0" w:space="0" w:color="auto"/>
        <w:right w:val="none" w:sz="0" w:space="0" w:color="auto"/>
      </w:divBdr>
    </w:div>
    <w:div w:id="277223180">
      <w:bodyDiv w:val="1"/>
      <w:marLeft w:val="0"/>
      <w:marRight w:val="0"/>
      <w:marTop w:val="0"/>
      <w:marBottom w:val="0"/>
      <w:divBdr>
        <w:top w:val="none" w:sz="0" w:space="0" w:color="auto"/>
        <w:left w:val="none" w:sz="0" w:space="0" w:color="auto"/>
        <w:bottom w:val="none" w:sz="0" w:space="0" w:color="auto"/>
        <w:right w:val="none" w:sz="0" w:space="0" w:color="auto"/>
      </w:divBdr>
    </w:div>
    <w:div w:id="318314051">
      <w:bodyDiv w:val="1"/>
      <w:marLeft w:val="0"/>
      <w:marRight w:val="0"/>
      <w:marTop w:val="0"/>
      <w:marBottom w:val="0"/>
      <w:divBdr>
        <w:top w:val="none" w:sz="0" w:space="0" w:color="auto"/>
        <w:left w:val="none" w:sz="0" w:space="0" w:color="auto"/>
        <w:bottom w:val="none" w:sz="0" w:space="0" w:color="auto"/>
        <w:right w:val="none" w:sz="0" w:space="0" w:color="auto"/>
      </w:divBdr>
    </w:div>
    <w:div w:id="326713664">
      <w:bodyDiv w:val="1"/>
      <w:marLeft w:val="0"/>
      <w:marRight w:val="0"/>
      <w:marTop w:val="0"/>
      <w:marBottom w:val="0"/>
      <w:divBdr>
        <w:top w:val="none" w:sz="0" w:space="0" w:color="auto"/>
        <w:left w:val="none" w:sz="0" w:space="0" w:color="auto"/>
        <w:bottom w:val="none" w:sz="0" w:space="0" w:color="auto"/>
        <w:right w:val="none" w:sz="0" w:space="0" w:color="auto"/>
      </w:divBdr>
    </w:div>
    <w:div w:id="368653767">
      <w:bodyDiv w:val="1"/>
      <w:marLeft w:val="0"/>
      <w:marRight w:val="0"/>
      <w:marTop w:val="0"/>
      <w:marBottom w:val="0"/>
      <w:divBdr>
        <w:top w:val="none" w:sz="0" w:space="0" w:color="auto"/>
        <w:left w:val="none" w:sz="0" w:space="0" w:color="auto"/>
        <w:bottom w:val="none" w:sz="0" w:space="0" w:color="auto"/>
        <w:right w:val="none" w:sz="0" w:space="0" w:color="auto"/>
      </w:divBdr>
    </w:div>
    <w:div w:id="387535617">
      <w:bodyDiv w:val="1"/>
      <w:marLeft w:val="0"/>
      <w:marRight w:val="0"/>
      <w:marTop w:val="0"/>
      <w:marBottom w:val="0"/>
      <w:divBdr>
        <w:top w:val="none" w:sz="0" w:space="0" w:color="auto"/>
        <w:left w:val="none" w:sz="0" w:space="0" w:color="auto"/>
        <w:bottom w:val="none" w:sz="0" w:space="0" w:color="auto"/>
        <w:right w:val="none" w:sz="0" w:space="0" w:color="auto"/>
      </w:divBdr>
    </w:div>
    <w:div w:id="391268875">
      <w:bodyDiv w:val="1"/>
      <w:marLeft w:val="0"/>
      <w:marRight w:val="0"/>
      <w:marTop w:val="0"/>
      <w:marBottom w:val="0"/>
      <w:divBdr>
        <w:top w:val="none" w:sz="0" w:space="0" w:color="auto"/>
        <w:left w:val="none" w:sz="0" w:space="0" w:color="auto"/>
        <w:bottom w:val="none" w:sz="0" w:space="0" w:color="auto"/>
        <w:right w:val="none" w:sz="0" w:space="0" w:color="auto"/>
      </w:divBdr>
    </w:div>
    <w:div w:id="418527939">
      <w:bodyDiv w:val="1"/>
      <w:marLeft w:val="0"/>
      <w:marRight w:val="0"/>
      <w:marTop w:val="0"/>
      <w:marBottom w:val="0"/>
      <w:divBdr>
        <w:top w:val="none" w:sz="0" w:space="0" w:color="auto"/>
        <w:left w:val="none" w:sz="0" w:space="0" w:color="auto"/>
        <w:bottom w:val="none" w:sz="0" w:space="0" w:color="auto"/>
        <w:right w:val="none" w:sz="0" w:space="0" w:color="auto"/>
      </w:divBdr>
    </w:div>
    <w:div w:id="427385636">
      <w:bodyDiv w:val="1"/>
      <w:marLeft w:val="0"/>
      <w:marRight w:val="0"/>
      <w:marTop w:val="0"/>
      <w:marBottom w:val="0"/>
      <w:divBdr>
        <w:top w:val="none" w:sz="0" w:space="0" w:color="auto"/>
        <w:left w:val="none" w:sz="0" w:space="0" w:color="auto"/>
        <w:bottom w:val="none" w:sz="0" w:space="0" w:color="auto"/>
        <w:right w:val="none" w:sz="0" w:space="0" w:color="auto"/>
      </w:divBdr>
    </w:div>
    <w:div w:id="430469429">
      <w:bodyDiv w:val="1"/>
      <w:marLeft w:val="0"/>
      <w:marRight w:val="0"/>
      <w:marTop w:val="0"/>
      <w:marBottom w:val="0"/>
      <w:divBdr>
        <w:top w:val="none" w:sz="0" w:space="0" w:color="auto"/>
        <w:left w:val="none" w:sz="0" w:space="0" w:color="auto"/>
        <w:bottom w:val="none" w:sz="0" w:space="0" w:color="auto"/>
        <w:right w:val="none" w:sz="0" w:space="0" w:color="auto"/>
      </w:divBdr>
    </w:div>
    <w:div w:id="437989079">
      <w:bodyDiv w:val="1"/>
      <w:marLeft w:val="0"/>
      <w:marRight w:val="0"/>
      <w:marTop w:val="0"/>
      <w:marBottom w:val="0"/>
      <w:divBdr>
        <w:top w:val="none" w:sz="0" w:space="0" w:color="auto"/>
        <w:left w:val="none" w:sz="0" w:space="0" w:color="auto"/>
        <w:bottom w:val="none" w:sz="0" w:space="0" w:color="auto"/>
        <w:right w:val="none" w:sz="0" w:space="0" w:color="auto"/>
      </w:divBdr>
    </w:div>
    <w:div w:id="499397187">
      <w:bodyDiv w:val="1"/>
      <w:marLeft w:val="0"/>
      <w:marRight w:val="0"/>
      <w:marTop w:val="0"/>
      <w:marBottom w:val="0"/>
      <w:divBdr>
        <w:top w:val="none" w:sz="0" w:space="0" w:color="auto"/>
        <w:left w:val="none" w:sz="0" w:space="0" w:color="auto"/>
        <w:bottom w:val="none" w:sz="0" w:space="0" w:color="auto"/>
        <w:right w:val="none" w:sz="0" w:space="0" w:color="auto"/>
      </w:divBdr>
    </w:div>
    <w:div w:id="542836238">
      <w:bodyDiv w:val="1"/>
      <w:marLeft w:val="0"/>
      <w:marRight w:val="0"/>
      <w:marTop w:val="0"/>
      <w:marBottom w:val="0"/>
      <w:divBdr>
        <w:top w:val="none" w:sz="0" w:space="0" w:color="auto"/>
        <w:left w:val="none" w:sz="0" w:space="0" w:color="auto"/>
        <w:bottom w:val="none" w:sz="0" w:space="0" w:color="auto"/>
        <w:right w:val="none" w:sz="0" w:space="0" w:color="auto"/>
      </w:divBdr>
    </w:div>
    <w:div w:id="636034274">
      <w:bodyDiv w:val="1"/>
      <w:marLeft w:val="0"/>
      <w:marRight w:val="0"/>
      <w:marTop w:val="0"/>
      <w:marBottom w:val="0"/>
      <w:divBdr>
        <w:top w:val="none" w:sz="0" w:space="0" w:color="auto"/>
        <w:left w:val="none" w:sz="0" w:space="0" w:color="auto"/>
        <w:bottom w:val="none" w:sz="0" w:space="0" w:color="auto"/>
        <w:right w:val="none" w:sz="0" w:space="0" w:color="auto"/>
      </w:divBdr>
    </w:div>
    <w:div w:id="682824644">
      <w:bodyDiv w:val="1"/>
      <w:marLeft w:val="0"/>
      <w:marRight w:val="0"/>
      <w:marTop w:val="0"/>
      <w:marBottom w:val="0"/>
      <w:divBdr>
        <w:top w:val="none" w:sz="0" w:space="0" w:color="auto"/>
        <w:left w:val="none" w:sz="0" w:space="0" w:color="auto"/>
        <w:bottom w:val="none" w:sz="0" w:space="0" w:color="auto"/>
        <w:right w:val="none" w:sz="0" w:space="0" w:color="auto"/>
      </w:divBdr>
    </w:div>
    <w:div w:id="685905787">
      <w:bodyDiv w:val="1"/>
      <w:marLeft w:val="0"/>
      <w:marRight w:val="0"/>
      <w:marTop w:val="0"/>
      <w:marBottom w:val="0"/>
      <w:divBdr>
        <w:top w:val="none" w:sz="0" w:space="0" w:color="auto"/>
        <w:left w:val="none" w:sz="0" w:space="0" w:color="auto"/>
        <w:bottom w:val="none" w:sz="0" w:space="0" w:color="auto"/>
        <w:right w:val="none" w:sz="0" w:space="0" w:color="auto"/>
      </w:divBdr>
    </w:div>
    <w:div w:id="714887819">
      <w:bodyDiv w:val="1"/>
      <w:marLeft w:val="0"/>
      <w:marRight w:val="0"/>
      <w:marTop w:val="0"/>
      <w:marBottom w:val="0"/>
      <w:divBdr>
        <w:top w:val="none" w:sz="0" w:space="0" w:color="auto"/>
        <w:left w:val="none" w:sz="0" w:space="0" w:color="auto"/>
        <w:bottom w:val="none" w:sz="0" w:space="0" w:color="auto"/>
        <w:right w:val="none" w:sz="0" w:space="0" w:color="auto"/>
      </w:divBdr>
    </w:div>
    <w:div w:id="806095249">
      <w:bodyDiv w:val="1"/>
      <w:marLeft w:val="0"/>
      <w:marRight w:val="0"/>
      <w:marTop w:val="0"/>
      <w:marBottom w:val="0"/>
      <w:divBdr>
        <w:top w:val="none" w:sz="0" w:space="0" w:color="auto"/>
        <w:left w:val="none" w:sz="0" w:space="0" w:color="auto"/>
        <w:bottom w:val="none" w:sz="0" w:space="0" w:color="auto"/>
        <w:right w:val="none" w:sz="0" w:space="0" w:color="auto"/>
      </w:divBdr>
    </w:div>
    <w:div w:id="842814885">
      <w:bodyDiv w:val="1"/>
      <w:marLeft w:val="0"/>
      <w:marRight w:val="0"/>
      <w:marTop w:val="0"/>
      <w:marBottom w:val="0"/>
      <w:divBdr>
        <w:top w:val="none" w:sz="0" w:space="0" w:color="auto"/>
        <w:left w:val="none" w:sz="0" w:space="0" w:color="auto"/>
        <w:bottom w:val="none" w:sz="0" w:space="0" w:color="auto"/>
        <w:right w:val="none" w:sz="0" w:space="0" w:color="auto"/>
      </w:divBdr>
    </w:div>
    <w:div w:id="849687420">
      <w:bodyDiv w:val="1"/>
      <w:marLeft w:val="0"/>
      <w:marRight w:val="0"/>
      <w:marTop w:val="0"/>
      <w:marBottom w:val="0"/>
      <w:divBdr>
        <w:top w:val="none" w:sz="0" w:space="0" w:color="auto"/>
        <w:left w:val="none" w:sz="0" w:space="0" w:color="auto"/>
        <w:bottom w:val="none" w:sz="0" w:space="0" w:color="auto"/>
        <w:right w:val="none" w:sz="0" w:space="0" w:color="auto"/>
      </w:divBdr>
    </w:div>
    <w:div w:id="919367750">
      <w:bodyDiv w:val="1"/>
      <w:marLeft w:val="0"/>
      <w:marRight w:val="0"/>
      <w:marTop w:val="0"/>
      <w:marBottom w:val="0"/>
      <w:divBdr>
        <w:top w:val="none" w:sz="0" w:space="0" w:color="auto"/>
        <w:left w:val="none" w:sz="0" w:space="0" w:color="auto"/>
        <w:bottom w:val="none" w:sz="0" w:space="0" w:color="auto"/>
        <w:right w:val="none" w:sz="0" w:space="0" w:color="auto"/>
      </w:divBdr>
      <w:divsChild>
        <w:div w:id="2012103052">
          <w:marLeft w:val="0"/>
          <w:marRight w:val="0"/>
          <w:marTop w:val="100"/>
          <w:marBottom w:val="100"/>
          <w:divBdr>
            <w:top w:val="none" w:sz="0" w:space="0" w:color="auto"/>
            <w:left w:val="none" w:sz="0" w:space="0" w:color="auto"/>
            <w:bottom w:val="none" w:sz="0" w:space="0" w:color="auto"/>
            <w:right w:val="none" w:sz="0" w:space="0" w:color="auto"/>
          </w:divBdr>
          <w:divsChild>
            <w:div w:id="1897423642">
              <w:marLeft w:val="0"/>
              <w:marRight w:val="0"/>
              <w:marTop w:val="0"/>
              <w:marBottom w:val="0"/>
              <w:divBdr>
                <w:top w:val="none" w:sz="0" w:space="0" w:color="auto"/>
                <w:left w:val="none" w:sz="0" w:space="0" w:color="auto"/>
                <w:bottom w:val="none" w:sz="0" w:space="0" w:color="auto"/>
                <w:right w:val="none" w:sz="0" w:space="0" w:color="auto"/>
              </w:divBdr>
              <w:divsChild>
                <w:div w:id="186602388">
                  <w:marLeft w:val="0"/>
                  <w:marRight w:val="0"/>
                  <w:marTop w:val="0"/>
                  <w:marBottom w:val="0"/>
                  <w:divBdr>
                    <w:top w:val="none" w:sz="0" w:space="0" w:color="auto"/>
                    <w:left w:val="none" w:sz="0" w:space="0" w:color="auto"/>
                    <w:bottom w:val="none" w:sz="0" w:space="0" w:color="auto"/>
                    <w:right w:val="none" w:sz="0" w:space="0" w:color="auto"/>
                  </w:divBdr>
                  <w:divsChild>
                    <w:div w:id="966787095">
                      <w:marLeft w:val="0"/>
                      <w:marRight w:val="0"/>
                      <w:marTop w:val="0"/>
                      <w:marBottom w:val="0"/>
                      <w:divBdr>
                        <w:top w:val="none" w:sz="0" w:space="0" w:color="auto"/>
                        <w:left w:val="none" w:sz="0" w:space="0" w:color="auto"/>
                        <w:bottom w:val="none" w:sz="0" w:space="0" w:color="auto"/>
                        <w:right w:val="none" w:sz="0" w:space="0" w:color="auto"/>
                      </w:divBdr>
                      <w:divsChild>
                        <w:div w:id="511340873">
                          <w:marLeft w:val="0"/>
                          <w:marRight w:val="0"/>
                          <w:marTop w:val="0"/>
                          <w:marBottom w:val="0"/>
                          <w:divBdr>
                            <w:top w:val="none" w:sz="0" w:space="0" w:color="auto"/>
                            <w:left w:val="none" w:sz="0" w:space="0" w:color="auto"/>
                            <w:bottom w:val="none" w:sz="0" w:space="0" w:color="auto"/>
                            <w:right w:val="none" w:sz="0" w:space="0" w:color="auto"/>
                          </w:divBdr>
                          <w:divsChild>
                            <w:div w:id="717626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38355754">
      <w:bodyDiv w:val="1"/>
      <w:marLeft w:val="0"/>
      <w:marRight w:val="0"/>
      <w:marTop w:val="0"/>
      <w:marBottom w:val="0"/>
      <w:divBdr>
        <w:top w:val="none" w:sz="0" w:space="0" w:color="auto"/>
        <w:left w:val="none" w:sz="0" w:space="0" w:color="auto"/>
        <w:bottom w:val="none" w:sz="0" w:space="0" w:color="auto"/>
        <w:right w:val="none" w:sz="0" w:space="0" w:color="auto"/>
      </w:divBdr>
    </w:div>
    <w:div w:id="1086196682">
      <w:bodyDiv w:val="1"/>
      <w:marLeft w:val="0"/>
      <w:marRight w:val="0"/>
      <w:marTop w:val="0"/>
      <w:marBottom w:val="0"/>
      <w:divBdr>
        <w:top w:val="none" w:sz="0" w:space="0" w:color="auto"/>
        <w:left w:val="none" w:sz="0" w:space="0" w:color="auto"/>
        <w:bottom w:val="none" w:sz="0" w:space="0" w:color="auto"/>
        <w:right w:val="none" w:sz="0" w:space="0" w:color="auto"/>
      </w:divBdr>
    </w:div>
    <w:div w:id="1148863106">
      <w:bodyDiv w:val="1"/>
      <w:marLeft w:val="0"/>
      <w:marRight w:val="0"/>
      <w:marTop w:val="0"/>
      <w:marBottom w:val="0"/>
      <w:divBdr>
        <w:top w:val="none" w:sz="0" w:space="0" w:color="auto"/>
        <w:left w:val="none" w:sz="0" w:space="0" w:color="auto"/>
        <w:bottom w:val="none" w:sz="0" w:space="0" w:color="auto"/>
        <w:right w:val="none" w:sz="0" w:space="0" w:color="auto"/>
      </w:divBdr>
    </w:div>
    <w:div w:id="1173684676">
      <w:bodyDiv w:val="1"/>
      <w:marLeft w:val="0"/>
      <w:marRight w:val="0"/>
      <w:marTop w:val="0"/>
      <w:marBottom w:val="0"/>
      <w:divBdr>
        <w:top w:val="none" w:sz="0" w:space="0" w:color="auto"/>
        <w:left w:val="none" w:sz="0" w:space="0" w:color="auto"/>
        <w:bottom w:val="none" w:sz="0" w:space="0" w:color="auto"/>
        <w:right w:val="none" w:sz="0" w:space="0" w:color="auto"/>
      </w:divBdr>
    </w:div>
    <w:div w:id="1192645774">
      <w:bodyDiv w:val="1"/>
      <w:marLeft w:val="0"/>
      <w:marRight w:val="0"/>
      <w:marTop w:val="0"/>
      <w:marBottom w:val="0"/>
      <w:divBdr>
        <w:top w:val="none" w:sz="0" w:space="0" w:color="auto"/>
        <w:left w:val="none" w:sz="0" w:space="0" w:color="auto"/>
        <w:bottom w:val="none" w:sz="0" w:space="0" w:color="auto"/>
        <w:right w:val="none" w:sz="0" w:space="0" w:color="auto"/>
      </w:divBdr>
    </w:div>
    <w:div w:id="1192839789">
      <w:bodyDiv w:val="1"/>
      <w:marLeft w:val="0"/>
      <w:marRight w:val="0"/>
      <w:marTop w:val="0"/>
      <w:marBottom w:val="0"/>
      <w:divBdr>
        <w:top w:val="none" w:sz="0" w:space="0" w:color="auto"/>
        <w:left w:val="none" w:sz="0" w:space="0" w:color="auto"/>
        <w:bottom w:val="none" w:sz="0" w:space="0" w:color="auto"/>
        <w:right w:val="none" w:sz="0" w:space="0" w:color="auto"/>
      </w:divBdr>
    </w:div>
    <w:div w:id="1196501490">
      <w:bodyDiv w:val="1"/>
      <w:marLeft w:val="0"/>
      <w:marRight w:val="0"/>
      <w:marTop w:val="0"/>
      <w:marBottom w:val="0"/>
      <w:divBdr>
        <w:top w:val="none" w:sz="0" w:space="0" w:color="auto"/>
        <w:left w:val="none" w:sz="0" w:space="0" w:color="auto"/>
        <w:bottom w:val="none" w:sz="0" w:space="0" w:color="auto"/>
        <w:right w:val="none" w:sz="0" w:space="0" w:color="auto"/>
      </w:divBdr>
    </w:div>
    <w:div w:id="1212036709">
      <w:bodyDiv w:val="1"/>
      <w:marLeft w:val="0"/>
      <w:marRight w:val="0"/>
      <w:marTop w:val="0"/>
      <w:marBottom w:val="0"/>
      <w:divBdr>
        <w:top w:val="none" w:sz="0" w:space="0" w:color="auto"/>
        <w:left w:val="none" w:sz="0" w:space="0" w:color="auto"/>
        <w:bottom w:val="none" w:sz="0" w:space="0" w:color="auto"/>
        <w:right w:val="none" w:sz="0" w:space="0" w:color="auto"/>
      </w:divBdr>
    </w:div>
    <w:div w:id="1249732742">
      <w:bodyDiv w:val="1"/>
      <w:marLeft w:val="0"/>
      <w:marRight w:val="0"/>
      <w:marTop w:val="0"/>
      <w:marBottom w:val="0"/>
      <w:divBdr>
        <w:top w:val="none" w:sz="0" w:space="0" w:color="auto"/>
        <w:left w:val="none" w:sz="0" w:space="0" w:color="auto"/>
        <w:bottom w:val="none" w:sz="0" w:space="0" w:color="auto"/>
        <w:right w:val="none" w:sz="0" w:space="0" w:color="auto"/>
      </w:divBdr>
    </w:div>
    <w:div w:id="1267077040">
      <w:bodyDiv w:val="1"/>
      <w:marLeft w:val="0"/>
      <w:marRight w:val="0"/>
      <w:marTop w:val="0"/>
      <w:marBottom w:val="0"/>
      <w:divBdr>
        <w:top w:val="none" w:sz="0" w:space="0" w:color="auto"/>
        <w:left w:val="none" w:sz="0" w:space="0" w:color="auto"/>
        <w:bottom w:val="none" w:sz="0" w:space="0" w:color="auto"/>
        <w:right w:val="none" w:sz="0" w:space="0" w:color="auto"/>
      </w:divBdr>
    </w:div>
    <w:div w:id="1286352167">
      <w:bodyDiv w:val="1"/>
      <w:marLeft w:val="0"/>
      <w:marRight w:val="0"/>
      <w:marTop w:val="0"/>
      <w:marBottom w:val="0"/>
      <w:divBdr>
        <w:top w:val="none" w:sz="0" w:space="0" w:color="auto"/>
        <w:left w:val="none" w:sz="0" w:space="0" w:color="auto"/>
        <w:bottom w:val="none" w:sz="0" w:space="0" w:color="auto"/>
        <w:right w:val="none" w:sz="0" w:space="0" w:color="auto"/>
      </w:divBdr>
    </w:div>
    <w:div w:id="1329864345">
      <w:bodyDiv w:val="1"/>
      <w:marLeft w:val="0"/>
      <w:marRight w:val="0"/>
      <w:marTop w:val="0"/>
      <w:marBottom w:val="0"/>
      <w:divBdr>
        <w:top w:val="none" w:sz="0" w:space="0" w:color="auto"/>
        <w:left w:val="none" w:sz="0" w:space="0" w:color="auto"/>
        <w:bottom w:val="none" w:sz="0" w:space="0" w:color="auto"/>
        <w:right w:val="none" w:sz="0" w:space="0" w:color="auto"/>
      </w:divBdr>
    </w:div>
    <w:div w:id="1338730815">
      <w:bodyDiv w:val="1"/>
      <w:marLeft w:val="0"/>
      <w:marRight w:val="0"/>
      <w:marTop w:val="0"/>
      <w:marBottom w:val="0"/>
      <w:divBdr>
        <w:top w:val="none" w:sz="0" w:space="0" w:color="auto"/>
        <w:left w:val="none" w:sz="0" w:space="0" w:color="auto"/>
        <w:bottom w:val="none" w:sz="0" w:space="0" w:color="auto"/>
        <w:right w:val="none" w:sz="0" w:space="0" w:color="auto"/>
      </w:divBdr>
    </w:div>
    <w:div w:id="1387681762">
      <w:bodyDiv w:val="1"/>
      <w:marLeft w:val="0"/>
      <w:marRight w:val="0"/>
      <w:marTop w:val="0"/>
      <w:marBottom w:val="0"/>
      <w:divBdr>
        <w:top w:val="none" w:sz="0" w:space="0" w:color="auto"/>
        <w:left w:val="none" w:sz="0" w:space="0" w:color="auto"/>
        <w:bottom w:val="none" w:sz="0" w:space="0" w:color="auto"/>
        <w:right w:val="none" w:sz="0" w:space="0" w:color="auto"/>
      </w:divBdr>
    </w:div>
    <w:div w:id="1397971747">
      <w:bodyDiv w:val="1"/>
      <w:marLeft w:val="0"/>
      <w:marRight w:val="0"/>
      <w:marTop w:val="0"/>
      <w:marBottom w:val="0"/>
      <w:divBdr>
        <w:top w:val="none" w:sz="0" w:space="0" w:color="auto"/>
        <w:left w:val="none" w:sz="0" w:space="0" w:color="auto"/>
        <w:bottom w:val="none" w:sz="0" w:space="0" w:color="auto"/>
        <w:right w:val="none" w:sz="0" w:space="0" w:color="auto"/>
      </w:divBdr>
    </w:div>
    <w:div w:id="1441729051">
      <w:bodyDiv w:val="1"/>
      <w:marLeft w:val="0"/>
      <w:marRight w:val="0"/>
      <w:marTop w:val="0"/>
      <w:marBottom w:val="0"/>
      <w:divBdr>
        <w:top w:val="none" w:sz="0" w:space="0" w:color="auto"/>
        <w:left w:val="none" w:sz="0" w:space="0" w:color="auto"/>
        <w:bottom w:val="none" w:sz="0" w:space="0" w:color="auto"/>
        <w:right w:val="none" w:sz="0" w:space="0" w:color="auto"/>
      </w:divBdr>
    </w:div>
    <w:div w:id="1441871685">
      <w:bodyDiv w:val="1"/>
      <w:marLeft w:val="0"/>
      <w:marRight w:val="0"/>
      <w:marTop w:val="0"/>
      <w:marBottom w:val="0"/>
      <w:divBdr>
        <w:top w:val="none" w:sz="0" w:space="0" w:color="auto"/>
        <w:left w:val="none" w:sz="0" w:space="0" w:color="auto"/>
        <w:bottom w:val="none" w:sz="0" w:space="0" w:color="auto"/>
        <w:right w:val="none" w:sz="0" w:space="0" w:color="auto"/>
      </w:divBdr>
    </w:div>
    <w:div w:id="1466046092">
      <w:bodyDiv w:val="1"/>
      <w:marLeft w:val="0"/>
      <w:marRight w:val="0"/>
      <w:marTop w:val="0"/>
      <w:marBottom w:val="0"/>
      <w:divBdr>
        <w:top w:val="none" w:sz="0" w:space="0" w:color="auto"/>
        <w:left w:val="none" w:sz="0" w:space="0" w:color="auto"/>
        <w:bottom w:val="none" w:sz="0" w:space="0" w:color="auto"/>
        <w:right w:val="none" w:sz="0" w:space="0" w:color="auto"/>
      </w:divBdr>
    </w:div>
    <w:div w:id="1477993608">
      <w:bodyDiv w:val="1"/>
      <w:marLeft w:val="0"/>
      <w:marRight w:val="0"/>
      <w:marTop w:val="0"/>
      <w:marBottom w:val="0"/>
      <w:divBdr>
        <w:top w:val="none" w:sz="0" w:space="0" w:color="auto"/>
        <w:left w:val="none" w:sz="0" w:space="0" w:color="auto"/>
        <w:bottom w:val="none" w:sz="0" w:space="0" w:color="auto"/>
        <w:right w:val="none" w:sz="0" w:space="0" w:color="auto"/>
      </w:divBdr>
    </w:div>
    <w:div w:id="1552114507">
      <w:bodyDiv w:val="1"/>
      <w:marLeft w:val="0"/>
      <w:marRight w:val="0"/>
      <w:marTop w:val="0"/>
      <w:marBottom w:val="0"/>
      <w:divBdr>
        <w:top w:val="none" w:sz="0" w:space="0" w:color="auto"/>
        <w:left w:val="none" w:sz="0" w:space="0" w:color="auto"/>
        <w:bottom w:val="none" w:sz="0" w:space="0" w:color="auto"/>
        <w:right w:val="none" w:sz="0" w:space="0" w:color="auto"/>
      </w:divBdr>
    </w:div>
    <w:div w:id="1557278859">
      <w:bodyDiv w:val="1"/>
      <w:marLeft w:val="0"/>
      <w:marRight w:val="0"/>
      <w:marTop w:val="0"/>
      <w:marBottom w:val="0"/>
      <w:divBdr>
        <w:top w:val="none" w:sz="0" w:space="0" w:color="auto"/>
        <w:left w:val="none" w:sz="0" w:space="0" w:color="auto"/>
        <w:bottom w:val="none" w:sz="0" w:space="0" w:color="auto"/>
        <w:right w:val="none" w:sz="0" w:space="0" w:color="auto"/>
      </w:divBdr>
    </w:div>
    <w:div w:id="1605461645">
      <w:bodyDiv w:val="1"/>
      <w:marLeft w:val="0"/>
      <w:marRight w:val="0"/>
      <w:marTop w:val="0"/>
      <w:marBottom w:val="0"/>
      <w:divBdr>
        <w:top w:val="none" w:sz="0" w:space="0" w:color="auto"/>
        <w:left w:val="none" w:sz="0" w:space="0" w:color="auto"/>
        <w:bottom w:val="none" w:sz="0" w:space="0" w:color="auto"/>
        <w:right w:val="none" w:sz="0" w:space="0" w:color="auto"/>
      </w:divBdr>
    </w:div>
    <w:div w:id="1656832971">
      <w:bodyDiv w:val="1"/>
      <w:marLeft w:val="0"/>
      <w:marRight w:val="0"/>
      <w:marTop w:val="0"/>
      <w:marBottom w:val="0"/>
      <w:divBdr>
        <w:top w:val="none" w:sz="0" w:space="0" w:color="auto"/>
        <w:left w:val="none" w:sz="0" w:space="0" w:color="auto"/>
        <w:bottom w:val="none" w:sz="0" w:space="0" w:color="auto"/>
        <w:right w:val="none" w:sz="0" w:space="0" w:color="auto"/>
      </w:divBdr>
    </w:div>
    <w:div w:id="1734426991">
      <w:bodyDiv w:val="1"/>
      <w:marLeft w:val="0"/>
      <w:marRight w:val="0"/>
      <w:marTop w:val="0"/>
      <w:marBottom w:val="0"/>
      <w:divBdr>
        <w:top w:val="none" w:sz="0" w:space="0" w:color="auto"/>
        <w:left w:val="none" w:sz="0" w:space="0" w:color="auto"/>
        <w:bottom w:val="none" w:sz="0" w:space="0" w:color="auto"/>
        <w:right w:val="none" w:sz="0" w:space="0" w:color="auto"/>
      </w:divBdr>
    </w:div>
    <w:div w:id="1750691015">
      <w:bodyDiv w:val="1"/>
      <w:marLeft w:val="0"/>
      <w:marRight w:val="0"/>
      <w:marTop w:val="0"/>
      <w:marBottom w:val="0"/>
      <w:divBdr>
        <w:top w:val="none" w:sz="0" w:space="0" w:color="auto"/>
        <w:left w:val="none" w:sz="0" w:space="0" w:color="auto"/>
        <w:bottom w:val="none" w:sz="0" w:space="0" w:color="auto"/>
        <w:right w:val="none" w:sz="0" w:space="0" w:color="auto"/>
      </w:divBdr>
    </w:div>
    <w:div w:id="1835872074">
      <w:bodyDiv w:val="1"/>
      <w:marLeft w:val="0"/>
      <w:marRight w:val="0"/>
      <w:marTop w:val="0"/>
      <w:marBottom w:val="0"/>
      <w:divBdr>
        <w:top w:val="none" w:sz="0" w:space="0" w:color="auto"/>
        <w:left w:val="none" w:sz="0" w:space="0" w:color="auto"/>
        <w:bottom w:val="none" w:sz="0" w:space="0" w:color="auto"/>
        <w:right w:val="none" w:sz="0" w:space="0" w:color="auto"/>
      </w:divBdr>
    </w:div>
    <w:div w:id="1909682285">
      <w:bodyDiv w:val="1"/>
      <w:marLeft w:val="0"/>
      <w:marRight w:val="0"/>
      <w:marTop w:val="0"/>
      <w:marBottom w:val="0"/>
      <w:divBdr>
        <w:top w:val="none" w:sz="0" w:space="0" w:color="auto"/>
        <w:left w:val="none" w:sz="0" w:space="0" w:color="auto"/>
        <w:bottom w:val="none" w:sz="0" w:space="0" w:color="auto"/>
        <w:right w:val="none" w:sz="0" w:space="0" w:color="auto"/>
      </w:divBdr>
    </w:div>
    <w:div w:id="1917396907">
      <w:bodyDiv w:val="1"/>
      <w:marLeft w:val="0"/>
      <w:marRight w:val="0"/>
      <w:marTop w:val="0"/>
      <w:marBottom w:val="0"/>
      <w:divBdr>
        <w:top w:val="none" w:sz="0" w:space="0" w:color="auto"/>
        <w:left w:val="none" w:sz="0" w:space="0" w:color="auto"/>
        <w:bottom w:val="none" w:sz="0" w:space="0" w:color="auto"/>
        <w:right w:val="none" w:sz="0" w:space="0" w:color="auto"/>
      </w:divBdr>
    </w:div>
    <w:div w:id="1951890325">
      <w:bodyDiv w:val="1"/>
      <w:marLeft w:val="0"/>
      <w:marRight w:val="0"/>
      <w:marTop w:val="0"/>
      <w:marBottom w:val="0"/>
      <w:divBdr>
        <w:top w:val="none" w:sz="0" w:space="0" w:color="auto"/>
        <w:left w:val="none" w:sz="0" w:space="0" w:color="auto"/>
        <w:bottom w:val="none" w:sz="0" w:space="0" w:color="auto"/>
        <w:right w:val="none" w:sz="0" w:space="0" w:color="auto"/>
      </w:divBdr>
    </w:div>
    <w:div w:id="1957716361">
      <w:bodyDiv w:val="1"/>
      <w:marLeft w:val="0"/>
      <w:marRight w:val="0"/>
      <w:marTop w:val="0"/>
      <w:marBottom w:val="0"/>
      <w:divBdr>
        <w:top w:val="none" w:sz="0" w:space="0" w:color="auto"/>
        <w:left w:val="none" w:sz="0" w:space="0" w:color="auto"/>
        <w:bottom w:val="none" w:sz="0" w:space="0" w:color="auto"/>
        <w:right w:val="none" w:sz="0" w:space="0" w:color="auto"/>
      </w:divBdr>
    </w:div>
    <w:div w:id="1967659806">
      <w:bodyDiv w:val="1"/>
      <w:marLeft w:val="0"/>
      <w:marRight w:val="0"/>
      <w:marTop w:val="0"/>
      <w:marBottom w:val="0"/>
      <w:divBdr>
        <w:top w:val="none" w:sz="0" w:space="0" w:color="auto"/>
        <w:left w:val="none" w:sz="0" w:space="0" w:color="auto"/>
        <w:bottom w:val="none" w:sz="0" w:space="0" w:color="auto"/>
        <w:right w:val="none" w:sz="0" w:space="0" w:color="auto"/>
      </w:divBdr>
    </w:div>
    <w:div w:id="1969050501">
      <w:bodyDiv w:val="1"/>
      <w:marLeft w:val="0"/>
      <w:marRight w:val="0"/>
      <w:marTop w:val="0"/>
      <w:marBottom w:val="0"/>
      <w:divBdr>
        <w:top w:val="none" w:sz="0" w:space="0" w:color="auto"/>
        <w:left w:val="none" w:sz="0" w:space="0" w:color="auto"/>
        <w:bottom w:val="none" w:sz="0" w:space="0" w:color="auto"/>
        <w:right w:val="none" w:sz="0" w:space="0" w:color="auto"/>
      </w:divBdr>
    </w:div>
    <w:div w:id="2040203940">
      <w:bodyDiv w:val="1"/>
      <w:marLeft w:val="0"/>
      <w:marRight w:val="0"/>
      <w:marTop w:val="0"/>
      <w:marBottom w:val="0"/>
      <w:divBdr>
        <w:top w:val="none" w:sz="0" w:space="0" w:color="auto"/>
        <w:left w:val="none" w:sz="0" w:space="0" w:color="auto"/>
        <w:bottom w:val="none" w:sz="0" w:space="0" w:color="auto"/>
        <w:right w:val="none" w:sz="0" w:space="0" w:color="auto"/>
      </w:divBdr>
    </w:div>
    <w:div w:id="2046327044">
      <w:bodyDiv w:val="1"/>
      <w:marLeft w:val="0"/>
      <w:marRight w:val="0"/>
      <w:marTop w:val="0"/>
      <w:marBottom w:val="0"/>
      <w:divBdr>
        <w:top w:val="none" w:sz="0" w:space="0" w:color="auto"/>
        <w:left w:val="none" w:sz="0" w:space="0" w:color="auto"/>
        <w:bottom w:val="none" w:sz="0" w:space="0" w:color="auto"/>
        <w:right w:val="none" w:sz="0" w:space="0" w:color="auto"/>
      </w:divBdr>
    </w:div>
    <w:div w:id="2068256067">
      <w:bodyDiv w:val="1"/>
      <w:marLeft w:val="0"/>
      <w:marRight w:val="0"/>
      <w:marTop w:val="0"/>
      <w:marBottom w:val="0"/>
      <w:divBdr>
        <w:top w:val="none" w:sz="0" w:space="0" w:color="auto"/>
        <w:left w:val="none" w:sz="0" w:space="0" w:color="auto"/>
        <w:bottom w:val="none" w:sz="0" w:space="0" w:color="auto"/>
        <w:right w:val="none" w:sz="0" w:space="0" w:color="auto"/>
      </w:divBdr>
    </w:div>
    <w:div w:id="2139761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yperlink" Target="http://www.fiap.cl/prontus_fiap/site/artic/20061220/asocfile/20061220023851/memoria_2010_esp.pdf" TargetMode="External"/><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image" Target="media/image7.png"/><Relationship Id="rId25" Type="http://schemas.openxmlformats.org/officeDocument/2006/relationships/hyperlink" Target="http://www.consar.gob.mx/sala_prensa/pdf/presentaciones/2012/encuesta_trayectorias_laborales.pdf" TargetMode="Externa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hyperlink" Target="http://www.ssf.gob.sv/index.php/nov/publi/estadisticas-6324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24" Type="http://schemas.openxmlformats.org/officeDocument/2006/relationships/hyperlink" Target="http://www.bcu.gub.uy/Servicios-Financieros-SSF/Paginas/Memoria-AFAP.aspx" TargetMode="Externa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www.bcu.gub.uy/Servicios-Financieros-SSF/Paginas/Memoria-AFAP.aspx" TargetMode="External"/><Relationship Id="rId28" Type="http://schemas.openxmlformats.org/officeDocument/2006/relationships/hyperlink" Target="http://www.ssf.gob.sv/index.php/nov/publi/estadisticas-63247" TargetMode="External"/><Relationship Id="rId10" Type="http://schemas.openxmlformats.org/officeDocument/2006/relationships/chart" Target="charts/chart2.xml"/><Relationship Id="rId19" Type="http://schemas.openxmlformats.org/officeDocument/2006/relationships/image" Target="media/image9.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4.png"/><Relationship Id="rId22" Type="http://schemas.openxmlformats.org/officeDocument/2006/relationships/hyperlink" Target="http://www.aiosfp.org/estudios_publicaciones/estudios_pub/esquemas_de_traspasos.pdf" TargetMode="External"/><Relationship Id="rId27" Type="http://schemas.openxmlformats.org/officeDocument/2006/relationships/hyperlink" Target="http://www.spensiones.cl/safpstats/stats/" TargetMode="Externa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Hoja_de_c_lculo_de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G:\PensionMarketsInFocus2013.xlsx" TargetMode="External"/><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7059245430287299E-2"/>
          <c:y val="9.4660999377982877E-2"/>
          <c:w val="0.83210784196510768"/>
          <c:h val="0.83916127615522162"/>
        </c:manualLayout>
      </c:layout>
      <c:lineChart>
        <c:grouping val="standard"/>
        <c:varyColors val="0"/>
        <c:ser>
          <c:idx val="2"/>
          <c:order val="0"/>
          <c:tx>
            <c:strRef>
              <c:f>'Data F1'!$A$8</c:f>
              <c:strCache>
                <c:ptCount val="1"/>
                <c:pt idx="0">
                  <c:v>Fondos de inversión</c:v>
                </c:pt>
              </c:strCache>
            </c:strRef>
          </c:tx>
          <c:spPr>
            <a:ln w="22225" cap="rnd">
              <a:solidFill>
                <a:schemeClr val="accent4"/>
              </a:solidFill>
              <a:round/>
            </a:ln>
            <a:effectLst/>
          </c:spPr>
          <c:marker>
            <c:symbol val="triangle"/>
            <c:size val="6"/>
            <c:spPr>
              <a:solidFill>
                <a:schemeClr val="accent4"/>
              </a:solidFill>
              <a:ln w="9525">
                <a:solidFill>
                  <a:schemeClr val="accent4"/>
                </a:solidFill>
                <a:round/>
              </a:ln>
              <a:effectLst/>
            </c:spPr>
          </c:marker>
          <c:dLbls>
            <c:dLbl>
              <c:idx val="0"/>
              <c:delete val="1"/>
              <c:extLst>
                <c:ext xmlns:c15="http://schemas.microsoft.com/office/drawing/2012/chart" uri="{CE6537A1-D6FC-4f65-9D91-7224C49458BB}"/>
              </c:extLst>
            </c:dLbl>
            <c:dLbl>
              <c:idx val="1"/>
              <c:delete val="1"/>
              <c:extLst>
                <c:ext xmlns:c15="http://schemas.microsoft.com/office/drawing/2012/chart" uri="{CE6537A1-D6FC-4f65-9D91-7224C49458BB}"/>
              </c:extLst>
            </c:dLbl>
            <c:dLbl>
              <c:idx val="2"/>
              <c:delete val="1"/>
              <c:extLst>
                <c:ext xmlns:c15="http://schemas.microsoft.com/office/drawing/2012/chart" uri="{CE6537A1-D6FC-4f65-9D91-7224C49458BB}"/>
              </c:extLst>
            </c:dLbl>
            <c:dLbl>
              <c:idx val="3"/>
              <c:delete val="1"/>
              <c:extLst>
                <c:ext xmlns:c15="http://schemas.microsoft.com/office/drawing/2012/chart" uri="{CE6537A1-D6FC-4f65-9D91-7224C49458BB}"/>
              </c:extLst>
            </c:dLbl>
            <c:dLbl>
              <c:idx val="4"/>
              <c:delete val="1"/>
              <c:extLst>
                <c:ext xmlns:c15="http://schemas.microsoft.com/office/drawing/2012/chart" uri="{CE6537A1-D6FC-4f65-9D91-7224C49458BB}"/>
              </c:extLst>
            </c:dLbl>
            <c:dLbl>
              <c:idx val="5"/>
              <c:delete val="1"/>
              <c:extLst>
                <c:ext xmlns:c15="http://schemas.microsoft.com/office/drawing/2012/chart" uri="{CE6537A1-D6FC-4f65-9D91-7224C49458BB}"/>
              </c:extLst>
            </c:dLbl>
            <c:dLbl>
              <c:idx val="6"/>
              <c:delete val="1"/>
              <c:extLst>
                <c:ext xmlns:c15="http://schemas.microsoft.com/office/drawing/2012/chart" uri="{CE6537A1-D6FC-4f65-9D91-7224C49458BB}"/>
              </c:extLst>
            </c:dLbl>
            <c:dLbl>
              <c:idx val="7"/>
              <c:delete val="1"/>
              <c:extLst>
                <c:ext xmlns:c15="http://schemas.microsoft.com/office/drawing/2012/chart" uri="{CE6537A1-D6FC-4f65-9D91-7224C49458BB}"/>
              </c:extLst>
            </c:dLbl>
            <c:dLbl>
              <c:idx val="8"/>
              <c:delete val="1"/>
              <c:extLst>
                <c:ext xmlns:c15="http://schemas.microsoft.com/office/drawing/2012/chart" uri="{CE6537A1-D6FC-4f65-9D91-7224C49458BB}"/>
              </c:extLst>
            </c:dLbl>
            <c:dLbl>
              <c:idx val="9"/>
              <c:delete val="1"/>
              <c:extLst>
                <c:ext xmlns:c15="http://schemas.microsoft.com/office/drawing/2012/chart" uri="{CE6537A1-D6FC-4f65-9D91-7224C49458BB}"/>
              </c:extLst>
            </c:dLbl>
            <c:dLbl>
              <c:idx val="10"/>
              <c:layout>
                <c:manualLayout>
                  <c:x val="-5.1196375995322833E-2"/>
                  <c:y val="-2.1875000000000561E-2"/>
                </c:manualLayout>
              </c:layout>
              <c:showLegendKey val="0"/>
              <c:showVal val="1"/>
              <c:showCatName val="0"/>
              <c:showSerName val="0"/>
              <c:showPercent val="0"/>
              <c:showBubbleSize val="0"/>
              <c:extLst>
                <c:ext xmlns:c15="http://schemas.microsoft.com/office/drawing/2012/chart" uri="{CE6537A1-D6FC-4f65-9D91-7224C49458BB}"/>
              </c:extLst>
            </c:dLbl>
            <c:dLbl>
              <c:idx val="11"/>
              <c:layout>
                <c:manualLayout>
                  <c:x val="-4.9489830128812133E-2"/>
                  <c:y val="-2.5000000000000216E-2"/>
                </c:manualLayout>
              </c:layout>
              <c:showLegendKey val="0"/>
              <c:showVal val="1"/>
              <c:showCatName val="0"/>
              <c:showSerName val="0"/>
              <c:showPercent val="0"/>
              <c:showBubbleSize val="0"/>
              <c:extLst>
                <c:ext xmlns:c15="http://schemas.microsoft.com/office/drawing/2012/chart" uri="{CE6537A1-D6FC-4f65-9D91-7224C49458BB}"/>
              </c:extLst>
            </c:dLbl>
            <c:dLbl>
              <c:idx val="12"/>
              <c:layout>
                <c:manualLayout>
                  <c:x val="-3.0717825597193871E-2"/>
                  <c:y val="-2.5000000000000206E-2"/>
                </c:manualLayout>
              </c:layout>
              <c:showLegendKey val="0"/>
              <c:showVal val="1"/>
              <c:showCatName val="0"/>
              <c:showSerName val="0"/>
              <c:showPercent val="0"/>
              <c:showBubbleSize val="0"/>
              <c:extLst>
                <c:ext xmlns:c15="http://schemas.microsoft.com/office/drawing/2012/chart" uri="{CE6537A1-D6FC-4f65-9D91-7224C49458BB}"/>
              </c:extLst>
            </c:dLbl>
            <c:dLbl>
              <c:idx val="13"/>
              <c:layout>
                <c:manualLayout>
                  <c:x val="-2.7304733864172252E-2"/>
                  <c:y val="-5.6250000000000015E-2"/>
                </c:manualLayout>
              </c:layout>
              <c:showLegendKey val="0"/>
              <c:showVal val="1"/>
              <c:showCatName val="0"/>
              <c:showSerName val="0"/>
              <c:showPercent val="0"/>
              <c:showBubbleSize val="0"/>
              <c:extLst>
                <c:ext xmlns:c15="http://schemas.microsoft.com/office/drawing/2012/chart" uri="{CE6537A1-D6FC-4f65-9D91-7224C49458BB}"/>
              </c:extLst>
            </c:dLbl>
            <c:dLbl>
              <c:idx val="14"/>
              <c:layout>
                <c:manualLayout>
                  <c:x val="-4.2663646662768916E-2"/>
                  <c:y val="-3.4375000000000308E-2"/>
                </c:manualLayout>
              </c:layout>
              <c:showLegendKey val="0"/>
              <c:showVal val="1"/>
              <c:showCatName val="0"/>
              <c:showSerName val="0"/>
              <c:showPercent val="0"/>
              <c:showBubbleSize val="0"/>
              <c:extLst>
                <c:ext xmlns:c15="http://schemas.microsoft.com/office/drawing/2012/chart" uri="{CE6537A1-D6FC-4f65-9D91-7224C49458BB}"/>
              </c:extLst>
            </c:dLbl>
            <c:dLbl>
              <c:idx val="15"/>
              <c:layout>
                <c:manualLayout>
                  <c:x val="-2.7304733864172252E-2"/>
                  <c:y val="-2.8124999999999987E-2"/>
                </c:manualLayout>
              </c:layout>
              <c:showLegendKey val="0"/>
              <c:showVal val="1"/>
              <c:showCatName val="0"/>
              <c:showSerName val="0"/>
              <c:showPercent val="0"/>
              <c:showBubbleSize val="0"/>
              <c:extLst>
                <c:ext xmlns:c15="http://schemas.microsoft.com/office/drawing/2012/chart" uri="{CE6537A1-D6FC-4f65-9D91-7224C49458BB}"/>
              </c:extLst>
            </c:dLbl>
            <c:dLbl>
              <c:idx val="17"/>
              <c:delete val="1"/>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'Data F1'!$B$7:$S$7</c:f>
              <c:numCache>
                <c:formatCode>General</c:formatCode>
                <c:ptCount val="18"/>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numCache>
            </c:numRef>
          </c:cat>
          <c:val>
            <c:numRef>
              <c:f>'Data F1'!$B$8:$S$8</c:f>
              <c:numCache>
                <c:formatCode>0.0</c:formatCode>
                <c:ptCount val="18"/>
                <c:pt idx="0">
                  <c:v>6.3660176745981296</c:v>
                </c:pt>
                <c:pt idx="1">
                  <c:v>7.0095764553722004</c:v>
                </c:pt>
                <c:pt idx="2">
                  <c:v>8.1916294528593134</c:v>
                </c:pt>
                <c:pt idx="3">
                  <c:v>9.8628334614067796</c:v>
                </c:pt>
                <c:pt idx="4">
                  <c:v>12.896994759000426</c:v>
                </c:pt>
                <c:pt idx="5">
                  <c:v>12.667485088812896</c:v>
                </c:pt>
                <c:pt idx="6">
                  <c:v>12.680169182296448</c:v>
                </c:pt>
                <c:pt idx="7">
                  <c:v>13.123594714664026</c:v>
                </c:pt>
                <c:pt idx="8">
                  <c:v>16.279232934868713</c:v>
                </c:pt>
                <c:pt idx="9">
                  <c:v>18.632807545016735</c:v>
                </c:pt>
                <c:pt idx="10">
                  <c:v>20.222786058166051</c:v>
                </c:pt>
                <c:pt idx="11">
                  <c:v>24.246992089151789</c:v>
                </c:pt>
                <c:pt idx="12">
                  <c:v>28.190403423709554</c:v>
                </c:pt>
                <c:pt idx="13">
                  <c:v>22.871617613454095</c:v>
                </c:pt>
                <c:pt idx="14">
                  <c:v>26.795667836612452</c:v>
                </c:pt>
                <c:pt idx="15">
                  <c:v>28.776323857150889</c:v>
                </c:pt>
                <c:pt idx="16">
                  <c:v>28.239103727540805</c:v>
                </c:pt>
                <c:pt idx="17">
                  <c:v>29.985768016966901</c:v>
                </c:pt>
              </c:numCache>
            </c:numRef>
          </c:val>
          <c:smooth val="0"/>
        </c:ser>
        <c:ser>
          <c:idx val="1"/>
          <c:order val="1"/>
          <c:tx>
            <c:strRef>
              <c:f>'Data F1'!$A$9</c:f>
              <c:strCache>
                <c:ptCount val="1"/>
                <c:pt idx="0">
                  <c:v>Compañias de seguros</c:v>
                </c:pt>
              </c:strCache>
            </c:strRef>
          </c:tx>
          <c:spPr>
            <a:ln w="22225" cap="rnd">
              <a:solidFill>
                <a:schemeClr val="accent5"/>
              </a:solidFill>
              <a:round/>
            </a:ln>
            <a:effectLst/>
          </c:spPr>
          <c:marker>
            <c:symbol val="square"/>
            <c:size val="6"/>
            <c:spPr>
              <a:solidFill>
                <a:schemeClr val="accent5"/>
              </a:solidFill>
              <a:ln w="9525">
                <a:solidFill>
                  <a:schemeClr val="accent5"/>
                </a:solidFill>
                <a:round/>
              </a:ln>
              <a:effectLst/>
            </c:spPr>
          </c:marker>
          <c:dLbls>
            <c:dLbl>
              <c:idx val="0"/>
              <c:delete val="1"/>
              <c:extLst>
                <c:ext xmlns:c15="http://schemas.microsoft.com/office/drawing/2012/chart" uri="{CE6537A1-D6FC-4f65-9D91-7224C49458BB}"/>
              </c:extLst>
            </c:dLbl>
            <c:dLbl>
              <c:idx val="1"/>
              <c:delete val="1"/>
              <c:extLst>
                <c:ext xmlns:c15="http://schemas.microsoft.com/office/drawing/2012/chart" uri="{CE6537A1-D6FC-4f65-9D91-7224C49458BB}"/>
              </c:extLst>
            </c:dLbl>
            <c:dLbl>
              <c:idx val="2"/>
              <c:delete val="1"/>
              <c:extLst>
                <c:ext xmlns:c15="http://schemas.microsoft.com/office/drawing/2012/chart" uri="{CE6537A1-D6FC-4f65-9D91-7224C49458BB}"/>
              </c:extLst>
            </c:dLbl>
            <c:dLbl>
              <c:idx val="3"/>
              <c:delete val="1"/>
              <c:extLst>
                <c:ext xmlns:c15="http://schemas.microsoft.com/office/drawing/2012/chart" uri="{CE6537A1-D6FC-4f65-9D91-7224C49458BB}"/>
              </c:extLst>
            </c:dLbl>
            <c:dLbl>
              <c:idx val="4"/>
              <c:delete val="1"/>
              <c:extLst>
                <c:ext xmlns:c15="http://schemas.microsoft.com/office/drawing/2012/chart" uri="{CE6537A1-D6FC-4f65-9D91-7224C49458BB}"/>
              </c:extLst>
            </c:dLbl>
            <c:dLbl>
              <c:idx val="5"/>
              <c:delete val="1"/>
              <c:extLst>
                <c:ext xmlns:c15="http://schemas.microsoft.com/office/drawing/2012/chart" uri="{CE6537A1-D6FC-4f65-9D91-7224C49458BB}"/>
              </c:extLst>
            </c:dLbl>
            <c:dLbl>
              <c:idx val="6"/>
              <c:delete val="1"/>
              <c:extLst>
                <c:ext xmlns:c15="http://schemas.microsoft.com/office/drawing/2012/chart" uri="{CE6537A1-D6FC-4f65-9D91-7224C49458BB}"/>
              </c:extLst>
            </c:dLbl>
            <c:dLbl>
              <c:idx val="7"/>
              <c:delete val="1"/>
              <c:extLst>
                <c:ext xmlns:c15="http://schemas.microsoft.com/office/drawing/2012/chart" uri="{CE6537A1-D6FC-4f65-9D91-7224C49458BB}"/>
              </c:extLst>
            </c:dLbl>
            <c:dLbl>
              <c:idx val="9"/>
              <c:delete val="1"/>
              <c:extLst>
                <c:ext xmlns:c15="http://schemas.microsoft.com/office/drawing/2012/chart" uri="{CE6537A1-D6FC-4f65-9D91-7224C49458BB}"/>
              </c:extLst>
            </c:dLbl>
            <c:dLbl>
              <c:idx val="12"/>
              <c:layout>
                <c:manualLayout>
                  <c:x val="-2.9011279730682873E-2"/>
                  <c:y val="-2.1875000000000495E-2"/>
                </c:manualLayout>
              </c:layout>
              <c:showLegendKey val="0"/>
              <c:showVal val="1"/>
              <c:showCatName val="0"/>
              <c:showSerName val="0"/>
              <c:showPercent val="0"/>
              <c:showBubbleSize val="0"/>
              <c:extLst>
                <c:ext xmlns:c15="http://schemas.microsoft.com/office/drawing/2012/chart" uri="{CE6537A1-D6FC-4f65-9D91-7224C49458BB}"/>
              </c:extLst>
            </c:dLbl>
            <c:dLbl>
              <c:idx val="15"/>
              <c:layout>
                <c:manualLayout>
                  <c:x val="-3.2424371463705116E-2"/>
                  <c:y val="-3.7500000000000304E-2"/>
                </c:manualLayout>
              </c:layout>
              <c:showLegendKey val="0"/>
              <c:showVal val="1"/>
              <c:showCatName val="0"/>
              <c:showSerName val="0"/>
              <c:showPercent val="0"/>
              <c:showBubbleSize val="0"/>
              <c:extLst>
                <c:ext xmlns:c15="http://schemas.microsoft.com/office/drawing/2012/chart" uri="{CE6537A1-D6FC-4f65-9D91-7224C49458BB}"/>
              </c:extLst>
            </c:dLbl>
            <c:dLbl>
              <c:idx val="16"/>
              <c:layout>
                <c:manualLayout>
                  <c:x val="-1.1945821065575787E-2"/>
                  <c:y val="3.1250000000000291E-2"/>
                </c:manualLayout>
              </c:layout>
              <c:showLegendKey val="0"/>
              <c:showVal val="1"/>
              <c:showCatName val="0"/>
              <c:showSerName val="0"/>
              <c:showPercent val="0"/>
              <c:showBubbleSize val="0"/>
              <c:extLst>
                <c:ext xmlns:c15="http://schemas.microsoft.com/office/drawing/2012/chart" uri="{CE6537A1-D6FC-4f65-9D91-7224C49458BB}"/>
              </c:extLst>
            </c:dLbl>
            <c:dLbl>
              <c:idx val="17"/>
              <c:delete val="1"/>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'Data F1'!$B$7:$S$7</c:f>
              <c:numCache>
                <c:formatCode>General</c:formatCode>
                <c:ptCount val="18"/>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numCache>
            </c:numRef>
          </c:cat>
          <c:val>
            <c:numRef>
              <c:f>'Data F1'!$B$9:$S$9</c:f>
              <c:numCache>
                <c:formatCode>0.0</c:formatCode>
                <c:ptCount val="18"/>
                <c:pt idx="0">
                  <c:v>8.1115114805086819</c:v>
                </c:pt>
                <c:pt idx="1">
                  <c:v>8.603720697614591</c:v>
                </c:pt>
                <c:pt idx="2">
                  <c:v>9.0517164419778684</c:v>
                </c:pt>
                <c:pt idx="3">
                  <c:v>10.19729193846435</c:v>
                </c:pt>
                <c:pt idx="4">
                  <c:v>11.478774360247568</c:v>
                </c:pt>
                <c:pt idx="5">
                  <c:v>11.094936052930494</c:v>
                </c:pt>
                <c:pt idx="6">
                  <c:v>10.778366578330008</c:v>
                </c:pt>
                <c:pt idx="7">
                  <c:v>12.132635210103826</c:v>
                </c:pt>
                <c:pt idx="8">
                  <c:v>15.828358756922995</c:v>
                </c:pt>
                <c:pt idx="9">
                  <c:v>18.009643175859889</c:v>
                </c:pt>
                <c:pt idx="10">
                  <c:v>18.03817822285329</c:v>
                </c:pt>
                <c:pt idx="11">
                  <c:v>20.186047349450668</c:v>
                </c:pt>
                <c:pt idx="12">
                  <c:v>22.106395128760337</c:v>
                </c:pt>
                <c:pt idx="13">
                  <c:v>20.216930243396646</c:v>
                </c:pt>
                <c:pt idx="14">
                  <c:v>22.17468929431659</c:v>
                </c:pt>
                <c:pt idx="15">
                  <c:v>23.349769195591676</c:v>
                </c:pt>
                <c:pt idx="16">
                  <c:v>24.16110711846331</c:v>
                </c:pt>
                <c:pt idx="17">
                  <c:v>24.514460857199261</c:v>
                </c:pt>
              </c:numCache>
            </c:numRef>
          </c:val>
          <c:smooth val="0"/>
        </c:ser>
        <c:ser>
          <c:idx val="0"/>
          <c:order val="2"/>
          <c:tx>
            <c:strRef>
              <c:f>'Data F1'!$A$10</c:f>
              <c:strCache>
                <c:ptCount val="1"/>
                <c:pt idx="0">
                  <c:v>Fondos de pensiones</c:v>
                </c:pt>
              </c:strCache>
            </c:strRef>
          </c:tx>
          <c:spPr>
            <a:ln w="22225" cap="rnd">
              <a:solidFill>
                <a:schemeClr val="accent6"/>
              </a:solidFill>
              <a:round/>
            </a:ln>
            <a:effectLst/>
          </c:spPr>
          <c:marker>
            <c:symbol val="diamond"/>
            <c:size val="6"/>
            <c:spPr>
              <a:solidFill>
                <a:schemeClr val="accent6"/>
              </a:solidFill>
              <a:ln w="9525">
                <a:solidFill>
                  <a:schemeClr val="accent6"/>
                </a:solidFill>
                <a:round/>
              </a:ln>
              <a:effectLst/>
            </c:spPr>
          </c:marker>
          <c:dLbls>
            <c:dLbl>
              <c:idx val="0"/>
              <c:delete val="1"/>
              <c:extLst>
                <c:ext xmlns:c15="http://schemas.microsoft.com/office/drawing/2012/chart" uri="{CE6537A1-D6FC-4f65-9D91-7224C49458BB}"/>
              </c:extLst>
            </c:dLbl>
            <c:dLbl>
              <c:idx val="1"/>
              <c:delete val="1"/>
              <c:extLst>
                <c:ext xmlns:c15="http://schemas.microsoft.com/office/drawing/2012/chart" uri="{CE6537A1-D6FC-4f65-9D91-7224C49458BB}"/>
              </c:extLst>
            </c:dLbl>
            <c:dLbl>
              <c:idx val="2"/>
              <c:delete val="1"/>
              <c:extLst>
                <c:ext xmlns:c15="http://schemas.microsoft.com/office/drawing/2012/chart" uri="{CE6537A1-D6FC-4f65-9D91-7224C49458BB}"/>
              </c:extLst>
            </c:dLbl>
            <c:dLbl>
              <c:idx val="3"/>
              <c:delete val="1"/>
              <c:extLst>
                <c:ext xmlns:c15="http://schemas.microsoft.com/office/drawing/2012/chart" uri="{CE6537A1-D6FC-4f65-9D91-7224C49458BB}"/>
              </c:extLst>
            </c:dLbl>
            <c:dLbl>
              <c:idx val="4"/>
              <c:delete val="1"/>
              <c:extLst>
                <c:ext xmlns:c15="http://schemas.microsoft.com/office/drawing/2012/chart" uri="{CE6537A1-D6FC-4f65-9D91-7224C49458BB}"/>
              </c:extLst>
            </c:dLbl>
            <c:dLbl>
              <c:idx val="5"/>
              <c:delete val="1"/>
              <c:extLst>
                <c:ext xmlns:c15="http://schemas.microsoft.com/office/drawing/2012/chart" uri="{CE6537A1-D6FC-4f65-9D91-7224C49458BB}"/>
              </c:extLst>
            </c:dLbl>
            <c:dLbl>
              <c:idx val="6"/>
              <c:delete val="1"/>
              <c:extLst>
                <c:ext xmlns:c15="http://schemas.microsoft.com/office/drawing/2012/chart" uri="{CE6537A1-D6FC-4f65-9D91-7224C49458BB}"/>
              </c:extLst>
            </c:dLbl>
            <c:dLbl>
              <c:idx val="8"/>
              <c:delete val="1"/>
              <c:extLst>
                <c:ext xmlns:c15="http://schemas.microsoft.com/office/drawing/2012/chart" uri="{CE6537A1-D6FC-4f65-9D91-7224C49458BB}"/>
              </c:extLst>
            </c:dLbl>
            <c:dLbl>
              <c:idx val="9"/>
              <c:delete val="1"/>
              <c:extLst>
                <c:ext xmlns:c15="http://schemas.microsoft.com/office/drawing/2012/chart" uri="{CE6537A1-D6FC-4f65-9D91-7224C49458BB}"/>
              </c:extLst>
            </c:dLbl>
            <c:dLbl>
              <c:idx val="10"/>
              <c:layout>
                <c:manualLayout>
                  <c:x val="-1.8772004531618515E-2"/>
                  <c:y val="3.4375000000000308E-2"/>
                </c:manualLayout>
              </c:layout>
              <c:showLegendKey val="0"/>
              <c:showVal val="1"/>
              <c:showCatName val="0"/>
              <c:showSerName val="0"/>
              <c:showPercent val="0"/>
              <c:showBubbleSize val="0"/>
              <c:extLst>
                <c:ext xmlns:c15="http://schemas.microsoft.com/office/drawing/2012/chart" uri="{CE6537A1-D6FC-4f65-9D91-7224C49458BB}"/>
              </c:extLst>
            </c:dLbl>
            <c:dLbl>
              <c:idx val="11"/>
              <c:layout>
                <c:manualLayout>
                  <c:x val="-2.3891642131150852E-2"/>
                  <c:y val="4.0624999999999988E-2"/>
                </c:manualLayout>
              </c:layout>
              <c:showLegendKey val="0"/>
              <c:showVal val="1"/>
              <c:showCatName val="0"/>
              <c:showSerName val="0"/>
              <c:showPercent val="0"/>
              <c:showBubbleSize val="0"/>
              <c:extLst>
                <c:ext xmlns:c15="http://schemas.microsoft.com/office/drawing/2012/chart" uri="{CE6537A1-D6FC-4f65-9D91-7224C49458BB}"/>
              </c:extLst>
            </c:dLbl>
            <c:dLbl>
              <c:idx val="12"/>
              <c:layout>
                <c:manualLayout>
                  <c:x val="-3.2424371463705116E-2"/>
                  <c:y val="3.7500000000000269E-2"/>
                </c:manualLayout>
              </c:layout>
              <c:showLegendKey val="0"/>
              <c:showVal val="1"/>
              <c:showCatName val="0"/>
              <c:showSerName val="0"/>
              <c:showPercent val="0"/>
              <c:showBubbleSize val="0"/>
              <c:extLst>
                <c:ext xmlns:c15="http://schemas.microsoft.com/office/drawing/2012/chart" uri="{CE6537A1-D6FC-4f65-9D91-7224C49458BB}"/>
              </c:extLst>
            </c:dLbl>
            <c:dLbl>
              <c:idx val="13"/>
              <c:layout>
                <c:manualLayout>
                  <c:x val="-2.3891642131150602E-2"/>
                  <c:y val="3.1250000000000291E-2"/>
                </c:manualLayout>
              </c:layout>
              <c:showLegendKey val="0"/>
              <c:showVal val="1"/>
              <c:showCatName val="0"/>
              <c:showSerName val="0"/>
              <c:showPercent val="0"/>
              <c:showBubbleSize val="0"/>
              <c:extLst>
                <c:ext xmlns:c15="http://schemas.microsoft.com/office/drawing/2012/chart" uri="{CE6537A1-D6FC-4f65-9D91-7224C49458BB}"/>
              </c:extLst>
            </c:dLbl>
            <c:dLbl>
              <c:idx val="14"/>
              <c:layout>
                <c:manualLayout>
                  <c:x val="-1.0239275199064542E-2"/>
                  <c:y val="2.8124999999999987E-2"/>
                </c:manualLayout>
              </c:layout>
              <c:showLegendKey val="0"/>
              <c:showVal val="1"/>
              <c:showCatName val="0"/>
              <c:showSerName val="0"/>
              <c:showPercent val="0"/>
              <c:showBubbleSize val="0"/>
              <c:extLst>
                <c:ext xmlns:c15="http://schemas.microsoft.com/office/drawing/2012/chart" uri="{CE6537A1-D6FC-4f65-9D91-7224C49458BB}"/>
              </c:extLst>
            </c:dLbl>
            <c:dLbl>
              <c:idx val="15"/>
              <c:layout>
                <c:manualLayout>
                  <c:x val="-1.5358912798596778E-2"/>
                  <c:y val="4.0624999999999988E-2"/>
                </c:manualLayout>
              </c:layout>
              <c:showLegendKey val="0"/>
              <c:showVal val="1"/>
              <c:showCatName val="0"/>
              <c:showSerName val="0"/>
              <c:showPercent val="0"/>
              <c:showBubbleSize val="0"/>
              <c:extLst>
                <c:ext xmlns:c15="http://schemas.microsoft.com/office/drawing/2012/chart" uri="{CE6537A1-D6FC-4f65-9D91-7224C49458BB}"/>
              </c:extLst>
            </c:dLbl>
            <c:dLbl>
              <c:idx val="16"/>
              <c:layout>
                <c:manualLayout>
                  <c:x val="-6.8261834660430414E-3"/>
                  <c:y val="2.8124999999999987E-2"/>
                </c:manualLayout>
              </c:layout>
              <c:showLegendKey val="0"/>
              <c:showVal val="1"/>
              <c:showCatName val="0"/>
              <c:showSerName val="0"/>
              <c:showPercent val="0"/>
              <c:showBubbleSize val="0"/>
              <c:extLst>
                <c:ext xmlns:c15="http://schemas.microsoft.com/office/drawing/2012/chart" uri="{CE6537A1-D6FC-4f65-9D91-7224C49458BB}"/>
              </c:extLst>
            </c:dLbl>
            <c:dLbl>
              <c:idx val="17"/>
              <c:delete val="1"/>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'Data F1'!$B$7:$S$7</c:f>
              <c:numCache>
                <c:formatCode>General</c:formatCode>
                <c:ptCount val="18"/>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numCache>
            </c:numRef>
          </c:cat>
          <c:val>
            <c:numRef>
              <c:f>'Data F1'!$B$10:$S$10</c:f>
              <c:numCache>
                <c:formatCode>0.0</c:formatCode>
                <c:ptCount val="18"/>
                <c:pt idx="0">
                  <c:v>7.3444130651301274</c:v>
                </c:pt>
                <c:pt idx="1">
                  <c:v>8.1273816040509939</c:v>
                </c:pt>
                <c:pt idx="2">
                  <c:v>9.1565397705594247</c:v>
                </c:pt>
                <c:pt idx="3">
                  <c:v>10.215603360563405</c:v>
                </c:pt>
                <c:pt idx="4">
                  <c:v>11.441002707131648</c:v>
                </c:pt>
                <c:pt idx="5">
                  <c:v>11.126308572338498</c:v>
                </c:pt>
                <c:pt idx="6">
                  <c:v>10.686369517522056</c:v>
                </c:pt>
                <c:pt idx="7">
                  <c:v>10.521512603576138</c:v>
                </c:pt>
                <c:pt idx="8">
                  <c:v>12.991072057815197</c:v>
                </c:pt>
                <c:pt idx="9">
                  <c:v>14.357856485950956</c:v>
                </c:pt>
                <c:pt idx="10">
                  <c:v>15.444645511985724</c:v>
                </c:pt>
                <c:pt idx="11">
                  <c:v>17.352424489751272</c:v>
                </c:pt>
                <c:pt idx="12">
                  <c:v>19.067035534598642</c:v>
                </c:pt>
                <c:pt idx="13">
                  <c:v>15.391575400882418</c:v>
                </c:pt>
                <c:pt idx="14">
                  <c:v>17.552169191596199</c:v>
                </c:pt>
                <c:pt idx="15">
                  <c:v>19.473357536701489</c:v>
                </c:pt>
                <c:pt idx="16">
                  <c:v>20.363080123855891</c:v>
                </c:pt>
                <c:pt idx="17">
                  <c:v>21.753819896922089</c:v>
                </c:pt>
              </c:numCache>
            </c:numRef>
          </c:val>
          <c:smooth val="0"/>
        </c:ser>
        <c:ser>
          <c:idx val="3"/>
          <c:order val="3"/>
          <c:tx>
            <c:strRef>
              <c:f>'Data F1'!$A$11</c:f>
              <c:strCache>
                <c:ptCount val="1"/>
                <c:pt idx="0">
                  <c:v>Otros</c:v>
                </c:pt>
              </c:strCache>
            </c:strRef>
          </c:tx>
          <c:spPr>
            <a:ln w="22225" cap="rnd">
              <a:solidFill>
                <a:schemeClr val="accent6">
                  <a:lumMod val="60000"/>
                </a:schemeClr>
              </a:solidFill>
              <a:round/>
            </a:ln>
            <a:effectLst/>
          </c:spPr>
          <c:marker>
            <c:symbol val="x"/>
            <c:size val="6"/>
            <c:spPr>
              <a:noFill/>
              <a:ln w="9525">
                <a:solidFill>
                  <a:schemeClr val="accent6">
                    <a:lumMod val="60000"/>
                  </a:schemeClr>
                </a:solidFill>
                <a:round/>
              </a:ln>
              <a:effectLst/>
            </c:spPr>
          </c:marker>
          <c:cat>
            <c:numRef>
              <c:f>'Data F1'!$B$7:$S$7</c:f>
              <c:numCache>
                <c:formatCode>General</c:formatCode>
                <c:ptCount val="18"/>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numCache>
            </c:numRef>
          </c:cat>
          <c:val>
            <c:numRef>
              <c:f>'Data F1'!$B$11:$S$11</c:f>
              <c:numCache>
                <c:formatCode>0.0</c:formatCode>
                <c:ptCount val="18"/>
                <c:pt idx="0">
                  <c:v>0.65984314694315993</c:v>
                </c:pt>
                <c:pt idx="1">
                  <c:v>0.65603796831497574</c:v>
                </c:pt>
                <c:pt idx="2">
                  <c:v>0.65376577055711571</c:v>
                </c:pt>
                <c:pt idx="3">
                  <c:v>0.81067653168515463</c:v>
                </c:pt>
                <c:pt idx="4">
                  <c:v>0.95141672895401941</c:v>
                </c:pt>
                <c:pt idx="5">
                  <c:v>0.86365865951552756</c:v>
                </c:pt>
                <c:pt idx="6">
                  <c:v>0.54995202608547944</c:v>
                </c:pt>
                <c:pt idx="7">
                  <c:v>0.66052443561450369</c:v>
                </c:pt>
                <c:pt idx="8">
                  <c:v>0.89853581455662412</c:v>
                </c:pt>
                <c:pt idx="9">
                  <c:v>1.1204372138168901</c:v>
                </c:pt>
                <c:pt idx="10">
                  <c:v>1.1779659387532504</c:v>
                </c:pt>
                <c:pt idx="11">
                  <c:v>1.4308429998587497</c:v>
                </c:pt>
                <c:pt idx="12">
                  <c:v>1.6018729191223067</c:v>
                </c:pt>
                <c:pt idx="13">
                  <c:v>1.2932635553407599</c:v>
                </c:pt>
                <c:pt idx="14">
                  <c:v>1.51825037435497</c:v>
                </c:pt>
                <c:pt idx="15">
                  <c:v>1.5850774551985947</c:v>
                </c:pt>
                <c:pt idx="16">
                  <c:v>1.591347592109033</c:v>
                </c:pt>
                <c:pt idx="17">
                  <c:v>1.8810506536988061</c:v>
                </c:pt>
              </c:numCache>
            </c:numRef>
          </c:val>
          <c:smooth val="0"/>
        </c:ser>
        <c:dLbls>
          <c:showLegendKey val="0"/>
          <c:showVal val="0"/>
          <c:showCatName val="0"/>
          <c:showSerName val="0"/>
          <c:showPercent val="0"/>
          <c:showBubbleSize val="0"/>
        </c:dLbls>
        <c:marker val="1"/>
        <c:smooth val="0"/>
        <c:axId val="1194600048"/>
        <c:axId val="1194598960"/>
      </c:lineChart>
      <c:catAx>
        <c:axId val="119460004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low"/>
        <c:spPr>
          <a:noFill/>
          <a:ln w="9525" cap="flat" cmpd="sng" algn="ctr">
            <a:solidFill>
              <a:schemeClr val="tx1">
                <a:lumMod val="15000"/>
                <a:lumOff val="85000"/>
              </a:schemeClr>
            </a:solidFill>
            <a:round/>
          </a:ln>
          <a:effectLst/>
          <a:extLst/>
        </c:spPr>
        <c:txPr>
          <a:bodyPr rot="-60000000" spcFirstLastPara="1" vertOverflow="ellipsis" vert="horz" wrap="square" anchor="ctr" anchorCtr="1"/>
          <a:lstStyle/>
          <a:p>
            <a:pPr>
              <a:defRPr sz="800" b="0" i="0" u="none" strike="noStrike" kern="1200" cap="all" spc="120" normalizeH="0" baseline="0">
                <a:solidFill>
                  <a:schemeClr val="tx1"/>
                </a:solidFill>
                <a:latin typeface="+mn-lt"/>
                <a:ea typeface="+mn-ea"/>
                <a:cs typeface="+mn-cs"/>
              </a:defRPr>
            </a:pPr>
            <a:endParaRPr lang="es-MX"/>
          </a:p>
        </c:txPr>
        <c:crossAx val="1194598960"/>
        <c:crosses val="autoZero"/>
        <c:auto val="1"/>
        <c:lblAlgn val="ctr"/>
        <c:lblOffset val="0"/>
        <c:tickLblSkip val="1"/>
        <c:noMultiLvlLbl val="0"/>
      </c:catAx>
      <c:valAx>
        <c:axId val="1194598960"/>
        <c:scaling>
          <c:orientation val="minMax"/>
          <c:max val="30"/>
        </c:scaling>
        <c:delete val="0"/>
        <c:axPos val="l"/>
        <c:title>
          <c:tx>
            <c:rich>
              <a:bodyPr rot="-5400000" spcFirstLastPara="1" vertOverflow="ellipsis" vert="horz" wrap="square" anchor="ctr" anchorCtr="1"/>
              <a:lstStyle/>
              <a:p>
                <a:pPr>
                  <a:defRPr sz="900" b="0" i="0" u="none" strike="noStrike" kern="1200" cap="all" baseline="0">
                    <a:solidFill>
                      <a:schemeClr val="tx1"/>
                    </a:solidFill>
                    <a:latin typeface="+mn-lt"/>
                    <a:ea typeface="+mn-ea"/>
                    <a:cs typeface="+mn-cs"/>
                  </a:defRPr>
                </a:pPr>
                <a:r>
                  <a:rPr lang="en-US">
                    <a:solidFill>
                      <a:schemeClr val="tx1"/>
                    </a:solidFill>
                  </a:rPr>
                  <a:t>billones de USD  </a:t>
                </a:r>
              </a:p>
            </c:rich>
          </c:tx>
          <c:layout>
            <c:manualLayout>
              <c:xMode val="edge"/>
              <c:yMode val="edge"/>
              <c:x val="1.6602252620662915E-2"/>
              <c:y val="5.315897420592483E-2"/>
            </c:manualLayout>
          </c:layout>
          <c:overlay val="0"/>
          <c:spPr>
            <a:noFill/>
            <a:ln>
              <a:noFill/>
            </a:ln>
            <a:effectLst/>
          </c:spPr>
        </c:title>
        <c:numFmt formatCode="General" sourceLinked="0"/>
        <c:majorTickMark val="none"/>
        <c:minorTickMark val="none"/>
        <c:tickLblPos val="nextTo"/>
        <c:spPr>
          <a:noFill/>
          <a:ln w="9525" cap="flat" cmpd="sng" algn="ctr">
            <a:solidFill>
              <a:schemeClr val="dk1">
                <a:lumMod val="15000"/>
                <a:lumOff val="85000"/>
              </a:schemeClr>
            </a:solidFill>
            <a:round/>
          </a:ln>
          <a:effectLst/>
          <a:ex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MX"/>
          </a:p>
        </c:txPr>
        <c:crossAx val="1194600048"/>
        <c:crosses val="autoZero"/>
        <c:crossBetween val="between"/>
      </c:valAx>
      <c:spPr>
        <a:noFill/>
        <a:ln>
          <a:noFill/>
        </a:ln>
        <a:effectLst/>
      </c:spPr>
    </c:plotArea>
    <c:legend>
      <c:legendPos val="t"/>
      <c:legendEntry>
        <c:idx val="0"/>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MX"/>
          </a:p>
        </c:txPr>
      </c:legendEntry>
      <c:legendEntry>
        <c:idx val="1"/>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MX"/>
          </a:p>
        </c:txPr>
      </c:legendEntry>
      <c:legendEntry>
        <c:idx val="2"/>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MX"/>
          </a:p>
        </c:txPr>
      </c:legendEntry>
      <c:legendEntry>
        <c:idx val="3"/>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MX"/>
          </a:p>
        </c:txPr>
      </c:legendEntry>
      <c:overlay val="0"/>
      <c:spPr>
        <a:noFill/>
        <a:ln>
          <a:noFill/>
        </a:ln>
        <a:effectLst/>
        <a:ex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MX"/>
        </a:p>
      </c:txPr>
    </c:legend>
    <c:plotVisOnly val="1"/>
    <c:dispBlanksAs val="zero"/>
    <c:showDLblsOverMax val="1"/>
  </c:chart>
  <c:spPr>
    <a:gradFill flip="none" rotWithShape="1">
      <a:gsLst>
        <a:gs pos="0">
          <a:schemeClr val="accent2">
            <a:lumMod val="67000"/>
          </a:schemeClr>
        </a:gs>
        <a:gs pos="48000">
          <a:schemeClr val="accent2">
            <a:lumMod val="97000"/>
            <a:lumOff val="3000"/>
          </a:schemeClr>
        </a:gs>
        <a:gs pos="100000">
          <a:schemeClr val="accent2">
            <a:lumMod val="60000"/>
            <a:lumOff val="40000"/>
          </a:schemeClr>
        </a:gs>
      </a:gsLst>
      <a:lin ang="16200000" scaled="1"/>
      <a:tileRect/>
    </a:gradFill>
    <a:ln w="9525" cap="flat" cmpd="sng" algn="ctr">
      <a:solidFill>
        <a:schemeClr val="tx1">
          <a:lumMod val="15000"/>
          <a:lumOff val="85000"/>
        </a:schemeClr>
      </a:solidFill>
      <a:round/>
    </a:ln>
    <a:effectLst/>
    <a:extLst/>
  </c:spPr>
  <c:txPr>
    <a:bodyPr/>
    <a:lstStyle/>
    <a:p>
      <a:pPr>
        <a:defRPr/>
      </a:pPr>
      <a:endParaRPr lang="es-MX"/>
    </a:p>
  </c:txPr>
  <c:externalData r:id="rId2">
    <c:autoUpdate val="0"/>
  </c:externalData>
  <c:userShapes r:id="rId3"/>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5720605261719986"/>
          <c:y val="5.6837428943397134E-2"/>
          <c:w val="0.80862445173781561"/>
          <c:h val="0.88910531565700268"/>
        </c:manualLayout>
      </c:layout>
      <c:barChart>
        <c:barDir val="bar"/>
        <c:grouping val="stacked"/>
        <c:varyColors val="0"/>
        <c:ser>
          <c:idx val="0"/>
          <c:order val="0"/>
          <c:tx>
            <c:strRef>
              <c:f>'Data F23'!$B$7</c:f>
              <c:strCache>
                <c:ptCount val="1"/>
                <c:pt idx="0">
                  <c:v>Acciones</c:v>
                </c:pt>
              </c:strCache>
            </c:strRef>
          </c:tx>
          <c:spPr>
            <a:solidFill>
              <a:schemeClr val="accent6">
                <a:alpha val="70000"/>
              </a:schemeClr>
            </a:solidFill>
            <a:ln>
              <a:noFill/>
            </a:ln>
            <a:effectLst/>
          </c:spPr>
          <c:invertIfNegative val="0"/>
          <c:dLbls>
            <c:dLbl>
              <c:idx val="21"/>
              <c:layout>
                <c:manualLayout>
                  <c:x val="1.497521425168734E-2"/>
                  <c:y val="0"/>
                </c:manualLayout>
              </c:layout>
              <c:showLegendKey val="0"/>
              <c:showVal val="1"/>
              <c:showCatName val="0"/>
              <c:showSerName val="0"/>
              <c:showPercent val="0"/>
              <c:showBubbleSize val="0"/>
              <c:extLst>
                <c:ext xmlns:c15="http://schemas.microsoft.com/office/drawing/2012/chart" uri="{CE6537A1-D6FC-4f65-9D91-7224C49458BB}"/>
              </c:extLst>
            </c:dLbl>
            <c:dLbl>
              <c:idx val="22"/>
              <c:delete val="1"/>
              <c:extLst>
                <c:ext xmlns:c15="http://schemas.microsoft.com/office/drawing/2012/chart" uri="{CE6537A1-D6FC-4f65-9D91-7224C49458BB}"/>
              </c:extLst>
            </c:dLbl>
            <c:dLbl>
              <c:idx val="23"/>
              <c:delete val="1"/>
              <c:extLst>
                <c:ext xmlns:c15="http://schemas.microsoft.com/office/drawing/2012/chart" uri="{CE6537A1-D6FC-4f65-9D91-7224C49458BB}"/>
              </c:extLst>
            </c:dLbl>
            <c:dLbl>
              <c:idx val="26"/>
              <c:layout>
                <c:manualLayout>
                  <c:x val="1.2855764111044872E-2"/>
                  <c:y val="1.740957683412109E-7"/>
                </c:manualLayout>
              </c:layout>
              <c:showLegendKey val="0"/>
              <c:showVal val="1"/>
              <c:showCatName val="0"/>
              <c:showSerName val="0"/>
              <c:showPercent val="0"/>
              <c:showBubbleSize val="0"/>
              <c:extLst>
                <c:ext xmlns:c15="http://schemas.microsoft.com/office/drawing/2012/chart" uri="{CE6537A1-D6FC-4f65-9D91-7224C49458BB}"/>
              </c:extLst>
            </c:dLbl>
            <c:dLbl>
              <c:idx val="27"/>
              <c:layout>
                <c:manualLayout>
                  <c:x val="1.2855764111044872E-2"/>
                  <c:y val="0"/>
                </c:manualLayout>
              </c:layout>
              <c:showLegendKey val="0"/>
              <c:showVal val="1"/>
              <c:showCatName val="0"/>
              <c:showSerName val="0"/>
              <c:showPercent val="0"/>
              <c:showBubbleSize val="0"/>
              <c:extLst>
                <c:ext xmlns:c15="http://schemas.microsoft.com/office/drawing/2012/chart" uri="{CE6537A1-D6FC-4f65-9D91-7224C49458BB}"/>
              </c:extLst>
            </c:dLbl>
            <c:dLbl>
              <c:idx val="28"/>
              <c:layout>
                <c:manualLayout>
                  <c:x val="1.2855764111044872E-2"/>
                  <c:y val="0"/>
                </c:manualLayout>
              </c:layout>
              <c:showLegendKey val="0"/>
              <c:showVal val="1"/>
              <c:showCatName val="0"/>
              <c:showSerName val="0"/>
              <c:showPercent val="0"/>
              <c:showBubbleSize val="0"/>
              <c:extLst>
                <c:ext xmlns:c15="http://schemas.microsoft.com/office/drawing/2012/chart" uri="{CE6537A1-D6FC-4f65-9D91-7224C49458BB}"/>
              </c:extLst>
            </c:dLbl>
            <c:dLbl>
              <c:idx val="29"/>
              <c:delete val="1"/>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'Data F23'!$A$8:$A$31</c:f>
              <c:strCache>
                <c:ptCount val="24"/>
                <c:pt idx="0">
                  <c:v>Hong Kong (China)</c:v>
                </c:pt>
                <c:pt idx="1">
                  <c:v>Nambia</c:v>
                </c:pt>
                <c:pt idx="2">
                  <c:v>Kosovo</c:v>
                </c:pt>
                <c:pt idx="3">
                  <c:v>Gibraltar </c:v>
                </c:pt>
                <c:pt idx="4">
                  <c:v>Perú</c:v>
                </c:pt>
                <c:pt idx="5">
                  <c:v>Colombia</c:v>
                </c:pt>
                <c:pt idx="6">
                  <c:v>Pakistán</c:v>
                </c:pt>
                <c:pt idx="7">
                  <c:v>Liechtenstein</c:v>
                </c:pt>
                <c:pt idx="8">
                  <c:v>Kenia</c:v>
                </c:pt>
                <c:pt idx="9">
                  <c:v>Sudáfrica</c:v>
                </c:pt>
                <c:pt idx="10">
                  <c:v>Antigua Yug. Rep. de Macedonia</c:v>
                </c:pt>
                <c:pt idx="11">
                  <c:v>Ucrania</c:v>
                </c:pt>
                <c:pt idx="12">
                  <c:v>Tailandia</c:v>
                </c:pt>
                <c:pt idx="13">
                  <c:v>Jamaica</c:v>
                </c:pt>
                <c:pt idx="14">
                  <c:v>Nigeria</c:v>
                </c:pt>
                <c:pt idx="15">
                  <c:v>Malta</c:v>
                </c:pt>
                <c:pt idx="16">
                  <c:v>Rumania</c:v>
                </c:pt>
                <c:pt idx="17">
                  <c:v>Bulgaria</c:v>
                </c:pt>
                <c:pt idx="18">
                  <c:v>India</c:v>
                </c:pt>
                <c:pt idx="19">
                  <c:v>Maldivas</c:v>
                </c:pt>
                <c:pt idx="20">
                  <c:v>Serbia</c:v>
                </c:pt>
                <c:pt idx="21">
                  <c:v>Letonia</c:v>
                </c:pt>
                <c:pt idx="22">
                  <c:v>Costa Rica</c:v>
                </c:pt>
                <c:pt idx="23">
                  <c:v>Albania</c:v>
                </c:pt>
              </c:strCache>
            </c:strRef>
          </c:cat>
          <c:val>
            <c:numRef>
              <c:f>'Data F23'!$B$8:$B$31</c:f>
              <c:numCache>
                <c:formatCode>0.0</c:formatCode>
                <c:ptCount val="24"/>
                <c:pt idx="0">
                  <c:v>57.438032413404002</c:v>
                </c:pt>
                <c:pt idx="1">
                  <c:v>56.499896604994575</c:v>
                </c:pt>
                <c:pt idx="2">
                  <c:v>52.510577240692854</c:v>
                </c:pt>
                <c:pt idx="3">
                  <c:v>46.799998647367609</c:v>
                </c:pt>
                <c:pt idx="4">
                  <c:v>38.301246106957294</c:v>
                </c:pt>
                <c:pt idx="5">
                  <c:v>35.147645635801425</c:v>
                </c:pt>
                <c:pt idx="6">
                  <c:v>32.183864213475999</c:v>
                </c:pt>
                <c:pt idx="7">
                  <c:v>24.915493584183537</c:v>
                </c:pt>
                <c:pt idx="8">
                  <c:v>24.33023510114819</c:v>
                </c:pt>
                <c:pt idx="9">
                  <c:v>24.280219130114901</c:v>
                </c:pt>
                <c:pt idx="10">
                  <c:v>18.867818408496937</c:v>
                </c:pt>
                <c:pt idx="11">
                  <c:v>18.357487922705314</c:v>
                </c:pt>
                <c:pt idx="12">
                  <c:v>14.980127410587199</c:v>
                </c:pt>
                <c:pt idx="13">
                  <c:v>14.669976529853606</c:v>
                </c:pt>
                <c:pt idx="14">
                  <c:v>13.210964127776661</c:v>
                </c:pt>
                <c:pt idx="15">
                  <c:v>13.181731254020407</c:v>
                </c:pt>
                <c:pt idx="16">
                  <c:v>12.446438490972868</c:v>
                </c:pt>
                <c:pt idx="17">
                  <c:v>11.943240571776157</c:v>
                </c:pt>
                <c:pt idx="18">
                  <c:v>7.1516773319378872</c:v>
                </c:pt>
                <c:pt idx="19">
                  <c:v>6.0378371843369942</c:v>
                </c:pt>
                <c:pt idx="20">
                  <c:v>2.8959288576744942</c:v>
                </c:pt>
                <c:pt idx="21">
                  <c:v>0.69647979885674549</c:v>
                </c:pt>
                <c:pt idx="22">
                  <c:v>7.2746956714657123E-3</c:v>
                </c:pt>
                <c:pt idx="23">
                  <c:v>0</c:v>
                </c:pt>
              </c:numCache>
            </c:numRef>
          </c:val>
        </c:ser>
        <c:ser>
          <c:idx val="1"/>
          <c:order val="1"/>
          <c:tx>
            <c:strRef>
              <c:f>'Data F23'!$C$7</c:f>
              <c:strCache>
                <c:ptCount val="1"/>
                <c:pt idx="0">
                  <c:v>Billetes y bonos</c:v>
                </c:pt>
              </c:strCache>
            </c:strRef>
          </c:tx>
          <c:spPr>
            <a:solidFill>
              <a:schemeClr val="accent5">
                <a:alpha val="70000"/>
              </a:schemeClr>
            </a:solidFill>
            <a:ln>
              <a:noFill/>
            </a:ln>
            <a:effectLst/>
          </c:spPr>
          <c:invertIfNegative val="0"/>
          <c:dLbls>
            <c:dLbl>
              <c:idx val="3"/>
              <c:delete val="1"/>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'Data F23'!$A$8:$A$31</c:f>
              <c:strCache>
                <c:ptCount val="24"/>
                <c:pt idx="0">
                  <c:v>Hong Kong (China)</c:v>
                </c:pt>
                <c:pt idx="1">
                  <c:v>Nambia</c:v>
                </c:pt>
                <c:pt idx="2">
                  <c:v>Kosovo</c:v>
                </c:pt>
                <c:pt idx="3">
                  <c:v>Gibraltar </c:v>
                </c:pt>
                <c:pt idx="4">
                  <c:v>Perú</c:v>
                </c:pt>
                <c:pt idx="5">
                  <c:v>Colombia</c:v>
                </c:pt>
                <c:pt idx="6">
                  <c:v>Pakistán</c:v>
                </c:pt>
                <c:pt idx="7">
                  <c:v>Liechtenstein</c:v>
                </c:pt>
                <c:pt idx="8">
                  <c:v>Kenia</c:v>
                </c:pt>
                <c:pt idx="9">
                  <c:v>Sudáfrica</c:v>
                </c:pt>
                <c:pt idx="10">
                  <c:v>Antigua Yug. Rep. de Macedonia</c:v>
                </c:pt>
                <c:pt idx="11">
                  <c:v>Ucrania</c:v>
                </c:pt>
                <c:pt idx="12">
                  <c:v>Tailandia</c:v>
                </c:pt>
                <c:pt idx="13">
                  <c:v>Jamaica</c:v>
                </c:pt>
                <c:pt idx="14">
                  <c:v>Nigeria</c:v>
                </c:pt>
                <c:pt idx="15">
                  <c:v>Malta</c:v>
                </c:pt>
                <c:pt idx="16">
                  <c:v>Rumania</c:v>
                </c:pt>
                <c:pt idx="17">
                  <c:v>Bulgaria</c:v>
                </c:pt>
                <c:pt idx="18">
                  <c:v>India</c:v>
                </c:pt>
                <c:pt idx="19">
                  <c:v>Maldivas</c:v>
                </c:pt>
                <c:pt idx="20">
                  <c:v>Serbia</c:v>
                </c:pt>
                <c:pt idx="21">
                  <c:v>Letonia</c:v>
                </c:pt>
                <c:pt idx="22">
                  <c:v>Costa Rica</c:v>
                </c:pt>
                <c:pt idx="23">
                  <c:v>Albania</c:v>
                </c:pt>
              </c:strCache>
            </c:strRef>
          </c:cat>
          <c:val>
            <c:numRef>
              <c:f>'Data F23'!$C$8:$C$31</c:f>
              <c:numCache>
                <c:formatCode>0.0</c:formatCode>
                <c:ptCount val="24"/>
                <c:pt idx="0">
                  <c:v>24.750557894450104</c:v>
                </c:pt>
                <c:pt idx="1">
                  <c:v>22.029218212117886</c:v>
                </c:pt>
                <c:pt idx="2">
                  <c:v>44.823878721931386</c:v>
                </c:pt>
                <c:pt idx="3">
                  <c:v>0</c:v>
                </c:pt>
                <c:pt idx="4">
                  <c:v>55.826575903825464</c:v>
                </c:pt>
                <c:pt idx="5">
                  <c:v>52.186466539756964</c:v>
                </c:pt>
                <c:pt idx="6">
                  <c:v>52.847633420809785</c:v>
                </c:pt>
                <c:pt idx="7">
                  <c:v>45.250405853181221</c:v>
                </c:pt>
                <c:pt idx="8">
                  <c:v>39.548022598870062</c:v>
                </c:pt>
                <c:pt idx="9">
                  <c:v>8.7642117264894619</c:v>
                </c:pt>
                <c:pt idx="10">
                  <c:v>66.006852332697335</c:v>
                </c:pt>
                <c:pt idx="11">
                  <c:v>40.053356406373922</c:v>
                </c:pt>
                <c:pt idx="12">
                  <c:v>63.059749294128579</c:v>
                </c:pt>
                <c:pt idx="13">
                  <c:v>71.553829957440769</c:v>
                </c:pt>
                <c:pt idx="14">
                  <c:v>63.393816497205194</c:v>
                </c:pt>
                <c:pt idx="15">
                  <c:v>0.45897877223178851</c:v>
                </c:pt>
                <c:pt idx="16">
                  <c:v>82.339265383114025</c:v>
                </c:pt>
                <c:pt idx="17">
                  <c:v>62.534785583941144</c:v>
                </c:pt>
                <c:pt idx="18">
                  <c:v>34.698291286440039</c:v>
                </c:pt>
                <c:pt idx="19">
                  <c:v>79.791225958450326</c:v>
                </c:pt>
                <c:pt idx="20">
                  <c:v>70.74730664858869</c:v>
                </c:pt>
                <c:pt idx="21">
                  <c:v>64.977897843905282</c:v>
                </c:pt>
                <c:pt idx="22">
                  <c:v>99.99272530432853</c:v>
                </c:pt>
                <c:pt idx="23">
                  <c:v>97.104325870039858</c:v>
                </c:pt>
              </c:numCache>
            </c:numRef>
          </c:val>
        </c:ser>
        <c:ser>
          <c:idx val="2"/>
          <c:order val="2"/>
          <c:tx>
            <c:strRef>
              <c:f>'Data F23'!$D$7</c:f>
              <c:strCache>
                <c:ptCount val="1"/>
                <c:pt idx="0">
                  <c:v>Efectivo y depósitos</c:v>
                </c:pt>
              </c:strCache>
            </c:strRef>
          </c:tx>
          <c:spPr>
            <a:solidFill>
              <a:schemeClr val="accent4">
                <a:alpha val="70000"/>
              </a:schemeClr>
            </a:solidFill>
            <a:ln>
              <a:noFill/>
            </a:ln>
            <a:effectLst/>
          </c:spPr>
          <c:invertIfNegative val="0"/>
          <c:dLbls>
            <c:dLbl>
              <c:idx val="2"/>
              <c:delete val="1"/>
              <c:extLst>
                <c:ext xmlns:c15="http://schemas.microsoft.com/office/drawing/2012/chart" uri="{CE6537A1-D6FC-4f65-9D91-7224C49458BB}"/>
              </c:extLst>
            </c:dLbl>
            <c:dLbl>
              <c:idx val="13"/>
              <c:delete val="1"/>
              <c:extLst>
                <c:ext xmlns:c15="http://schemas.microsoft.com/office/drawing/2012/chart" uri="{CE6537A1-D6FC-4f65-9D91-7224C49458BB}"/>
              </c:extLst>
            </c:dLbl>
            <c:dLbl>
              <c:idx val="22"/>
              <c:delete val="1"/>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'Data F23'!$A$8:$A$31</c:f>
              <c:strCache>
                <c:ptCount val="24"/>
                <c:pt idx="0">
                  <c:v>Hong Kong (China)</c:v>
                </c:pt>
                <c:pt idx="1">
                  <c:v>Nambia</c:v>
                </c:pt>
                <c:pt idx="2">
                  <c:v>Kosovo</c:v>
                </c:pt>
                <c:pt idx="3">
                  <c:v>Gibraltar </c:v>
                </c:pt>
                <c:pt idx="4">
                  <c:v>Perú</c:v>
                </c:pt>
                <c:pt idx="5">
                  <c:v>Colombia</c:v>
                </c:pt>
                <c:pt idx="6">
                  <c:v>Pakistán</c:v>
                </c:pt>
                <c:pt idx="7">
                  <c:v>Liechtenstein</c:v>
                </c:pt>
                <c:pt idx="8">
                  <c:v>Kenia</c:v>
                </c:pt>
                <c:pt idx="9">
                  <c:v>Sudáfrica</c:v>
                </c:pt>
                <c:pt idx="10">
                  <c:v>Antigua Yug. Rep. de Macedonia</c:v>
                </c:pt>
                <c:pt idx="11">
                  <c:v>Ucrania</c:v>
                </c:pt>
                <c:pt idx="12">
                  <c:v>Tailandia</c:v>
                </c:pt>
                <c:pt idx="13">
                  <c:v>Jamaica</c:v>
                </c:pt>
                <c:pt idx="14">
                  <c:v>Nigeria</c:v>
                </c:pt>
                <c:pt idx="15">
                  <c:v>Malta</c:v>
                </c:pt>
                <c:pt idx="16">
                  <c:v>Rumania</c:v>
                </c:pt>
                <c:pt idx="17">
                  <c:v>Bulgaria</c:v>
                </c:pt>
                <c:pt idx="18">
                  <c:v>India</c:v>
                </c:pt>
                <c:pt idx="19">
                  <c:v>Maldivas</c:v>
                </c:pt>
                <c:pt idx="20">
                  <c:v>Serbia</c:v>
                </c:pt>
                <c:pt idx="21">
                  <c:v>Letonia</c:v>
                </c:pt>
                <c:pt idx="22">
                  <c:v>Costa Rica</c:v>
                </c:pt>
                <c:pt idx="23">
                  <c:v>Albania</c:v>
                </c:pt>
              </c:strCache>
            </c:strRef>
          </c:cat>
          <c:val>
            <c:numRef>
              <c:f>'Data F23'!$D$8:$D$31</c:f>
              <c:numCache>
                <c:formatCode>0.0</c:formatCode>
                <c:ptCount val="24"/>
                <c:pt idx="0">
                  <c:v>13.265226255167102</c:v>
                </c:pt>
                <c:pt idx="1">
                  <c:v>12.04247710104733</c:v>
                </c:pt>
                <c:pt idx="2">
                  <c:v>0.88101344758965228</c:v>
                </c:pt>
                <c:pt idx="3">
                  <c:v>4.9999981213439124</c:v>
                </c:pt>
                <c:pt idx="4">
                  <c:v>5.4924135951684505</c:v>
                </c:pt>
                <c:pt idx="5">
                  <c:v>2.3183760259858577</c:v>
                </c:pt>
                <c:pt idx="6">
                  <c:v>14.129110965807362</c:v>
                </c:pt>
                <c:pt idx="7">
                  <c:v>6.9673315987279345</c:v>
                </c:pt>
                <c:pt idx="8">
                  <c:v>7.2899580827410952</c:v>
                </c:pt>
                <c:pt idx="9">
                  <c:v>6.4771797381592044</c:v>
                </c:pt>
                <c:pt idx="10">
                  <c:v>14.138162150001348</c:v>
                </c:pt>
                <c:pt idx="11">
                  <c:v>32.237363905112105</c:v>
                </c:pt>
                <c:pt idx="12">
                  <c:v>21.331920052312931</c:v>
                </c:pt>
                <c:pt idx="13">
                  <c:v>1.3567675811141733</c:v>
                </c:pt>
                <c:pt idx="14">
                  <c:v>16.040632442824489</c:v>
                </c:pt>
                <c:pt idx="15">
                  <c:v>33.92270380222201</c:v>
                </c:pt>
                <c:pt idx="16">
                  <c:v>4.924039703650978</c:v>
                </c:pt>
                <c:pt idx="17">
                  <c:v>21.091468978102192</c:v>
                </c:pt>
                <c:pt idx="18">
                  <c:v>3.1398596345320686</c:v>
                </c:pt>
                <c:pt idx="19">
                  <c:v>14.170936857213096</c:v>
                </c:pt>
                <c:pt idx="20">
                  <c:v>20.207423553436442</c:v>
                </c:pt>
                <c:pt idx="21">
                  <c:v>33.425027966031088</c:v>
                </c:pt>
                <c:pt idx="22">
                  <c:v>0</c:v>
                </c:pt>
                <c:pt idx="23">
                  <c:v>2.4053677912847196</c:v>
                </c:pt>
              </c:numCache>
            </c:numRef>
          </c:val>
        </c:ser>
        <c:ser>
          <c:idx val="3"/>
          <c:order val="3"/>
          <c:tx>
            <c:strRef>
              <c:f>'Data F23'!$E$7</c:f>
              <c:strCache>
                <c:ptCount val="1"/>
                <c:pt idx="0">
                  <c:v>Otros </c:v>
                </c:pt>
              </c:strCache>
            </c:strRef>
          </c:tx>
          <c:spPr>
            <a:solidFill>
              <a:schemeClr val="bg2">
                <a:lumMod val="25000"/>
              </a:schemeClr>
            </a:solidFill>
            <a:ln>
              <a:noFill/>
            </a:ln>
            <a:effectLst/>
          </c:spPr>
          <c:invertIfNegative val="0"/>
          <c:dLbls>
            <c:dLbl>
              <c:idx val="2"/>
              <c:layout>
                <c:manualLayout>
                  <c:x val="-9.051821679112922E-3"/>
                  <c:y val="1.4316040565008323E-17"/>
                </c:manualLayout>
              </c:layout>
              <c:showLegendKey val="0"/>
              <c:showVal val="1"/>
              <c:showCatName val="0"/>
              <c:showSerName val="0"/>
              <c:showPercent val="0"/>
              <c:showBubbleSize val="0"/>
              <c:extLst>
                <c:ext xmlns:c15="http://schemas.microsoft.com/office/drawing/2012/chart" uri="{CE6537A1-D6FC-4f65-9D91-7224C49458BB}"/>
              </c:extLst>
            </c:dLbl>
            <c:dLbl>
              <c:idx val="4"/>
              <c:delete val="1"/>
              <c:extLst>
                <c:ext xmlns:c15="http://schemas.microsoft.com/office/drawing/2012/chart" uri="{CE6537A1-D6FC-4f65-9D91-7224C49458BB}"/>
              </c:extLst>
            </c:dLbl>
            <c:dLbl>
              <c:idx val="6"/>
              <c:delete val="1"/>
              <c:extLst>
                <c:ext xmlns:c15="http://schemas.microsoft.com/office/drawing/2012/chart" uri="{CE6537A1-D6FC-4f65-9D91-7224C49458BB}"/>
              </c:extLst>
            </c:dLbl>
            <c:dLbl>
              <c:idx val="10"/>
              <c:layout>
                <c:manualLayout>
                  <c:x val="-8.3195634731597704E-3"/>
                  <c:y val="-2.3583784458322352E-3"/>
                </c:manualLayout>
              </c:layout>
              <c:showLegendKey val="0"/>
              <c:showVal val="1"/>
              <c:showCatName val="0"/>
              <c:showSerName val="0"/>
              <c:showPercent val="0"/>
              <c:showBubbleSize val="0"/>
              <c:extLst>
                <c:ext xmlns:c15="http://schemas.microsoft.com/office/drawing/2012/chart" uri="{CE6537A1-D6FC-4f65-9D91-7224C49458BB}"/>
              </c:extLst>
            </c:dLbl>
            <c:dLbl>
              <c:idx val="12"/>
              <c:layout>
                <c:manualLayout>
                  <c:x val="-1.3311301557055441E-2"/>
                  <c:y val="8.6472877405129396E-17"/>
                </c:manualLayout>
              </c:layout>
              <c:showLegendKey val="0"/>
              <c:showVal val="1"/>
              <c:showCatName val="0"/>
              <c:showSerName val="0"/>
              <c:showPercent val="0"/>
              <c:showBubbleSize val="0"/>
              <c:extLst>
                <c:ext xmlns:c15="http://schemas.microsoft.com/office/drawing/2012/chart" uri="{CE6537A1-D6FC-4f65-9D91-7224C49458BB}"/>
              </c:extLst>
            </c:dLbl>
            <c:dLbl>
              <c:idx val="16"/>
              <c:delete val="1"/>
              <c:extLst>
                <c:ext xmlns:c15="http://schemas.microsoft.com/office/drawing/2012/chart" uri="{CE6537A1-D6FC-4f65-9D91-7224C49458BB}"/>
              </c:extLst>
            </c:dLbl>
            <c:dLbl>
              <c:idx val="19"/>
              <c:delete val="1"/>
              <c:extLst>
                <c:ext xmlns:c15="http://schemas.microsoft.com/office/drawing/2012/chart" uri="{CE6537A1-D6FC-4f65-9D91-7224C49458BB}"/>
              </c:extLst>
            </c:dLbl>
            <c:dLbl>
              <c:idx val="21"/>
              <c:layout>
                <c:manualLayout>
                  <c:x val="-1.4975214251687487E-2"/>
                  <c:y val="0"/>
                </c:manualLayout>
              </c:layout>
              <c:showLegendKey val="0"/>
              <c:showVal val="1"/>
              <c:showCatName val="0"/>
              <c:showSerName val="0"/>
              <c:showPercent val="0"/>
              <c:showBubbleSize val="0"/>
              <c:extLst>
                <c:ext xmlns:c15="http://schemas.microsoft.com/office/drawing/2012/chart" uri="{CE6537A1-D6FC-4f65-9D91-7224C49458BB}"/>
              </c:extLst>
            </c:dLbl>
            <c:dLbl>
              <c:idx val="22"/>
              <c:delete val="1"/>
              <c:extLst>
                <c:ext xmlns:c15="http://schemas.microsoft.com/office/drawing/2012/chart" uri="{CE6537A1-D6FC-4f65-9D91-7224C49458BB}"/>
              </c:extLst>
            </c:dLbl>
            <c:dLbl>
              <c:idx val="23"/>
              <c:delete val="1"/>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'Data F23'!$A$8:$A$31</c:f>
              <c:strCache>
                <c:ptCount val="24"/>
                <c:pt idx="0">
                  <c:v>Hong Kong (China)</c:v>
                </c:pt>
                <c:pt idx="1">
                  <c:v>Nambia</c:v>
                </c:pt>
                <c:pt idx="2">
                  <c:v>Kosovo</c:v>
                </c:pt>
                <c:pt idx="3">
                  <c:v>Gibraltar </c:v>
                </c:pt>
                <c:pt idx="4">
                  <c:v>Perú</c:v>
                </c:pt>
                <c:pt idx="5">
                  <c:v>Colombia</c:v>
                </c:pt>
                <c:pt idx="6">
                  <c:v>Pakistán</c:v>
                </c:pt>
                <c:pt idx="7">
                  <c:v>Liechtenstein</c:v>
                </c:pt>
                <c:pt idx="8">
                  <c:v>Kenia</c:v>
                </c:pt>
                <c:pt idx="9">
                  <c:v>Sudáfrica</c:v>
                </c:pt>
                <c:pt idx="10">
                  <c:v>Antigua Yug. Rep. de Macedonia</c:v>
                </c:pt>
                <c:pt idx="11">
                  <c:v>Ucrania</c:v>
                </c:pt>
                <c:pt idx="12">
                  <c:v>Tailandia</c:v>
                </c:pt>
                <c:pt idx="13">
                  <c:v>Jamaica</c:v>
                </c:pt>
                <c:pt idx="14">
                  <c:v>Nigeria</c:v>
                </c:pt>
                <c:pt idx="15">
                  <c:v>Malta</c:v>
                </c:pt>
                <c:pt idx="16">
                  <c:v>Rumania</c:v>
                </c:pt>
                <c:pt idx="17">
                  <c:v>Bulgaria</c:v>
                </c:pt>
                <c:pt idx="18">
                  <c:v>India</c:v>
                </c:pt>
                <c:pt idx="19">
                  <c:v>Maldivas</c:v>
                </c:pt>
                <c:pt idx="20">
                  <c:v>Serbia</c:v>
                </c:pt>
                <c:pt idx="21">
                  <c:v>Letonia</c:v>
                </c:pt>
                <c:pt idx="22">
                  <c:v>Costa Rica</c:v>
                </c:pt>
                <c:pt idx="23">
                  <c:v>Albania</c:v>
                </c:pt>
              </c:strCache>
            </c:strRef>
          </c:cat>
          <c:val>
            <c:numRef>
              <c:f>'Data F23'!$E$8:$E$31</c:f>
              <c:numCache>
                <c:formatCode>0.0</c:formatCode>
                <c:ptCount val="24"/>
                <c:pt idx="0">
                  <c:v>4.5461834369789775</c:v>
                </c:pt>
                <c:pt idx="1">
                  <c:v>9.4284080818401819</c:v>
                </c:pt>
                <c:pt idx="2">
                  <c:v>1.7845305897861021</c:v>
                </c:pt>
                <c:pt idx="3">
                  <c:v>48.200003231288491</c:v>
                </c:pt>
                <c:pt idx="4">
                  <c:v>0.37976439404920898</c:v>
                </c:pt>
                <c:pt idx="5">
                  <c:v>10.347511798455201</c:v>
                </c:pt>
                <c:pt idx="6">
                  <c:v>0.8393913999063185</c:v>
                </c:pt>
                <c:pt idx="7">
                  <c:v>22.866768963906878</c:v>
                </c:pt>
                <c:pt idx="8">
                  <c:v>28.831784217240791</c:v>
                </c:pt>
                <c:pt idx="9">
                  <c:v>60.478389405235944</c:v>
                </c:pt>
                <c:pt idx="10">
                  <c:v>0.98716710880303915</c:v>
                </c:pt>
                <c:pt idx="11">
                  <c:v>9.3517917658086525</c:v>
                </c:pt>
                <c:pt idx="12">
                  <c:v>0.62820324297136654</c:v>
                </c:pt>
                <c:pt idx="13">
                  <c:v>12.41942593159145</c:v>
                </c:pt>
                <c:pt idx="14">
                  <c:v>7.3545869321931745</c:v>
                </c:pt>
                <c:pt idx="15">
                  <c:v>52.436586171525938</c:v>
                </c:pt>
                <c:pt idx="16">
                  <c:v>0.29025642226213222</c:v>
                </c:pt>
                <c:pt idx="17">
                  <c:v>4.4305048661800255</c:v>
                </c:pt>
                <c:pt idx="18">
                  <c:v>55.010171747090006</c:v>
                </c:pt>
                <c:pt idx="19">
                  <c:v>-1.7053025658243205E-13</c:v>
                </c:pt>
                <c:pt idx="20">
                  <c:v>6.1493409403003794</c:v>
                </c:pt>
                <c:pt idx="21">
                  <c:v>0.90059439120688012</c:v>
                </c:pt>
                <c:pt idx="22">
                  <c:v>0</c:v>
                </c:pt>
                <c:pt idx="23">
                  <c:v>0.49030633867542761</c:v>
                </c:pt>
              </c:numCache>
            </c:numRef>
          </c:val>
        </c:ser>
        <c:dLbls>
          <c:showLegendKey val="0"/>
          <c:showVal val="0"/>
          <c:showCatName val="0"/>
          <c:showSerName val="0"/>
          <c:showPercent val="0"/>
          <c:showBubbleSize val="0"/>
        </c:dLbls>
        <c:gapWidth val="50"/>
        <c:overlap val="100"/>
        <c:axId val="1194597872"/>
        <c:axId val="1194601680"/>
      </c:barChart>
      <c:catAx>
        <c:axId val="1194597872"/>
        <c:scaling>
          <c:orientation val="maxMin"/>
        </c:scaling>
        <c:delete val="0"/>
        <c:axPos val="l"/>
        <c:numFmt formatCode="General" sourceLinked="1"/>
        <c:majorTickMark val="none"/>
        <c:minorTickMark val="none"/>
        <c:tickLblPos val="low"/>
        <c:spPr>
          <a:noFill/>
          <a:ln w="9525" cap="flat" cmpd="sng" algn="ctr">
            <a:solidFill>
              <a:schemeClr val="tx1">
                <a:lumMod val="25000"/>
                <a:lumOff val="75000"/>
              </a:schemeClr>
            </a:solidFill>
            <a:round/>
            <a:headEnd type="none" w="sm" len="sm"/>
            <a:tailEnd type="none" w="sm" len="sm"/>
          </a:ln>
          <a:effectLst/>
          <a:ex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MX"/>
          </a:p>
        </c:txPr>
        <c:crossAx val="1194601680"/>
        <c:crosses val="autoZero"/>
        <c:auto val="1"/>
        <c:lblAlgn val="ctr"/>
        <c:lblOffset val="0"/>
        <c:tickLblSkip val="1"/>
        <c:noMultiLvlLbl val="0"/>
      </c:catAx>
      <c:valAx>
        <c:axId val="1194601680"/>
        <c:scaling>
          <c:orientation val="minMax"/>
          <c:max val="100"/>
          <c:min val="0"/>
        </c:scaling>
        <c:delete val="0"/>
        <c:axPos val="b"/>
        <c:majorGridlines>
          <c:spPr>
            <a:ln w="9525" cap="flat" cmpd="sng" algn="ctr">
              <a:gradFill>
                <a:gsLst>
                  <a:gs pos="0">
                    <a:schemeClr val="tx1">
                      <a:lumMod val="5000"/>
                      <a:lumOff val="95000"/>
                    </a:schemeClr>
                  </a:gs>
                  <a:gs pos="100000">
                    <a:schemeClr val="tx1">
                      <a:lumMod val="15000"/>
                      <a:lumOff val="85000"/>
                    </a:schemeClr>
                  </a:gs>
                </a:gsLst>
                <a:lin ang="5400000" scaled="0"/>
              </a:gradFill>
              <a:round/>
            </a:ln>
            <a:effectLst/>
          </c:spPr>
        </c:majorGridlines>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s-MX"/>
                  <a:t>porcentaje</a:t>
                </a:r>
              </a:p>
            </c:rich>
          </c:tx>
          <c:layout>
            <c:manualLayout>
              <c:xMode val="edge"/>
              <c:yMode val="edge"/>
              <c:x val="0.12204706590902205"/>
              <c:y val="0.94694662074003189"/>
            </c:manualLayout>
          </c:layout>
          <c:overlay val="0"/>
          <c:spPr>
            <a:noFill/>
            <a:ln>
              <a:noFill/>
            </a:ln>
            <a:effectLst/>
          </c:spPr>
        </c:title>
        <c:numFmt formatCode="General" sourceLinked="0"/>
        <c:majorTickMark val="none"/>
        <c:minorTickMark val="none"/>
        <c:tickLblPos val="nextTo"/>
        <c:spPr>
          <a:noFill/>
          <a:ln>
            <a:noFill/>
          </a:ln>
          <a:effectLst/>
          <a:ex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194597872"/>
        <c:crosses val="max"/>
        <c:crossBetween val="between"/>
        <c:majorUnit val="20"/>
      </c:valAx>
      <c:spPr>
        <a:noFill/>
        <a:ln>
          <a:noFill/>
        </a:ln>
        <a:effectLst/>
      </c:spPr>
    </c:plotArea>
    <c:legend>
      <c:legendPos val="b"/>
      <c:layout>
        <c:manualLayout>
          <c:xMode val="edge"/>
          <c:yMode val="edge"/>
          <c:x val="0.25052832945789238"/>
          <c:y val="1.7871441403177007E-2"/>
          <c:w val="0.58271874746805541"/>
          <c:h val="3.8554302697527541E-2"/>
        </c:manualLayout>
      </c:layout>
      <c:overlay val="0"/>
      <c:spPr>
        <a:noFill/>
        <a:ln>
          <a:noFill/>
        </a:ln>
        <a:effectLst/>
        <a:ex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MX"/>
        </a:p>
      </c:txPr>
    </c:legend>
    <c:plotVisOnly val="1"/>
    <c:dispBlanksAs val="gap"/>
    <c:showDLblsOverMax val="1"/>
  </c:chart>
  <c:spPr>
    <a:gradFill flip="none" rotWithShape="1">
      <a:gsLst>
        <a:gs pos="0">
          <a:schemeClr val="accent5">
            <a:lumMod val="5000"/>
            <a:lumOff val="95000"/>
          </a:schemeClr>
        </a:gs>
        <a:gs pos="74000">
          <a:schemeClr val="accent5">
            <a:lumMod val="45000"/>
            <a:lumOff val="55000"/>
          </a:schemeClr>
        </a:gs>
        <a:gs pos="83000">
          <a:schemeClr val="accent5">
            <a:lumMod val="45000"/>
            <a:lumOff val="55000"/>
          </a:schemeClr>
        </a:gs>
        <a:gs pos="100000">
          <a:schemeClr val="accent5">
            <a:lumMod val="30000"/>
            <a:lumOff val="70000"/>
          </a:schemeClr>
        </a:gs>
      </a:gsLst>
      <a:lin ang="5400000" scaled="1"/>
      <a:tileRect/>
    </a:gradFill>
    <a:ln w="9525" cap="flat" cmpd="sng" algn="ctr">
      <a:solidFill>
        <a:schemeClr val="tx1">
          <a:lumMod val="15000"/>
          <a:lumOff val="85000"/>
        </a:schemeClr>
      </a:solidFill>
      <a:round/>
    </a:ln>
    <a:effectLst/>
    <a:extLst/>
  </c:spPr>
  <c:txPr>
    <a:bodyPr/>
    <a:lstStyle/>
    <a:p>
      <a:pPr>
        <a:defRPr/>
      </a:pPr>
      <a:endParaRPr lang="es-MX"/>
    </a:p>
  </c:txPr>
  <c:externalData r:id="rId2">
    <c:autoUpdate val="0"/>
  </c:externalData>
</c:chartSpace>
</file>

<file path=word/drawings/drawing1.xml><?xml version="1.0" encoding="utf-8"?>
<c:userShapes xmlns:c="http://schemas.openxmlformats.org/drawingml/2006/chart">
  <cdr:relSizeAnchor xmlns:cdr="http://schemas.openxmlformats.org/drawingml/2006/chartDrawing">
    <cdr:from>
      <cdr:x>0.91134</cdr:x>
      <cdr:y>0.06932</cdr:y>
    </cdr:from>
    <cdr:to>
      <cdr:x>0.99089</cdr:x>
      <cdr:y>0.14342</cdr:y>
    </cdr:to>
    <cdr:sp macro="" textlink="">
      <cdr:nvSpPr>
        <cdr:cNvPr id="2" name="TextBox 1"/>
        <cdr:cNvSpPr txBox="1"/>
      </cdr:nvSpPr>
      <cdr:spPr>
        <a:xfrm xmlns:a="http://schemas.openxmlformats.org/drawingml/2006/main">
          <a:off x="6669694" y="276212"/>
          <a:ext cx="582192" cy="29526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000" b="1" i="0">
              <a:solidFill>
                <a:schemeClr val="tx1"/>
              </a:solidFill>
              <a:latin typeface="Arial Narrow"/>
            </a:rPr>
            <a:t>$30.0 </a:t>
          </a:r>
        </a:p>
      </cdr:txBody>
    </cdr:sp>
  </cdr:relSizeAnchor>
  <cdr:relSizeAnchor xmlns:cdr="http://schemas.openxmlformats.org/drawingml/2006/chartDrawing">
    <cdr:from>
      <cdr:x>0.90921</cdr:x>
      <cdr:y>0.22026</cdr:y>
    </cdr:from>
    <cdr:to>
      <cdr:x>0.98829</cdr:x>
      <cdr:y>0.27012</cdr:y>
    </cdr:to>
    <cdr:sp macro="" textlink="">
      <cdr:nvSpPr>
        <cdr:cNvPr id="3" name="TextBox 1"/>
        <cdr:cNvSpPr txBox="1"/>
      </cdr:nvSpPr>
      <cdr:spPr>
        <a:xfrm xmlns:a="http://schemas.openxmlformats.org/drawingml/2006/main">
          <a:off x="6654084" y="877652"/>
          <a:ext cx="578752" cy="198673"/>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000" b="1" i="0">
              <a:solidFill>
                <a:sysClr val="windowText" lastClr="000000"/>
              </a:solidFill>
              <a:latin typeface="Arial Narrow"/>
            </a:rPr>
            <a:t>$24.5 </a:t>
          </a:r>
        </a:p>
      </cdr:txBody>
    </cdr:sp>
  </cdr:relSizeAnchor>
  <cdr:relSizeAnchor xmlns:cdr="http://schemas.openxmlformats.org/drawingml/2006/chartDrawing">
    <cdr:from>
      <cdr:x>0.90894</cdr:x>
      <cdr:y>0.30498</cdr:y>
    </cdr:from>
    <cdr:to>
      <cdr:x>0.99317</cdr:x>
      <cdr:y>0.36399</cdr:y>
    </cdr:to>
    <cdr:sp macro="" textlink="">
      <cdr:nvSpPr>
        <cdr:cNvPr id="4" name="TextBox 1"/>
        <cdr:cNvSpPr txBox="1"/>
      </cdr:nvSpPr>
      <cdr:spPr>
        <a:xfrm xmlns:a="http://schemas.openxmlformats.org/drawingml/2006/main">
          <a:off x="6764299" y="1239449"/>
          <a:ext cx="626834" cy="239817"/>
        </a:xfrm>
        <a:prstGeom xmlns:a="http://schemas.openxmlformats.org/drawingml/2006/main" prst="rect">
          <a:avLst/>
        </a:prstGeom>
        <a:noFill xmlns:a="http://schemas.openxmlformats.org/drawingml/2006/main"/>
        <a:ln xmlns:a="http://schemas.openxmlformats.org/drawingml/2006/main">
          <a:noFill/>
        </a:ln>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000" b="1" i="0">
              <a:solidFill>
                <a:sysClr val="windowText" lastClr="000000"/>
              </a:solidFill>
              <a:latin typeface="Arial Narrow"/>
            </a:rPr>
            <a:t>$21.8 </a:t>
          </a:r>
        </a:p>
      </cdr:txBody>
    </cdr:sp>
  </cdr:relSizeAnchor>
  <cdr:relSizeAnchor xmlns:cdr="http://schemas.openxmlformats.org/drawingml/2006/chartDrawing">
    <cdr:from>
      <cdr:x>0.90851</cdr:x>
      <cdr:y>0.8567</cdr:y>
    </cdr:from>
    <cdr:to>
      <cdr:x>0.97918</cdr:x>
      <cdr:y>0.90119</cdr:y>
    </cdr:to>
    <cdr:sp macro="" textlink="">
      <cdr:nvSpPr>
        <cdr:cNvPr id="5" name="TextBox 1"/>
        <cdr:cNvSpPr txBox="1"/>
      </cdr:nvSpPr>
      <cdr:spPr>
        <a:xfrm xmlns:a="http://schemas.openxmlformats.org/drawingml/2006/main">
          <a:off x="6648991" y="3413632"/>
          <a:ext cx="517203" cy="177276"/>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r>
            <a:rPr lang="en-US" sz="1000" b="1" i="0">
              <a:solidFill>
                <a:sysClr val="windowText" lastClr="000000"/>
              </a:solidFill>
              <a:latin typeface="Arial Narrow"/>
            </a:rPr>
            <a:t>$1.9 </a:t>
          </a: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Personalizado 1">
    <a:dk1>
      <a:sysClr val="windowText" lastClr="000000"/>
    </a:dk1>
    <a:lt1>
      <a:sysClr val="window" lastClr="FFFFFF"/>
    </a:lt1>
    <a:dk2>
      <a:srgbClr val="1F497D"/>
    </a:dk2>
    <a:lt2>
      <a:srgbClr val="EEECE1"/>
    </a:lt2>
    <a:accent1>
      <a:srgbClr val="EEECE1"/>
    </a:accent1>
    <a:accent2>
      <a:srgbClr val="DDD9C3"/>
    </a:accent2>
    <a:accent3>
      <a:srgbClr val="C4BD97"/>
    </a:accent3>
    <a:accent4>
      <a:srgbClr val="938953"/>
    </a:accent4>
    <a:accent5>
      <a:srgbClr val="494429"/>
    </a:accent5>
    <a:accent6>
      <a:srgbClr val="1D1B10"/>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Personalizado 1">
    <a:dk1>
      <a:sysClr val="windowText" lastClr="000000"/>
    </a:dk1>
    <a:lt1>
      <a:sysClr val="window" lastClr="FFFFFF"/>
    </a:lt1>
    <a:dk2>
      <a:srgbClr val="1F497D"/>
    </a:dk2>
    <a:lt2>
      <a:srgbClr val="EEECE1"/>
    </a:lt2>
    <a:accent1>
      <a:srgbClr val="EEECE1"/>
    </a:accent1>
    <a:accent2>
      <a:srgbClr val="DDD9C3"/>
    </a:accent2>
    <a:accent3>
      <a:srgbClr val="C4BD97"/>
    </a:accent3>
    <a:accent4>
      <a:srgbClr val="938953"/>
    </a:accent4>
    <a:accent5>
      <a:srgbClr val="494429"/>
    </a:accent5>
    <a:accent6>
      <a:srgbClr val="1D1B10"/>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CON141</b:Tag>
    <b:SourceType>InternetSite</b:SourceType>
    <b:Guid>{4A7081A8-372A-444B-9199-6D4B17F66B73}</b:Guid>
    <b:Title>Encuestas de trayectorias laborales</b:Title>
    <b:Year>2014</b:Year>
    <b:LCID>es-MX</b:LCID>
    <b:Author>
      <b:Author>
        <b:Corporate>CONSAR</b:Corporate>
      </b:Author>
    </b:Author>
    <b:URL>http://www.consar.gob.mx/sala_prensa/pdf/presentaciones/2012/encuesta_trayectorias_laborales.pdf</b:URL>
    <b:ShortTitle>Encuestas de trayectorias laborales</b:ShortTitle>
    <b:RefOrder>2</b:RefOrder>
  </b:Source>
  <b:Source>
    <b:Tag>Dua</b:Tag>
    <b:SourceType>JournalArticle</b:SourceType>
    <b:Guid>{D3644F5A-4F5A-4C4E-A72B-1B5A3BD8ABE5}</b:Guid>
    <b:Author>
      <b:Author>
        <b:NameList>
          <b:Person>
            <b:Last>Duarte</b:Last>
          </b:Person>
          <b:Person>
            <b:Last>Elizalde</b:Last>
          </b:Person>
          <b:Person>
            <b:Last>Casparre</b:Last>
          </b:Person>
        </b:NameList>
      </b:Author>
    </b:Author>
    <b:Title>Evaluación del desempeño económico de los sistemas de pensiones privados en Latonoamérica (1997-2008)</b:Title>
    <b:JournalName>Sociedad y Economía</b:JournalName>
    <b:City>Colombia</b:City>
    <b:Year>2011</b:Year>
    <b:RefOrder>3</b:RefOrder>
  </b:Source>
  <b:Source>
    <b:Tag>CISS</b:Tag>
    <b:SourceType>InternetSite</b:SourceType>
    <b:Guid>{A9C3C1DB-6996-477D-9C97-4732A2B05DE4}</b:Guid>
    <b:LCID>es-MX</b:LCID>
    <b:Author>
      <b:Author>
        <b:NameList>
          <b:Person>
            <b:Last>CISS</b:Last>
          </b:Person>
        </b:NameList>
      </b:Author>
    </b:Author>
    <b:Title>Informe sobre la Seguridad Social en América 2013</b:Title>
    <b:City>México</b:City>
    <b:Year>2012</b:Year>
    <b:RefOrder>4</b:RefOrder>
  </b:Source>
  <b:Source>
    <b:Tag>Cal11</b:Tag>
    <b:SourceType>Book</b:SourceType>
    <b:Guid>{C159C8AD-D31F-4D42-A9AA-C8DC3A16C075}</b:Guid>
    <b:Title>Estadistica para la tesis de postgrado</b:Title>
    <b:Year>2011</b:Year>
    <b:Author>
      <b:Author>
        <b:NameList>
          <b:Person>
            <b:Last>Calderón Saldaña </b:Last>
            <b:Middle>Pahola</b:Middle>
            <b:First>Jully </b:First>
          </b:Person>
          <b:Person>
            <b:Last>De los Gordos Urcia</b:Last>
            <b:First>Luis Alzamora</b:First>
          </b:Person>
        </b:NameList>
      </b:Author>
    </b:Author>
    <b:Publisher>LULU International</b:Publisher>
    <b:LCID>es-MX</b:LCID>
    <b:RefOrder>1</b:RefOrder>
  </b:Source>
  <b:Source>
    <b:Tag>Mun88</b:Tag>
    <b:SourceType>Book</b:SourceType>
    <b:Guid>{685856A7-DE27-4318-8CB0-491D7F29EDA5}</b:Guid>
    <b:Author>
      <b:Author>
        <b:NameList>
          <b:Person>
            <b:Last>Munh</b:Last>
            <b:First>Alicia</b:First>
            <b:Middle>H.</b:Middle>
          </b:Person>
        </b:NameList>
      </b:Author>
    </b:Author>
    <b:Title>Aspectos economicos de los planes privados de pensiones </b:Title>
    <b:Year>1988</b:Year>
    <b:Publisher>Ministerio de Trabajo y Seguridad Social</b:Publisher>
    <b:RefOrder>5</b:RefOrder>
  </b:Source>
  <b:Source>
    <b:Tag>ORZ01</b:Tag>
    <b:SourceType>Book</b:SourceType>
    <b:Guid>{F559FC77-2FBF-404B-B1D7-BE9BD344548E}</b:Guid>
    <b:Author>
      <b:Author>
        <b:NameList>
          <b:Person>
            <b:Last>ORZAG</b:Last>
            <b:First>Peter</b:First>
          </b:Person>
          <b:Person>
            <b:Last>STIGLITZ</b:Last>
            <b:First>Joshep</b:First>
            <b:Middle>E</b:Middle>
          </b:Person>
        </b:NameList>
      </b:Author>
    </b:Author>
    <b:Title>Rethinking Pension  Reform: Ten Myths about Social Security Systems</b:Title>
    <b:Year>2001</b:Year>
    <b:City>Washington DC</b:City>
    <b:Publisher>The World Bank</b:Publisher>
    <b:RefOrder>6</b:RefOrder>
  </b:Source>
</b:Sources>
</file>

<file path=customXml/itemProps1.xml><?xml version="1.0" encoding="utf-8"?>
<ds:datastoreItem xmlns:ds="http://schemas.openxmlformats.org/officeDocument/2006/customXml" ds:itemID="{23C168DF-6F8D-4AAF-86E3-12C2838E58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11273</Words>
  <Characters>62002</Characters>
  <Application>Microsoft Office Word</Application>
  <DocSecurity>0</DocSecurity>
  <Lines>516</Lines>
  <Paragraphs>146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73129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sesco</dc:creator>
  <cp:lastModifiedBy>USUARIO</cp:lastModifiedBy>
  <cp:revision>3</cp:revision>
  <dcterms:created xsi:type="dcterms:W3CDTF">2016-05-02T19:06:00Z</dcterms:created>
  <dcterms:modified xsi:type="dcterms:W3CDTF">2016-05-02T19:07:00Z</dcterms:modified>
</cp:coreProperties>
</file>